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20A4" w:rsidRPr="00CD0B3D">
      <w:pPr>
        <w:pStyle w:val="TOCHeading"/>
        <w:bidi w:val="0"/>
        <w:rPr>
          <w:rFonts w:ascii="Times New Roman" w:hAnsi="Times New Roman"/>
          <w:color w:val="auto"/>
          <w:sz w:val="24"/>
          <w:szCs w:val="24"/>
        </w:rPr>
      </w:pPr>
      <w:bookmarkStart w:id="0" w:name="_Toc97700652"/>
      <w:bookmarkStart w:id="1" w:name="_Toc148255237"/>
      <w:bookmarkStart w:id="2" w:name="_Toc282686533"/>
      <w:r w:rsidRPr="00CD0B3D">
        <w:rPr>
          <w:rFonts w:ascii="Times New Roman" w:hAnsi="Times New Roman"/>
          <w:color w:val="auto"/>
          <w:sz w:val="24"/>
          <w:szCs w:val="24"/>
        </w:rPr>
        <w:t>Obsah</w:t>
      </w:r>
    </w:p>
    <w:p w:rsidR="000B75A9" w:rsidRPr="00B07CAE" w:rsidP="00F603A5">
      <w:pPr>
        <w:bidi w:val="0"/>
        <w:rPr>
          <w:rFonts w:ascii="Times New Roman" w:hAnsi="Times New Roman" w:cs="Times New Roman"/>
          <w:color w:val="0070C0"/>
          <w:lang w:eastAsia="en-US"/>
        </w:rPr>
      </w:pPr>
    </w:p>
    <w:p w:rsidR="00C05A14">
      <w:pPr>
        <w:pStyle w:val="TOC1"/>
        <w:bidi w:val="0"/>
        <w:rPr>
          <w:rFonts w:asciiTheme="minorHAnsi" w:eastAsiaTheme="minorEastAsia" w:hAnsiTheme="minorHAnsi"/>
          <w:b w:val="0"/>
          <w:sz w:val="22"/>
          <w:szCs w:val="22"/>
          <w:lang w:eastAsia="sk-SK"/>
        </w:rPr>
      </w:pPr>
      <w:r w:rsidRPr="00B07CAE" w:rsidR="007520A4">
        <w:rPr>
          <w:rFonts w:ascii="Times New Roman" w:hAnsi="Times New Roman"/>
          <w:color w:val="0070C0"/>
        </w:rPr>
        <w:fldChar w:fldCharType="begin"/>
      </w:r>
      <w:r w:rsidRPr="00B07CAE" w:rsidR="007520A4">
        <w:rPr>
          <w:rFonts w:ascii="Times New Roman" w:hAnsi="Times New Roman"/>
          <w:color w:val="0070C0"/>
        </w:rPr>
        <w:instrText xml:space="preserve"> TOC \o "1-3" \h \z \u </w:instrText>
      </w:r>
      <w:r w:rsidRPr="00B07CAE" w:rsidR="007520A4">
        <w:rPr>
          <w:rFonts w:ascii="Times New Roman" w:hAnsi="Times New Roman"/>
          <w:color w:val="0070C0"/>
        </w:rPr>
        <w:fldChar w:fldCharType="separate"/>
      </w:r>
      <w:hyperlink w:anchor="_Toc337237742" w:history="1">
        <w:r w:rsidRPr="00AB1C1C">
          <w:rPr>
            <w:rStyle w:val="Hyperlink"/>
            <w:rFonts w:ascii="Times New Roman" w:hAnsi="Times New Roman"/>
          </w:rPr>
          <w:t>Predkladacia správa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_Toc337237742 \h </w:instrText>
        </w:r>
        <w:r>
          <w:rPr>
            <w:rFonts w:ascii="Times New Roman" w:hAnsi="Times New Roman"/>
            <w:webHidden/>
          </w:rPr>
          <w:fldChar w:fldCharType="separate"/>
        </w:r>
        <w:r w:rsidR="006E5F03">
          <w:rPr>
            <w:rFonts w:ascii="Times New Roman" w:hAnsi="Times New Roman"/>
            <w:webHidden/>
          </w:rPr>
          <w:t>2</w:t>
        </w:r>
        <w:r>
          <w:rPr>
            <w:rFonts w:ascii="Times New Roman" w:hAnsi="Times New Roman"/>
            <w:webHidden/>
          </w:rPr>
          <w:fldChar w:fldCharType="end"/>
        </w:r>
      </w:hyperlink>
    </w:p>
    <w:p w:rsidR="00C05A14">
      <w:pPr>
        <w:pStyle w:val="TOC1"/>
        <w:bidi w:val="0"/>
        <w:rPr>
          <w:rFonts w:asciiTheme="minorHAnsi" w:eastAsiaTheme="minorEastAsia" w:hAnsiTheme="minorHAnsi"/>
          <w:b w:val="0"/>
          <w:sz w:val="22"/>
          <w:szCs w:val="22"/>
          <w:lang w:eastAsia="sk-SK"/>
        </w:rPr>
      </w:pPr>
      <w:hyperlink w:anchor="_Toc337237743" w:history="1">
        <w:r w:rsidRPr="00AB1C1C">
          <w:rPr>
            <w:rStyle w:val="Hyperlink"/>
            <w:rFonts w:ascii="Times New Roman" w:hAnsi="Times New Roman"/>
          </w:rPr>
          <w:t>1.</w:t>
        </w:r>
        <w:r>
          <w:rPr>
            <w:rFonts w:asciiTheme="minorHAnsi" w:eastAsiaTheme="minorEastAsia" w:hAnsiTheme="minorHAnsi"/>
            <w:b w:val="0"/>
            <w:sz w:val="22"/>
            <w:szCs w:val="22"/>
            <w:lang w:eastAsia="sk-SK"/>
          </w:rPr>
          <w:tab/>
        </w:r>
        <w:r w:rsidRPr="00AB1C1C">
          <w:rPr>
            <w:rStyle w:val="Hyperlink"/>
            <w:rFonts w:ascii="Times New Roman" w:hAnsi="Times New Roman"/>
          </w:rPr>
          <w:t>Makroekonomické predpoklady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_Toc337237743 \h </w:instrText>
        </w:r>
        <w:r>
          <w:rPr>
            <w:rFonts w:ascii="Times New Roman" w:hAnsi="Times New Roman"/>
            <w:webHidden/>
          </w:rPr>
          <w:fldChar w:fldCharType="separate"/>
        </w:r>
        <w:r w:rsidR="006E5F03">
          <w:rPr>
            <w:rFonts w:ascii="Times New Roman" w:hAnsi="Times New Roman"/>
            <w:webHidden/>
          </w:rPr>
          <w:t>4</w:t>
        </w:r>
        <w:r>
          <w:rPr>
            <w:rFonts w:ascii="Times New Roman" w:hAnsi="Times New Roman"/>
            <w:webHidden/>
          </w:rPr>
          <w:fldChar w:fldCharType="end"/>
        </w:r>
      </w:hyperlink>
    </w:p>
    <w:p w:rsidR="00C05A14">
      <w:pPr>
        <w:pStyle w:val="TOC1"/>
        <w:bidi w:val="0"/>
        <w:rPr>
          <w:rFonts w:asciiTheme="minorHAnsi" w:eastAsiaTheme="minorEastAsia" w:hAnsiTheme="minorHAnsi"/>
          <w:b w:val="0"/>
          <w:sz w:val="22"/>
          <w:szCs w:val="22"/>
          <w:lang w:eastAsia="sk-SK"/>
        </w:rPr>
      </w:pPr>
      <w:hyperlink w:anchor="_Toc337237744" w:history="1">
        <w:r w:rsidRPr="00AB1C1C">
          <w:rPr>
            <w:rStyle w:val="Hyperlink"/>
            <w:rFonts w:ascii="Times New Roman" w:hAnsi="Times New Roman"/>
          </w:rPr>
          <w:t>2. Východiskový rámec rozpočtu verejnej správy na roky 2013 až 2015</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_Toc337237744 \h </w:instrText>
        </w:r>
        <w:r>
          <w:rPr>
            <w:rFonts w:ascii="Times New Roman" w:hAnsi="Times New Roman"/>
            <w:webHidden/>
          </w:rPr>
          <w:fldChar w:fldCharType="separate"/>
        </w:r>
        <w:r w:rsidR="006E5F03">
          <w:rPr>
            <w:rFonts w:ascii="Times New Roman" w:hAnsi="Times New Roman"/>
            <w:webHidden/>
          </w:rPr>
          <w:t>6</w:t>
        </w:r>
        <w:r>
          <w:rPr>
            <w:rFonts w:ascii="Times New Roman" w:hAnsi="Times New Roman"/>
            <w:webHidden/>
          </w:rPr>
          <w:fldChar w:fldCharType="end"/>
        </w:r>
      </w:hyperlink>
    </w:p>
    <w:p w:rsidR="00C05A14">
      <w:pPr>
        <w:pStyle w:val="TOC2"/>
        <w:bidi w:val="0"/>
        <w:rPr>
          <w:rFonts w:asciiTheme="minorHAnsi" w:eastAsiaTheme="minorEastAsia" w:hAnsiTheme="minorHAnsi"/>
          <w:sz w:val="22"/>
          <w:szCs w:val="22"/>
          <w:lang w:eastAsia="sk-SK"/>
        </w:rPr>
      </w:pPr>
      <w:hyperlink w:anchor="_Toc337237745" w:history="1">
        <w:r w:rsidRPr="00AB1C1C">
          <w:rPr>
            <w:rStyle w:val="Hyperlink"/>
            <w:rFonts w:ascii="Times New Roman" w:hAnsi="Times New Roman"/>
          </w:rPr>
          <w:t>2.1. Základné predpoklady zostavenia rozpočtu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_Toc337237745 \h </w:instrText>
        </w:r>
        <w:r>
          <w:rPr>
            <w:rFonts w:ascii="Times New Roman" w:hAnsi="Times New Roman"/>
            <w:webHidden/>
          </w:rPr>
          <w:fldChar w:fldCharType="separate"/>
        </w:r>
        <w:r w:rsidR="006E5F03">
          <w:rPr>
            <w:rFonts w:ascii="Times New Roman" w:hAnsi="Times New Roman"/>
            <w:webHidden/>
          </w:rPr>
          <w:t>6</w:t>
        </w:r>
        <w:r>
          <w:rPr>
            <w:rFonts w:ascii="Times New Roman" w:hAnsi="Times New Roman"/>
            <w:webHidden/>
          </w:rPr>
          <w:fldChar w:fldCharType="end"/>
        </w:r>
      </w:hyperlink>
    </w:p>
    <w:p w:rsidR="00C05A14">
      <w:pPr>
        <w:pStyle w:val="TOC2"/>
        <w:bidi w:val="0"/>
        <w:rPr>
          <w:rFonts w:asciiTheme="minorHAnsi" w:eastAsiaTheme="minorEastAsia" w:hAnsiTheme="minorHAnsi"/>
          <w:sz w:val="22"/>
          <w:szCs w:val="22"/>
          <w:lang w:eastAsia="sk-SK"/>
        </w:rPr>
      </w:pPr>
      <w:hyperlink w:anchor="_Toc337237746" w:history="1">
        <w:r w:rsidRPr="00AB1C1C">
          <w:rPr>
            <w:rStyle w:val="Hyperlink"/>
            <w:rFonts w:ascii="Times New Roman" w:hAnsi="Times New Roman"/>
          </w:rPr>
          <w:t>2.2. Rámec na zostavenie rozpočtu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_Toc337237746 \h </w:instrText>
        </w:r>
        <w:r>
          <w:rPr>
            <w:rFonts w:ascii="Times New Roman" w:hAnsi="Times New Roman"/>
            <w:webHidden/>
          </w:rPr>
          <w:fldChar w:fldCharType="separate"/>
        </w:r>
        <w:r w:rsidR="006E5F03">
          <w:rPr>
            <w:rFonts w:ascii="Times New Roman" w:hAnsi="Times New Roman"/>
            <w:webHidden/>
          </w:rPr>
          <w:t>7</w:t>
        </w:r>
        <w:r>
          <w:rPr>
            <w:rFonts w:ascii="Times New Roman" w:hAnsi="Times New Roman"/>
            <w:webHidden/>
          </w:rPr>
          <w:fldChar w:fldCharType="end"/>
        </w:r>
      </w:hyperlink>
    </w:p>
    <w:p w:rsidR="00C05A14">
      <w:pPr>
        <w:pStyle w:val="TOC2"/>
        <w:bidi w:val="0"/>
        <w:rPr>
          <w:rFonts w:asciiTheme="minorHAnsi" w:eastAsiaTheme="minorEastAsia" w:hAnsiTheme="minorHAnsi"/>
          <w:sz w:val="22"/>
          <w:szCs w:val="22"/>
          <w:lang w:eastAsia="sk-SK"/>
        </w:rPr>
      </w:pPr>
      <w:hyperlink w:anchor="_Toc337237747" w:history="1">
        <w:r w:rsidRPr="00AB1C1C">
          <w:rPr>
            <w:rStyle w:val="Hyperlink"/>
            <w:rFonts w:ascii="Times New Roman" w:hAnsi="Times New Roman"/>
          </w:rPr>
          <w:t>2.3. Dlh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_Toc337237747 \h </w:instrText>
        </w:r>
        <w:r>
          <w:rPr>
            <w:rFonts w:ascii="Times New Roman" w:hAnsi="Times New Roman"/>
            <w:webHidden/>
          </w:rPr>
          <w:fldChar w:fldCharType="separate"/>
        </w:r>
        <w:r w:rsidR="006E5F03">
          <w:rPr>
            <w:rFonts w:ascii="Times New Roman" w:hAnsi="Times New Roman"/>
            <w:webHidden/>
          </w:rPr>
          <w:t>10</w:t>
        </w:r>
        <w:r>
          <w:rPr>
            <w:rFonts w:ascii="Times New Roman" w:hAnsi="Times New Roman"/>
            <w:webHidden/>
          </w:rPr>
          <w:fldChar w:fldCharType="end"/>
        </w:r>
      </w:hyperlink>
    </w:p>
    <w:p w:rsidR="00C05A14">
      <w:pPr>
        <w:pStyle w:val="TOC1"/>
        <w:bidi w:val="0"/>
        <w:rPr>
          <w:rFonts w:asciiTheme="minorHAnsi" w:eastAsiaTheme="minorEastAsia" w:hAnsiTheme="minorHAnsi"/>
          <w:b w:val="0"/>
          <w:sz w:val="22"/>
          <w:szCs w:val="22"/>
          <w:lang w:eastAsia="sk-SK"/>
        </w:rPr>
      </w:pPr>
      <w:hyperlink w:anchor="_Toc337237748" w:history="1">
        <w:r w:rsidRPr="00AB1C1C">
          <w:rPr>
            <w:rStyle w:val="Hyperlink"/>
            <w:rFonts w:ascii="Times New Roman" w:hAnsi="Times New Roman"/>
          </w:rPr>
          <w:t>3. Rozpočtovanie príjmov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_Toc337237748 \h </w:instrText>
        </w:r>
        <w:r>
          <w:rPr>
            <w:rFonts w:ascii="Times New Roman" w:hAnsi="Times New Roman"/>
            <w:webHidden/>
          </w:rPr>
          <w:fldChar w:fldCharType="separate"/>
        </w:r>
        <w:r w:rsidR="006E5F03">
          <w:rPr>
            <w:rFonts w:ascii="Times New Roman" w:hAnsi="Times New Roman"/>
            <w:webHidden/>
          </w:rPr>
          <w:t>11</w:t>
        </w:r>
        <w:r>
          <w:rPr>
            <w:rFonts w:ascii="Times New Roman" w:hAnsi="Times New Roman"/>
            <w:webHidden/>
          </w:rPr>
          <w:fldChar w:fldCharType="end"/>
        </w:r>
      </w:hyperlink>
    </w:p>
    <w:p w:rsidR="00C05A14">
      <w:pPr>
        <w:pStyle w:val="TOC2"/>
        <w:bidi w:val="0"/>
        <w:rPr>
          <w:rFonts w:asciiTheme="minorHAnsi" w:eastAsiaTheme="minorEastAsia" w:hAnsiTheme="minorHAnsi"/>
          <w:sz w:val="22"/>
          <w:szCs w:val="22"/>
          <w:lang w:eastAsia="sk-SK"/>
        </w:rPr>
      </w:pPr>
      <w:hyperlink w:anchor="_Toc337237749" w:history="1">
        <w:r w:rsidRPr="00AB1C1C">
          <w:rPr>
            <w:rStyle w:val="Hyperlink"/>
            <w:rFonts w:ascii="Times New Roman" w:hAnsi="Times New Roman"/>
          </w:rPr>
          <w:t>3.1. Rozpočtovanie daňových a odvodových príjmov verejnej správy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_Toc337237749 \h </w:instrText>
        </w:r>
        <w:r>
          <w:rPr>
            <w:rFonts w:ascii="Times New Roman" w:hAnsi="Times New Roman"/>
            <w:webHidden/>
          </w:rPr>
          <w:fldChar w:fldCharType="separate"/>
        </w:r>
        <w:r w:rsidR="006E5F03">
          <w:rPr>
            <w:rFonts w:ascii="Times New Roman" w:hAnsi="Times New Roman"/>
            <w:webHidden/>
          </w:rPr>
          <w:t>11</w:t>
        </w:r>
        <w:r>
          <w:rPr>
            <w:rFonts w:ascii="Times New Roman" w:hAnsi="Times New Roman"/>
            <w:webHidden/>
          </w:rPr>
          <w:fldChar w:fldCharType="end"/>
        </w:r>
      </w:hyperlink>
    </w:p>
    <w:p w:rsidR="00C05A14">
      <w:pPr>
        <w:pStyle w:val="TOC2"/>
        <w:bidi w:val="0"/>
        <w:rPr>
          <w:rFonts w:asciiTheme="minorHAnsi" w:eastAsiaTheme="minorEastAsia" w:hAnsiTheme="minorHAnsi"/>
          <w:sz w:val="22"/>
          <w:szCs w:val="22"/>
          <w:lang w:eastAsia="sk-SK"/>
        </w:rPr>
      </w:pPr>
      <w:hyperlink w:anchor="_Toc337237750" w:history="1">
        <w:r w:rsidRPr="00AB1C1C">
          <w:rPr>
            <w:rStyle w:val="Hyperlink"/>
            <w:rFonts w:ascii="Times New Roman" w:hAnsi="Times New Roman"/>
          </w:rPr>
          <w:t>3.2. Akruálne dane pre návrh rozpočtu verejnej správy na roky 2013 až 2015</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_Toc337237750 \h </w:instrText>
        </w:r>
        <w:r>
          <w:rPr>
            <w:rFonts w:ascii="Times New Roman" w:hAnsi="Times New Roman"/>
            <w:webHidden/>
          </w:rPr>
          <w:fldChar w:fldCharType="separate"/>
        </w:r>
        <w:r w:rsidR="006E5F03">
          <w:rPr>
            <w:rFonts w:ascii="Times New Roman" w:hAnsi="Times New Roman"/>
            <w:webHidden/>
          </w:rPr>
          <w:t>21</w:t>
        </w:r>
        <w:r>
          <w:rPr>
            <w:rFonts w:ascii="Times New Roman" w:hAnsi="Times New Roman"/>
            <w:webHidden/>
          </w:rPr>
          <w:fldChar w:fldCharType="end"/>
        </w:r>
      </w:hyperlink>
    </w:p>
    <w:p w:rsidR="00C05A14">
      <w:pPr>
        <w:pStyle w:val="TOC2"/>
        <w:bidi w:val="0"/>
        <w:rPr>
          <w:rStyle w:val="Hyperlink"/>
          <w:rFonts w:ascii="Times New Roman" w:hAnsi="Times New Roman"/>
        </w:rPr>
      </w:pPr>
      <w:r w:rsidRPr="00AB1C1C">
        <w:rPr>
          <w:rStyle w:val="Hyperlink"/>
          <w:rFonts w:ascii="Times New Roman" w:hAnsi="Times New Roman"/>
        </w:rPr>
        <w:fldChar w:fldCharType="begin"/>
      </w:r>
      <w:r w:rsidRPr="00AB1C1C">
        <w:rPr>
          <w:rStyle w:val="Hyperlink"/>
          <w:rFonts w:ascii="Times New Roman" w:hAnsi="Times New Roman"/>
        </w:rPr>
        <w:instrText xml:space="preserve"> </w:instrText>
      </w:r>
      <w:r>
        <w:rPr>
          <w:rFonts w:ascii="Times New Roman" w:hAnsi="Times New Roman"/>
        </w:rPr>
        <w:instrText>HYPERLINK \l "_Toc337237751"</w:instrText>
      </w:r>
      <w:r w:rsidRPr="00AB1C1C">
        <w:rPr>
          <w:rStyle w:val="Hyperlink"/>
          <w:rFonts w:ascii="Times New Roman" w:hAnsi="Times New Roman"/>
        </w:rPr>
        <w:instrText xml:space="preserve"> </w:instrText>
      </w:r>
      <w:r w:rsidRPr="00AB1C1C">
        <w:rPr>
          <w:rStyle w:val="Hyperlink"/>
          <w:rFonts w:ascii="Times New Roman" w:hAnsi="Times New Roman"/>
        </w:rPr>
        <w:fldChar w:fldCharType="separate"/>
      </w:r>
      <w:r w:rsidRPr="00AB1C1C">
        <w:rPr>
          <w:rStyle w:val="Hyperlink"/>
          <w:rFonts w:ascii="Times New Roman" w:hAnsi="Times New Roman"/>
        </w:rPr>
        <w:t xml:space="preserve">3.3. Porovnanie aktuálneho odhadu daní s rozpočtom verejnej správy </w:t>
      </w:r>
      <w:r>
        <w:rPr>
          <w:rStyle w:val="Hyperlink"/>
          <w:rFonts w:ascii="Times New Roman" w:hAnsi="Times New Roman"/>
        </w:rPr>
        <w:t xml:space="preserve">                                 </w:t>
      </w:r>
    </w:p>
    <w:p w:rsidR="00C05A14">
      <w:pPr>
        <w:pStyle w:val="TOC2"/>
        <w:bidi w:val="0"/>
        <w:rPr>
          <w:rFonts w:asciiTheme="minorHAnsi" w:eastAsiaTheme="minorEastAsia" w:hAnsiTheme="minorHAnsi"/>
          <w:sz w:val="22"/>
          <w:szCs w:val="22"/>
          <w:lang w:eastAsia="sk-SK"/>
        </w:rPr>
      </w:pPr>
      <w:r>
        <w:rPr>
          <w:rStyle w:val="Hyperlink"/>
          <w:rFonts w:ascii="Times New Roman" w:hAnsi="Times New Roman"/>
        </w:rPr>
        <w:t xml:space="preserve">       </w:t>
      </w:r>
      <w:r w:rsidRPr="00AB1C1C">
        <w:rPr>
          <w:rStyle w:val="Hyperlink"/>
          <w:rFonts w:ascii="Times New Roman" w:hAnsi="Times New Roman"/>
        </w:rPr>
        <w:t>na roky 2012 až  2014</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_Toc337237751 \h </w:instrText>
      </w:r>
      <w:r>
        <w:rPr>
          <w:rFonts w:ascii="Times New Roman" w:hAnsi="Times New Roman"/>
          <w:webHidden/>
        </w:rPr>
        <w:fldChar w:fldCharType="separate"/>
      </w:r>
      <w:r w:rsidR="006E5F03">
        <w:rPr>
          <w:rFonts w:ascii="Times New Roman" w:hAnsi="Times New Roman"/>
          <w:webHidden/>
        </w:rPr>
        <w:t>24</w:t>
      </w:r>
      <w:r>
        <w:rPr>
          <w:rFonts w:ascii="Times New Roman" w:hAnsi="Times New Roman"/>
          <w:webHidden/>
        </w:rPr>
        <w:fldChar w:fldCharType="end"/>
      </w:r>
      <w:r w:rsidRPr="00AB1C1C">
        <w:rPr>
          <w:rStyle w:val="Hyperlink"/>
          <w:rFonts w:ascii="Times New Roman" w:hAnsi="Times New Roman"/>
        </w:rPr>
        <w:fldChar w:fldCharType="end"/>
      </w:r>
    </w:p>
    <w:p w:rsidR="00C05A14">
      <w:pPr>
        <w:pStyle w:val="TOC2"/>
        <w:bidi w:val="0"/>
        <w:rPr>
          <w:rFonts w:asciiTheme="minorHAnsi" w:eastAsiaTheme="minorEastAsia" w:hAnsiTheme="minorHAnsi"/>
          <w:sz w:val="22"/>
          <w:szCs w:val="22"/>
          <w:lang w:eastAsia="sk-SK"/>
        </w:rPr>
      </w:pPr>
      <w:hyperlink w:anchor="_Toc337237752" w:history="1">
        <w:r w:rsidRPr="00AB1C1C">
          <w:rPr>
            <w:rStyle w:val="Hyperlink"/>
            <w:rFonts w:ascii="Times New Roman" w:hAnsi="Times New Roman"/>
          </w:rPr>
          <w:t>3.4. Rozpočtovanie iných ako daňových príjmov štátneho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_Toc337237752 \h </w:instrText>
        </w:r>
        <w:r>
          <w:rPr>
            <w:rFonts w:ascii="Times New Roman" w:hAnsi="Times New Roman"/>
            <w:webHidden/>
          </w:rPr>
          <w:fldChar w:fldCharType="separate"/>
        </w:r>
        <w:r w:rsidR="006E5F03">
          <w:rPr>
            <w:rFonts w:ascii="Times New Roman" w:hAnsi="Times New Roman"/>
            <w:webHidden/>
          </w:rPr>
          <w:t>25</w:t>
        </w:r>
        <w:r>
          <w:rPr>
            <w:rFonts w:ascii="Times New Roman" w:hAnsi="Times New Roman"/>
            <w:webHidden/>
          </w:rPr>
          <w:fldChar w:fldCharType="end"/>
        </w:r>
      </w:hyperlink>
    </w:p>
    <w:p w:rsidR="00C05A14">
      <w:pPr>
        <w:pStyle w:val="TOC2"/>
        <w:bidi w:val="0"/>
        <w:rPr>
          <w:rFonts w:asciiTheme="minorHAnsi" w:eastAsiaTheme="minorEastAsia" w:hAnsiTheme="minorHAnsi"/>
          <w:sz w:val="22"/>
          <w:szCs w:val="22"/>
          <w:lang w:eastAsia="sk-SK"/>
        </w:rPr>
      </w:pPr>
      <w:hyperlink w:anchor="_Toc337237753" w:history="1">
        <w:r w:rsidRPr="00AB1C1C">
          <w:rPr>
            <w:rStyle w:val="Hyperlink"/>
            <w:rFonts w:ascii="Times New Roman" w:hAnsi="Times New Roman"/>
          </w:rPr>
          <w:t>3.5. Daňové výdavky</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_Toc337237753 \h </w:instrText>
        </w:r>
        <w:r>
          <w:rPr>
            <w:rFonts w:ascii="Times New Roman" w:hAnsi="Times New Roman"/>
            <w:webHidden/>
          </w:rPr>
          <w:fldChar w:fldCharType="separate"/>
        </w:r>
        <w:r w:rsidR="006E5F03">
          <w:rPr>
            <w:rFonts w:ascii="Times New Roman" w:hAnsi="Times New Roman"/>
            <w:webHidden/>
          </w:rPr>
          <w:t>31</w:t>
        </w:r>
        <w:r>
          <w:rPr>
            <w:rFonts w:ascii="Times New Roman" w:hAnsi="Times New Roman"/>
            <w:webHidden/>
          </w:rPr>
          <w:fldChar w:fldCharType="end"/>
        </w:r>
      </w:hyperlink>
    </w:p>
    <w:p w:rsidR="00C05A14">
      <w:pPr>
        <w:pStyle w:val="TOC1"/>
        <w:bidi w:val="0"/>
        <w:rPr>
          <w:rFonts w:asciiTheme="minorHAnsi" w:eastAsiaTheme="minorEastAsia" w:hAnsiTheme="minorHAnsi"/>
          <w:b w:val="0"/>
          <w:sz w:val="22"/>
          <w:szCs w:val="22"/>
          <w:lang w:eastAsia="sk-SK"/>
        </w:rPr>
      </w:pPr>
      <w:hyperlink w:anchor="_Toc337237754" w:history="1">
        <w:r w:rsidRPr="00AB1C1C">
          <w:rPr>
            <w:rStyle w:val="Hyperlink"/>
            <w:rFonts w:ascii="Times New Roman" w:hAnsi="Times New Roman"/>
          </w:rPr>
          <w:t>4.</w:t>
        </w:r>
        <w:r>
          <w:rPr>
            <w:rFonts w:asciiTheme="minorHAnsi" w:eastAsiaTheme="minorEastAsia" w:hAnsiTheme="minorHAnsi"/>
            <w:b w:val="0"/>
            <w:sz w:val="22"/>
            <w:szCs w:val="22"/>
            <w:lang w:eastAsia="sk-SK"/>
          </w:rPr>
          <w:tab/>
        </w:r>
        <w:r w:rsidRPr="00AB1C1C">
          <w:rPr>
            <w:rStyle w:val="Hyperlink"/>
            <w:rFonts w:ascii="Times New Roman" w:hAnsi="Times New Roman"/>
          </w:rPr>
          <w:t>Rozpočtovanie výdavkov štátneho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_Toc337237754 \h </w:instrText>
        </w:r>
        <w:r>
          <w:rPr>
            <w:rFonts w:ascii="Times New Roman" w:hAnsi="Times New Roman"/>
            <w:webHidden/>
          </w:rPr>
          <w:fldChar w:fldCharType="separate"/>
        </w:r>
        <w:r w:rsidR="006E5F03">
          <w:rPr>
            <w:rFonts w:ascii="Times New Roman" w:hAnsi="Times New Roman"/>
            <w:webHidden/>
          </w:rPr>
          <w:t>40</w:t>
        </w:r>
        <w:r>
          <w:rPr>
            <w:rFonts w:ascii="Times New Roman" w:hAnsi="Times New Roman"/>
            <w:webHidden/>
          </w:rPr>
          <w:fldChar w:fldCharType="end"/>
        </w:r>
      </w:hyperlink>
    </w:p>
    <w:p w:rsidR="00C05A14">
      <w:pPr>
        <w:pStyle w:val="TOC2"/>
        <w:bidi w:val="0"/>
        <w:rPr>
          <w:rFonts w:asciiTheme="minorHAnsi" w:eastAsiaTheme="minorEastAsia" w:hAnsiTheme="minorHAnsi"/>
          <w:sz w:val="22"/>
          <w:szCs w:val="22"/>
          <w:lang w:eastAsia="sk-SK"/>
        </w:rPr>
      </w:pPr>
      <w:hyperlink w:anchor="_Toc337237755" w:history="1">
        <w:r w:rsidRPr="00AB1C1C">
          <w:rPr>
            <w:rStyle w:val="Hyperlink"/>
            <w:rFonts w:ascii="Times New Roman" w:hAnsi="Times New Roman"/>
          </w:rPr>
          <w:t>4.1. Kvantifikácia výdavkov štátneho rozpočtu</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_Toc337237755 \h </w:instrText>
        </w:r>
        <w:r>
          <w:rPr>
            <w:rFonts w:ascii="Times New Roman" w:hAnsi="Times New Roman"/>
            <w:webHidden/>
          </w:rPr>
          <w:fldChar w:fldCharType="separate"/>
        </w:r>
        <w:r w:rsidR="006E5F03">
          <w:rPr>
            <w:rFonts w:ascii="Times New Roman" w:hAnsi="Times New Roman"/>
            <w:webHidden/>
          </w:rPr>
          <w:t>40</w:t>
        </w:r>
        <w:r>
          <w:rPr>
            <w:rFonts w:ascii="Times New Roman" w:hAnsi="Times New Roman"/>
            <w:webHidden/>
          </w:rPr>
          <w:fldChar w:fldCharType="end"/>
        </w:r>
      </w:hyperlink>
    </w:p>
    <w:p w:rsidR="00C05A14">
      <w:pPr>
        <w:pStyle w:val="TOC2"/>
        <w:bidi w:val="0"/>
        <w:rPr>
          <w:rFonts w:asciiTheme="minorHAnsi" w:eastAsiaTheme="minorEastAsia" w:hAnsiTheme="minorHAnsi"/>
          <w:sz w:val="22"/>
          <w:szCs w:val="22"/>
          <w:lang w:eastAsia="sk-SK"/>
        </w:rPr>
      </w:pPr>
      <w:hyperlink w:anchor="_Toc337237756" w:history="1">
        <w:r w:rsidRPr="00AB1C1C">
          <w:rPr>
            <w:rStyle w:val="Hyperlink"/>
            <w:rFonts w:ascii="Times New Roman" w:hAnsi="Times New Roman"/>
          </w:rPr>
          <w:t>4.2. Zamestnanosť vo verejnej správe</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_Toc337237756 \h </w:instrText>
        </w:r>
        <w:r>
          <w:rPr>
            <w:rFonts w:ascii="Times New Roman" w:hAnsi="Times New Roman"/>
            <w:webHidden/>
          </w:rPr>
          <w:fldChar w:fldCharType="separate"/>
        </w:r>
        <w:r w:rsidR="006E5F03">
          <w:rPr>
            <w:rFonts w:ascii="Times New Roman" w:hAnsi="Times New Roman"/>
            <w:webHidden/>
          </w:rPr>
          <w:t>42</w:t>
        </w:r>
        <w:r>
          <w:rPr>
            <w:rFonts w:ascii="Times New Roman" w:hAnsi="Times New Roman"/>
            <w:webHidden/>
          </w:rPr>
          <w:fldChar w:fldCharType="end"/>
        </w:r>
      </w:hyperlink>
    </w:p>
    <w:p w:rsidR="00C05A14">
      <w:pPr>
        <w:pStyle w:val="TOC2"/>
        <w:bidi w:val="0"/>
        <w:rPr>
          <w:rFonts w:asciiTheme="minorHAnsi" w:eastAsiaTheme="minorEastAsia" w:hAnsiTheme="minorHAnsi"/>
          <w:sz w:val="22"/>
          <w:szCs w:val="22"/>
          <w:lang w:eastAsia="sk-SK"/>
        </w:rPr>
      </w:pPr>
      <w:hyperlink w:anchor="_Toc337237757" w:history="1">
        <w:r w:rsidRPr="00AB1C1C">
          <w:rPr>
            <w:rStyle w:val="Hyperlink"/>
            <w:rFonts w:ascii="Times New Roman" w:hAnsi="Times New Roman"/>
          </w:rPr>
          <w:t>4.3. Rozpočtovanie výdavkov podľa vybraných oblastí</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_Toc337237757 \h </w:instrText>
        </w:r>
        <w:r>
          <w:rPr>
            <w:rFonts w:ascii="Times New Roman" w:hAnsi="Times New Roman"/>
            <w:webHidden/>
          </w:rPr>
          <w:fldChar w:fldCharType="separate"/>
        </w:r>
        <w:r w:rsidR="006E5F03">
          <w:rPr>
            <w:rFonts w:ascii="Times New Roman" w:hAnsi="Times New Roman"/>
            <w:webHidden/>
          </w:rPr>
          <w:t>53</w:t>
        </w:r>
        <w:r>
          <w:rPr>
            <w:rFonts w:ascii="Times New Roman" w:hAnsi="Times New Roman"/>
            <w:webHidden/>
          </w:rPr>
          <w:fldChar w:fldCharType="end"/>
        </w:r>
      </w:hyperlink>
    </w:p>
    <w:p w:rsidR="00C05A14">
      <w:pPr>
        <w:pStyle w:val="TOC1"/>
        <w:bidi w:val="0"/>
        <w:rPr>
          <w:rFonts w:asciiTheme="minorHAnsi" w:eastAsiaTheme="minorEastAsia" w:hAnsiTheme="minorHAnsi"/>
          <w:b w:val="0"/>
          <w:sz w:val="22"/>
          <w:szCs w:val="22"/>
          <w:lang w:eastAsia="sk-SK"/>
        </w:rPr>
      </w:pPr>
      <w:hyperlink w:anchor="_Toc337237758" w:history="1">
        <w:r w:rsidRPr="00AB1C1C">
          <w:rPr>
            <w:rStyle w:val="Hyperlink"/>
            <w:rFonts w:ascii="Times New Roman" w:hAnsi="Times New Roman"/>
          </w:rPr>
          <w:t>5.</w:t>
        </w:r>
        <w:r>
          <w:rPr>
            <w:rFonts w:asciiTheme="minorHAnsi" w:eastAsiaTheme="minorEastAsia" w:hAnsiTheme="minorHAnsi"/>
            <w:b w:val="0"/>
            <w:sz w:val="22"/>
            <w:szCs w:val="22"/>
            <w:lang w:eastAsia="sk-SK"/>
          </w:rPr>
          <w:tab/>
        </w:r>
        <w:r w:rsidRPr="00AB1C1C">
          <w:rPr>
            <w:rStyle w:val="Hyperlink"/>
            <w:rFonts w:ascii="Times New Roman" w:hAnsi="Times New Roman"/>
          </w:rPr>
          <w:t>Štátne finančné aktíva</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_Toc337237758 \h </w:instrText>
        </w:r>
        <w:r>
          <w:rPr>
            <w:rFonts w:ascii="Times New Roman" w:hAnsi="Times New Roman"/>
            <w:webHidden/>
          </w:rPr>
          <w:fldChar w:fldCharType="separate"/>
        </w:r>
        <w:r w:rsidR="006E5F03">
          <w:rPr>
            <w:rFonts w:ascii="Times New Roman" w:hAnsi="Times New Roman"/>
            <w:webHidden/>
          </w:rPr>
          <w:t>142</w:t>
        </w:r>
        <w:r>
          <w:rPr>
            <w:rFonts w:ascii="Times New Roman" w:hAnsi="Times New Roman"/>
            <w:webHidden/>
          </w:rPr>
          <w:fldChar w:fldCharType="end"/>
        </w:r>
      </w:hyperlink>
    </w:p>
    <w:p w:rsidR="00C05A14">
      <w:pPr>
        <w:pStyle w:val="TOC2"/>
        <w:bidi w:val="0"/>
        <w:rPr>
          <w:rFonts w:asciiTheme="minorHAnsi" w:eastAsiaTheme="minorEastAsia" w:hAnsiTheme="minorHAnsi"/>
          <w:sz w:val="22"/>
          <w:szCs w:val="22"/>
          <w:lang w:eastAsia="sk-SK"/>
        </w:rPr>
      </w:pPr>
      <w:hyperlink w:anchor="_Toc337237759" w:history="1">
        <w:r w:rsidRPr="00AB1C1C">
          <w:rPr>
            <w:rStyle w:val="Hyperlink"/>
            <w:rFonts w:ascii="Times New Roman" w:hAnsi="Times New Roman"/>
          </w:rPr>
          <w:t>5.1. Príjmové operácie</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_Toc337237759 \h </w:instrText>
        </w:r>
        <w:r>
          <w:rPr>
            <w:rFonts w:ascii="Times New Roman" w:hAnsi="Times New Roman"/>
            <w:webHidden/>
          </w:rPr>
          <w:fldChar w:fldCharType="separate"/>
        </w:r>
        <w:r w:rsidR="006E5F03">
          <w:rPr>
            <w:rFonts w:ascii="Times New Roman" w:hAnsi="Times New Roman"/>
            <w:webHidden/>
          </w:rPr>
          <w:t>142</w:t>
        </w:r>
        <w:r>
          <w:rPr>
            <w:rFonts w:ascii="Times New Roman" w:hAnsi="Times New Roman"/>
            <w:webHidden/>
          </w:rPr>
          <w:fldChar w:fldCharType="end"/>
        </w:r>
      </w:hyperlink>
    </w:p>
    <w:p w:rsidR="00C05A14">
      <w:pPr>
        <w:pStyle w:val="TOC2"/>
        <w:bidi w:val="0"/>
        <w:rPr>
          <w:rFonts w:asciiTheme="minorHAnsi" w:eastAsiaTheme="minorEastAsia" w:hAnsiTheme="minorHAnsi"/>
          <w:sz w:val="22"/>
          <w:szCs w:val="22"/>
          <w:lang w:eastAsia="sk-SK"/>
        </w:rPr>
      </w:pPr>
      <w:hyperlink w:anchor="_Toc337237760" w:history="1">
        <w:r w:rsidRPr="00AB1C1C">
          <w:rPr>
            <w:rStyle w:val="Hyperlink"/>
            <w:rFonts w:ascii="Times New Roman" w:hAnsi="Times New Roman"/>
          </w:rPr>
          <w:t>5.2. Výdavkové operácie</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_Toc337237760 \h </w:instrText>
        </w:r>
        <w:r>
          <w:rPr>
            <w:rFonts w:ascii="Times New Roman" w:hAnsi="Times New Roman"/>
            <w:webHidden/>
          </w:rPr>
          <w:fldChar w:fldCharType="separate"/>
        </w:r>
        <w:r w:rsidR="006E5F03">
          <w:rPr>
            <w:rFonts w:ascii="Times New Roman" w:hAnsi="Times New Roman"/>
            <w:webHidden/>
          </w:rPr>
          <w:t>145</w:t>
        </w:r>
        <w:r>
          <w:rPr>
            <w:rFonts w:ascii="Times New Roman" w:hAnsi="Times New Roman"/>
            <w:webHidden/>
          </w:rPr>
          <w:fldChar w:fldCharType="end"/>
        </w:r>
      </w:hyperlink>
    </w:p>
    <w:p w:rsidR="00C05A14">
      <w:pPr>
        <w:pStyle w:val="TOC1"/>
        <w:bidi w:val="0"/>
        <w:rPr>
          <w:rFonts w:asciiTheme="minorHAnsi" w:eastAsiaTheme="minorEastAsia" w:hAnsiTheme="minorHAnsi"/>
          <w:b w:val="0"/>
          <w:sz w:val="22"/>
          <w:szCs w:val="22"/>
          <w:lang w:eastAsia="sk-SK"/>
        </w:rPr>
      </w:pPr>
      <w:hyperlink w:anchor="_Toc337237761" w:history="1">
        <w:r w:rsidRPr="00AB1C1C">
          <w:rPr>
            <w:rStyle w:val="Hyperlink"/>
            <w:rFonts w:ascii="Times New Roman" w:hAnsi="Times New Roman"/>
          </w:rPr>
          <w:t>6. Štátny rozpočet v metodike ESA 95</w:t>
        </w:r>
        <w:r>
          <w:rPr>
            <w:rFonts w:ascii="Times New Roman" w:hAnsi="Times New Roman"/>
            <w:webHidden/>
          </w:rPr>
          <w:tab/>
        </w:r>
        <w:r>
          <w:rPr>
            <w:rFonts w:ascii="Times New Roman" w:hAnsi="Times New Roman"/>
            <w:webHidden/>
          </w:rPr>
          <w:fldChar w:fldCharType="begin"/>
        </w:r>
        <w:r>
          <w:rPr>
            <w:rFonts w:ascii="Times New Roman" w:hAnsi="Times New Roman"/>
            <w:webHidden/>
          </w:rPr>
          <w:instrText xml:space="preserve"> PAGEREF _Toc337237761 \h </w:instrText>
        </w:r>
        <w:r>
          <w:rPr>
            <w:rFonts w:ascii="Times New Roman" w:hAnsi="Times New Roman"/>
            <w:webHidden/>
          </w:rPr>
          <w:fldChar w:fldCharType="separate"/>
        </w:r>
        <w:r w:rsidR="006E5F03">
          <w:rPr>
            <w:rFonts w:ascii="Times New Roman" w:hAnsi="Times New Roman"/>
            <w:webHidden/>
          </w:rPr>
          <w:t>147</w:t>
        </w:r>
        <w:r>
          <w:rPr>
            <w:rFonts w:ascii="Times New Roman" w:hAnsi="Times New Roman"/>
            <w:webHidden/>
          </w:rPr>
          <w:fldChar w:fldCharType="end"/>
        </w:r>
      </w:hyperlink>
    </w:p>
    <w:p w:rsidR="007520A4" w:rsidRPr="00B07CAE">
      <w:pPr>
        <w:bidi w:val="0"/>
        <w:rPr>
          <w:rFonts w:ascii="Times New Roman" w:hAnsi="Times New Roman" w:cs="Times New Roman"/>
          <w:color w:val="0070C0"/>
        </w:rPr>
      </w:pPr>
      <w:r w:rsidRPr="00B07CAE">
        <w:rPr>
          <w:rFonts w:ascii="Times New Roman" w:hAnsi="Times New Roman"/>
          <w:color w:val="0070C0"/>
        </w:rPr>
        <w:fldChar w:fldCharType="end"/>
      </w:r>
    </w:p>
    <w:p w:rsidR="007520A4" w:rsidRPr="00B07CAE" w:rsidP="00D05D21">
      <w:pPr>
        <w:bidi w:val="0"/>
        <w:rPr>
          <w:rFonts w:ascii="Times New Roman" w:hAnsi="Times New Roman" w:cs="Times New Roman"/>
          <w:color w:val="0070C0"/>
          <w:sz w:val="28"/>
          <w:szCs w:val="28"/>
        </w:rPr>
      </w:pPr>
    </w:p>
    <w:p w:rsidR="007520A4" w:rsidRPr="00B07CAE" w:rsidP="00D05D21">
      <w:pPr>
        <w:bidi w:val="0"/>
        <w:rPr>
          <w:rFonts w:ascii="Times New Roman" w:hAnsi="Times New Roman" w:cs="Times New Roman"/>
          <w:color w:val="0070C0"/>
          <w:sz w:val="28"/>
          <w:szCs w:val="28"/>
        </w:rPr>
      </w:pPr>
    </w:p>
    <w:p w:rsidR="007520A4" w:rsidRPr="00B07CAE" w:rsidP="00D05D21">
      <w:pPr>
        <w:bidi w:val="0"/>
        <w:rPr>
          <w:rFonts w:ascii="Times New Roman" w:hAnsi="Times New Roman" w:cs="Times New Roman"/>
          <w:color w:val="0070C0"/>
          <w:sz w:val="28"/>
          <w:szCs w:val="28"/>
        </w:rPr>
      </w:pPr>
    </w:p>
    <w:p w:rsidR="00E05309" w:rsidRPr="00B07CAE" w:rsidP="00D05D21">
      <w:pPr>
        <w:bidi w:val="0"/>
        <w:rPr>
          <w:rFonts w:ascii="Times New Roman" w:hAnsi="Times New Roman" w:cs="Times New Roman"/>
          <w:color w:val="0070C0"/>
          <w:sz w:val="28"/>
          <w:szCs w:val="28"/>
        </w:rPr>
      </w:pPr>
    </w:p>
    <w:p w:rsidR="00E05309" w:rsidRPr="00B07CAE" w:rsidP="00D05D21">
      <w:pPr>
        <w:bidi w:val="0"/>
        <w:rPr>
          <w:rFonts w:ascii="Times New Roman" w:hAnsi="Times New Roman" w:cs="Times New Roman"/>
          <w:color w:val="0070C0"/>
          <w:sz w:val="28"/>
          <w:szCs w:val="28"/>
        </w:rPr>
      </w:pPr>
    </w:p>
    <w:p w:rsidR="008D5941" w:rsidRPr="00CD0B3D" w:rsidP="00D05D21">
      <w:pPr>
        <w:bidi w:val="0"/>
        <w:rPr>
          <w:rFonts w:ascii="Times New Roman" w:hAnsi="Times New Roman" w:cs="Times New Roman"/>
          <w:sz w:val="28"/>
          <w:szCs w:val="28"/>
        </w:rPr>
      </w:pPr>
    </w:p>
    <w:p w:rsidR="008D5941" w:rsidRPr="00CD0B3D" w:rsidP="00D05D21">
      <w:pPr>
        <w:bidi w:val="0"/>
        <w:rPr>
          <w:rFonts w:ascii="Times New Roman" w:hAnsi="Times New Roman" w:cs="Times New Roman"/>
          <w:sz w:val="28"/>
          <w:szCs w:val="28"/>
        </w:rPr>
      </w:pPr>
    </w:p>
    <w:p w:rsidR="008D5941" w:rsidP="00D05D21">
      <w:pPr>
        <w:bidi w:val="0"/>
        <w:rPr>
          <w:rFonts w:ascii="Times New Roman" w:hAnsi="Times New Roman" w:cs="Times New Roman"/>
          <w:sz w:val="28"/>
          <w:szCs w:val="28"/>
        </w:rPr>
      </w:pPr>
    </w:p>
    <w:p w:rsidR="00CD0B3D" w:rsidP="00D05D21">
      <w:pPr>
        <w:bidi w:val="0"/>
        <w:rPr>
          <w:rFonts w:ascii="Times New Roman" w:hAnsi="Times New Roman" w:cs="Times New Roman"/>
          <w:sz w:val="28"/>
          <w:szCs w:val="28"/>
        </w:rPr>
      </w:pPr>
    </w:p>
    <w:p w:rsidR="00CD0B3D" w:rsidP="00D05D21">
      <w:pPr>
        <w:bidi w:val="0"/>
        <w:rPr>
          <w:rFonts w:ascii="Times New Roman" w:hAnsi="Times New Roman" w:cs="Times New Roman"/>
          <w:sz w:val="28"/>
          <w:szCs w:val="28"/>
        </w:rPr>
      </w:pPr>
    </w:p>
    <w:p w:rsidR="00CD0B3D" w:rsidRPr="00CD0B3D" w:rsidP="00D05D21">
      <w:pPr>
        <w:bidi w:val="0"/>
        <w:rPr>
          <w:rFonts w:ascii="Times New Roman" w:hAnsi="Times New Roman" w:cs="Times New Roman"/>
          <w:sz w:val="28"/>
          <w:szCs w:val="28"/>
        </w:rPr>
      </w:pPr>
    </w:p>
    <w:p w:rsidR="0051520B" w:rsidRPr="00CD0B3D" w:rsidP="00D05D21">
      <w:pPr>
        <w:bidi w:val="0"/>
        <w:rPr>
          <w:rFonts w:ascii="Times New Roman" w:hAnsi="Times New Roman" w:cs="Times New Roman"/>
          <w:b/>
          <w:szCs w:val="28"/>
        </w:rPr>
      </w:pPr>
      <w:r w:rsidRPr="00CD0B3D" w:rsidR="006A0D8F">
        <w:rPr>
          <w:rFonts w:ascii="Times New Roman" w:hAnsi="Times New Roman" w:cs="Times New Roman"/>
          <w:b/>
          <w:szCs w:val="28"/>
        </w:rPr>
        <w:t>Prílohy</w:t>
      </w:r>
    </w:p>
    <w:p w:rsidR="0051520B" w:rsidRPr="00CD0B3D" w:rsidP="00D05D21">
      <w:pPr>
        <w:bidi w:val="0"/>
        <w:rPr>
          <w:rFonts w:ascii="Times New Roman" w:hAnsi="Times New Roman" w:cs="Times New Roman"/>
          <w:sz w:val="28"/>
          <w:szCs w:val="28"/>
        </w:rPr>
      </w:pPr>
    </w:p>
    <w:p w:rsidR="0051520B" w:rsidRPr="00CD0B3D" w:rsidP="0089184B">
      <w:pPr>
        <w:numPr>
          <w:numId w:val="2"/>
        </w:numPr>
        <w:bidi w:val="0"/>
        <w:ind w:left="284" w:hanging="284"/>
        <w:rPr>
          <w:rFonts w:ascii="Times New Roman" w:hAnsi="Times New Roman" w:cs="Times New Roman"/>
          <w:szCs w:val="28"/>
        </w:rPr>
      </w:pPr>
      <w:r w:rsidRPr="00CD0B3D" w:rsidR="006A0D8F">
        <w:rPr>
          <w:rFonts w:ascii="Times New Roman" w:hAnsi="Times New Roman" w:cs="Times New Roman"/>
          <w:szCs w:val="28"/>
        </w:rPr>
        <w:t>Rozpočtovanie príjmov a výdavkov ostatných subjektov verejnej správy v metodike ESA 95</w:t>
      </w:r>
    </w:p>
    <w:p w:rsidR="006A0D8F" w:rsidRPr="00CD0B3D" w:rsidP="0089184B">
      <w:pPr>
        <w:numPr>
          <w:numId w:val="2"/>
        </w:numPr>
        <w:bidi w:val="0"/>
        <w:ind w:left="284" w:hanging="284"/>
        <w:rPr>
          <w:rFonts w:ascii="Times New Roman" w:hAnsi="Times New Roman" w:cs="Times New Roman"/>
          <w:szCs w:val="28"/>
        </w:rPr>
      </w:pPr>
      <w:r w:rsidRPr="00CD0B3D">
        <w:rPr>
          <w:rFonts w:ascii="Times New Roman" w:hAnsi="Times New Roman" w:cs="Times New Roman"/>
          <w:szCs w:val="28"/>
        </w:rPr>
        <w:t>Rozpočtové vzťahy SR a</w:t>
      </w:r>
      <w:r w:rsidRPr="00CD0B3D" w:rsidR="0086775F">
        <w:rPr>
          <w:rFonts w:ascii="Times New Roman" w:hAnsi="Times New Roman" w:cs="Times New Roman"/>
          <w:szCs w:val="28"/>
        </w:rPr>
        <w:t> </w:t>
      </w:r>
      <w:r w:rsidRPr="00CD0B3D">
        <w:rPr>
          <w:rFonts w:ascii="Times New Roman" w:hAnsi="Times New Roman" w:cs="Times New Roman"/>
          <w:szCs w:val="28"/>
        </w:rPr>
        <w:t>EÚ</w:t>
      </w:r>
    </w:p>
    <w:p w:rsidR="0086775F" w:rsidP="0089184B">
      <w:pPr>
        <w:numPr>
          <w:numId w:val="2"/>
        </w:numPr>
        <w:bidi w:val="0"/>
        <w:ind w:left="284" w:hanging="284"/>
        <w:rPr>
          <w:rFonts w:ascii="Times New Roman" w:hAnsi="Times New Roman" w:cs="Times New Roman"/>
          <w:szCs w:val="28"/>
        </w:rPr>
      </w:pPr>
      <w:r w:rsidRPr="00CD0B3D">
        <w:rPr>
          <w:rFonts w:ascii="Times New Roman" w:hAnsi="Times New Roman" w:cs="Times New Roman"/>
          <w:szCs w:val="28"/>
        </w:rPr>
        <w:t xml:space="preserve">Prehľad hospodárenia podnikov štátnej správy </w:t>
      </w:r>
    </w:p>
    <w:p w:rsidR="00536407" w:rsidP="0089184B">
      <w:pPr>
        <w:numPr>
          <w:numId w:val="2"/>
        </w:numPr>
        <w:bidi w:val="0"/>
        <w:ind w:left="284" w:hanging="284"/>
        <w:rPr>
          <w:rFonts w:ascii="Times New Roman" w:hAnsi="Times New Roman" w:cs="Times New Roman"/>
          <w:szCs w:val="28"/>
        </w:rPr>
      </w:pPr>
      <w:r>
        <w:rPr>
          <w:rFonts w:ascii="Times New Roman" w:hAnsi="Times New Roman" w:cs="Times New Roman"/>
          <w:szCs w:val="28"/>
        </w:rPr>
        <w:t xml:space="preserve">Informácia o podmienených záväzkoch subjektov </w:t>
      </w:r>
      <w:r w:rsidR="004325D6">
        <w:rPr>
          <w:rFonts w:ascii="Times New Roman" w:hAnsi="Times New Roman" w:cs="Times New Roman"/>
          <w:szCs w:val="28"/>
        </w:rPr>
        <w:t>verejnej</w:t>
      </w:r>
      <w:r>
        <w:rPr>
          <w:rFonts w:ascii="Times New Roman" w:hAnsi="Times New Roman" w:cs="Times New Roman"/>
          <w:szCs w:val="28"/>
        </w:rPr>
        <w:t xml:space="preserve"> správy</w:t>
      </w:r>
    </w:p>
    <w:p w:rsidR="00536407" w:rsidRPr="00E03CB2" w:rsidP="0089184B">
      <w:pPr>
        <w:numPr>
          <w:numId w:val="2"/>
        </w:numPr>
        <w:bidi w:val="0"/>
        <w:ind w:left="284" w:hanging="284"/>
        <w:rPr>
          <w:rFonts w:ascii="Times New Roman" w:hAnsi="Times New Roman" w:cs="Times New Roman"/>
          <w:szCs w:val="28"/>
        </w:rPr>
      </w:pPr>
      <w:r w:rsidRPr="00E03CB2">
        <w:rPr>
          <w:rFonts w:ascii="Times New Roman" w:hAnsi="Times New Roman" w:cs="Times New Roman"/>
          <w:szCs w:val="28"/>
        </w:rPr>
        <w:t xml:space="preserve">Implicitné záväzky </w:t>
      </w:r>
    </w:p>
    <w:p w:rsidR="0086775F" w:rsidRPr="006B0B01" w:rsidP="0089184B">
      <w:pPr>
        <w:numPr>
          <w:numId w:val="2"/>
        </w:numPr>
        <w:bidi w:val="0"/>
        <w:ind w:left="284" w:hanging="284"/>
        <w:rPr>
          <w:rFonts w:ascii="Times New Roman" w:hAnsi="Times New Roman" w:cs="Times New Roman"/>
          <w:szCs w:val="28"/>
        </w:rPr>
      </w:pPr>
      <w:r w:rsidRPr="006B0B01">
        <w:rPr>
          <w:rFonts w:ascii="Times New Roman" w:hAnsi="Times New Roman" w:cs="Times New Roman"/>
          <w:szCs w:val="28"/>
        </w:rPr>
        <w:t>Stratégia riadenia štátneho dlhu</w:t>
      </w:r>
      <w:r w:rsidRPr="006B0B01" w:rsidR="00536407">
        <w:rPr>
          <w:rFonts w:ascii="Times New Roman" w:hAnsi="Times New Roman" w:cs="Times New Roman"/>
          <w:szCs w:val="28"/>
        </w:rPr>
        <w:t xml:space="preserve"> </w:t>
      </w:r>
      <w:r w:rsidR="006B0B01">
        <w:rPr>
          <w:rFonts w:ascii="Times New Roman" w:hAnsi="Times New Roman" w:cs="Times New Roman"/>
          <w:szCs w:val="28"/>
        </w:rPr>
        <w:t>na roky 2011 až 2014 (aktualizácia 2012)</w:t>
      </w:r>
    </w:p>
    <w:p w:rsidR="00536407" w:rsidRPr="00536407" w:rsidP="00536407">
      <w:pPr>
        <w:bidi w:val="0"/>
        <w:ind w:left="284"/>
        <w:rPr>
          <w:rFonts w:ascii="Times New Roman" w:hAnsi="Times New Roman" w:cs="Times New Roman"/>
          <w:szCs w:val="28"/>
          <w:highlight w:val="yellow"/>
        </w:rPr>
      </w:pPr>
    </w:p>
    <w:p w:rsidR="005C7DF1" w:rsidP="009C4331">
      <w:pPr>
        <w:pStyle w:val="Heading1"/>
        <w:bidi w:val="0"/>
        <w:spacing w:before="0" w:after="0"/>
        <w:jc w:val="center"/>
        <w:rPr>
          <w:rFonts w:ascii="Times New Roman" w:hAnsi="Times New Roman" w:cs="Times New Roman"/>
          <w:sz w:val="28"/>
        </w:rPr>
      </w:pPr>
      <w:bookmarkStart w:id="3" w:name="_Toc337237742"/>
      <w:r w:rsidRPr="009C4331">
        <w:rPr>
          <w:rFonts w:ascii="Times New Roman" w:hAnsi="Times New Roman" w:cs="Times New Roman"/>
          <w:sz w:val="28"/>
        </w:rPr>
        <w:t>Predkladacia správa</w:t>
      </w:r>
      <w:bookmarkEnd w:id="3"/>
    </w:p>
    <w:p w:rsidR="009C4331" w:rsidRPr="009C4331" w:rsidP="009C4331">
      <w:pPr>
        <w:bidi w:val="0"/>
        <w:rPr>
          <w:rFonts w:ascii="Times New Roman" w:hAnsi="Times New Roman" w:cs="Times New Roman"/>
        </w:rPr>
      </w:pPr>
    </w:p>
    <w:p w:rsidR="009C4331" w:rsidP="009C4331">
      <w:pPr>
        <w:autoSpaceDE w:val="0"/>
        <w:autoSpaceDN w:val="0"/>
        <w:bidi w:val="0"/>
        <w:adjustRightInd w:val="0"/>
        <w:ind w:firstLine="708"/>
        <w:jc w:val="both"/>
        <w:rPr>
          <w:rFonts w:ascii="Times New Roman" w:hAnsi="Times New Roman"/>
        </w:rPr>
      </w:pPr>
      <w:r w:rsidRPr="00340D3B">
        <w:rPr>
          <w:rFonts w:ascii="Times New Roman" w:hAnsi="Times New Roman"/>
          <w:b/>
        </w:rPr>
        <w:t>Návrh rozpočtu verejnej správy na roky 2013 až 2015 je vypracovaný v intenciách  Programového vyhlásenia vlády SR</w:t>
      </w:r>
      <w:r w:rsidRPr="00340D3B">
        <w:rPr>
          <w:rFonts w:ascii="Times New Roman" w:hAnsi="Times New Roman"/>
        </w:rPr>
        <w:t>, v ktorom jednou z kľúčových úloh vlády SR je konsolidovať verejné financie tak, aby deficit verejných financií bol v roku 2013 pod tromi percentami HDP. Splnenie tejto úlohy v oblasti konsolidácie verejných financií je základným predpokladom pre udržateľný rozvoj Slovenska. Vláda SR sa zameriava na také opatrenia, ktoré v snahe o zníženie deficitu verejných financií budú čo najmenej pôsobiť na spomalenie ekonomickej aktivity a hospodárskeho rastu Slovenska a nebudú predstavovať neúmerne veľký dopad na najzraniteľnejšie vrstvy spoločnosti.</w:t>
      </w:r>
    </w:p>
    <w:p w:rsidR="009C4331" w:rsidRPr="00340D3B" w:rsidP="009C4331">
      <w:pPr>
        <w:autoSpaceDE w:val="0"/>
        <w:autoSpaceDN w:val="0"/>
        <w:bidi w:val="0"/>
        <w:adjustRightInd w:val="0"/>
        <w:ind w:firstLine="708"/>
        <w:jc w:val="both"/>
        <w:rPr>
          <w:rFonts w:ascii="Times New Roman" w:hAnsi="Times New Roman"/>
        </w:rPr>
      </w:pPr>
    </w:p>
    <w:p w:rsidR="009C4331" w:rsidRPr="000E3547" w:rsidP="009C4331">
      <w:pPr>
        <w:autoSpaceDE w:val="0"/>
        <w:autoSpaceDN w:val="0"/>
        <w:bidi w:val="0"/>
        <w:adjustRightInd w:val="0"/>
        <w:ind w:firstLine="708"/>
        <w:jc w:val="both"/>
        <w:rPr>
          <w:rFonts w:ascii="Times New Roman" w:hAnsi="Times New Roman"/>
        </w:rPr>
      </w:pPr>
      <w:r w:rsidRPr="00340D3B">
        <w:rPr>
          <w:rFonts w:ascii="Times New Roman" w:hAnsi="Times New Roman"/>
        </w:rPr>
        <w:t>Makroekonomické predpoklady sú postavené na prognóze, ktorá bola prezentovaná na 2</w:t>
      </w:r>
      <w:r>
        <w:rPr>
          <w:rFonts w:ascii="Times New Roman" w:hAnsi="Times New Roman"/>
        </w:rPr>
        <w:t>8</w:t>
      </w:r>
      <w:r w:rsidRPr="00340D3B">
        <w:rPr>
          <w:rFonts w:ascii="Times New Roman" w:hAnsi="Times New Roman"/>
        </w:rPr>
        <w:t>. zasadnutí Výboru pre makroekonomické prognózy dňa 1</w:t>
      </w:r>
      <w:r>
        <w:rPr>
          <w:rFonts w:ascii="Times New Roman" w:hAnsi="Times New Roman"/>
        </w:rPr>
        <w:t>2</w:t>
      </w:r>
      <w:r w:rsidRPr="00340D3B">
        <w:rPr>
          <w:rFonts w:ascii="Times New Roman" w:hAnsi="Times New Roman"/>
        </w:rPr>
        <w:t xml:space="preserve">. </w:t>
      </w:r>
      <w:r>
        <w:rPr>
          <w:rFonts w:ascii="Times New Roman" w:hAnsi="Times New Roman"/>
        </w:rPr>
        <w:t xml:space="preserve">septembra </w:t>
      </w:r>
      <w:r w:rsidRPr="00340D3B">
        <w:rPr>
          <w:rFonts w:ascii="Times New Roman" w:hAnsi="Times New Roman"/>
        </w:rPr>
        <w:t xml:space="preserve">2012. Na základe tejto prognózy ministerstvo financií </w:t>
      </w:r>
      <w:r w:rsidRPr="000E3547">
        <w:rPr>
          <w:rFonts w:ascii="Times New Roman" w:hAnsi="Times New Roman"/>
        </w:rPr>
        <w:t>ponechalo odhad rastu HDP v tomto roku tak, ako bolo prezentované v júnovej prognóze na 2,5 %. Jeden z najsilnejších rastov v eurozóne v prvom polroku si slovenská ekonomika pripísala predovšetkým vďaka zahraničnému obchodu. Ten bol podporený spustením produkcie nových modelov automobilov. Vývoj v zahraničí je však čoraz viac ovplyvňovaný nepriazn</w:t>
      </w:r>
      <w:r>
        <w:rPr>
          <w:rFonts w:ascii="Times New Roman" w:hAnsi="Times New Roman"/>
        </w:rPr>
        <w:t>ivým vývojom v periférnych krajinách</w:t>
      </w:r>
      <w:r w:rsidRPr="000E3547">
        <w:rPr>
          <w:rFonts w:ascii="Times New Roman" w:hAnsi="Times New Roman"/>
        </w:rPr>
        <w:t xml:space="preserve"> eurozóny. V druhej polovici roka sa preto očakáva spomalenie ekonomickej aktivity v zahraničí, ktorá sa nevyhnutne dotkne aj Slovenskej ekonomiky. V roku 2013 </w:t>
      </w:r>
      <w:r>
        <w:rPr>
          <w:rFonts w:ascii="Times New Roman" w:hAnsi="Times New Roman"/>
        </w:rPr>
        <w:t xml:space="preserve">sa </w:t>
      </w:r>
      <w:r w:rsidRPr="000E3547">
        <w:rPr>
          <w:rFonts w:ascii="Times New Roman" w:hAnsi="Times New Roman"/>
        </w:rPr>
        <w:t>očakáva rast</w:t>
      </w:r>
      <w:r>
        <w:rPr>
          <w:rFonts w:ascii="Times New Roman" w:hAnsi="Times New Roman"/>
        </w:rPr>
        <w:t xml:space="preserve"> na úrovni</w:t>
      </w:r>
      <w:r w:rsidRPr="000E3547">
        <w:rPr>
          <w:rFonts w:ascii="Times New Roman" w:hAnsi="Times New Roman"/>
        </w:rPr>
        <w:t xml:space="preserve"> 2,1</w:t>
      </w:r>
      <w:r>
        <w:rPr>
          <w:rFonts w:ascii="Times New Roman" w:hAnsi="Times New Roman"/>
        </w:rPr>
        <w:t xml:space="preserve"> </w:t>
      </w:r>
      <w:r w:rsidRPr="000E3547">
        <w:rPr>
          <w:rFonts w:ascii="Times New Roman" w:hAnsi="Times New Roman"/>
        </w:rPr>
        <w:t xml:space="preserve">%. </w:t>
      </w:r>
    </w:p>
    <w:p w:rsidR="009C4331" w:rsidRPr="00340D3B" w:rsidP="009C4331">
      <w:pPr>
        <w:autoSpaceDE w:val="0"/>
        <w:autoSpaceDN w:val="0"/>
        <w:bidi w:val="0"/>
        <w:adjustRightInd w:val="0"/>
        <w:ind w:firstLine="708"/>
        <w:jc w:val="both"/>
        <w:rPr>
          <w:rFonts w:ascii="Times New Roman" w:hAnsi="Times New Roman"/>
        </w:rPr>
      </w:pPr>
    </w:p>
    <w:p w:rsidR="009C4331" w:rsidRPr="00340D3B" w:rsidP="009C4331">
      <w:pPr>
        <w:autoSpaceDE w:val="0"/>
        <w:autoSpaceDN w:val="0"/>
        <w:bidi w:val="0"/>
        <w:adjustRightInd w:val="0"/>
        <w:ind w:firstLine="708"/>
        <w:jc w:val="both"/>
        <w:rPr>
          <w:rFonts w:ascii="Times New Roman" w:hAnsi="Times New Roman"/>
        </w:rPr>
      </w:pPr>
      <w:r w:rsidRPr="00340D3B">
        <w:rPr>
          <w:rFonts w:ascii="Times New Roman" w:hAnsi="Times New Roman"/>
          <w:b/>
        </w:rPr>
        <w:t>Primárnym cieľom vlády SR v oblasti konsolidácie verejných financií je zníženie deficitu verejných financií na 2,9 % HDP v roku 2013</w:t>
      </w:r>
      <w:r w:rsidRPr="00340D3B">
        <w:rPr>
          <w:rFonts w:ascii="Times New Roman" w:hAnsi="Times New Roman"/>
        </w:rPr>
        <w:t xml:space="preserve"> tak, aby Slovensko dodržalo svoje záväzky voči Európskej únii vyplývajúce z Paktu stability a rastu. Na nasledujúce roky sú stanovené deficity na úrovni 2,4 % HDP v roku 2014 a 1,9 % HDP v roku 2015. </w:t>
      </w:r>
    </w:p>
    <w:p w:rsidR="009C4331" w:rsidRPr="00340D3B" w:rsidP="009C4331">
      <w:pPr>
        <w:autoSpaceDE w:val="0"/>
        <w:autoSpaceDN w:val="0"/>
        <w:bidi w:val="0"/>
        <w:adjustRightInd w:val="0"/>
        <w:ind w:firstLine="708"/>
        <w:jc w:val="both"/>
        <w:rPr>
          <w:rFonts w:ascii="Times New Roman" w:hAnsi="Times New Roman"/>
        </w:rPr>
      </w:pPr>
    </w:p>
    <w:p w:rsidR="009C4331" w:rsidRPr="00340D3B" w:rsidP="009C4331">
      <w:pPr>
        <w:autoSpaceDE w:val="0"/>
        <w:autoSpaceDN w:val="0"/>
        <w:bidi w:val="0"/>
        <w:adjustRightInd w:val="0"/>
        <w:ind w:firstLine="708"/>
        <w:jc w:val="both"/>
        <w:rPr>
          <w:rFonts w:ascii="Times New Roman" w:hAnsi="Times New Roman"/>
        </w:rPr>
      </w:pPr>
      <w:r w:rsidRPr="00340D3B">
        <w:rPr>
          <w:rFonts w:ascii="Times New Roman" w:hAnsi="Times New Roman"/>
        </w:rPr>
        <w:t>Predpokladom pre splnenie uvedených cieľov je dodržanie stanoveného deficitu verejnej správy na rok 2012 vo výške 4,6 % HDP</w:t>
      </w:r>
      <w:r>
        <w:rPr>
          <w:rFonts w:ascii="Times New Roman" w:hAnsi="Times New Roman"/>
        </w:rPr>
        <w:t xml:space="preserve">. </w:t>
      </w:r>
      <w:r w:rsidRPr="00340D3B">
        <w:rPr>
          <w:rFonts w:ascii="Times New Roman" w:hAnsi="Times New Roman"/>
        </w:rPr>
        <w:t xml:space="preserve">Identifikované riziká rozpočtu, najmä nerozpočtovanie viacerých výdavkových položiek a nadhodnotenie niektorých príjmov dokazujú, že rozpočtovaný cieľ nie je možné  naplniť v rámci parametrov schválených minulou vládou. Aj táto skutočnosť podčiarkuje fakt, že </w:t>
      </w:r>
      <w:r w:rsidRPr="00340D3B">
        <w:rPr>
          <w:rFonts w:ascii="Times New Roman" w:hAnsi="Times New Roman"/>
          <w:b/>
        </w:rPr>
        <w:t>je potrebné, aby boli prijímané ďalšie konsolidačné opatrenia</w:t>
      </w:r>
      <w:r w:rsidRPr="00340D3B">
        <w:rPr>
          <w:rFonts w:ascii="Times New Roman" w:hAnsi="Times New Roman"/>
        </w:rPr>
        <w:t xml:space="preserve"> v záujme dosiahnutia cielených stanovených schodkov. </w:t>
      </w:r>
    </w:p>
    <w:p w:rsidR="009C4331" w:rsidRPr="00340D3B" w:rsidP="009C4331">
      <w:pPr>
        <w:autoSpaceDE w:val="0"/>
        <w:autoSpaceDN w:val="0"/>
        <w:bidi w:val="0"/>
        <w:adjustRightInd w:val="0"/>
        <w:ind w:firstLine="708"/>
        <w:jc w:val="both"/>
        <w:rPr>
          <w:rFonts w:ascii="Times New Roman" w:hAnsi="Times New Roman"/>
        </w:rPr>
      </w:pPr>
    </w:p>
    <w:p w:rsidR="009C4331" w:rsidRPr="004E5097" w:rsidP="009C4331">
      <w:pPr>
        <w:autoSpaceDE w:val="0"/>
        <w:autoSpaceDN w:val="0"/>
        <w:bidi w:val="0"/>
        <w:adjustRightInd w:val="0"/>
        <w:ind w:firstLine="708"/>
        <w:jc w:val="both"/>
        <w:rPr>
          <w:rFonts w:ascii="Times New Roman" w:hAnsi="Times New Roman"/>
        </w:rPr>
      </w:pPr>
      <w:r w:rsidRPr="004E5097">
        <w:rPr>
          <w:rFonts w:ascii="Times New Roman" w:hAnsi="Times New Roman"/>
        </w:rPr>
        <w:t xml:space="preserve">Splnenie rozpočtového cieľa v oblasti deficitu verejnej správy na rok 2013 formulovaného v rozpočte verejnej správy na roky 2013 až 2015 si pri realizácii nevyhnutnej konsolidácie verejných financií vyžaduje dosiahnutie širokého konsenzu </w:t>
      </w:r>
      <w:r>
        <w:rPr>
          <w:rFonts w:ascii="Times New Roman" w:hAnsi="Times New Roman"/>
        </w:rPr>
        <w:t xml:space="preserve">všetkých </w:t>
      </w:r>
      <w:r w:rsidRPr="004E5097">
        <w:rPr>
          <w:rFonts w:ascii="Times New Roman" w:hAnsi="Times New Roman"/>
        </w:rPr>
        <w:t xml:space="preserve">zainteresovaných strán vrátane obcí, miest </w:t>
      </w:r>
      <w:r>
        <w:rPr>
          <w:rFonts w:ascii="Times New Roman" w:hAnsi="Times New Roman"/>
        </w:rPr>
        <w:t>a</w:t>
      </w:r>
      <w:r w:rsidRPr="004E5097">
        <w:rPr>
          <w:rFonts w:ascii="Times New Roman" w:hAnsi="Times New Roman"/>
        </w:rPr>
        <w:t xml:space="preserve"> vyšších územných celkov. Vláda Slovenskej republiky preto iniciovala rokovanie so Združením miest a obcí Slovenska a Združením samosprávnych krajov SK8 s cieľom prijatia </w:t>
      </w:r>
      <w:r w:rsidRPr="004E5097">
        <w:rPr>
          <w:rFonts w:ascii="Times New Roman" w:hAnsi="Times New Roman"/>
          <w:b/>
        </w:rPr>
        <w:t>spoločného Memoranda o spolupráci</w:t>
      </w:r>
      <w:r w:rsidRPr="004E5097">
        <w:rPr>
          <w:rFonts w:ascii="Times New Roman" w:hAnsi="Times New Roman"/>
        </w:rPr>
        <w:t>, v ktorom by bola potvrdená spoločná vôľa podieľať sa na realizácií zámerov stabilizácie a konsolidácie verejných financií vyjadrených v rozpočte verejnej správy na roky 2013 až 2015. V oblasti výdavkov kvantifikácia objemu potrebnej konsolidácie v roku 2013 vychádza z princípov uplatnených v návrhu  štátneho rozpočtu, t.</w:t>
      </w:r>
      <w:r w:rsidR="00C30226">
        <w:rPr>
          <w:rFonts w:ascii="Times New Roman" w:hAnsi="Times New Roman"/>
        </w:rPr>
        <w:t xml:space="preserve"> </w:t>
      </w:r>
      <w:r w:rsidRPr="004E5097">
        <w:rPr>
          <w:rFonts w:ascii="Times New Roman" w:hAnsi="Times New Roman"/>
        </w:rPr>
        <w:t>j. úspor osobných výdavkov o</w:t>
      </w:r>
      <w:r>
        <w:rPr>
          <w:rFonts w:ascii="Times New Roman" w:hAnsi="Times New Roman"/>
        </w:rPr>
        <w:t> </w:t>
      </w:r>
      <w:r w:rsidRPr="004E5097">
        <w:rPr>
          <w:rFonts w:ascii="Times New Roman" w:hAnsi="Times New Roman"/>
        </w:rPr>
        <w:t>5</w:t>
      </w:r>
      <w:r>
        <w:rPr>
          <w:rFonts w:ascii="Times New Roman" w:hAnsi="Times New Roman"/>
        </w:rPr>
        <w:t xml:space="preserve"> </w:t>
      </w:r>
      <w:r w:rsidRPr="004E5097">
        <w:rPr>
          <w:rFonts w:ascii="Times New Roman" w:hAnsi="Times New Roman"/>
        </w:rPr>
        <w:t>% a výdavkov na tovary a služby o</w:t>
      </w:r>
      <w:r>
        <w:rPr>
          <w:rFonts w:ascii="Times New Roman" w:hAnsi="Times New Roman"/>
        </w:rPr>
        <w:t> </w:t>
      </w:r>
      <w:r w:rsidRPr="004E5097">
        <w:rPr>
          <w:rFonts w:ascii="Times New Roman" w:hAnsi="Times New Roman"/>
        </w:rPr>
        <w:t>10</w:t>
      </w:r>
      <w:r>
        <w:rPr>
          <w:rFonts w:ascii="Times New Roman" w:hAnsi="Times New Roman"/>
        </w:rPr>
        <w:t xml:space="preserve"> </w:t>
      </w:r>
      <w:r w:rsidRPr="004E5097">
        <w:rPr>
          <w:rFonts w:ascii="Times New Roman" w:hAnsi="Times New Roman"/>
        </w:rPr>
        <w:t>% oproti rozpočtu na rok 2012, modifikovaných na podmienky samosprávy.</w:t>
      </w:r>
    </w:p>
    <w:p w:rsidR="009C4331" w:rsidRPr="003057D7" w:rsidP="009C4331">
      <w:pPr>
        <w:autoSpaceDE w:val="0"/>
        <w:autoSpaceDN w:val="0"/>
        <w:bidi w:val="0"/>
        <w:adjustRightInd w:val="0"/>
        <w:ind w:firstLine="708"/>
        <w:jc w:val="both"/>
        <w:rPr>
          <w:rFonts w:ascii="Times New Roman" w:hAnsi="Times New Roman"/>
        </w:rPr>
      </w:pPr>
      <w:r w:rsidRPr="003057D7">
        <w:rPr>
          <w:rFonts w:ascii="Times New Roman" w:hAnsi="Times New Roman"/>
        </w:rPr>
        <w:t xml:space="preserve">        </w:t>
      </w:r>
    </w:p>
    <w:p w:rsidR="009C4331" w:rsidP="009C4331">
      <w:pPr>
        <w:autoSpaceDE w:val="0"/>
        <w:autoSpaceDN w:val="0"/>
        <w:bidi w:val="0"/>
        <w:adjustRightInd w:val="0"/>
        <w:ind w:firstLine="708"/>
        <w:jc w:val="both"/>
        <w:rPr>
          <w:rFonts w:ascii="Times New Roman" w:hAnsi="Times New Roman"/>
        </w:rPr>
      </w:pPr>
      <w:r w:rsidRPr="003A6857">
        <w:rPr>
          <w:rFonts w:ascii="Times New Roman" w:hAnsi="Times New Roman"/>
        </w:rPr>
        <w:t>V návrhu rozpočtu sú zapracované vplyvy prijatých opatrení vlády SR, ktoré boli schválené, resp. sú predmetom rokovania Národnej rady SR.</w:t>
      </w:r>
    </w:p>
    <w:p w:rsidR="009C4331" w:rsidP="009C4331">
      <w:pPr>
        <w:autoSpaceDE w:val="0"/>
        <w:autoSpaceDN w:val="0"/>
        <w:bidi w:val="0"/>
        <w:adjustRightInd w:val="0"/>
        <w:ind w:firstLine="708"/>
        <w:jc w:val="both"/>
        <w:rPr>
          <w:rFonts w:ascii="Times New Roman" w:hAnsi="Times New Roman"/>
        </w:rPr>
      </w:pPr>
    </w:p>
    <w:p w:rsidR="009C4331" w:rsidP="009C4331">
      <w:pPr>
        <w:autoSpaceDE w:val="0"/>
        <w:autoSpaceDN w:val="0"/>
        <w:bidi w:val="0"/>
        <w:adjustRightInd w:val="0"/>
        <w:ind w:firstLine="708"/>
        <w:jc w:val="both"/>
        <w:rPr>
          <w:rFonts w:ascii="Times New Roman" w:hAnsi="Times New Roman"/>
        </w:rPr>
      </w:pPr>
      <w:r>
        <w:rPr>
          <w:rFonts w:ascii="Times New Roman" w:hAnsi="Times New Roman"/>
        </w:rPr>
        <w:t>Konsolidačné úsilie sa v nasledujúcich rokoch sústreďuje najmä na výdavk</w:t>
      </w:r>
      <w:r w:rsidR="00C30226">
        <w:rPr>
          <w:rFonts w:ascii="Times New Roman" w:hAnsi="Times New Roman"/>
        </w:rPr>
        <w:t>y</w:t>
      </w:r>
      <w:r>
        <w:rPr>
          <w:rFonts w:ascii="Times New Roman" w:hAnsi="Times New Roman"/>
        </w:rPr>
        <w:t xml:space="preserve"> rozpočtu verejnej správy. Podiel príjmov rozpočtu verejnej správy sa udržuje od roku 2010 mierne nad úrovňou 32 % HDP. Na rozdiel od stabilnej úrovne príjmov sa výdavky rozpočtu verejnej správy znížia z úrovne 40,0 % HDP v roku 2010 na 34,0 % HDP v roku 2015. </w:t>
      </w:r>
    </w:p>
    <w:p w:rsidR="009C4331"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C30226" w:rsidP="009C4331">
      <w:pPr>
        <w:autoSpaceDE w:val="0"/>
        <w:autoSpaceDN w:val="0"/>
        <w:bidi w:val="0"/>
        <w:adjustRightInd w:val="0"/>
        <w:ind w:firstLine="708"/>
        <w:jc w:val="both"/>
        <w:rPr>
          <w:rFonts w:ascii="Times New Roman" w:hAnsi="Times New Roman"/>
        </w:rPr>
      </w:pPr>
    </w:p>
    <w:p w:rsidR="005C7DF1" w:rsidP="009C4331">
      <w:pPr>
        <w:autoSpaceDE w:val="0"/>
        <w:autoSpaceDN w:val="0"/>
        <w:bidi w:val="0"/>
        <w:adjustRightInd w:val="0"/>
        <w:jc w:val="both"/>
        <w:rPr>
          <w:rFonts w:ascii="Times New Roman" w:hAnsi="Times New Roman" w:cs="Times New Roman"/>
          <w:color w:val="0070C0"/>
        </w:rPr>
      </w:pPr>
    </w:p>
    <w:p w:rsidR="009C4331" w:rsidP="005C7DF1">
      <w:pPr>
        <w:autoSpaceDE w:val="0"/>
        <w:autoSpaceDN w:val="0"/>
        <w:bidi w:val="0"/>
        <w:adjustRightInd w:val="0"/>
        <w:ind w:firstLine="708"/>
        <w:jc w:val="both"/>
        <w:rPr>
          <w:rFonts w:ascii="Times New Roman" w:hAnsi="Times New Roman" w:cs="Times New Roman"/>
          <w:color w:val="0070C0"/>
        </w:rPr>
      </w:pPr>
    </w:p>
    <w:p w:rsidR="009C4331" w:rsidRPr="00947A3E" w:rsidP="005C7DF1">
      <w:pPr>
        <w:autoSpaceDE w:val="0"/>
        <w:autoSpaceDN w:val="0"/>
        <w:bidi w:val="0"/>
        <w:adjustRightInd w:val="0"/>
        <w:ind w:firstLine="708"/>
        <w:jc w:val="both"/>
        <w:rPr>
          <w:rFonts w:ascii="Times New Roman" w:hAnsi="Times New Roman" w:cs="Times New Roman"/>
          <w:color w:val="0070C0"/>
        </w:rPr>
      </w:pPr>
    </w:p>
    <w:p w:rsidR="005D1A7E" w:rsidRPr="00AC43FC" w:rsidP="0089184B">
      <w:pPr>
        <w:pStyle w:val="Heading1"/>
        <w:numPr>
          <w:numId w:val="1"/>
        </w:numPr>
        <w:bidi w:val="0"/>
        <w:spacing w:before="0" w:after="0"/>
        <w:ind w:left="284" w:hanging="284"/>
        <w:rPr>
          <w:rFonts w:ascii="Times New Roman" w:hAnsi="Times New Roman" w:cs="Times New Roman"/>
          <w:sz w:val="28"/>
          <w:szCs w:val="28"/>
        </w:rPr>
      </w:pPr>
      <w:bookmarkStart w:id="4" w:name="_Toc337237743"/>
      <w:r w:rsidRPr="00AC43FC">
        <w:rPr>
          <w:rFonts w:ascii="Times New Roman" w:hAnsi="Times New Roman" w:cs="Times New Roman"/>
          <w:sz w:val="28"/>
          <w:szCs w:val="28"/>
        </w:rPr>
        <w:t>Makroekonomické predpoklady rozpočtu</w:t>
      </w:r>
      <w:bookmarkEnd w:id="0"/>
      <w:bookmarkEnd w:id="1"/>
      <w:bookmarkEnd w:id="4"/>
      <w:r w:rsidRPr="00AC43FC">
        <w:rPr>
          <w:rFonts w:ascii="Times New Roman" w:hAnsi="Times New Roman" w:cs="Times New Roman"/>
          <w:sz w:val="28"/>
          <w:szCs w:val="28"/>
        </w:rPr>
        <w:t xml:space="preserve"> </w:t>
      </w:r>
    </w:p>
    <w:p w:rsidR="005D1A7E" w:rsidP="00AC43FC">
      <w:pPr>
        <w:keepNext/>
        <w:keepLines/>
        <w:widowControl w:val="0"/>
        <w:bidi w:val="0"/>
        <w:jc w:val="both"/>
        <w:rPr>
          <w:rFonts w:ascii="Times New Roman" w:hAnsi="Times New Roman" w:cs="Times New Roman"/>
          <w:color w:val="0070C0"/>
          <w:szCs w:val="28"/>
          <w:highlight w:val="yellow"/>
        </w:rPr>
      </w:pPr>
    </w:p>
    <w:p w:rsidR="00A754D9" w:rsidP="00A754D9">
      <w:pPr>
        <w:bidi w:val="0"/>
        <w:ind w:firstLine="708"/>
        <w:jc w:val="both"/>
        <w:rPr>
          <w:rFonts w:ascii="Times New Roman" w:hAnsi="Times New Roman"/>
        </w:rPr>
      </w:pPr>
      <w:r w:rsidRPr="001F4A90">
        <w:rPr>
          <w:rFonts w:ascii="Times New Roman" w:hAnsi="Times New Roman"/>
        </w:rPr>
        <w:t>M</w:t>
      </w:r>
      <w:r w:rsidR="00D67955">
        <w:rPr>
          <w:rFonts w:ascii="Times New Roman" w:hAnsi="Times New Roman"/>
        </w:rPr>
        <w:t>inisterstvo financií</w:t>
      </w:r>
      <w:r w:rsidRPr="001F4A90">
        <w:rPr>
          <w:rFonts w:ascii="Times New Roman" w:hAnsi="Times New Roman"/>
        </w:rPr>
        <w:t xml:space="preserve"> SR ponechalo odhad rastu HDP v tomto roku na 2,5</w:t>
      </w:r>
      <w:r w:rsidR="00D67955">
        <w:rPr>
          <w:rFonts w:ascii="Times New Roman" w:hAnsi="Times New Roman"/>
        </w:rPr>
        <w:t xml:space="preserve"> </w:t>
      </w:r>
      <w:r w:rsidRPr="001F4A90">
        <w:rPr>
          <w:rFonts w:ascii="Times New Roman" w:hAnsi="Times New Roman"/>
        </w:rPr>
        <w:t>%. Jeden z najsilnejších rastov v eurozóne v prvom polroku si slovenská ekonomika pripísala predovšetkým vďaka zahraničnému obchodu. Ten bol podporený spustením produkcie nových modelov automobilov. Vývoj v zahraničí je však čoraz viac ovplyvňovaný nepriazni</w:t>
      </w:r>
      <w:r w:rsidR="00FD21AA">
        <w:rPr>
          <w:rFonts w:ascii="Times New Roman" w:hAnsi="Times New Roman"/>
        </w:rPr>
        <w:t>vým vývojom v periférnych krajinách</w:t>
      </w:r>
      <w:r w:rsidRPr="001F4A90">
        <w:rPr>
          <w:rFonts w:ascii="Times New Roman" w:hAnsi="Times New Roman"/>
        </w:rPr>
        <w:t xml:space="preserve"> eurozóny</w:t>
      </w:r>
      <w:r>
        <w:rPr>
          <w:rFonts w:ascii="Times New Roman" w:hAnsi="Times New Roman"/>
        </w:rPr>
        <w:t>. V druhej polovici roka sa preto očakáva spomalenie ekonomi</w:t>
      </w:r>
      <w:r w:rsidR="00FD21AA">
        <w:rPr>
          <w:rFonts w:ascii="Times New Roman" w:hAnsi="Times New Roman"/>
        </w:rPr>
        <w:t>ckej aktivity v zahraničí, ktoré</w:t>
      </w:r>
      <w:r>
        <w:rPr>
          <w:rFonts w:ascii="Times New Roman" w:hAnsi="Times New Roman"/>
        </w:rPr>
        <w:t xml:space="preserve"> sa nevyhnutne dotkne aj </w:t>
      </w:r>
      <w:r w:rsidR="00FD21AA">
        <w:rPr>
          <w:rFonts w:ascii="Times New Roman" w:hAnsi="Times New Roman"/>
        </w:rPr>
        <w:t>s</w:t>
      </w:r>
      <w:r>
        <w:rPr>
          <w:rFonts w:ascii="Times New Roman" w:hAnsi="Times New Roman"/>
        </w:rPr>
        <w:t>lovenskej ekonomiky. V roku 2013 očakávame spomalenie rastu na úroveň 2,1</w:t>
      </w:r>
      <w:r w:rsidR="00FD21AA">
        <w:rPr>
          <w:rFonts w:ascii="Times New Roman" w:hAnsi="Times New Roman"/>
        </w:rPr>
        <w:t xml:space="preserve"> </w:t>
      </w:r>
      <w:r>
        <w:rPr>
          <w:rFonts w:ascii="Times New Roman" w:hAnsi="Times New Roman"/>
        </w:rPr>
        <w:t xml:space="preserve">%. </w:t>
      </w:r>
    </w:p>
    <w:p w:rsidR="009F0105" w:rsidRPr="0005007F" w:rsidP="00A754D9">
      <w:pPr>
        <w:bidi w:val="0"/>
        <w:ind w:firstLine="708"/>
        <w:jc w:val="both"/>
        <w:rPr>
          <w:rFonts w:ascii="Times New Roman" w:hAnsi="Times New Roman"/>
        </w:rPr>
      </w:pPr>
    </w:p>
    <w:p w:rsidR="00A754D9" w:rsidP="00A754D9">
      <w:pPr>
        <w:bidi w:val="0"/>
        <w:ind w:firstLine="708"/>
        <w:jc w:val="both"/>
        <w:rPr>
          <w:rFonts w:ascii="Times New Roman" w:hAnsi="Times New Roman"/>
        </w:rPr>
      </w:pPr>
      <w:r w:rsidRPr="0002282E">
        <w:rPr>
          <w:rFonts w:ascii="Times New Roman" w:hAnsi="Times New Roman"/>
        </w:rPr>
        <w:t>Ekonomiky našich obchodných partnerov spomalili a očakávania ohľadom ich vývoja sa zhoršili.</w:t>
      </w:r>
      <w:r>
        <w:rPr>
          <w:rFonts w:ascii="Times New Roman" w:hAnsi="Times New Roman"/>
        </w:rPr>
        <w:t xml:space="preserve"> </w:t>
      </w:r>
      <w:r w:rsidRPr="0002282E">
        <w:rPr>
          <w:rFonts w:ascii="Times New Roman" w:hAnsi="Times New Roman"/>
        </w:rPr>
        <w:t>Eurozóna v druhom štvrťroku zaznamenala pokles HDP o 0,2</w:t>
      </w:r>
      <w:r w:rsidR="00FD21AA">
        <w:rPr>
          <w:rFonts w:ascii="Times New Roman" w:hAnsi="Times New Roman"/>
        </w:rPr>
        <w:t xml:space="preserve"> </w:t>
      </w:r>
      <w:r w:rsidRPr="0002282E">
        <w:rPr>
          <w:rFonts w:ascii="Times New Roman" w:hAnsi="Times New Roman"/>
        </w:rPr>
        <w:t>%. Navyše kríza periférnych krajín</w:t>
      </w:r>
      <w:r>
        <w:rPr>
          <w:rFonts w:ascii="Times New Roman" w:hAnsi="Times New Roman"/>
        </w:rPr>
        <w:t xml:space="preserve"> </w:t>
      </w:r>
      <w:r w:rsidRPr="0002282E">
        <w:rPr>
          <w:rFonts w:ascii="Times New Roman" w:hAnsi="Times New Roman"/>
        </w:rPr>
        <w:t xml:space="preserve">eurozóny a spomalenie svetového rastu začínajú doliehať aj na </w:t>
      </w:r>
      <w:r>
        <w:rPr>
          <w:rFonts w:ascii="Times New Roman" w:hAnsi="Times New Roman"/>
        </w:rPr>
        <w:t>ekonomiku Nemecka</w:t>
      </w:r>
      <w:r w:rsidRPr="0002282E">
        <w:rPr>
          <w:rFonts w:ascii="Times New Roman" w:hAnsi="Times New Roman"/>
        </w:rPr>
        <w:t>. Rast nemeckého HDP sa v</w:t>
      </w:r>
      <w:r>
        <w:rPr>
          <w:rFonts w:ascii="Times New Roman" w:hAnsi="Times New Roman"/>
        </w:rPr>
        <w:t> druhom kvartáli spo</w:t>
      </w:r>
      <w:r w:rsidRPr="0002282E">
        <w:rPr>
          <w:rFonts w:ascii="Times New Roman" w:hAnsi="Times New Roman"/>
        </w:rPr>
        <w:t>malil na 0,3</w:t>
      </w:r>
      <w:r w:rsidR="00FD21AA">
        <w:rPr>
          <w:rFonts w:ascii="Times New Roman" w:hAnsi="Times New Roman"/>
        </w:rPr>
        <w:t xml:space="preserve"> </w:t>
      </w:r>
      <w:r w:rsidRPr="0002282E">
        <w:rPr>
          <w:rFonts w:ascii="Times New Roman" w:hAnsi="Times New Roman"/>
        </w:rPr>
        <w:t xml:space="preserve">% a na základe údajov o PMI </w:t>
      </w:r>
      <w:r w:rsidR="00FB009D">
        <w:rPr>
          <w:rFonts w:ascii="Times New Roman" w:hAnsi="Times New Roman"/>
        </w:rPr>
        <w:t xml:space="preserve">(index nákupných manažérov) </w:t>
      </w:r>
      <w:r w:rsidRPr="0002282E">
        <w:rPr>
          <w:rFonts w:ascii="Times New Roman" w:hAnsi="Times New Roman"/>
        </w:rPr>
        <w:t>a nových objednávkach nemeckých firiem sa v druhej polovici</w:t>
      </w:r>
      <w:r>
        <w:rPr>
          <w:rFonts w:ascii="Times New Roman" w:hAnsi="Times New Roman"/>
        </w:rPr>
        <w:t xml:space="preserve"> </w:t>
      </w:r>
      <w:r w:rsidRPr="0002282E">
        <w:rPr>
          <w:rFonts w:ascii="Times New Roman" w:hAnsi="Times New Roman"/>
        </w:rPr>
        <w:t>roka 2012 očakáva recesia. Očakávania v eurozóne a predovšetkým v Nemecku len potvrdzujú zhoršenie</w:t>
      </w:r>
      <w:r>
        <w:rPr>
          <w:rFonts w:ascii="Times New Roman" w:hAnsi="Times New Roman"/>
        </w:rPr>
        <w:t xml:space="preserve"> </w:t>
      </w:r>
      <w:r w:rsidRPr="0002282E">
        <w:rPr>
          <w:rFonts w:ascii="Times New Roman" w:hAnsi="Times New Roman"/>
        </w:rPr>
        <w:t xml:space="preserve">ekonomického vývoja v najbližšom období. </w:t>
      </w:r>
      <w:r>
        <w:rPr>
          <w:rFonts w:ascii="Times New Roman" w:hAnsi="Times New Roman"/>
        </w:rPr>
        <w:t>Prepad n</w:t>
      </w:r>
      <w:r w:rsidRPr="0002282E">
        <w:rPr>
          <w:rFonts w:ascii="Times New Roman" w:hAnsi="Times New Roman"/>
        </w:rPr>
        <w:t>emeck</w:t>
      </w:r>
      <w:r>
        <w:rPr>
          <w:rFonts w:ascii="Times New Roman" w:hAnsi="Times New Roman"/>
        </w:rPr>
        <w:t>ého</w:t>
      </w:r>
      <w:r w:rsidRPr="0002282E">
        <w:rPr>
          <w:rFonts w:ascii="Times New Roman" w:hAnsi="Times New Roman"/>
        </w:rPr>
        <w:t xml:space="preserve"> index</w:t>
      </w:r>
      <w:r>
        <w:rPr>
          <w:rFonts w:ascii="Times New Roman" w:hAnsi="Times New Roman"/>
        </w:rPr>
        <w:t>u</w:t>
      </w:r>
      <w:r w:rsidRPr="0002282E">
        <w:rPr>
          <w:rFonts w:ascii="Times New Roman" w:hAnsi="Times New Roman"/>
        </w:rPr>
        <w:t xml:space="preserve"> očakávaní medzi podnikmi (IFO) posledné štyri</w:t>
      </w:r>
      <w:r>
        <w:rPr>
          <w:rFonts w:ascii="Times New Roman" w:hAnsi="Times New Roman"/>
        </w:rPr>
        <w:t xml:space="preserve"> </w:t>
      </w:r>
      <w:r w:rsidRPr="0002282E">
        <w:rPr>
          <w:rFonts w:ascii="Times New Roman" w:hAnsi="Times New Roman"/>
        </w:rPr>
        <w:t>mesiace výrazne klesá a od júna</w:t>
      </w:r>
      <w:r>
        <w:rPr>
          <w:rFonts w:ascii="Times New Roman" w:hAnsi="Times New Roman"/>
        </w:rPr>
        <w:t xml:space="preserve"> 2012</w:t>
      </w:r>
      <w:r w:rsidRPr="0002282E">
        <w:rPr>
          <w:rFonts w:ascii="Times New Roman" w:hAnsi="Times New Roman"/>
        </w:rPr>
        <w:t xml:space="preserve"> sa už nachádza pod dlhodobým p</w:t>
      </w:r>
      <w:r w:rsidR="00FD21AA">
        <w:rPr>
          <w:rFonts w:ascii="Times New Roman" w:hAnsi="Times New Roman"/>
        </w:rPr>
        <w:t>riemerom. Indikátory dôvery v EÚ</w:t>
      </w:r>
      <w:r w:rsidRPr="0002282E">
        <w:rPr>
          <w:rFonts w:ascii="Times New Roman" w:hAnsi="Times New Roman"/>
        </w:rPr>
        <w:t xml:space="preserve"> a eurozóne pokračujú v poklese a</w:t>
      </w:r>
      <w:r>
        <w:rPr>
          <w:rFonts w:ascii="Times New Roman" w:hAnsi="Times New Roman"/>
        </w:rPr>
        <w:t xml:space="preserve"> </w:t>
      </w:r>
      <w:r w:rsidRPr="0002282E">
        <w:rPr>
          <w:rFonts w:ascii="Times New Roman" w:hAnsi="Times New Roman"/>
        </w:rPr>
        <w:t>nachádzajú sa pod dlhodobým priemerom.</w:t>
      </w:r>
      <w:r>
        <w:rPr>
          <w:rFonts w:ascii="Times New Roman" w:hAnsi="Times New Roman"/>
        </w:rPr>
        <w:t xml:space="preserve"> Prognóza rastu nemeckej ekonomiky na rok 2013 sa postupne upravuje smerom nadol a v súčasnosti sa znížila na 1,1</w:t>
      </w:r>
      <w:r w:rsidR="00FD21AA">
        <w:rPr>
          <w:rFonts w:ascii="Times New Roman" w:hAnsi="Times New Roman"/>
        </w:rPr>
        <w:t xml:space="preserve"> </w:t>
      </w:r>
      <w:r>
        <w:rPr>
          <w:rFonts w:ascii="Times New Roman" w:hAnsi="Times New Roman"/>
        </w:rPr>
        <w:t xml:space="preserve">% </w:t>
      </w:r>
      <w:r w:rsidRPr="001E1EBB">
        <w:rPr>
          <w:rFonts w:ascii="Times New Roman" w:hAnsi="Times New Roman"/>
        </w:rPr>
        <w:t>(</w:t>
      </w:r>
      <w:r>
        <w:rPr>
          <w:rFonts w:ascii="Times New Roman" w:hAnsi="Times New Roman"/>
        </w:rPr>
        <w:t xml:space="preserve">úpravy vychádzali z aktuálnych </w:t>
      </w:r>
      <w:r w:rsidRPr="0002282E">
        <w:rPr>
          <w:rFonts w:ascii="Times New Roman" w:hAnsi="Times New Roman"/>
        </w:rPr>
        <w:t>odhad</w:t>
      </w:r>
      <w:r>
        <w:rPr>
          <w:rFonts w:ascii="Times New Roman" w:hAnsi="Times New Roman"/>
        </w:rPr>
        <w:t>ov</w:t>
      </w:r>
      <w:r w:rsidRPr="0002282E">
        <w:rPr>
          <w:rFonts w:ascii="Times New Roman" w:hAnsi="Times New Roman"/>
        </w:rPr>
        <w:t xml:space="preserve"> konsenzu medzinárodných finančných inštitúci</w:t>
      </w:r>
      <w:r w:rsidR="00FD21AA">
        <w:rPr>
          <w:rFonts w:ascii="Times New Roman" w:hAnsi="Times New Roman"/>
        </w:rPr>
        <w:t>í</w:t>
      </w:r>
      <w:r>
        <w:rPr>
          <w:rStyle w:val="FootnoteReference"/>
          <w:rFonts w:ascii="Times New Roman" w:hAnsi="Times New Roman"/>
          <w:rtl w:val="0"/>
        </w:rPr>
        <w:footnoteReference w:id="2"/>
      </w:r>
      <w:r>
        <w:rPr>
          <w:rFonts w:ascii="Times New Roman" w:hAnsi="Times New Roman"/>
        </w:rPr>
        <w:t>). V roku 2013 sa očakáva na strane vážených importov najväčších obchodných partnerov Slovenska výraznejšie zhoršenie.</w:t>
      </w:r>
    </w:p>
    <w:p w:rsidR="00A754D9" w:rsidP="00A754D9">
      <w:pPr>
        <w:bidi w:val="0"/>
        <w:ind w:firstLine="708"/>
        <w:jc w:val="both"/>
        <w:rPr>
          <w:rFonts w:ascii="Times New Roman" w:hAnsi="Times New Roman"/>
          <w:highlight w:val="yellow"/>
        </w:rPr>
      </w:pPr>
    </w:p>
    <w:p w:rsidR="00A754D9" w:rsidRPr="00D9016E" w:rsidP="00A754D9">
      <w:pPr>
        <w:bidi w:val="0"/>
        <w:ind w:firstLine="708"/>
        <w:jc w:val="both"/>
        <w:rPr>
          <w:rFonts w:ascii="Times New Roman" w:hAnsi="Times New Roman"/>
          <w:bCs/>
        </w:rPr>
      </w:pPr>
      <w:r w:rsidRPr="00D9016E">
        <w:rPr>
          <w:rFonts w:ascii="Times New Roman" w:hAnsi="Times New Roman"/>
          <w:bCs/>
        </w:rPr>
        <w:t xml:space="preserve">Aktuálny makroekonomický vývoj je </w:t>
      </w:r>
      <w:r>
        <w:rPr>
          <w:rFonts w:ascii="Times New Roman" w:hAnsi="Times New Roman"/>
          <w:bCs/>
        </w:rPr>
        <w:t xml:space="preserve">v miernom </w:t>
      </w:r>
      <w:r w:rsidRPr="00083CF3">
        <w:rPr>
          <w:rFonts w:ascii="Times New Roman" w:hAnsi="Times New Roman"/>
          <w:bCs/>
        </w:rPr>
        <w:t>kontraste s</w:t>
      </w:r>
      <w:r>
        <w:rPr>
          <w:rFonts w:ascii="Times New Roman" w:hAnsi="Times New Roman"/>
          <w:bCs/>
        </w:rPr>
        <w:t>o</w:t>
      </w:r>
      <w:r w:rsidRPr="00083CF3">
        <w:rPr>
          <w:rFonts w:ascii="Times New Roman" w:hAnsi="Times New Roman"/>
          <w:bCs/>
        </w:rPr>
        <w:t xml:space="preserve"> situáci</w:t>
      </w:r>
      <w:r>
        <w:rPr>
          <w:rFonts w:ascii="Times New Roman" w:hAnsi="Times New Roman"/>
          <w:bCs/>
        </w:rPr>
        <w:t>ou</w:t>
      </w:r>
      <w:r w:rsidRPr="00083CF3">
        <w:rPr>
          <w:rFonts w:ascii="Times New Roman" w:hAnsi="Times New Roman"/>
          <w:bCs/>
        </w:rPr>
        <w:t xml:space="preserve"> na finančných trhoch</w:t>
      </w:r>
      <w:r>
        <w:rPr>
          <w:rFonts w:ascii="Times New Roman" w:hAnsi="Times New Roman"/>
          <w:bCs/>
        </w:rPr>
        <w:t>, ktorá sa</w:t>
      </w:r>
      <w:r w:rsidRPr="00083CF3">
        <w:rPr>
          <w:rFonts w:ascii="Times New Roman" w:hAnsi="Times New Roman"/>
          <w:bCs/>
        </w:rPr>
        <w:t xml:space="preserve"> od poslednej prognóz</w:t>
      </w:r>
      <w:r>
        <w:rPr>
          <w:rFonts w:ascii="Times New Roman" w:hAnsi="Times New Roman"/>
          <w:bCs/>
        </w:rPr>
        <w:t xml:space="preserve">y </w:t>
      </w:r>
      <w:r w:rsidRPr="00083CF3">
        <w:rPr>
          <w:rFonts w:ascii="Times New Roman" w:hAnsi="Times New Roman"/>
          <w:bCs/>
        </w:rPr>
        <w:t>M</w:t>
      </w:r>
      <w:r w:rsidR="00FD21AA">
        <w:rPr>
          <w:rFonts w:ascii="Times New Roman" w:hAnsi="Times New Roman"/>
          <w:bCs/>
        </w:rPr>
        <w:t>inisterstva financií</w:t>
      </w:r>
      <w:r w:rsidRPr="00083CF3">
        <w:rPr>
          <w:rFonts w:ascii="Times New Roman" w:hAnsi="Times New Roman"/>
          <w:bCs/>
        </w:rPr>
        <w:t xml:space="preserve"> SR zlepšila. Dopomohli k tomu predovšetkým verbálne intervencie zo strany ECB. Jej guvernér</w:t>
      </w:r>
      <w:r>
        <w:rPr>
          <w:rFonts w:ascii="Times New Roman" w:hAnsi="Times New Roman"/>
          <w:bCs/>
        </w:rPr>
        <w:t xml:space="preserve"> </w:t>
      </w:r>
      <w:r w:rsidRPr="00083CF3">
        <w:rPr>
          <w:rFonts w:ascii="Times New Roman" w:hAnsi="Times New Roman"/>
          <w:bCs/>
        </w:rPr>
        <w:t>viackrát jasne podporil jednotnú menu euro a zdôraznil, že ECB je ochotná urobiť všetko</w:t>
      </w:r>
      <w:r w:rsidR="00FD21AA">
        <w:rPr>
          <w:rFonts w:ascii="Times New Roman" w:hAnsi="Times New Roman"/>
          <w:bCs/>
        </w:rPr>
        <w:t>,</w:t>
      </w:r>
      <w:r w:rsidRPr="00083CF3">
        <w:rPr>
          <w:rFonts w:ascii="Times New Roman" w:hAnsi="Times New Roman"/>
          <w:bCs/>
        </w:rPr>
        <w:t xml:space="preserve"> čo je potrebné na</w:t>
      </w:r>
      <w:r>
        <w:rPr>
          <w:rFonts w:ascii="Times New Roman" w:hAnsi="Times New Roman"/>
          <w:bCs/>
        </w:rPr>
        <w:t xml:space="preserve"> </w:t>
      </w:r>
      <w:r w:rsidRPr="00083CF3">
        <w:rPr>
          <w:rFonts w:ascii="Times New Roman" w:hAnsi="Times New Roman"/>
          <w:bCs/>
        </w:rPr>
        <w:t>jeho záchranu. ECB zároveň ohlásila program ďalších možných nákupov štátnych dlhopisov na</w:t>
      </w:r>
      <w:r>
        <w:rPr>
          <w:rFonts w:ascii="Times New Roman" w:hAnsi="Times New Roman"/>
          <w:bCs/>
        </w:rPr>
        <w:t xml:space="preserve"> </w:t>
      </w:r>
      <w:r w:rsidRPr="00083CF3">
        <w:rPr>
          <w:rFonts w:ascii="Times New Roman" w:hAnsi="Times New Roman"/>
          <w:bCs/>
        </w:rPr>
        <w:t>sekundárnom trhu. Trhy zareagovali na tieto vyjadrenia veľmi pozitívne. Ceny akcií aj komodít začali</w:t>
      </w:r>
      <w:r>
        <w:rPr>
          <w:rFonts w:ascii="Times New Roman" w:hAnsi="Times New Roman"/>
          <w:bCs/>
        </w:rPr>
        <w:t xml:space="preserve"> </w:t>
      </w:r>
      <w:r w:rsidRPr="00083CF3">
        <w:rPr>
          <w:rFonts w:ascii="Times New Roman" w:hAnsi="Times New Roman"/>
          <w:bCs/>
        </w:rPr>
        <w:t>výraznejšie rásť, kurz eura voči doláru sa odrazil od svojho lokálneho minima. Výnosy dlhopisov Španielska</w:t>
      </w:r>
      <w:r>
        <w:rPr>
          <w:rFonts w:ascii="Times New Roman" w:hAnsi="Times New Roman"/>
          <w:bCs/>
        </w:rPr>
        <w:t xml:space="preserve"> </w:t>
      </w:r>
      <w:r w:rsidRPr="00083CF3">
        <w:rPr>
          <w:rFonts w:ascii="Times New Roman" w:hAnsi="Times New Roman"/>
          <w:bCs/>
        </w:rPr>
        <w:t>a Talianska, ktoré vzhľadom na svoju veľkosť predstavujú najvážnejšie riziká pre osud eurozóny, mierne</w:t>
      </w:r>
      <w:r>
        <w:rPr>
          <w:rFonts w:ascii="Times New Roman" w:hAnsi="Times New Roman"/>
          <w:bCs/>
        </w:rPr>
        <w:t xml:space="preserve"> </w:t>
      </w:r>
      <w:r w:rsidRPr="00083CF3">
        <w:rPr>
          <w:rFonts w:ascii="Times New Roman" w:hAnsi="Times New Roman"/>
          <w:bCs/>
        </w:rPr>
        <w:t>poklesli a dostali sa ku 5,5</w:t>
      </w:r>
      <w:r w:rsidR="00FD21AA">
        <w:rPr>
          <w:rFonts w:ascii="Times New Roman" w:hAnsi="Times New Roman"/>
          <w:bCs/>
        </w:rPr>
        <w:t xml:space="preserve"> </w:t>
      </w:r>
      <w:r w:rsidRPr="00083CF3">
        <w:rPr>
          <w:rFonts w:ascii="Times New Roman" w:hAnsi="Times New Roman"/>
          <w:bCs/>
        </w:rPr>
        <w:t>% v prípade Španielska a 5,0</w:t>
      </w:r>
      <w:r w:rsidR="00FD21AA">
        <w:rPr>
          <w:rFonts w:ascii="Times New Roman" w:hAnsi="Times New Roman"/>
          <w:bCs/>
        </w:rPr>
        <w:t xml:space="preserve"> </w:t>
      </w:r>
      <w:r w:rsidRPr="00083CF3">
        <w:rPr>
          <w:rFonts w:ascii="Times New Roman" w:hAnsi="Times New Roman"/>
          <w:bCs/>
        </w:rPr>
        <w:t>% pri Taliansku. Z dlhodobého hľadiska však výnosy</w:t>
      </w:r>
      <w:r>
        <w:rPr>
          <w:rFonts w:ascii="Times New Roman" w:hAnsi="Times New Roman"/>
          <w:bCs/>
        </w:rPr>
        <w:t xml:space="preserve"> </w:t>
      </w:r>
      <w:r w:rsidR="000A7BDB">
        <w:rPr>
          <w:rFonts w:ascii="Times New Roman" w:hAnsi="Times New Roman"/>
          <w:bCs/>
        </w:rPr>
        <w:t xml:space="preserve">Španielska </w:t>
      </w:r>
      <w:r w:rsidRPr="00083CF3">
        <w:rPr>
          <w:rFonts w:ascii="Times New Roman" w:hAnsi="Times New Roman"/>
          <w:bCs/>
        </w:rPr>
        <w:t xml:space="preserve">a </w:t>
      </w:r>
      <w:r w:rsidR="000A7BDB">
        <w:rPr>
          <w:rFonts w:ascii="Times New Roman" w:hAnsi="Times New Roman"/>
          <w:bCs/>
        </w:rPr>
        <w:t>Talianska</w:t>
      </w:r>
      <w:r w:rsidRPr="00083CF3">
        <w:rPr>
          <w:rFonts w:ascii="Times New Roman" w:hAnsi="Times New Roman"/>
          <w:bCs/>
        </w:rPr>
        <w:t xml:space="preserve"> predstavujú iba miernu úpravu a výnosy sú naďalej na rizikovo vysokých úrovniach. Napriek</w:t>
      </w:r>
      <w:r>
        <w:rPr>
          <w:rFonts w:ascii="Times New Roman" w:hAnsi="Times New Roman"/>
          <w:bCs/>
        </w:rPr>
        <w:t xml:space="preserve"> </w:t>
      </w:r>
      <w:r w:rsidRPr="00083CF3">
        <w:rPr>
          <w:rFonts w:ascii="Times New Roman" w:hAnsi="Times New Roman"/>
          <w:bCs/>
        </w:rPr>
        <w:t>čiastočnému upokojeniu situácie na finančných trhoch, hodnotíme posledný vývoj len ako zmiernenie</w:t>
      </w:r>
      <w:r>
        <w:rPr>
          <w:rFonts w:ascii="Times New Roman" w:hAnsi="Times New Roman"/>
          <w:bCs/>
        </w:rPr>
        <w:t xml:space="preserve"> negatívneho rizika</w:t>
      </w:r>
      <w:r w:rsidRPr="00083CF3">
        <w:rPr>
          <w:rFonts w:ascii="Times New Roman" w:hAnsi="Times New Roman"/>
          <w:bCs/>
        </w:rPr>
        <w:t>.</w:t>
      </w:r>
      <w:r w:rsidRPr="00D9016E">
        <w:rPr>
          <w:rFonts w:ascii="Times New Roman" w:hAnsi="Times New Roman"/>
          <w:bCs/>
        </w:rPr>
        <w:t xml:space="preserve"> </w:t>
      </w:r>
      <w:r>
        <w:rPr>
          <w:rFonts w:ascii="Times New Roman" w:hAnsi="Times New Roman"/>
          <w:bCs/>
        </w:rPr>
        <w:t>Opätovné</w:t>
      </w:r>
      <w:r w:rsidRPr="00D9016E">
        <w:rPr>
          <w:rFonts w:ascii="Times New Roman" w:hAnsi="Times New Roman"/>
          <w:bCs/>
        </w:rPr>
        <w:t xml:space="preserve"> zhoršenie tejto situácie by mohlo zintenzívniť jej prelievanie do reálnej ekonomiky a situácia na finančných trhoch preto predstavuje </w:t>
      </w:r>
      <w:r>
        <w:rPr>
          <w:rFonts w:ascii="Times New Roman" w:hAnsi="Times New Roman"/>
          <w:bCs/>
        </w:rPr>
        <w:t xml:space="preserve">i naďalej </w:t>
      </w:r>
      <w:r w:rsidRPr="00D9016E">
        <w:rPr>
          <w:rFonts w:ascii="Times New Roman" w:hAnsi="Times New Roman"/>
          <w:bCs/>
        </w:rPr>
        <w:t xml:space="preserve">negatívne </w:t>
      </w:r>
      <w:r>
        <w:rPr>
          <w:rFonts w:ascii="Times New Roman" w:hAnsi="Times New Roman"/>
          <w:bCs/>
        </w:rPr>
        <w:t xml:space="preserve">riziko </w:t>
      </w:r>
      <w:r w:rsidRPr="00D9016E">
        <w:rPr>
          <w:rFonts w:ascii="Times New Roman" w:hAnsi="Times New Roman"/>
          <w:bCs/>
        </w:rPr>
        <w:t>makroekonomického vývoja.</w:t>
      </w:r>
    </w:p>
    <w:p w:rsidR="00A754D9" w:rsidRPr="00D268A1" w:rsidP="00A754D9">
      <w:pPr>
        <w:bidi w:val="0"/>
        <w:ind w:firstLine="708"/>
        <w:jc w:val="both"/>
        <w:rPr>
          <w:rFonts w:ascii="Times New Roman" w:hAnsi="Times New Roman"/>
          <w:highlight w:val="yellow"/>
        </w:rPr>
      </w:pPr>
    </w:p>
    <w:p w:rsidR="00A754D9" w:rsidRPr="00142093" w:rsidP="00A754D9">
      <w:pPr>
        <w:bidi w:val="0"/>
        <w:ind w:firstLine="708"/>
        <w:jc w:val="both"/>
        <w:rPr>
          <w:rFonts w:ascii="Times New Roman" w:hAnsi="Times New Roman"/>
          <w:bCs/>
        </w:rPr>
      </w:pPr>
      <w:r>
        <w:rPr>
          <w:rFonts w:ascii="Times New Roman" w:hAnsi="Times New Roman"/>
          <w:bCs/>
        </w:rPr>
        <w:t>Slovenská ekonomika si v druhom kvartáli tohto roka polepšila o 0,7</w:t>
      </w:r>
      <w:r w:rsidR="00FD21AA">
        <w:rPr>
          <w:rFonts w:ascii="Times New Roman" w:hAnsi="Times New Roman"/>
          <w:bCs/>
        </w:rPr>
        <w:t xml:space="preserve"> </w:t>
      </w:r>
      <w:r>
        <w:rPr>
          <w:rFonts w:ascii="Times New Roman" w:hAnsi="Times New Roman"/>
          <w:bCs/>
        </w:rPr>
        <w:t>% a v rebríčku najrýchlejšie rastúcich ekonomík eurozóny skončila na prvom mieste. Ekonomický r</w:t>
      </w:r>
      <w:r w:rsidRPr="00142093">
        <w:rPr>
          <w:rFonts w:ascii="Times New Roman" w:hAnsi="Times New Roman"/>
          <w:bCs/>
        </w:rPr>
        <w:t>ast bol totiž ťahaný výlučne čistým exportom, ktorému výrazn</w:t>
      </w:r>
      <w:r>
        <w:rPr>
          <w:rFonts w:ascii="Times New Roman" w:hAnsi="Times New Roman"/>
          <w:bCs/>
        </w:rPr>
        <w:t>e pomohol najmä rastúci export á</w:t>
      </w:r>
      <w:r w:rsidRPr="00142093">
        <w:rPr>
          <w:rFonts w:ascii="Times New Roman" w:hAnsi="Times New Roman"/>
          <w:bCs/>
        </w:rPr>
        <w:t>ut podporený spustením novej výroby v automobilovom priemysle. Domáci</w:t>
      </w:r>
      <w:r>
        <w:rPr>
          <w:rFonts w:ascii="Times New Roman" w:hAnsi="Times New Roman"/>
          <w:bCs/>
        </w:rPr>
        <w:t xml:space="preserve"> dopyt zostá</w:t>
      </w:r>
      <w:r w:rsidRPr="00142093">
        <w:rPr>
          <w:rFonts w:ascii="Times New Roman" w:hAnsi="Times New Roman"/>
          <w:bCs/>
        </w:rPr>
        <w:t>va aj naďalej v útlme. Slovenské domácnosti boli vo svojich výdavkoch aj naďalej</w:t>
      </w:r>
      <w:r>
        <w:rPr>
          <w:rFonts w:ascii="Times New Roman" w:hAnsi="Times New Roman"/>
          <w:bCs/>
        </w:rPr>
        <w:t xml:space="preserve"> opatrné</w:t>
      </w:r>
      <w:r w:rsidRPr="00142093">
        <w:rPr>
          <w:rFonts w:ascii="Times New Roman" w:hAnsi="Times New Roman"/>
          <w:bCs/>
        </w:rPr>
        <w:t>, keď ich spotreba</w:t>
      </w:r>
      <w:r w:rsidR="00FD21AA">
        <w:rPr>
          <w:rFonts w:ascii="Times New Roman" w:hAnsi="Times New Roman"/>
          <w:bCs/>
        </w:rPr>
        <w:t xml:space="preserve"> reálne poklesla medziročne o 0,</w:t>
      </w:r>
      <w:r w:rsidRPr="00142093">
        <w:rPr>
          <w:rFonts w:ascii="Times New Roman" w:hAnsi="Times New Roman"/>
          <w:bCs/>
        </w:rPr>
        <w:t>3</w:t>
      </w:r>
      <w:r w:rsidR="00FD21AA">
        <w:rPr>
          <w:rFonts w:ascii="Times New Roman" w:hAnsi="Times New Roman"/>
          <w:bCs/>
        </w:rPr>
        <w:t xml:space="preserve"> </w:t>
      </w:r>
      <w:r w:rsidRPr="00142093">
        <w:rPr>
          <w:rFonts w:ascii="Times New Roman" w:hAnsi="Times New Roman"/>
          <w:bCs/>
        </w:rPr>
        <w:t xml:space="preserve">%. </w:t>
      </w:r>
      <w:r>
        <w:rPr>
          <w:rFonts w:ascii="Times New Roman" w:hAnsi="Times New Roman"/>
          <w:bCs/>
        </w:rPr>
        <w:t xml:space="preserve">Miera úspor sa oproti predchádzajúcim kvartálom aj napriek </w:t>
      </w:r>
      <w:r w:rsidRPr="00142093">
        <w:rPr>
          <w:rFonts w:ascii="Times New Roman" w:hAnsi="Times New Roman"/>
          <w:bCs/>
        </w:rPr>
        <w:t xml:space="preserve">poklesu reálnych príjmov </w:t>
      </w:r>
      <w:r>
        <w:rPr>
          <w:rFonts w:ascii="Times New Roman" w:hAnsi="Times New Roman"/>
          <w:bCs/>
        </w:rPr>
        <w:t>zvýšila</w:t>
      </w:r>
      <w:r w:rsidRPr="00142093">
        <w:rPr>
          <w:rFonts w:ascii="Times New Roman" w:hAnsi="Times New Roman"/>
          <w:bCs/>
        </w:rPr>
        <w:t>. Neistota spojená s nižšou mierou investovania pretrváva aj u firiem. Investície reálne oproti druhému kvartálu minulého roka poklesli o</w:t>
      </w:r>
      <w:r w:rsidR="00FD21AA">
        <w:rPr>
          <w:rFonts w:ascii="Times New Roman" w:hAnsi="Times New Roman"/>
          <w:bCs/>
        </w:rPr>
        <w:t> </w:t>
      </w:r>
      <w:r w:rsidRPr="00142093">
        <w:rPr>
          <w:rFonts w:ascii="Times New Roman" w:hAnsi="Times New Roman"/>
          <w:bCs/>
        </w:rPr>
        <w:t>1</w:t>
      </w:r>
      <w:r w:rsidR="00FD21AA">
        <w:rPr>
          <w:rFonts w:ascii="Times New Roman" w:hAnsi="Times New Roman"/>
          <w:bCs/>
        </w:rPr>
        <w:t>,</w:t>
      </w:r>
      <w:r w:rsidRPr="00142093">
        <w:rPr>
          <w:rFonts w:ascii="Times New Roman" w:hAnsi="Times New Roman"/>
          <w:bCs/>
        </w:rPr>
        <w:t>1</w:t>
      </w:r>
      <w:r w:rsidR="00FD21AA">
        <w:rPr>
          <w:rFonts w:ascii="Times New Roman" w:hAnsi="Times New Roman"/>
          <w:bCs/>
        </w:rPr>
        <w:t xml:space="preserve"> </w:t>
      </w:r>
      <w:r w:rsidRPr="00142093">
        <w:rPr>
          <w:rFonts w:ascii="Times New Roman" w:hAnsi="Times New Roman"/>
          <w:bCs/>
        </w:rPr>
        <w:t xml:space="preserve">%. Hlavným negatívnym faktorom bolo stavebníctvo, kde sa produkcia medziročne prepadla </w:t>
      </w:r>
      <w:r>
        <w:rPr>
          <w:rFonts w:ascii="Times New Roman" w:hAnsi="Times New Roman"/>
          <w:bCs/>
        </w:rPr>
        <w:t xml:space="preserve">o viac ako </w:t>
      </w:r>
      <w:r w:rsidRPr="00142093">
        <w:rPr>
          <w:rFonts w:ascii="Times New Roman" w:hAnsi="Times New Roman"/>
          <w:bCs/>
        </w:rPr>
        <w:t>12</w:t>
      </w:r>
      <w:r w:rsidR="00FD21AA">
        <w:rPr>
          <w:rFonts w:ascii="Times New Roman" w:hAnsi="Times New Roman"/>
          <w:bCs/>
        </w:rPr>
        <w:t xml:space="preserve"> </w:t>
      </w:r>
      <w:r w:rsidRPr="00142093">
        <w:rPr>
          <w:rFonts w:ascii="Times New Roman" w:hAnsi="Times New Roman"/>
          <w:bCs/>
        </w:rPr>
        <w:t>%. K poklesu domáceho dopytu prispela aj verejná</w:t>
      </w:r>
      <w:r>
        <w:rPr>
          <w:rFonts w:ascii="Times New Roman" w:hAnsi="Times New Roman"/>
          <w:bCs/>
        </w:rPr>
        <w:t xml:space="preserve"> sprá</w:t>
      </w:r>
      <w:r w:rsidRPr="00142093">
        <w:rPr>
          <w:rFonts w:ascii="Times New Roman" w:hAnsi="Times New Roman"/>
          <w:bCs/>
        </w:rPr>
        <w:t>va, ktorej spotreba sa v súlade</w:t>
      </w:r>
      <w:r>
        <w:rPr>
          <w:rFonts w:ascii="Times New Roman" w:hAnsi="Times New Roman"/>
          <w:bCs/>
        </w:rPr>
        <w:t xml:space="preserve"> s prebiehajúci</w:t>
      </w:r>
      <w:r w:rsidRPr="00142093">
        <w:rPr>
          <w:rFonts w:ascii="Times New Roman" w:hAnsi="Times New Roman"/>
          <w:bCs/>
        </w:rPr>
        <w:t xml:space="preserve">mi fiškálnymi opatreniami medziročne znížila </w:t>
      </w:r>
      <w:r w:rsidR="00FD21AA">
        <w:rPr>
          <w:rFonts w:ascii="Times New Roman" w:hAnsi="Times New Roman"/>
          <w:bCs/>
        </w:rPr>
        <w:br/>
      </w:r>
      <w:r w:rsidRPr="00142093">
        <w:rPr>
          <w:rFonts w:ascii="Times New Roman" w:hAnsi="Times New Roman"/>
          <w:bCs/>
        </w:rPr>
        <w:t>o</w:t>
      </w:r>
      <w:r w:rsidR="00FD21AA">
        <w:rPr>
          <w:rFonts w:ascii="Times New Roman" w:hAnsi="Times New Roman"/>
          <w:bCs/>
        </w:rPr>
        <w:t> </w:t>
      </w:r>
      <w:r w:rsidRPr="00142093">
        <w:rPr>
          <w:rFonts w:ascii="Times New Roman" w:hAnsi="Times New Roman"/>
          <w:bCs/>
        </w:rPr>
        <w:t>2</w:t>
      </w:r>
      <w:r w:rsidR="00FD21AA">
        <w:rPr>
          <w:rFonts w:ascii="Times New Roman" w:hAnsi="Times New Roman"/>
          <w:bCs/>
        </w:rPr>
        <w:t>,</w:t>
      </w:r>
      <w:r w:rsidRPr="00142093">
        <w:rPr>
          <w:rFonts w:ascii="Times New Roman" w:hAnsi="Times New Roman"/>
          <w:bCs/>
        </w:rPr>
        <w:t>1</w:t>
      </w:r>
      <w:r w:rsidR="00FD21AA">
        <w:rPr>
          <w:rFonts w:ascii="Times New Roman" w:hAnsi="Times New Roman"/>
          <w:bCs/>
        </w:rPr>
        <w:t xml:space="preserve"> </w:t>
      </w:r>
      <w:r w:rsidRPr="00142093">
        <w:rPr>
          <w:rFonts w:ascii="Times New Roman" w:hAnsi="Times New Roman"/>
          <w:bCs/>
        </w:rPr>
        <w:t xml:space="preserve">%. </w:t>
      </w:r>
    </w:p>
    <w:p w:rsidR="00A754D9" w:rsidP="00A754D9">
      <w:pPr>
        <w:bidi w:val="0"/>
        <w:jc w:val="both"/>
        <w:rPr>
          <w:rFonts w:ascii="Times New Roman" w:hAnsi="Times New Roman"/>
          <w:bCs/>
        </w:rPr>
      </w:pPr>
    </w:p>
    <w:p w:rsidR="00A754D9" w:rsidRPr="00E93BD1" w:rsidP="00A754D9">
      <w:pPr>
        <w:bidi w:val="0"/>
        <w:jc w:val="both"/>
        <w:rPr>
          <w:rFonts w:ascii="Times New Roman" w:hAnsi="Times New Roman"/>
          <w:bCs/>
        </w:rPr>
      </w:pPr>
      <w:r>
        <w:rPr>
          <w:rFonts w:ascii="Times New Roman" w:hAnsi="Times New Roman"/>
          <w:bCs/>
        </w:rPr>
        <w:tab/>
        <w:t>V roku 2012 by slovenská ekonomika mala vzrásť o 2,5</w:t>
      </w:r>
      <w:r w:rsidR="00FD21AA">
        <w:rPr>
          <w:rFonts w:ascii="Times New Roman" w:hAnsi="Times New Roman"/>
          <w:bCs/>
        </w:rPr>
        <w:t xml:space="preserve"> </w:t>
      </w:r>
      <w:r>
        <w:rPr>
          <w:rFonts w:ascii="Times New Roman" w:hAnsi="Times New Roman"/>
          <w:bCs/>
        </w:rPr>
        <w:t>%. Po predchádzajúcom silnom polroku sa v nasledujúcich štvrťrokoch očakáva výrazné spomalenie ekonomickej aktivity ako aj zahraničného dopytu spojené s prehlbujúcou sa dlhovou krízou. Spomalenie zahraničného dopytu naznačujú klesajúce indikátory dôvery na Slovensku aj v zahraničí. Rast HDP v roku 2013 sa spomalí na úroveň 2,1</w:t>
      </w:r>
      <w:r w:rsidR="00FD21AA">
        <w:rPr>
          <w:rFonts w:ascii="Times New Roman" w:hAnsi="Times New Roman"/>
          <w:bCs/>
        </w:rPr>
        <w:t xml:space="preserve"> </w:t>
      </w:r>
      <w:r w:rsidR="003139A6">
        <w:rPr>
          <w:rFonts w:ascii="Times New Roman" w:hAnsi="Times New Roman"/>
          <w:bCs/>
        </w:rPr>
        <w:t xml:space="preserve">%, a to vrátane negatívneho vplyvu fiškálnej konsolidácie len vo výške </w:t>
      </w:r>
      <w:r>
        <w:rPr>
          <w:rFonts w:ascii="Times New Roman" w:hAnsi="Times New Roman"/>
          <w:bCs/>
        </w:rPr>
        <w:t>0,5 p.</w:t>
      </w:r>
      <w:r w:rsidR="00FD21AA">
        <w:rPr>
          <w:rFonts w:ascii="Times New Roman" w:hAnsi="Times New Roman"/>
          <w:bCs/>
        </w:rPr>
        <w:t xml:space="preserve"> </w:t>
      </w:r>
      <w:r>
        <w:rPr>
          <w:rFonts w:ascii="Times New Roman" w:hAnsi="Times New Roman"/>
          <w:bCs/>
        </w:rPr>
        <w:t>b. Najväčší záporný vplyv šetriacich opatrení sa očakáva v prípade investícií a spotreby domácností. V nasledujúcich rokoch sa predpokladá zrýchlenie rastu ekonomiky tesne pod úroveň 4</w:t>
      </w:r>
      <w:r w:rsidR="00FD21AA">
        <w:rPr>
          <w:rFonts w:ascii="Times New Roman" w:hAnsi="Times New Roman"/>
          <w:bCs/>
        </w:rPr>
        <w:t xml:space="preserve"> </w:t>
      </w:r>
      <w:r>
        <w:rPr>
          <w:rFonts w:ascii="Times New Roman" w:hAnsi="Times New Roman"/>
          <w:bCs/>
        </w:rPr>
        <w:t xml:space="preserve">%. </w:t>
      </w:r>
    </w:p>
    <w:p w:rsidR="00A754D9" w:rsidRPr="00720470" w:rsidP="00A754D9">
      <w:pPr>
        <w:bidi w:val="0"/>
        <w:ind w:firstLine="708"/>
        <w:jc w:val="both"/>
        <w:rPr>
          <w:rFonts w:ascii="Times New Roman" w:hAnsi="Times New Roman"/>
        </w:rPr>
      </w:pPr>
    </w:p>
    <w:p w:rsidR="00A754D9" w:rsidRPr="008C424E" w:rsidP="00C20423">
      <w:pPr>
        <w:bidi w:val="0"/>
        <w:ind w:firstLine="708"/>
        <w:jc w:val="both"/>
        <w:rPr>
          <w:rFonts w:ascii="Times New Roman" w:hAnsi="Times New Roman"/>
          <w:bCs/>
        </w:rPr>
      </w:pPr>
      <w:r w:rsidRPr="008C424E">
        <w:rPr>
          <w:rFonts w:ascii="Times New Roman" w:hAnsi="Times New Roman"/>
          <w:bCs/>
        </w:rPr>
        <w:t>Oživenie na trhu práce by malo byť miernejšie. Neistota ohľadom budúceho vývoja v eurozóne a zníženie očakávaného rastu ekonomiky budú pôsobiť proti výraznejšiemu zvyšovaniu zamestnanosti. Pomalý rast ekonomiky bude v roku 2013 ťahaný skôr zvyšovaním produktivity práce ako zamestnávaním nových pracovníkov. Počet pracujúcich by mal v roku 2013 stúpnuť o 1,8 tisíc osôb (metodika ESA</w:t>
      </w:r>
      <w:r w:rsidR="00FD21AA">
        <w:rPr>
          <w:rFonts w:ascii="Times New Roman" w:hAnsi="Times New Roman"/>
          <w:bCs/>
        </w:rPr>
        <w:t xml:space="preserve"> </w:t>
      </w:r>
      <w:r w:rsidRPr="008C424E">
        <w:rPr>
          <w:rFonts w:ascii="Times New Roman" w:hAnsi="Times New Roman"/>
          <w:bCs/>
        </w:rPr>
        <w:t>95). Výraznejší rast zamestnanosti sa očakáva od roku 2014, kedy by zamestnanosť mala rásť o 0,7</w:t>
      </w:r>
      <w:r w:rsidR="00FD21AA">
        <w:rPr>
          <w:rFonts w:ascii="Times New Roman" w:hAnsi="Times New Roman"/>
          <w:bCs/>
        </w:rPr>
        <w:t xml:space="preserve"> </w:t>
      </w:r>
      <w:r w:rsidRPr="008C424E">
        <w:rPr>
          <w:rFonts w:ascii="Times New Roman" w:hAnsi="Times New Roman"/>
          <w:bCs/>
        </w:rPr>
        <w:t>%. Počet pracujúcich na Slovensku by sa mal už na konci prognózovaného obdobia v roku 2015 priblížiť k úrovniam predkrízového obdobia. Miera nezamestnanosti by mala v roku 2013 stagnovať na úrovni predchádzajúceho roka a postupne klesať k úrovni 13</w:t>
      </w:r>
      <w:r w:rsidR="00FD21AA">
        <w:rPr>
          <w:rFonts w:ascii="Times New Roman" w:hAnsi="Times New Roman"/>
          <w:bCs/>
        </w:rPr>
        <w:t xml:space="preserve"> </w:t>
      </w:r>
      <w:r w:rsidRPr="008C424E">
        <w:rPr>
          <w:rFonts w:ascii="Times New Roman" w:hAnsi="Times New Roman"/>
          <w:bCs/>
        </w:rPr>
        <w:t xml:space="preserve">% v roku 2015.       </w:t>
      </w:r>
    </w:p>
    <w:p w:rsidR="00A754D9" w:rsidP="00A754D9">
      <w:pPr>
        <w:bidi w:val="0"/>
        <w:ind w:firstLine="708"/>
        <w:jc w:val="both"/>
        <w:rPr>
          <w:rFonts w:ascii="Times New Roman" w:hAnsi="Times New Roman"/>
        </w:rPr>
      </w:pPr>
    </w:p>
    <w:p w:rsidR="00A754D9" w:rsidP="00C20423">
      <w:pPr>
        <w:bidi w:val="0"/>
        <w:ind w:firstLine="708"/>
        <w:jc w:val="both"/>
        <w:rPr>
          <w:rFonts w:ascii="Times New Roman" w:hAnsi="Times New Roman"/>
        </w:rPr>
      </w:pPr>
      <w:r w:rsidRPr="00AA0ABD">
        <w:rPr>
          <w:rFonts w:ascii="Times New Roman" w:hAnsi="Times New Roman"/>
        </w:rPr>
        <w:t>Zamestnávatelia v snahe znižovať náklady, zvyšovali mzdy pomalšie a krátili vyplácanie odmien. Vplyv neistoty a slabšieho dopytu by sa mal na mzdách prejaviť aj v prvej polovici roka 2013. Mzdy by mali v budúcom roku rásť pomalšie než sa predpokladalo v júnovej prognóze najmä vplyvom zhoršených očakávaní. Rast miezd by však mal byť vyšší ako v roku 2012. Priemerná hodnota nominálnej mzdy v tomto roku dosiahne hodnotu 832 eur, čo predstavuje rast mesačnej priemernej mzdy o 27,6 eur. Od roku 2013 by sa na vyššom raste miezd v súkromnom sektore mal postupne čoraz viac prejavovať rast produktivity práce a mzda by sa mala zvyšovať rýchlejším tempom. Reálna mzda by už v roku 2013 mala stúpnuť o 0,4</w:t>
      </w:r>
      <w:r w:rsidR="00FD21AA">
        <w:rPr>
          <w:rFonts w:ascii="Times New Roman" w:hAnsi="Times New Roman"/>
        </w:rPr>
        <w:t xml:space="preserve"> </w:t>
      </w:r>
      <w:r w:rsidRPr="00AA0ABD">
        <w:rPr>
          <w:rFonts w:ascii="Times New Roman" w:hAnsi="Times New Roman"/>
        </w:rPr>
        <w:t xml:space="preserve">%. Od roku 2014 by mala reálna mzda rásť v priemere </w:t>
      </w:r>
      <w:r w:rsidR="00FD21AA">
        <w:rPr>
          <w:rFonts w:ascii="Times New Roman" w:hAnsi="Times New Roman"/>
        </w:rPr>
        <w:br/>
      </w:r>
      <w:r w:rsidRPr="00AA0ABD">
        <w:rPr>
          <w:rFonts w:ascii="Times New Roman" w:hAnsi="Times New Roman"/>
        </w:rPr>
        <w:t>o 2,4</w:t>
      </w:r>
      <w:r w:rsidR="00FD21AA">
        <w:rPr>
          <w:rFonts w:ascii="Times New Roman" w:hAnsi="Times New Roman"/>
        </w:rPr>
        <w:t xml:space="preserve"> </w:t>
      </w:r>
      <w:r w:rsidRPr="00AA0ABD">
        <w:rPr>
          <w:rFonts w:ascii="Times New Roman" w:hAnsi="Times New Roman"/>
        </w:rPr>
        <w:t xml:space="preserve">% ročne. </w:t>
      </w:r>
    </w:p>
    <w:p w:rsidR="00C20423" w:rsidRPr="00AA0ABD" w:rsidP="00C20423">
      <w:pPr>
        <w:bidi w:val="0"/>
        <w:ind w:left="142" w:firstLine="566"/>
        <w:jc w:val="both"/>
        <w:rPr>
          <w:rFonts w:ascii="Times New Roman" w:hAnsi="Times New Roman"/>
        </w:rPr>
      </w:pPr>
      <w:r>
        <w:rPr>
          <w:rFonts w:ascii="Times New Roman" w:hAnsi="Times New Roman"/>
        </w:rPr>
        <w:t xml:space="preserve"> </w:t>
      </w:r>
    </w:p>
    <w:p w:rsidR="00A754D9" w:rsidP="00C20423">
      <w:pPr>
        <w:bidi w:val="0"/>
        <w:ind w:firstLine="708"/>
        <w:jc w:val="both"/>
        <w:rPr>
          <w:rFonts w:ascii="Times New Roman" w:hAnsi="Times New Roman"/>
        </w:rPr>
      </w:pPr>
      <w:r w:rsidRPr="00720470">
        <w:rPr>
          <w:rFonts w:ascii="Times New Roman" w:hAnsi="Times New Roman"/>
        </w:rPr>
        <w:t xml:space="preserve">Po </w:t>
      </w:r>
      <w:r>
        <w:rPr>
          <w:rFonts w:ascii="Times New Roman" w:hAnsi="Times New Roman"/>
        </w:rPr>
        <w:t>relatívne vysokej</w:t>
      </w:r>
      <w:r w:rsidRPr="00720470">
        <w:rPr>
          <w:rFonts w:ascii="Times New Roman" w:hAnsi="Times New Roman"/>
        </w:rPr>
        <w:t xml:space="preserve"> inflácii v roku 2011 spôsobenej prevažne nákladovými faktormi (potraviny, ropa) a dopadom príjmových opatrení fiškálnej konsolidácie </w:t>
      </w:r>
      <w:r>
        <w:rPr>
          <w:rFonts w:ascii="Times New Roman" w:hAnsi="Times New Roman"/>
        </w:rPr>
        <w:t xml:space="preserve">sa </w:t>
      </w:r>
      <w:r w:rsidRPr="00720470">
        <w:rPr>
          <w:rFonts w:ascii="Times New Roman" w:hAnsi="Times New Roman"/>
        </w:rPr>
        <w:t xml:space="preserve">rast cien v roku 2012 </w:t>
      </w:r>
      <w:r>
        <w:rPr>
          <w:rFonts w:ascii="Times New Roman" w:hAnsi="Times New Roman"/>
        </w:rPr>
        <w:t>spomalí len mierne na 3,7</w:t>
      </w:r>
      <w:r w:rsidR="00FD21AA">
        <w:rPr>
          <w:rFonts w:ascii="Times New Roman" w:hAnsi="Times New Roman"/>
        </w:rPr>
        <w:t xml:space="preserve"> </w:t>
      </w:r>
      <w:r w:rsidRPr="00720470">
        <w:rPr>
          <w:rFonts w:ascii="Times New Roman" w:hAnsi="Times New Roman"/>
        </w:rPr>
        <w:t xml:space="preserve">%. Dôvodom </w:t>
      </w:r>
      <w:r>
        <w:rPr>
          <w:rFonts w:ascii="Times New Roman" w:hAnsi="Times New Roman"/>
        </w:rPr>
        <w:t>pretrvávania relatívne vysokej úrovne sú hlavne dlhodobo vysoké ceny ropy a očakávaný rast cien potravín. Ten by sa mal prejaviť predovšetkým na prelome rokov 2012 a 2013. Vzhľadom na očakávaný rast cien potravín sa očakávaná inflácia na rok 2013 oproti predchádzajúcej prognóze zvýšila na úroveň 3,1</w:t>
      </w:r>
      <w:r w:rsidR="00FD21AA">
        <w:rPr>
          <w:rFonts w:ascii="Times New Roman" w:hAnsi="Times New Roman"/>
        </w:rPr>
        <w:t xml:space="preserve"> </w:t>
      </w:r>
      <w:r>
        <w:rPr>
          <w:rFonts w:ascii="Times New Roman" w:hAnsi="Times New Roman"/>
        </w:rPr>
        <w:t>%. Pozitívnym rizikom je vývoj na trhoch s energetickými komoditami. Ceny energetických komodít (s výnimkou ropy) stagnujú prípadne klesajú. V roku 2013 preto neočakávame výrazný rast regulovaných cien ako v tomto roku. V období 2014</w:t>
      </w:r>
      <w:r w:rsidR="00FD21AA">
        <w:rPr>
          <w:rFonts w:ascii="Times New Roman" w:hAnsi="Times New Roman"/>
        </w:rPr>
        <w:t xml:space="preserve"> a </w:t>
      </w:r>
      <w:r>
        <w:rPr>
          <w:rFonts w:ascii="Times New Roman" w:hAnsi="Times New Roman"/>
        </w:rPr>
        <w:t xml:space="preserve">2015 očakávame stabilizáciu tempa rastu v medziročnom vyjadrení </w:t>
      </w:r>
      <w:r w:rsidR="00FD21AA">
        <w:rPr>
          <w:rFonts w:ascii="Times New Roman" w:hAnsi="Times New Roman"/>
        </w:rPr>
        <w:t>mierne</w:t>
      </w:r>
      <w:r>
        <w:rPr>
          <w:rFonts w:ascii="Times New Roman" w:hAnsi="Times New Roman"/>
        </w:rPr>
        <w:t xml:space="preserve"> nad úrovňou 2</w:t>
      </w:r>
      <w:r w:rsidR="00FD21AA">
        <w:rPr>
          <w:rFonts w:ascii="Times New Roman" w:hAnsi="Times New Roman"/>
        </w:rPr>
        <w:t xml:space="preserve"> </w:t>
      </w:r>
      <w:r>
        <w:rPr>
          <w:rFonts w:ascii="Times New Roman" w:hAnsi="Times New Roman"/>
        </w:rPr>
        <w:t xml:space="preserve">%. Otáznou ostáva rýchlosť nominálnej konvergencie, ktorá by v prípade pozitívneho vývoja v krajinách EÚ mohla vyvolať silnejšie tlaky na domácu úroveň inflácie.  </w:t>
      </w:r>
    </w:p>
    <w:p w:rsidR="009F0105" w:rsidP="00C20423">
      <w:pPr>
        <w:bidi w:val="0"/>
        <w:ind w:firstLine="708"/>
        <w:jc w:val="both"/>
        <w:rPr>
          <w:rFonts w:ascii="Times New Roman" w:hAnsi="Times New Roman"/>
        </w:rPr>
      </w:pPr>
    </w:p>
    <w:p w:rsidR="009F0105" w:rsidP="00C20423">
      <w:pPr>
        <w:bidi w:val="0"/>
        <w:ind w:firstLine="708"/>
        <w:jc w:val="both"/>
        <w:rPr>
          <w:rFonts w:ascii="Times New Roman" w:hAnsi="Times New Roman"/>
        </w:rPr>
      </w:pPr>
    </w:p>
    <w:p w:rsidR="00A754D9" w:rsidP="00A754D9">
      <w:pPr>
        <w:bidi w:val="0"/>
        <w:ind w:firstLine="708"/>
        <w:jc w:val="both"/>
        <w:rPr>
          <w:rFonts w:ascii="Times New Roman" w:hAnsi="Times New Roman"/>
        </w:rPr>
      </w:pPr>
    </w:p>
    <w:tbl>
      <w:tblPr>
        <w:tblStyle w:val="TableNormal"/>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44"/>
        <w:gridCol w:w="3524"/>
        <w:gridCol w:w="709"/>
        <w:gridCol w:w="992"/>
        <w:gridCol w:w="709"/>
        <w:gridCol w:w="850"/>
        <w:gridCol w:w="709"/>
        <w:gridCol w:w="709"/>
      </w:tblGrid>
      <w:tr>
        <w:tblPrEx>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315"/>
        </w:trPr>
        <w:tc>
          <w:tcPr>
            <w:tcW w:w="8946" w:type="dxa"/>
            <w:gridSpan w:val="8"/>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754D9" w:rsidRPr="00FB0A72" w:rsidP="00313E01">
            <w:pPr>
              <w:bidi w:val="0"/>
              <w:rPr>
                <w:rFonts w:ascii="Times New Roman" w:hAnsi="Times New Roman" w:cs="Times New Roman"/>
                <w:b/>
                <w:bCs/>
                <w:sz w:val="14"/>
                <w:szCs w:val="14"/>
                <w:lang w:eastAsia="sk-SK"/>
              </w:rPr>
            </w:pPr>
            <w:r w:rsidRPr="00FB0A72">
              <w:rPr>
                <w:rFonts w:ascii="Times New Roman" w:hAnsi="Times New Roman" w:cs="Times New Roman"/>
                <w:b/>
                <w:bCs/>
                <w:sz w:val="14"/>
                <w:szCs w:val="14"/>
                <w:lang w:eastAsia="sk-SK"/>
              </w:rPr>
              <w:t> Prognóza vybraných indikátorov vývoja ekonomiky SR (september 2012)</w:t>
            </w:r>
          </w:p>
        </w:tc>
      </w:tr>
      <w:tr>
        <w:tblPrEx>
          <w:tblW w:w="8946" w:type="dxa"/>
          <w:tblInd w:w="55" w:type="dxa"/>
          <w:tblLayout w:type="fixed"/>
          <w:tblCellMar>
            <w:left w:w="70" w:type="dxa"/>
            <w:right w:w="70" w:type="dxa"/>
          </w:tblCellMar>
          <w:tblLook w:val="04A0"/>
        </w:tblPrEx>
        <w:trPr>
          <w:trHeight w:val="315"/>
        </w:trPr>
        <w:tc>
          <w:tcPr>
            <w:tcW w:w="744"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754D9" w:rsidRPr="00FB0A72" w:rsidP="00FB0A72">
            <w:pPr>
              <w:bidi w:val="0"/>
              <w:rPr>
                <w:rFonts w:ascii="Times New Roman" w:hAnsi="Times New Roman" w:cs="Times New Roman"/>
                <w:b/>
                <w:bCs/>
                <w:color w:val="000000"/>
                <w:sz w:val="14"/>
                <w:szCs w:val="14"/>
                <w:lang w:eastAsia="sk-SK"/>
              </w:rPr>
            </w:pPr>
            <w:r w:rsidRPr="00FB0A72">
              <w:rPr>
                <w:rFonts w:ascii="Times New Roman" w:hAnsi="Times New Roman" w:cs="Times New Roman"/>
                <w:b/>
                <w:bCs/>
                <w:color w:val="000000"/>
                <w:sz w:val="14"/>
                <w:szCs w:val="14"/>
                <w:lang w:eastAsia="sk-SK"/>
              </w:rPr>
              <w:t>P.</w:t>
            </w:r>
            <w:r w:rsidR="00FB0A72">
              <w:rPr>
                <w:rFonts w:ascii="Times New Roman" w:hAnsi="Times New Roman" w:cs="Times New Roman"/>
                <w:b/>
                <w:bCs/>
                <w:color w:val="000000"/>
                <w:sz w:val="14"/>
                <w:szCs w:val="14"/>
                <w:lang w:eastAsia="sk-SK"/>
              </w:rPr>
              <w:t xml:space="preserve"> </w:t>
            </w:r>
            <w:r w:rsidRPr="00FB0A72">
              <w:rPr>
                <w:rFonts w:ascii="Times New Roman" w:hAnsi="Times New Roman" w:cs="Times New Roman"/>
                <w:b/>
                <w:bCs/>
                <w:color w:val="000000"/>
                <w:sz w:val="14"/>
                <w:szCs w:val="14"/>
                <w:lang w:eastAsia="sk-SK"/>
              </w:rPr>
              <w:t>č.</w:t>
            </w:r>
          </w:p>
        </w:tc>
        <w:tc>
          <w:tcPr>
            <w:tcW w:w="3524"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754D9" w:rsidRPr="00FB0A72" w:rsidP="00FB0A72">
            <w:pPr>
              <w:bidi w:val="0"/>
              <w:rPr>
                <w:rFonts w:ascii="Times New Roman" w:hAnsi="Times New Roman" w:cs="Times New Roman"/>
                <w:b/>
                <w:bCs/>
                <w:color w:val="000000"/>
                <w:sz w:val="14"/>
                <w:szCs w:val="14"/>
                <w:lang w:eastAsia="sk-SK"/>
              </w:rPr>
            </w:pPr>
            <w:r w:rsidRPr="00FB0A72">
              <w:rPr>
                <w:rFonts w:ascii="Times New Roman" w:hAnsi="Times New Roman" w:cs="Times New Roman"/>
                <w:b/>
                <w:bCs/>
                <w:color w:val="000000"/>
                <w:sz w:val="14"/>
                <w:szCs w:val="14"/>
                <w:lang w:eastAsia="sk-SK"/>
              </w:rPr>
              <w:t>Ukazovateľ</w:t>
            </w:r>
          </w:p>
        </w:tc>
        <w:tc>
          <w:tcPr>
            <w:tcW w:w="70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754D9" w:rsidRPr="00FB0A72" w:rsidP="00313E01">
            <w:pPr>
              <w:bidi w:val="0"/>
              <w:jc w:val="center"/>
              <w:rPr>
                <w:rFonts w:ascii="Times New Roman" w:hAnsi="Times New Roman" w:cs="Times New Roman"/>
                <w:b/>
                <w:bCs/>
                <w:color w:val="000000"/>
                <w:sz w:val="14"/>
                <w:szCs w:val="14"/>
                <w:lang w:eastAsia="sk-SK"/>
              </w:rPr>
            </w:pPr>
            <w:r w:rsidRPr="00FB0A72">
              <w:rPr>
                <w:rFonts w:ascii="Times New Roman" w:hAnsi="Times New Roman" w:cs="Times New Roman"/>
                <w:b/>
                <w:bCs/>
                <w:color w:val="000000"/>
                <w:sz w:val="14"/>
                <w:szCs w:val="14"/>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A754D9" w:rsidRPr="00FB0A72" w:rsidP="00313E01">
            <w:pPr>
              <w:bidi w:val="0"/>
              <w:jc w:val="center"/>
              <w:rPr>
                <w:rFonts w:ascii="Times New Roman" w:hAnsi="Times New Roman" w:cs="Times New Roman"/>
                <w:b/>
                <w:bCs/>
                <w:color w:val="000000"/>
                <w:sz w:val="14"/>
                <w:szCs w:val="14"/>
                <w:lang w:eastAsia="sk-SK"/>
              </w:rPr>
            </w:pPr>
            <w:r w:rsidRPr="00FB0A72">
              <w:rPr>
                <w:rFonts w:ascii="Times New Roman" w:hAnsi="Times New Roman" w:cs="Times New Roman"/>
                <w:b/>
                <w:bCs/>
                <w:color w:val="000000"/>
                <w:sz w:val="14"/>
                <w:szCs w:val="14"/>
                <w:lang w:eastAsia="sk-SK"/>
              </w:rPr>
              <w:t>Skutočnosť</w:t>
            </w:r>
          </w:p>
        </w:tc>
        <w:tc>
          <w:tcPr>
            <w:tcW w:w="2977"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A754D9" w:rsidRPr="00FB0A72" w:rsidP="00313E01">
            <w:pPr>
              <w:bidi w:val="0"/>
              <w:jc w:val="center"/>
              <w:rPr>
                <w:rFonts w:ascii="Times New Roman" w:hAnsi="Times New Roman" w:cs="Times New Roman"/>
                <w:b/>
                <w:bCs/>
                <w:color w:val="000000"/>
                <w:sz w:val="14"/>
                <w:szCs w:val="14"/>
                <w:lang w:eastAsia="sk-SK"/>
              </w:rPr>
            </w:pPr>
            <w:r w:rsidRPr="00FB0A72">
              <w:rPr>
                <w:rFonts w:ascii="Times New Roman" w:hAnsi="Times New Roman" w:cs="Times New Roman"/>
                <w:b/>
                <w:bCs/>
                <w:color w:val="000000"/>
                <w:sz w:val="14"/>
                <w:szCs w:val="14"/>
                <w:lang w:eastAsia="sk-SK"/>
              </w:rPr>
              <w:t>Prognóza</w:t>
            </w:r>
          </w:p>
        </w:tc>
      </w:tr>
      <w:tr>
        <w:tblPrEx>
          <w:tblW w:w="8946" w:type="dxa"/>
          <w:tblInd w:w="55" w:type="dxa"/>
          <w:tblLayout w:type="fixed"/>
          <w:tblCellMar>
            <w:left w:w="70" w:type="dxa"/>
            <w:right w:w="70" w:type="dxa"/>
          </w:tblCellMar>
          <w:tblLook w:val="04A0"/>
        </w:tblPrEx>
        <w:trPr>
          <w:trHeight w:val="315"/>
        </w:trPr>
        <w:tc>
          <w:tcPr>
            <w:tcW w:w="744"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A754D9" w:rsidRPr="00FB0A72" w:rsidP="00313E01">
            <w:pPr>
              <w:bidi w:val="0"/>
              <w:rPr>
                <w:rFonts w:ascii="Times New Roman" w:hAnsi="Times New Roman" w:cs="Times New Roman"/>
                <w:b/>
                <w:bCs/>
                <w:color w:val="000000"/>
                <w:sz w:val="14"/>
                <w:szCs w:val="14"/>
                <w:lang w:eastAsia="sk-SK"/>
              </w:rPr>
            </w:pPr>
          </w:p>
        </w:tc>
        <w:tc>
          <w:tcPr>
            <w:tcW w:w="3524"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A754D9" w:rsidRPr="00FB0A72" w:rsidP="00313E01">
            <w:pPr>
              <w:bidi w:val="0"/>
              <w:rPr>
                <w:rFonts w:ascii="Times New Roman" w:hAnsi="Times New Roman" w:cs="Times New Roman"/>
                <w:b/>
                <w:bCs/>
                <w:color w:val="000000"/>
                <w:sz w:val="14"/>
                <w:szCs w:val="14"/>
                <w:lang w:eastAsia="sk-SK"/>
              </w:rPr>
            </w:pPr>
          </w:p>
        </w:tc>
        <w:tc>
          <w:tcPr>
            <w:tcW w:w="70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754D9" w:rsidRPr="00FB0A72" w:rsidP="00FB0A72">
            <w:pPr>
              <w:bidi w:val="0"/>
              <w:jc w:val="center"/>
              <w:rPr>
                <w:rFonts w:ascii="Times New Roman" w:hAnsi="Times New Roman" w:cs="Times New Roman"/>
                <w:b/>
                <w:bCs/>
                <w:color w:val="000000"/>
                <w:sz w:val="14"/>
                <w:szCs w:val="14"/>
                <w:lang w:eastAsia="sk-SK"/>
              </w:rPr>
            </w:pPr>
            <w:r w:rsidRPr="00FB0A72">
              <w:rPr>
                <w:rFonts w:ascii="Times New Roman" w:hAnsi="Times New Roman" w:cs="Times New Roman"/>
                <w:b/>
                <w:bCs/>
                <w:color w:val="000000"/>
                <w:sz w:val="14"/>
                <w:szCs w:val="14"/>
                <w:lang w:eastAsia="sk-SK"/>
              </w:rPr>
              <w:t>m.</w:t>
            </w:r>
            <w:r w:rsidR="00FB0A72">
              <w:rPr>
                <w:rFonts w:ascii="Times New Roman" w:hAnsi="Times New Roman" w:cs="Times New Roman"/>
                <w:b/>
                <w:bCs/>
                <w:color w:val="000000"/>
                <w:sz w:val="14"/>
                <w:szCs w:val="14"/>
                <w:lang w:eastAsia="sk-SK"/>
              </w:rPr>
              <w:t xml:space="preserve"> </w:t>
            </w:r>
            <w:r w:rsidRPr="00FB0A72">
              <w:rPr>
                <w:rFonts w:ascii="Times New Roman" w:hAnsi="Times New Roman" w:cs="Times New Roman"/>
                <w:b/>
                <w:bCs/>
                <w:color w:val="000000"/>
                <w:sz w:val="14"/>
                <w:szCs w:val="14"/>
                <w:lang w:eastAsia="sk-SK"/>
              </w:rPr>
              <w:t>j.</w:t>
            </w:r>
          </w:p>
        </w:tc>
        <w:tc>
          <w:tcPr>
            <w:tcW w:w="99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A754D9" w:rsidRPr="00FB0A72" w:rsidP="00FB0A72">
            <w:pPr>
              <w:bidi w:val="0"/>
              <w:jc w:val="center"/>
              <w:rPr>
                <w:rFonts w:ascii="Times New Roman" w:hAnsi="Times New Roman" w:cs="Times New Roman"/>
                <w:b/>
                <w:bCs/>
                <w:color w:val="000000"/>
                <w:sz w:val="14"/>
                <w:szCs w:val="14"/>
                <w:lang w:eastAsia="sk-SK"/>
              </w:rPr>
            </w:pPr>
            <w:r w:rsidRPr="00FB0A72">
              <w:rPr>
                <w:rFonts w:ascii="Times New Roman" w:hAnsi="Times New Roman" w:cs="Times New Roman"/>
                <w:b/>
                <w:bCs/>
                <w:color w:val="000000"/>
                <w:sz w:val="14"/>
                <w:szCs w:val="14"/>
                <w:lang w:eastAsia="sk-SK"/>
              </w:rPr>
              <w:t>2011</w:t>
            </w:r>
          </w:p>
        </w:tc>
        <w:tc>
          <w:tcPr>
            <w:tcW w:w="709"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754D9" w:rsidRPr="00FB0A72" w:rsidP="00FB0A72">
            <w:pPr>
              <w:bidi w:val="0"/>
              <w:jc w:val="center"/>
              <w:rPr>
                <w:rFonts w:ascii="Times New Roman" w:hAnsi="Times New Roman" w:cs="Times New Roman"/>
                <w:b/>
                <w:bCs/>
                <w:color w:val="000000"/>
                <w:sz w:val="14"/>
                <w:szCs w:val="14"/>
                <w:lang w:eastAsia="sk-SK"/>
              </w:rPr>
            </w:pPr>
            <w:r w:rsidRPr="00FB0A72">
              <w:rPr>
                <w:rFonts w:ascii="Times New Roman" w:hAnsi="Times New Roman" w:cs="Times New Roman"/>
                <w:b/>
                <w:bCs/>
                <w:color w:val="000000"/>
                <w:sz w:val="14"/>
                <w:szCs w:val="14"/>
                <w:lang w:eastAsia="sk-SK"/>
              </w:rPr>
              <w:t>2012</w:t>
            </w:r>
          </w:p>
        </w:tc>
        <w:tc>
          <w:tcPr>
            <w:tcW w:w="850"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754D9" w:rsidRPr="00FB0A72" w:rsidP="00FB0A72">
            <w:pPr>
              <w:bidi w:val="0"/>
              <w:jc w:val="center"/>
              <w:rPr>
                <w:rFonts w:ascii="Times New Roman" w:hAnsi="Times New Roman" w:cs="Times New Roman"/>
                <w:b/>
                <w:bCs/>
                <w:color w:val="000000"/>
                <w:sz w:val="14"/>
                <w:szCs w:val="14"/>
                <w:lang w:eastAsia="sk-SK"/>
              </w:rPr>
            </w:pPr>
            <w:r w:rsidRPr="00FB0A72">
              <w:rPr>
                <w:rFonts w:ascii="Times New Roman" w:hAnsi="Times New Roman" w:cs="Times New Roman"/>
                <w:b/>
                <w:bCs/>
                <w:color w:val="000000"/>
                <w:sz w:val="14"/>
                <w:szCs w:val="14"/>
                <w:lang w:eastAsia="sk-SK"/>
              </w:rPr>
              <w:t>2013</w:t>
            </w:r>
          </w:p>
        </w:tc>
        <w:tc>
          <w:tcPr>
            <w:tcW w:w="709"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754D9" w:rsidRPr="00FB0A72" w:rsidP="00FB0A72">
            <w:pPr>
              <w:bidi w:val="0"/>
              <w:jc w:val="center"/>
              <w:rPr>
                <w:rFonts w:ascii="Times New Roman" w:hAnsi="Times New Roman" w:cs="Times New Roman"/>
                <w:b/>
                <w:bCs/>
                <w:color w:val="000000"/>
                <w:sz w:val="14"/>
                <w:szCs w:val="14"/>
                <w:lang w:eastAsia="sk-SK"/>
              </w:rPr>
            </w:pPr>
            <w:r w:rsidRPr="00FB0A72">
              <w:rPr>
                <w:rFonts w:ascii="Times New Roman" w:hAnsi="Times New Roman" w:cs="Times New Roman"/>
                <w:b/>
                <w:bCs/>
                <w:color w:val="000000"/>
                <w:sz w:val="14"/>
                <w:szCs w:val="14"/>
                <w:lang w:eastAsia="sk-SK"/>
              </w:rPr>
              <w:t>2014</w:t>
            </w:r>
          </w:p>
        </w:tc>
        <w:tc>
          <w:tcPr>
            <w:tcW w:w="709"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A754D9" w:rsidRPr="00FB0A72" w:rsidP="00FB0A72">
            <w:pPr>
              <w:bidi w:val="0"/>
              <w:jc w:val="center"/>
              <w:rPr>
                <w:rFonts w:ascii="Times New Roman" w:hAnsi="Times New Roman" w:cs="Times New Roman"/>
                <w:b/>
                <w:bCs/>
                <w:color w:val="000000"/>
                <w:sz w:val="14"/>
                <w:szCs w:val="14"/>
                <w:lang w:eastAsia="sk-SK"/>
              </w:rPr>
            </w:pPr>
            <w:r w:rsidRPr="00FB0A72">
              <w:rPr>
                <w:rFonts w:ascii="Times New Roman" w:hAnsi="Times New Roman" w:cs="Times New Roman"/>
                <w:b/>
                <w:bCs/>
                <w:color w:val="000000"/>
                <w:sz w:val="14"/>
                <w:szCs w:val="14"/>
                <w:lang w:eastAsia="sk-SK"/>
              </w:rPr>
              <w:t>2015</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HDP; v bežných cenách</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mld. eur</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69,1</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71,6</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74,4</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78,4</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82,9</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HDP; reálny rast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3,3</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2,5</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2,1</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3,5</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3,6</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Konečná spotreba domácností; reálny rast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-0,4</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-0,1</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0,7</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3,2</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3,9</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4</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Konečná spotreba domácností; nominálny rast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3,4</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3,7</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3,8</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5,4</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6,2</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5</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Konečná spotreba verejnej správy; reálny rast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-3,5</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-0,6</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0,1</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-1,1</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0,9</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6</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Tvorba hrubého fixného kapitálu; reálny rast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5,7</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-2,1</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6,6</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-1,9</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2,0</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7</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Export tovarov a služieb; reálny rast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10,8</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7,5</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4,6</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4,5</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4,6</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8</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Import tovarov a služieb; reálny rast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4,5</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5,1</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4,1</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3,9</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4,0</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9</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Priem. mesačná mzda za hospodárstvo; nom. rast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2,2</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2,4</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3,4</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4,4</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4,9</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10</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Priem. mesačná mzda za hospodárstvo; reálny rast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-1,7</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-1,2</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0,4</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2,2</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2,7</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11</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highlight w:val="yellow"/>
                <w:lang w:eastAsia="sk-SK"/>
              </w:rPr>
            </w:pPr>
            <w:r w:rsidRPr="00FB0A72">
              <w:rPr>
                <w:rFonts w:ascii="Times New Roman" w:hAnsi="Times New Roman" w:cs="Times New Roman"/>
                <w:color w:val="000000"/>
                <w:sz w:val="14"/>
                <w:szCs w:val="14"/>
                <w:lang w:eastAsia="sk-SK"/>
              </w:rPr>
              <w:t>Priemerný rast zamestnanosti; podľa VZPS</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highlight w:val="yellow"/>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highlight w:val="yellow"/>
                <w:lang w:eastAsia="sk-SK"/>
              </w:rPr>
            </w:pPr>
            <w:r w:rsidRPr="00FB0A72">
              <w:rPr>
                <w:rFonts w:ascii="Times New Roman" w:hAnsi="Times New Roman" w:cs="Times New Roman"/>
                <w:color w:val="000000"/>
                <w:sz w:val="14"/>
                <w:szCs w:val="14"/>
                <w:lang w:eastAsia="sk-SK"/>
              </w:rPr>
              <w:t>1,5</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0,5</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0,1</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1,0</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1,0</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12</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Priemerný rast zamestnanosti; podľa VZPS</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v tis.</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33,9</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-23,0</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3,2</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22,6</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22,4</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13</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Priemerný rast zamestnanosti; podľa ESA95</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1,8</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0,2</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0,1</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0,7</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0,8</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14</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Počet vytvorených domácich pracovných miest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v tis.</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A754D9" w:rsidRPr="00FB0A72" w:rsidP="00313E01">
            <w:pPr>
              <w:bidi w:val="0"/>
              <w:jc w:val="center"/>
              <w:rPr>
                <w:rFonts w:ascii="Times New Roman" w:hAnsi="Times New Roman" w:cs="Times New Roman"/>
                <w:color w:val="000000"/>
                <w:sz w:val="14"/>
                <w:szCs w:val="14"/>
                <w:highlight w:val="yellow"/>
                <w:lang w:eastAsia="sk-SK"/>
              </w:rPr>
            </w:pPr>
            <w:r w:rsidRPr="00FB0A72">
              <w:rPr>
                <w:rFonts w:ascii="Times New Roman" w:hAnsi="Times New Roman" w:cs="Times New Roman"/>
                <w:color w:val="000000"/>
                <w:sz w:val="14"/>
                <w:szCs w:val="14"/>
                <w:lang w:eastAsia="sk-SK"/>
              </w:rPr>
              <w:t>38,5</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4,6</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1,8</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15,0</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17,2</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15</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Priemerná miera nezamestnanosti;  podľa VZPS</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13,5</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13,9</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13,9</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13,5</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13,0</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16</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Reálna mzdová báza, priemerný rast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0,1</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-1,0</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0,5</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2,9</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3,4</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17</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Index spotrebiteľských cien; priemerný rast</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3,9</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3,7</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3,1</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2,1</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2,2</w:t>
            </w:r>
          </w:p>
        </w:tc>
      </w:tr>
      <w:tr>
        <w:tblPrEx>
          <w:tblW w:w="8946" w:type="dxa"/>
          <w:tblInd w:w="55" w:type="dxa"/>
          <w:tblLayout w:type="fixed"/>
          <w:tblCellMar>
            <w:left w:w="70" w:type="dxa"/>
            <w:right w:w="70" w:type="dxa"/>
          </w:tblCellMar>
          <w:tblLook w:val="04A0"/>
        </w:tblPrEx>
        <w:trPr>
          <w:trHeight w:val="315"/>
        </w:trPr>
        <w:tc>
          <w:tcPr>
            <w:tcW w:w="74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18</w:t>
            </w:r>
          </w:p>
        </w:tc>
        <w:tc>
          <w:tcPr>
            <w:tcW w:w="3524"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Bilancia bežného účtu; podiel na HDP</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0,1</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0,9</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1,2</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1,7</w:t>
            </w:r>
          </w:p>
        </w:tc>
        <w:tc>
          <w:tcPr>
            <w:tcW w:w="709" w:type="dxa"/>
            <w:tcBorders>
              <w:top w:val="single" w:sz="4" w:space="0" w:color="auto"/>
              <w:left w:val="single" w:sz="4" w:space="0" w:color="auto"/>
              <w:bottom w:val="single" w:sz="4" w:space="0" w:color="auto"/>
              <w:right w:val="single" w:sz="4" w:space="0" w:color="auto"/>
            </w:tcBorders>
            <w:noWrap/>
            <w:textDirection w:val="lrTb"/>
            <w:vAlign w:val="bottom"/>
            <w:hideMark/>
          </w:tcPr>
          <w:p w:rsidR="00A754D9" w:rsidRPr="00FB0A72" w:rsidP="00313E01">
            <w:pPr>
              <w:bidi w:val="0"/>
              <w:jc w:val="center"/>
              <w:rPr>
                <w:rFonts w:ascii="Times New Roman" w:hAnsi="Times New Roman" w:cs="Times New Roman"/>
                <w:color w:val="000000"/>
                <w:sz w:val="14"/>
                <w:szCs w:val="14"/>
                <w:lang w:eastAsia="sk-SK"/>
              </w:rPr>
            </w:pPr>
            <w:r w:rsidRPr="00FB0A72">
              <w:rPr>
                <w:rFonts w:ascii="Times New Roman" w:hAnsi="Times New Roman" w:cs="Times New Roman"/>
                <w:color w:val="000000"/>
                <w:sz w:val="14"/>
                <w:szCs w:val="14"/>
                <w:lang w:eastAsia="sk-SK"/>
              </w:rPr>
              <w:t>2,4</w:t>
            </w:r>
          </w:p>
        </w:tc>
      </w:tr>
      <w:tr>
        <w:tblPrEx>
          <w:tblW w:w="8946" w:type="dxa"/>
          <w:tblInd w:w="55" w:type="dxa"/>
          <w:tblLayout w:type="fixed"/>
          <w:tblCellMar>
            <w:left w:w="70" w:type="dxa"/>
            <w:right w:w="70" w:type="dxa"/>
          </w:tblCellMar>
          <w:tblLook w:val="04A0"/>
        </w:tblPrEx>
        <w:trPr>
          <w:trHeight w:val="300"/>
        </w:trPr>
        <w:tc>
          <w:tcPr>
            <w:tcW w:w="744" w:type="dxa"/>
            <w:tcBorders>
              <w:top w:val="single" w:sz="4" w:space="0" w:color="auto"/>
              <w:left w:val="nil"/>
              <w:bottom w:val="nil"/>
              <w:right w:val="nil"/>
            </w:tcBorders>
            <w:noWrap/>
            <w:textDirection w:val="lrTb"/>
            <w:vAlign w:val="bottom"/>
            <w:hideMark/>
          </w:tcPr>
          <w:p w:rsidR="00A754D9" w:rsidRPr="00FB0A72" w:rsidP="00313E01">
            <w:pPr>
              <w:bidi w:val="0"/>
              <w:rPr>
                <w:rFonts w:ascii="Times New Roman" w:hAnsi="Times New Roman" w:cs="Times New Roman"/>
                <w:i/>
                <w:iCs/>
                <w:color w:val="000000"/>
                <w:sz w:val="14"/>
                <w:szCs w:val="14"/>
                <w:lang w:eastAsia="sk-SK"/>
              </w:rPr>
            </w:pPr>
          </w:p>
        </w:tc>
        <w:tc>
          <w:tcPr>
            <w:tcW w:w="3524" w:type="dxa"/>
            <w:tcBorders>
              <w:top w:val="single" w:sz="4" w:space="0" w:color="auto"/>
              <w:left w:val="nil"/>
              <w:bottom w:val="nil"/>
              <w:right w:val="nil"/>
            </w:tcBorders>
            <w:noWrap/>
            <w:textDirection w:val="lrTb"/>
            <w:vAlign w:val="bottom"/>
            <w:hideMark/>
          </w:tcPr>
          <w:p w:rsidR="00A754D9" w:rsidRPr="00FB0A72" w:rsidP="00313E01">
            <w:pPr>
              <w:bidi w:val="0"/>
              <w:rPr>
                <w:rFonts w:ascii="Times New Roman" w:hAnsi="Times New Roman" w:cs="Times New Roman"/>
                <w:i/>
                <w:iCs/>
                <w:color w:val="000000"/>
                <w:sz w:val="14"/>
                <w:szCs w:val="14"/>
                <w:lang w:eastAsia="sk-SK"/>
              </w:rPr>
            </w:pPr>
            <w:r w:rsidRPr="00FB0A72">
              <w:rPr>
                <w:rFonts w:ascii="Times New Roman" w:hAnsi="Times New Roman" w:cs="Times New Roman"/>
                <w:i/>
                <w:iCs/>
                <w:color w:val="000000"/>
                <w:sz w:val="14"/>
                <w:szCs w:val="14"/>
                <w:lang w:eastAsia="sk-SK"/>
              </w:rPr>
              <w:t> </w:t>
            </w:r>
          </w:p>
        </w:tc>
        <w:tc>
          <w:tcPr>
            <w:tcW w:w="4678" w:type="dxa"/>
            <w:gridSpan w:val="6"/>
            <w:tcBorders>
              <w:top w:val="single" w:sz="4" w:space="0" w:color="auto"/>
              <w:left w:val="nil"/>
              <w:bottom w:val="nil"/>
              <w:right w:val="nil"/>
            </w:tcBorders>
            <w:noWrap/>
            <w:textDirection w:val="lrTb"/>
            <w:vAlign w:val="bottom"/>
            <w:hideMark/>
          </w:tcPr>
          <w:p w:rsidR="00A754D9" w:rsidRPr="00FB0A72" w:rsidP="00313E01">
            <w:pPr>
              <w:bidi w:val="0"/>
              <w:jc w:val="right"/>
              <w:rPr>
                <w:rFonts w:ascii="Times New Roman" w:hAnsi="Times New Roman" w:cs="Times New Roman"/>
                <w:i/>
                <w:iCs/>
                <w:color w:val="000000"/>
                <w:sz w:val="14"/>
                <w:szCs w:val="14"/>
                <w:lang w:eastAsia="sk-SK"/>
              </w:rPr>
            </w:pPr>
            <w:r w:rsidRPr="00FB0A72">
              <w:rPr>
                <w:rFonts w:ascii="Times New Roman" w:hAnsi="Times New Roman" w:cs="Times New Roman"/>
                <w:i/>
                <w:iCs/>
                <w:color w:val="000000"/>
                <w:sz w:val="14"/>
                <w:szCs w:val="14"/>
                <w:lang w:eastAsia="sk-SK"/>
              </w:rPr>
              <w:t>Zdroj: MF SR</w:t>
            </w:r>
          </w:p>
        </w:tc>
      </w:tr>
    </w:tbl>
    <w:p w:rsidR="00A754D9" w:rsidP="00A754D9">
      <w:pPr>
        <w:pStyle w:val="Default"/>
        <w:bidi w:val="0"/>
        <w:ind w:firstLine="708"/>
        <w:jc w:val="both"/>
        <w:rPr>
          <w:rFonts w:ascii="Times New Roman" w:hAnsi="Times New Roman"/>
        </w:rPr>
      </w:pPr>
    </w:p>
    <w:p w:rsidR="009C536E" w:rsidRPr="00947A3E" w:rsidP="00B07CAE">
      <w:pPr>
        <w:pStyle w:val="Default"/>
        <w:bidi w:val="0"/>
        <w:ind w:firstLine="708"/>
        <w:jc w:val="both"/>
        <w:rPr>
          <w:rFonts w:ascii="Times New Roman" w:hAnsi="Times New Roman"/>
          <w:color w:val="0070C0"/>
        </w:rPr>
      </w:pPr>
    </w:p>
    <w:p w:rsidR="009C536E" w:rsidRPr="00B66C34" w:rsidP="009C536E">
      <w:pPr>
        <w:pStyle w:val="Heading1"/>
        <w:bidi w:val="0"/>
        <w:spacing w:before="0" w:after="0"/>
        <w:ind w:left="284" w:hanging="284"/>
        <w:rPr>
          <w:rFonts w:ascii="Times New Roman" w:hAnsi="Times New Roman" w:cs="Times New Roman"/>
          <w:b w:val="0"/>
          <w:bCs w:val="0"/>
        </w:rPr>
      </w:pPr>
      <w:bookmarkStart w:id="5" w:name="_Toc337237744"/>
      <w:r w:rsidRPr="00B66C34" w:rsidR="00044D70">
        <w:rPr>
          <w:rFonts w:ascii="Times New Roman" w:hAnsi="Times New Roman" w:cs="Times New Roman"/>
          <w:sz w:val="28"/>
          <w:szCs w:val="28"/>
        </w:rPr>
        <w:t>2</w:t>
      </w:r>
      <w:r w:rsidRPr="00B66C34">
        <w:rPr>
          <w:rFonts w:ascii="Times New Roman" w:hAnsi="Times New Roman" w:cs="Times New Roman"/>
          <w:sz w:val="28"/>
          <w:szCs w:val="28"/>
        </w:rPr>
        <w:t>. Východiskový rámec rozpočtu verejnej správy na roky 201</w:t>
      </w:r>
      <w:r w:rsidRPr="00B66C34" w:rsidR="002A2B34">
        <w:rPr>
          <w:rFonts w:ascii="Times New Roman" w:hAnsi="Times New Roman" w:cs="Times New Roman"/>
          <w:sz w:val="28"/>
          <w:szCs w:val="28"/>
        </w:rPr>
        <w:t>3</w:t>
      </w:r>
      <w:r w:rsidRPr="00B66C34">
        <w:rPr>
          <w:rFonts w:ascii="Times New Roman" w:hAnsi="Times New Roman" w:cs="Times New Roman"/>
          <w:sz w:val="28"/>
          <w:szCs w:val="28"/>
        </w:rPr>
        <w:t xml:space="preserve"> až 201</w:t>
      </w:r>
      <w:r w:rsidRPr="00B66C34" w:rsidR="002A2B34">
        <w:rPr>
          <w:rFonts w:ascii="Times New Roman" w:hAnsi="Times New Roman" w:cs="Times New Roman"/>
          <w:sz w:val="28"/>
          <w:szCs w:val="28"/>
        </w:rPr>
        <w:t>5</w:t>
      </w:r>
      <w:bookmarkEnd w:id="5"/>
    </w:p>
    <w:p w:rsidR="0057261A" w:rsidP="0057261A">
      <w:pPr>
        <w:pStyle w:val="Heading2"/>
        <w:bidi w:val="0"/>
        <w:spacing w:before="0" w:after="0"/>
        <w:rPr>
          <w:rFonts w:ascii="Times New Roman" w:hAnsi="Times New Roman"/>
          <w:i w:val="0"/>
          <w:iCs w:val="0"/>
          <w:sz w:val="24"/>
          <w:szCs w:val="24"/>
        </w:rPr>
      </w:pPr>
      <w:bookmarkStart w:id="6" w:name="_Toc332008096"/>
      <w:bookmarkStart w:id="7" w:name="_Toc211592391"/>
      <w:bookmarkStart w:id="8" w:name="_Toc206478400"/>
      <w:bookmarkStart w:id="9" w:name="_Toc174871966"/>
      <w:bookmarkStart w:id="10" w:name="_Toc148255241"/>
      <w:bookmarkStart w:id="11" w:name="_Toc143348593"/>
      <w:bookmarkStart w:id="12" w:name="_Toc273474197"/>
      <w:bookmarkStart w:id="13" w:name="_Toc282686534"/>
      <w:bookmarkStart w:id="14" w:name="_Toc300912251"/>
      <w:bookmarkStart w:id="15" w:name="_Toc273950832"/>
    </w:p>
    <w:p w:rsidR="0057261A" w:rsidRPr="00A872BD" w:rsidP="0057261A">
      <w:pPr>
        <w:pStyle w:val="Heading2"/>
        <w:bidi w:val="0"/>
        <w:spacing w:before="0" w:after="0"/>
        <w:rPr>
          <w:rFonts w:ascii="Times New Roman" w:hAnsi="Times New Roman"/>
          <w:i w:val="0"/>
          <w:iCs w:val="0"/>
          <w:sz w:val="24"/>
          <w:szCs w:val="24"/>
        </w:rPr>
      </w:pPr>
      <w:bookmarkStart w:id="16" w:name="_Toc337237745"/>
      <w:r>
        <w:rPr>
          <w:rFonts w:ascii="Times New Roman" w:hAnsi="Times New Roman"/>
          <w:i w:val="0"/>
          <w:iCs w:val="0"/>
          <w:sz w:val="24"/>
          <w:szCs w:val="24"/>
        </w:rPr>
        <w:t>2</w:t>
      </w:r>
      <w:r w:rsidRPr="00A872BD">
        <w:rPr>
          <w:rFonts w:ascii="Times New Roman" w:hAnsi="Times New Roman"/>
          <w:i w:val="0"/>
          <w:iCs w:val="0"/>
          <w:sz w:val="24"/>
          <w:szCs w:val="24"/>
        </w:rPr>
        <w:t>.1. Základné predpoklady zostavenia rozpočtu verejnej správy</w:t>
      </w:r>
      <w:bookmarkEnd w:id="6"/>
      <w:bookmarkEnd w:id="16"/>
      <w:r w:rsidRPr="00A872BD">
        <w:rPr>
          <w:rFonts w:ascii="Times New Roman" w:hAnsi="Times New Roman"/>
          <w:i w:val="0"/>
          <w:iCs w:val="0"/>
          <w:sz w:val="24"/>
          <w:szCs w:val="24"/>
        </w:rPr>
        <w:t xml:space="preserve"> </w:t>
      </w:r>
    </w:p>
    <w:p w:rsidR="0057261A" w:rsidRPr="00A872BD" w:rsidP="0057261A">
      <w:pPr>
        <w:autoSpaceDE w:val="0"/>
        <w:autoSpaceDN w:val="0"/>
        <w:bidi w:val="0"/>
        <w:adjustRightInd w:val="0"/>
        <w:ind w:firstLine="708"/>
        <w:jc w:val="both"/>
        <w:rPr>
          <w:rFonts w:ascii="Times New Roman" w:hAnsi="Times New Roman" w:cs="Times New Roman"/>
        </w:rPr>
      </w:pPr>
    </w:p>
    <w:p w:rsidR="0057261A" w:rsidRPr="002E66B7" w:rsidP="0057261A">
      <w:pPr>
        <w:autoSpaceDE w:val="0"/>
        <w:autoSpaceDN w:val="0"/>
        <w:bidi w:val="0"/>
        <w:adjustRightInd w:val="0"/>
        <w:ind w:firstLine="708"/>
        <w:jc w:val="both"/>
        <w:rPr>
          <w:rFonts w:ascii="Times New Roman" w:hAnsi="Times New Roman" w:cs="Times New Roman"/>
        </w:rPr>
      </w:pPr>
      <w:r w:rsidRPr="002E66B7">
        <w:rPr>
          <w:rFonts w:ascii="Times New Roman" w:hAnsi="Times New Roman" w:cs="Times New Roman"/>
        </w:rPr>
        <w:t xml:space="preserve">Návrh rozpočtu verejnej správy na roky 2013 až 2015 </w:t>
      </w:r>
      <w:r>
        <w:rPr>
          <w:rFonts w:ascii="Times New Roman" w:hAnsi="Times New Roman" w:cs="Times New Roman"/>
        </w:rPr>
        <w:t>je</w:t>
      </w:r>
      <w:r>
        <w:rPr>
          <w:rFonts w:ascii="Times New Roman" w:hAnsi="Times New Roman"/>
        </w:rPr>
        <w:t xml:space="preserve"> vypracovaný v intenciách </w:t>
      </w:r>
      <w:r w:rsidRPr="002E66B7">
        <w:rPr>
          <w:rFonts w:ascii="Times New Roman" w:hAnsi="Times New Roman" w:cs="Times New Roman"/>
        </w:rPr>
        <w:t>Programového vyhlásenia vlády SR, v ktorom jednou</w:t>
      </w:r>
      <w:r>
        <w:rPr>
          <w:rFonts w:ascii="Times New Roman" w:hAnsi="Times New Roman" w:cs="Times New Roman"/>
        </w:rPr>
        <w:t xml:space="preserve"> </w:t>
      </w:r>
      <w:r w:rsidRPr="002E66B7">
        <w:rPr>
          <w:rFonts w:ascii="Times New Roman" w:hAnsi="Times New Roman" w:cs="Times New Roman"/>
        </w:rPr>
        <w:t>z kľúčových úloh vlády SR je konsolidovať verejné financie tak, aby deficit verejných financií bol v roku 2013 pod tromi percentami HDP.</w:t>
      </w:r>
      <w:r>
        <w:rPr>
          <w:rFonts w:ascii="Times New Roman" w:hAnsi="Times New Roman" w:cs="Times New Roman"/>
        </w:rPr>
        <w:t xml:space="preserve"> </w:t>
      </w:r>
      <w:r w:rsidRPr="002E66B7">
        <w:rPr>
          <w:rFonts w:ascii="Times New Roman" w:hAnsi="Times New Roman" w:cs="Times New Roman"/>
        </w:rPr>
        <w:t>Splnenie tejto úlohy v oblasti konsolidácie verejných financií je základným predpokladom pre udržateľný rozvoj Slovenska. Vláda SR sa zameriava na také opatrenia, ktoré v snahe o zníženie deficitu verejných financií nezablokujú ekonomickú aktivitu a hospodársky rast Slovenska a</w:t>
      </w:r>
      <w:r>
        <w:rPr>
          <w:rFonts w:ascii="Times New Roman" w:hAnsi="Times New Roman" w:cs="Times New Roman"/>
        </w:rPr>
        <w:t xml:space="preserve"> nebudú predstavovať </w:t>
      </w:r>
      <w:r w:rsidRPr="002E66B7">
        <w:rPr>
          <w:rFonts w:ascii="Times New Roman" w:hAnsi="Times New Roman" w:cs="Times New Roman"/>
        </w:rPr>
        <w:t>neúmerne veľký dopad na najzraniteľnejšie vrstvy spoločnosti.</w:t>
      </w:r>
    </w:p>
    <w:p w:rsidR="0057261A" w:rsidRPr="00DD329B" w:rsidP="0057261A">
      <w:pPr>
        <w:autoSpaceDE w:val="0"/>
        <w:autoSpaceDN w:val="0"/>
        <w:bidi w:val="0"/>
        <w:adjustRightInd w:val="0"/>
        <w:ind w:firstLine="708"/>
        <w:jc w:val="both"/>
        <w:rPr>
          <w:rFonts w:ascii="Times New Roman" w:hAnsi="Times New Roman" w:cs="Times New Roman"/>
          <w:highlight w:val="yellow"/>
        </w:rPr>
      </w:pPr>
    </w:p>
    <w:p w:rsidR="0057261A" w:rsidP="0057261A">
      <w:pPr>
        <w:autoSpaceDE w:val="0"/>
        <w:autoSpaceDN w:val="0"/>
        <w:bidi w:val="0"/>
        <w:adjustRightInd w:val="0"/>
        <w:ind w:firstLine="708"/>
        <w:jc w:val="both"/>
        <w:rPr>
          <w:rFonts w:ascii="Times New Roman" w:hAnsi="Times New Roman" w:cs="Times New Roman"/>
        </w:rPr>
      </w:pPr>
      <w:r w:rsidRPr="002E66B7">
        <w:rPr>
          <w:rFonts w:ascii="Times New Roman" w:hAnsi="Times New Roman" w:cs="Times New Roman"/>
        </w:rPr>
        <w:t xml:space="preserve"> Primárnym cieľom vlády SR v oblasti konsolidácie verejných financií je zníženie deficitu verejných financií pod úroveň 3 % HDP v roku 2013 tak, aby Slovensko dodržalo svoje záväzky voči Európskej únii vyplývajúce z Paktu stability a rastu. </w:t>
      </w:r>
    </w:p>
    <w:p w:rsidR="0057261A" w:rsidP="0057261A">
      <w:pPr>
        <w:bidi w:val="0"/>
        <w:jc w:val="both"/>
        <w:rPr>
          <w:rFonts w:ascii="Times New Roman" w:hAnsi="Times New Roman" w:cs="Times New Roman"/>
        </w:rPr>
      </w:pPr>
    </w:p>
    <w:p w:rsidR="0057261A" w:rsidRPr="005B51C6" w:rsidP="0057261A">
      <w:pPr>
        <w:bidi w:val="0"/>
        <w:ind w:firstLine="708"/>
        <w:jc w:val="both"/>
        <w:rPr>
          <w:rFonts w:ascii="Times New Roman" w:hAnsi="Times New Roman" w:cs="Times New Roman"/>
        </w:rPr>
      </w:pPr>
      <w:r w:rsidRPr="002E66B7">
        <w:rPr>
          <w:rFonts w:ascii="Times New Roman" w:hAnsi="Times New Roman" w:cs="Times New Roman"/>
        </w:rPr>
        <w:t xml:space="preserve">Vychádzajúc z týchto zámerov a ekonomických podmienok, </w:t>
      </w:r>
      <w:r w:rsidRPr="005B51C6">
        <w:rPr>
          <w:rFonts w:ascii="Times New Roman" w:hAnsi="Times New Roman" w:cs="Times New Roman"/>
        </w:rPr>
        <w:t xml:space="preserve">rámec rozpočtu verejnej správy na roky 2013 až 2015 má stanovené cielené schodky rozpočtu verejnej správy v roku 2013 na úrovni 2,9 % HDP, v roku 2014 </w:t>
      </w:r>
      <w:r>
        <w:rPr>
          <w:rFonts w:ascii="Times New Roman" w:hAnsi="Times New Roman" w:cs="Times New Roman"/>
        </w:rPr>
        <w:t xml:space="preserve">na úrovni </w:t>
      </w:r>
      <w:r w:rsidRPr="005B51C6">
        <w:rPr>
          <w:rFonts w:ascii="Times New Roman" w:hAnsi="Times New Roman" w:cs="Times New Roman"/>
        </w:rPr>
        <w:t xml:space="preserve">2,4 % HDP a v roku 2015 </w:t>
      </w:r>
      <w:r>
        <w:rPr>
          <w:rFonts w:ascii="Times New Roman" w:hAnsi="Times New Roman" w:cs="Times New Roman"/>
        </w:rPr>
        <w:t xml:space="preserve">na úrovni </w:t>
      </w:r>
      <w:r w:rsidR="00475AE8">
        <w:rPr>
          <w:rFonts w:ascii="Times New Roman" w:hAnsi="Times New Roman" w:cs="Times New Roman"/>
        </w:rPr>
        <w:br/>
      </w:r>
      <w:r w:rsidRPr="005B51C6">
        <w:rPr>
          <w:rFonts w:ascii="Times New Roman" w:hAnsi="Times New Roman" w:cs="Times New Roman"/>
        </w:rPr>
        <w:t xml:space="preserve">1,9 % HDP. </w:t>
      </w:r>
    </w:p>
    <w:p w:rsidR="0057261A" w:rsidP="0057261A">
      <w:pPr>
        <w:bidi w:val="0"/>
        <w:ind w:firstLine="708"/>
        <w:jc w:val="both"/>
        <w:rPr>
          <w:rFonts w:ascii="Times New Roman" w:hAnsi="Times New Roman" w:cs="Times New Roman"/>
        </w:rPr>
      </w:pPr>
    </w:p>
    <w:p w:rsidR="0057261A" w:rsidP="0057261A">
      <w:pPr>
        <w:autoSpaceDE w:val="0"/>
        <w:autoSpaceDN w:val="0"/>
        <w:bidi w:val="0"/>
        <w:adjustRightInd w:val="0"/>
        <w:ind w:firstLine="708"/>
        <w:jc w:val="both"/>
        <w:rPr>
          <w:rFonts w:ascii="Times New Roman" w:hAnsi="Times New Roman"/>
        </w:rPr>
      </w:pPr>
      <w:r w:rsidRPr="002E66B7">
        <w:rPr>
          <w:rFonts w:ascii="Times New Roman" w:hAnsi="Times New Roman" w:cs="Times New Roman"/>
        </w:rPr>
        <w:t xml:space="preserve">Návrh rozpočtu verejnej správy na roky 2013 až 2015 </w:t>
      </w:r>
      <w:r>
        <w:rPr>
          <w:rFonts w:ascii="Times New Roman" w:hAnsi="Times New Roman" w:cs="Times New Roman"/>
        </w:rPr>
        <w:t xml:space="preserve">vychádza z návrhu východísk </w:t>
      </w:r>
      <w:r w:rsidRPr="007D5399">
        <w:rPr>
          <w:rFonts w:ascii="Times New Roman" w:hAnsi="Times New Roman"/>
        </w:rPr>
        <w:t xml:space="preserve">rozpočtu verejnej správy na roky 2013 až 2015 </w:t>
      </w:r>
      <w:r>
        <w:rPr>
          <w:rFonts w:ascii="Times New Roman" w:hAnsi="Times New Roman"/>
        </w:rPr>
        <w:t>a je</w:t>
      </w:r>
      <w:r w:rsidRPr="002E66B7">
        <w:rPr>
          <w:rFonts w:ascii="Times New Roman" w:hAnsi="Times New Roman" w:cs="Times New Roman"/>
        </w:rPr>
        <w:t xml:space="preserve"> zostavený na základe </w:t>
      </w:r>
      <w:r>
        <w:rPr>
          <w:rFonts w:ascii="Times New Roman" w:hAnsi="Times New Roman" w:cs="Times New Roman"/>
        </w:rPr>
        <w:t>septembrovej</w:t>
      </w:r>
      <w:r w:rsidRPr="002E66B7">
        <w:rPr>
          <w:rFonts w:ascii="Times New Roman" w:hAnsi="Times New Roman" w:cs="Times New Roman"/>
        </w:rPr>
        <w:t xml:space="preserve"> prognózy makroekonomického </w:t>
      </w:r>
      <w:r w:rsidRPr="00740E09">
        <w:rPr>
          <w:rFonts w:ascii="Times New Roman" w:hAnsi="Times New Roman" w:cs="Times New Roman"/>
        </w:rPr>
        <w:t xml:space="preserve">vývoja a daňových a </w:t>
      </w:r>
      <w:r w:rsidRPr="00740E09">
        <w:rPr>
          <w:rFonts w:ascii="Times New Roman" w:hAnsi="Times New Roman"/>
        </w:rPr>
        <w:t>odvodových príjmov</w:t>
      </w:r>
      <w:r>
        <w:rPr>
          <w:rFonts w:ascii="Times New Roman" w:hAnsi="Times New Roman"/>
        </w:rPr>
        <w:t>. S</w:t>
      </w:r>
      <w:r w:rsidRPr="00740E09">
        <w:rPr>
          <w:rFonts w:ascii="Times New Roman" w:hAnsi="Times New Roman"/>
        </w:rPr>
        <w:t>ú</w:t>
      </w:r>
      <w:r>
        <w:rPr>
          <w:rFonts w:ascii="Times New Roman" w:hAnsi="Times New Roman"/>
        </w:rPr>
        <w:t xml:space="preserve"> v ňom zapracované vybrané prioritné výdavkové tituly kapitol štátneho rozpočtu</w:t>
      </w:r>
      <w:r w:rsidRPr="002E66B7">
        <w:rPr>
          <w:rFonts w:ascii="Times New Roman" w:hAnsi="Times New Roman"/>
        </w:rPr>
        <w:t xml:space="preserve">. </w:t>
      </w:r>
      <w:r>
        <w:rPr>
          <w:rFonts w:ascii="Times New Roman" w:hAnsi="Times New Roman"/>
        </w:rPr>
        <w:t>V návrhu rozpočtu sú zapracované vplyvy prijatých opatrení vlády SR</w:t>
      </w:r>
      <w:r w:rsidRPr="003F48F1">
        <w:rPr>
          <w:rFonts w:ascii="Times New Roman" w:hAnsi="Times New Roman"/>
        </w:rPr>
        <w:t>, ktoré boli schválené, resp. sú predmetom rokovania N</w:t>
      </w:r>
      <w:r>
        <w:rPr>
          <w:rFonts w:ascii="Times New Roman" w:hAnsi="Times New Roman"/>
        </w:rPr>
        <w:t>árodnej rady SR.</w:t>
      </w:r>
    </w:p>
    <w:p w:rsidR="0057261A" w:rsidRPr="00833E53" w:rsidP="0057261A">
      <w:pPr>
        <w:pStyle w:val="Heading2"/>
        <w:bidi w:val="0"/>
        <w:spacing w:before="0" w:after="0"/>
        <w:rPr>
          <w:rFonts w:ascii="Times New Roman" w:hAnsi="Times New Roman"/>
          <w:i w:val="0"/>
          <w:iCs w:val="0"/>
          <w:sz w:val="24"/>
          <w:szCs w:val="24"/>
        </w:rPr>
      </w:pPr>
    </w:p>
    <w:p w:rsidR="0057261A" w:rsidP="0057261A">
      <w:pPr>
        <w:pStyle w:val="Heading2"/>
        <w:bidi w:val="0"/>
        <w:spacing w:before="0" w:after="0"/>
        <w:rPr>
          <w:rFonts w:ascii="Times New Roman" w:hAnsi="Times New Roman"/>
          <w:i w:val="0"/>
          <w:iCs w:val="0"/>
          <w:sz w:val="24"/>
          <w:szCs w:val="24"/>
        </w:rPr>
      </w:pPr>
      <w:bookmarkStart w:id="17" w:name="_Toc273474198"/>
      <w:bookmarkStart w:id="18" w:name="_Toc282686535"/>
      <w:bookmarkStart w:id="19" w:name="_Toc300330897"/>
      <w:bookmarkStart w:id="20" w:name="_Toc300646582"/>
      <w:bookmarkStart w:id="21" w:name="_Toc300912252"/>
      <w:bookmarkStart w:id="22" w:name="_Toc332008097"/>
      <w:bookmarkStart w:id="23" w:name="_Toc337237746"/>
      <w:r>
        <w:rPr>
          <w:rFonts w:ascii="Times New Roman" w:hAnsi="Times New Roman"/>
          <w:i w:val="0"/>
          <w:iCs w:val="0"/>
          <w:sz w:val="24"/>
          <w:szCs w:val="24"/>
        </w:rPr>
        <w:t>2</w:t>
      </w:r>
      <w:r w:rsidRPr="007F66EE">
        <w:rPr>
          <w:rFonts w:ascii="Times New Roman" w:hAnsi="Times New Roman"/>
          <w:i w:val="0"/>
          <w:iCs w:val="0"/>
          <w:sz w:val="24"/>
          <w:szCs w:val="24"/>
        </w:rPr>
        <w:t>.2. Rámec na zostavenie rozpočtu verejnej správy</w:t>
      </w:r>
      <w:bookmarkEnd w:id="17"/>
      <w:bookmarkEnd w:id="18"/>
      <w:bookmarkEnd w:id="19"/>
      <w:bookmarkEnd w:id="20"/>
      <w:bookmarkEnd w:id="21"/>
      <w:bookmarkEnd w:id="22"/>
      <w:bookmarkEnd w:id="23"/>
      <w:r w:rsidRPr="007F66EE">
        <w:rPr>
          <w:rFonts w:ascii="Times New Roman" w:hAnsi="Times New Roman"/>
          <w:i w:val="0"/>
          <w:iCs w:val="0"/>
          <w:sz w:val="24"/>
          <w:szCs w:val="24"/>
        </w:rPr>
        <w:t xml:space="preserve"> </w:t>
      </w:r>
    </w:p>
    <w:p w:rsidR="0057261A" w:rsidP="0057261A">
      <w:pPr>
        <w:autoSpaceDE w:val="0"/>
        <w:autoSpaceDN w:val="0"/>
        <w:bidi w:val="0"/>
        <w:adjustRightInd w:val="0"/>
        <w:jc w:val="both"/>
        <w:rPr>
          <w:rFonts w:ascii="Times New Roman" w:hAnsi="Times New Roman"/>
        </w:rPr>
      </w:pPr>
    </w:p>
    <w:p w:rsidR="0057261A" w:rsidP="0057261A">
      <w:pPr>
        <w:autoSpaceDE w:val="0"/>
        <w:autoSpaceDN w:val="0"/>
        <w:bidi w:val="0"/>
        <w:adjustRightInd w:val="0"/>
        <w:ind w:firstLine="708"/>
        <w:jc w:val="both"/>
        <w:rPr>
          <w:rFonts w:ascii="Times New Roman" w:hAnsi="Times New Roman" w:cs="Times New Roman"/>
        </w:rPr>
      </w:pPr>
      <w:r w:rsidRPr="00E412C3">
        <w:rPr>
          <w:rFonts w:ascii="Times New Roman" w:hAnsi="Times New Roman" w:cs="Times New Roman"/>
        </w:rPr>
        <w:t xml:space="preserve">Hlavný fiškálny cieľ vlády na rok 2012 bol stanovený v rámci rozpočtu verejnej správy na roky 2012 až 2014 v podobe deficitu verejnej správy vo výške 4,6 % HDP. </w:t>
      </w:r>
    </w:p>
    <w:p w:rsidR="0057261A" w:rsidRPr="00F11A71" w:rsidP="0057261A">
      <w:pPr>
        <w:bidi w:val="0"/>
        <w:jc w:val="both"/>
        <w:rPr>
          <w:rFonts w:ascii="Times New Roman" w:hAnsi="Times New Roman" w:cs="Times New Roman"/>
        </w:rPr>
      </w:pPr>
    </w:p>
    <w:p w:rsidR="0057261A" w:rsidP="0057261A">
      <w:pPr>
        <w:pStyle w:val="NormalWeb"/>
        <w:bidi w:val="0"/>
        <w:spacing w:before="0" w:beforeAutospacing="0" w:after="0" w:afterAutospacing="0"/>
        <w:ind w:firstLine="708"/>
        <w:jc w:val="both"/>
        <w:rPr>
          <w:rFonts w:ascii="Times New Roman" w:hAnsi="Times New Roman"/>
        </w:rPr>
      </w:pPr>
      <w:r w:rsidRPr="00146A56">
        <w:rPr>
          <w:rFonts w:ascii="Times New Roman" w:hAnsi="Times New Roman"/>
          <w:lang w:eastAsia="cs-CZ"/>
        </w:rPr>
        <w:t>Vláda SR na svojom zasadnutí 30. júla 2012 schválila Správu o makroekonomickom vývoji a vývoji ve</w:t>
      </w:r>
      <w:r>
        <w:rPr>
          <w:rFonts w:ascii="Times New Roman" w:hAnsi="Times New Roman"/>
          <w:lang w:eastAsia="cs-CZ"/>
        </w:rPr>
        <w:t xml:space="preserve">rejných financií za prvý polrok </w:t>
      </w:r>
      <w:r w:rsidRPr="00146A56">
        <w:rPr>
          <w:rFonts w:ascii="Times New Roman" w:hAnsi="Times New Roman"/>
          <w:lang w:eastAsia="cs-CZ"/>
        </w:rPr>
        <w:t>2012 a predikciu vývoja do konca roka.</w:t>
      </w:r>
      <w:r w:rsidRPr="00F11A71">
        <w:rPr>
          <w:rFonts w:ascii="Times New Roman" w:hAnsi="Times New Roman"/>
          <w:lang w:eastAsia="cs-CZ"/>
        </w:rPr>
        <w:t xml:space="preserve"> Na základe v</w:t>
      </w:r>
      <w:r>
        <w:rPr>
          <w:rFonts w:ascii="Times New Roman" w:hAnsi="Times New Roman"/>
          <w:lang w:eastAsia="cs-CZ"/>
        </w:rPr>
        <w:t xml:space="preserve">tedy </w:t>
      </w:r>
      <w:r w:rsidRPr="00F11A71">
        <w:rPr>
          <w:rFonts w:ascii="Times New Roman" w:hAnsi="Times New Roman"/>
          <w:lang w:eastAsia="cs-CZ"/>
        </w:rPr>
        <w:t>dostupných informácií o pozitívach a rizikách rozpočtu sa očakáva</w:t>
      </w:r>
      <w:r>
        <w:rPr>
          <w:rFonts w:ascii="Times New Roman" w:hAnsi="Times New Roman"/>
          <w:lang w:eastAsia="cs-CZ"/>
        </w:rPr>
        <w:t>l</w:t>
      </w:r>
      <w:r w:rsidRPr="00F11A71">
        <w:rPr>
          <w:rFonts w:ascii="Times New Roman" w:hAnsi="Times New Roman"/>
          <w:lang w:eastAsia="cs-CZ"/>
        </w:rPr>
        <w:t xml:space="preserve"> nárast deficitu na úroveň 5,3</w:t>
      </w:r>
      <w:r w:rsidR="009F0105">
        <w:rPr>
          <w:rFonts w:ascii="Times New Roman" w:hAnsi="Times New Roman"/>
          <w:lang w:eastAsia="cs-CZ"/>
        </w:rPr>
        <w:t xml:space="preserve"> </w:t>
      </w:r>
      <w:r w:rsidRPr="00F11A71">
        <w:rPr>
          <w:rFonts w:ascii="Times New Roman" w:hAnsi="Times New Roman"/>
          <w:lang w:eastAsia="cs-CZ"/>
        </w:rPr>
        <w:t>% HDP</w:t>
      </w:r>
      <w:r w:rsidRPr="00D34BA6">
        <w:rPr>
          <w:rFonts w:ascii="Times New Roman" w:hAnsi="Times New Roman"/>
          <w:lang w:eastAsia="cs-CZ"/>
        </w:rPr>
        <w:t>. </w:t>
      </w:r>
      <w:r>
        <w:rPr>
          <w:rFonts w:ascii="Times New Roman" w:hAnsi="Times New Roman"/>
          <w:lang w:eastAsia="cs-CZ"/>
        </w:rPr>
        <w:t xml:space="preserve">Následne </w:t>
      </w:r>
      <w:r w:rsidRPr="00F11A71">
        <w:rPr>
          <w:rFonts w:ascii="Times New Roman" w:hAnsi="Times New Roman"/>
        </w:rPr>
        <w:t>v zmysle uznesenia Národnej rady Slovenskej republiky č. 155 z 31. júla 2012</w:t>
      </w:r>
      <w:r>
        <w:rPr>
          <w:rFonts w:ascii="Times New Roman" w:hAnsi="Times New Roman"/>
        </w:rPr>
        <w:t xml:space="preserve"> vláda SR vypracovala a predložila </w:t>
      </w:r>
      <w:r w:rsidRPr="00F11A71">
        <w:rPr>
          <w:rFonts w:ascii="Times New Roman" w:hAnsi="Times New Roman"/>
        </w:rPr>
        <w:t>Národnej rad</w:t>
      </w:r>
      <w:r w:rsidR="00121F8D">
        <w:rPr>
          <w:rFonts w:ascii="Times New Roman" w:hAnsi="Times New Roman"/>
        </w:rPr>
        <w:t>e</w:t>
      </w:r>
      <w:r w:rsidRPr="00F11A71">
        <w:rPr>
          <w:rFonts w:ascii="Times New Roman" w:hAnsi="Times New Roman"/>
        </w:rPr>
        <w:t xml:space="preserve"> Slovenskej republiky</w:t>
      </w:r>
      <w:r>
        <w:rPr>
          <w:rFonts w:ascii="Times New Roman" w:hAnsi="Times New Roman"/>
        </w:rPr>
        <w:t xml:space="preserve"> </w:t>
      </w:r>
      <w:r w:rsidRPr="006A25A4">
        <w:rPr>
          <w:rFonts w:ascii="Times New Roman" w:hAnsi="Times New Roman"/>
        </w:rPr>
        <w:t>Správu vlády</w:t>
      </w:r>
      <w:r>
        <w:rPr>
          <w:rFonts w:ascii="Times New Roman" w:hAnsi="Times New Roman"/>
        </w:rPr>
        <w:t xml:space="preserve"> SR o opatreniach na udržanie plánovaného deficitu verejných financií na rok 2012.  </w:t>
      </w:r>
    </w:p>
    <w:p w:rsidR="0057261A" w:rsidRPr="00E66FD2" w:rsidP="0057261A">
      <w:pPr>
        <w:autoSpaceDE w:val="0"/>
        <w:autoSpaceDN w:val="0"/>
        <w:bidi w:val="0"/>
        <w:adjustRightInd w:val="0"/>
        <w:jc w:val="both"/>
        <w:rPr>
          <w:rFonts w:ascii="Times New Roman" w:hAnsi="Times New Roman" w:cs="Times New Roman"/>
        </w:rPr>
      </w:pPr>
    </w:p>
    <w:p w:rsidR="0057261A" w:rsidRPr="00660B72" w:rsidP="0057261A">
      <w:pPr>
        <w:autoSpaceDE w:val="0"/>
        <w:autoSpaceDN w:val="0"/>
        <w:bidi w:val="0"/>
        <w:adjustRightInd w:val="0"/>
        <w:ind w:firstLine="708"/>
        <w:jc w:val="both"/>
        <w:rPr>
          <w:rFonts w:ascii="Times New Roman" w:hAnsi="Times New Roman" w:cs="Times New Roman"/>
        </w:rPr>
      </w:pPr>
      <w:r>
        <w:rPr>
          <w:rFonts w:ascii="Times New Roman" w:hAnsi="Times New Roman" w:cs="Times New Roman"/>
        </w:rPr>
        <w:t xml:space="preserve">Oproti očakávanému vývoju daňových príjmov v polročnej správe ich vývoj </w:t>
      </w:r>
      <w:r w:rsidRPr="00E66FD2">
        <w:rPr>
          <w:rFonts w:ascii="Times New Roman" w:hAnsi="Times New Roman" w:cs="Times New Roman"/>
        </w:rPr>
        <w:t>negatívne</w:t>
      </w:r>
      <w:r w:rsidRPr="00C364F2">
        <w:rPr>
          <w:rFonts w:ascii="Times New Roman" w:hAnsi="Times New Roman" w:cs="Times New Roman"/>
        </w:rPr>
        <w:t xml:space="preserve"> </w:t>
      </w:r>
      <w:r>
        <w:rPr>
          <w:rFonts w:ascii="Times New Roman" w:hAnsi="Times New Roman" w:cs="Times New Roman"/>
        </w:rPr>
        <w:t>ovplyvňuje  aj septembrová</w:t>
      </w:r>
      <w:r w:rsidRPr="002E66B7">
        <w:rPr>
          <w:rFonts w:ascii="Times New Roman" w:hAnsi="Times New Roman" w:cs="Times New Roman"/>
        </w:rPr>
        <w:t xml:space="preserve"> </w:t>
      </w:r>
      <w:r w:rsidRPr="00C364F2">
        <w:rPr>
          <w:rFonts w:ascii="Times New Roman" w:hAnsi="Times New Roman" w:cs="Times New Roman"/>
        </w:rPr>
        <w:t>ak</w:t>
      </w:r>
      <w:r w:rsidRPr="00E66FD2">
        <w:rPr>
          <w:rFonts w:ascii="Times New Roman" w:hAnsi="Times New Roman" w:cs="Times New Roman"/>
        </w:rPr>
        <w:t>tualizácia makroekonomick</w:t>
      </w:r>
      <w:r>
        <w:rPr>
          <w:rFonts w:ascii="Times New Roman" w:hAnsi="Times New Roman" w:cs="Times New Roman"/>
        </w:rPr>
        <w:t>ej</w:t>
      </w:r>
      <w:r w:rsidRPr="00E66FD2">
        <w:rPr>
          <w:rFonts w:ascii="Times New Roman" w:hAnsi="Times New Roman" w:cs="Times New Roman"/>
        </w:rPr>
        <w:t xml:space="preserve"> prognó</w:t>
      </w:r>
      <w:r>
        <w:rPr>
          <w:rFonts w:ascii="Times New Roman" w:hAnsi="Times New Roman" w:cs="Times New Roman"/>
        </w:rPr>
        <w:t xml:space="preserve">zy, </w:t>
      </w:r>
      <w:r w:rsidRPr="00A46A9D">
        <w:rPr>
          <w:rFonts w:ascii="Times New Roman" w:hAnsi="Times New Roman" w:cs="Times New Roman"/>
        </w:rPr>
        <w:t>znížením výnosu dane z príjmu právnických osôb za rok 2011 a mierne horším výberom dane z pridanej hodnoty</w:t>
      </w:r>
      <w:r>
        <w:rPr>
          <w:rFonts w:ascii="Times New Roman" w:hAnsi="Times New Roman" w:cs="Times New Roman"/>
        </w:rPr>
        <w:t xml:space="preserve">. </w:t>
      </w:r>
      <w:r w:rsidRPr="002E66B7">
        <w:rPr>
          <w:rFonts w:ascii="Times New Roman" w:hAnsi="Times New Roman" w:cs="Times New Roman"/>
        </w:rPr>
        <w:t xml:space="preserve"> </w:t>
      </w:r>
      <w:r>
        <w:rPr>
          <w:rFonts w:ascii="Times New Roman" w:hAnsi="Times New Roman" w:cs="Times New Roman"/>
        </w:rPr>
        <w:t xml:space="preserve">Vplyv sa prejavuje v </w:t>
      </w:r>
      <w:r w:rsidRPr="00E66FD2">
        <w:rPr>
          <w:rFonts w:ascii="Times New Roman" w:hAnsi="Times New Roman" w:cs="Times New Roman"/>
        </w:rPr>
        <w:t>prognóz</w:t>
      </w:r>
      <w:r>
        <w:rPr>
          <w:rFonts w:ascii="Times New Roman" w:hAnsi="Times New Roman" w:cs="Times New Roman"/>
        </w:rPr>
        <w:t xml:space="preserve">e daňových príjmov </w:t>
      </w:r>
      <w:r w:rsidRPr="00E66FD2">
        <w:rPr>
          <w:rFonts w:ascii="Times New Roman" w:hAnsi="Times New Roman" w:cs="Times New Roman"/>
        </w:rPr>
        <w:t>počas celého obdobia rokov 2012</w:t>
      </w:r>
      <w:r w:rsidRPr="00C364F2">
        <w:rPr>
          <w:rFonts w:ascii="Times New Roman" w:hAnsi="Times New Roman" w:cs="Times New Roman"/>
        </w:rPr>
        <w:t xml:space="preserve"> až</w:t>
      </w:r>
      <w:r w:rsidRPr="00E66FD2">
        <w:rPr>
          <w:rFonts w:ascii="Times New Roman" w:hAnsi="Times New Roman" w:cs="Times New Roman"/>
        </w:rPr>
        <w:t xml:space="preserve"> 2015</w:t>
      </w:r>
      <w:r>
        <w:rPr>
          <w:rFonts w:ascii="Times New Roman" w:hAnsi="Times New Roman" w:cs="Times New Roman"/>
        </w:rPr>
        <w:t>.</w:t>
      </w:r>
      <w:r w:rsidRPr="00E66FD2">
        <w:rPr>
          <w:rFonts w:ascii="Times New Roman" w:hAnsi="Times New Roman" w:cs="Times New Roman"/>
        </w:rPr>
        <w:t xml:space="preserve"> </w:t>
      </w:r>
      <w:r>
        <w:rPr>
          <w:rFonts w:ascii="Times New Roman" w:hAnsi="Times New Roman" w:cs="Times New Roman"/>
        </w:rPr>
        <w:t>N</w:t>
      </w:r>
      <w:r w:rsidRPr="00E66FD2">
        <w:rPr>
          <w:rFonts w:ascii="Times New Roman" w:hAnsi="Times New Roman" w:cs="Times New Roman"/>
        </w:rPr>
        <w:t>epriaznivejš</w:t>
      </w:r>
      <w:r>
        <w:rPr>
          <w:rFonts w:ascii="Times New Roman" w:hAnsi="Times New Roman" w:cs="Times New Roman"/>
        </w:rPr>
        <w:t>í</w:t>
      </w:r>
      <w:r w:rsidRPr="00E66FD2">
        <w:rPr>
          <w:rFonts w:ascii="Times New Roman" w:hAnsi="Times New Roman" w:cs="Times New Roman"/>
        </w:rPr>
        <w:t xml:space="preserve"> vývoj ekonomiky </w:t>
      </w:r>
      <w:r>
        <w:rPr>
          <w:rFonts w:ascii="Times New Roman" w:hAnsi="Times New Roman" w:cs="Times New Roman"/>
        </w:rPr>
        <w:t xml:space="preserve">vo vzťahu </w:t>
      </w:r>
      <w:r w:rsidRPr="00E66FD2">
        <w:rPr>
          <w:rFonts w:ascii="Times New Roman" w:hAnsi="Times New Roman" w:cs="Times New Roman"/>
        </w:rPr>
        <w:t xml:space="preserve">k zníženiu odhadov príjmov je v nasledujúcich rokoch rovnomerný. </w:t>
      </w:r>
    </w:p>
    <w:p w:rsidR="0057261A" w:rsidRPr="006A25A4" w:rsidP="0057261A">
      <w:pPr>
        <w:pStyle w:val="NormalWeb"/>
        <w:bidi w:val="0"/>
        <w:spacing w:before="0" w:beforeAutospacing="0" w:after="0" w:afterAutospacing="0"/>
        <w:ind w:firstLine="708"/>
        <w:jc w:val="both"/>
        <w:rPr>
          <w:rFonts w:ascii="Times New Roman" w:hAnsi="Times New Roman"/>
          <w:lang w:eastAsia="cs-CZ"/>
        </w:rPr>
      </w:pPr>
    </w:p>
    <w:p w:rsidR="0057261A" w:rsidP="0057261A">
      <w:pPr>
        <w:pStyle w:val="NormalWeb"/>
        <w:bidi w:val="0"/>
        <w:spacing w:before="0" w:beforeAutospacing="0" w:after="0" w:afterAutospacing="0"/>
        <w:ind w:firstLine="708"/>
        <w:jc w:val="both"/>
        <w:rPr>
          <w:rFonts w:ascii="Times New Roman" w:hAnsi="Times New Roman"/>
        </w:rPr>
      </w:pPr>
      <w:r w:rsidRPr="00146A56">
        <w:rPr>
          <w:rFonts w:ascii="Times New Roman" w:hAnsi="Times New Roman"/>
        </w:rPr>
        <w:t>Nevyhnutné opatrenia na dosiahnutie rozpočtovaného cieľa</w:t>
      </w:r>
      <w:r w:rsidR="009F0105">
        <w:rPr>
          <w:rFonts w:ascii="Times New Roman" w:hAnsi="Times New Roman"/>
        </w:rPr>
        <w:t xml:space="preserve"> v roku 2012</w:t>
      </w:r>
      <w:r w:rsidRPr="00146A56">
        <w:rPr>
          <w:rFonts w:ascii="Times New Roman" w:hAnsi="Times New Roman"/>
        </w:rPr>
        <w:t xml:space="preserve"> </w:t>
      </w:r>
      <w:r>
        <w:rPr>
          <w:rFonts w:ascii="Times New Roman" w:hAnsi="Times New Roman"/>
        </w:rPr>
        <w:t xml:space="preserve">pozostávajú </w:t>
      </w:r>
      <w:r w:rsidRPr="00146A56">
        <w:rPr>
          <w:rFonts w:ascii="Times New Roman" w:hAnsi="Times New Roman"/>
        </w:rPr>
        <w:t>z reštriktívnych opatrení v štátnom rozpočte a prehodnoten</w:t>
      </w:r>
      <w:r>
        <w:rPr>
          <w:rFonts w:ascii="Times New Roman" w:hAnsi="Times New Roman"/>
        </w:rPr>
        <w:t>í</w:t>
      </w:r>
      <w:r w:rsidRPr="00146A56">
        <w:rPr>
          <w:rFonts w:ascii="Times New Roman" w:hAnsi="Times New Roman"/>
        </w:rPr>
        <w:t xml:space="preserve"> niektorých výdavkových titulov. Okrem toho sa </w:t>
      </w:r>
      <w:r w:rsidR="00121F8D">
        <w:rPr>
          <w:rFonts w:ascii="Times New Roman" w:hAnsi="Times New Roman"/>
        </w:rPr>
        <w:t>v</w:t>
      </w:r>
      <w:r w:rsidRPr="00146A56">
        <w:rPr>
          <w:rFonts w:ascii="Times New Roman" w:hAnsi="Times New Roman"/>
        </w:rPr>
        <w:t xml:space="preserve"> roku 2012 prejaví aj schválená alebo už predložená legislatíva na rokovanie Národnej</w:t>
      </w:r>
      <w:r>
        <w:rPr>
          <w:rFonts w:ascii="Times New Roman" w:hAnsi="Times New Roman"/>
        </w:rPr>
        <w:t xml:space="preserve"> </w:t>
      </w:r>
      <w:r w:rsidRPr="00146A56">
        <w:rPr>
          <w:rFonts w:ascii="Times New Roman" w:hAnsi="Times New Roman"/>
        </w:rPr>
        <w:t>rady SR (najmä novela zákona č. 461/2003 Z.</w:t>
      </w:r>
      <w:r>
        <w:rPr>
          <w:rFonts w:ascii="Times New Roman" w:hAnsi="Times New Roman"/>
        </w:rPr>
        <w:t xml:space="preserve"> </w:t>
      </w:r>
      <w:r w:rsidRPr="00146A56">
        <w:rPr>
          <w:rFonts w:ascii="Times New Roman" w:hAnsi="Times New Roman"/>
        </w:rPr>
        <w:t>z. o sociálnom poistení, novela zákona č. 384/2011 Z.</w:t>
      </w:r>
      <w:r>
        <w:rPr>
          <w:rFonts w:ascii="Times New Roman" w:hAnsi="Times New Roman"/>
        </w:rPr>
        <w:t xml:space="preserve"> </w:t>
      </w:r>
      <w:r w:rsidRPr="00146A56">
        <w:rPr>
          <w:rFonts w:ascii="Times New Roman" w:hAnsi="Times New Roman"/>
        </w:rPr>
        <w:t>z. o osobitnom odvode vybraných finančných inštitúcii, zákon o osobitnom odvode z podnikania v regulovaných odvetviach, novela zákona o správnych poplatkoch</w:t>
      </w:r>
      <w:r>
        <w:rPr>
          <w:rFonts w:ascii="Times New Roman" w:hAnsi="Times New Roman"/>
        </w:rPr>
        <w:t xml:space="preserve">). </w:t>
      </w:r>
    </w:p>
    <w:p w:rsidR="0057261A" w:rsidP="0057261A">
      <w:pPr>
        <w:autoSpaceDE w:val="0"/>
        <w:autoSpaceDN w:val="0"/>
        <w:bidi w:val="0"/>
        <w:adjustRightInd w:val="0"/>
        <w:jc w:val="both"/>
        <w:rPr>
          <w:rFonts w:ascii="Times New Roman" w:hAnsi="Times New Roman"/>
        </w:rPr>
      </w:pPr>
    </w:p>
    <w:p w:rsidR="009F0105" w:rsidP="009F0105">
      <w:pPr>
        <w:autoSpaceDE w:val="0"/>
        <w:autoSpaceDN w:val="0"/>
        <w:bidi w:val="0"/>
        <w:adjustRightInd w:val="0"/>
        <w:ind w:firstLine="708"/>
        <w:jc w:val="both"/>
        <w:rPr>
          <w:rFonts w:ascii="Times New Roman" w:hAnsi="Times New Roman" w:cs="Times New Roman"/>
        </w:rPr>
      </w:pPr>
      <w:r w:rsidRPr="00E412C3">
        <w:rPr>
          <w:rFonts w:ascii="Times New Roman" w:hAnsi="Times New Roman" w:cs="Times New Roman"/>
        </w:rPr>
        <w:t xml:space="preserve">Na základe v súčasnosti dostupných informácií o pozitívach a rizikách rozpočtu sa očakáva </w:t>
      </w:r>
      <w:r>
        <w:rPr>
          <w:rFonts w:ascii="Times New Roman" w:hAnsi="Times New Roman" w:cs="Times New Roman"/>
        </w:rPr>
        <w:t xml:space="preserve">dodržanie rozpočtovaného </w:t>
      </w:r>
      <w:r w:rsidRPr="00E412C3">
        <w:rPr>
          <w:rFonts w:ascii="Times New Roman" w:hAnsi="Times New Roman" w:cs="Times New Roman"/>
        </w:rPr>
        <w:t>deficitu verejnej správy</w:t>
      </w:r>
      <w:r>
        <w:rPr>
          <w:rFonts w:ascii="Times New Roman" w:hAnsi="Times New Roman" w:cs="Times New Roman"/>
        </w:rPr>
        <w:t xml:space="preserve">. </w:t>
      </w:r>
    </w:p>
    <w:p w:rsidR="009F0105" w:rsidP="009F0105">
      <w:pPr>
        <w:autoSpaceDE w:val="0"/>
        <w:autoSpaceDN w:val="0"/>
        <w:bidi w:val="0"/>
        <w:adjustRightInd w:val="0"/>
        <w:ind w:firstLine="708"/>
        <w:jc w:val="both"/>
        <w:rPr>
          <w:rFonts w:ascii="Times New Roman" w:hAnsi="Times New Roman" w:cs="Times New Roman"/>
        </w:rPr>
      </w:pPr>
    </w:p>
    <w:p w:rsidR="0057261A" w:rsidP="0057261A">
      <w:pPr>
        <w:autoSpaceDE w:val="0"/>
        <w:autoSpaceDN w:val="0"/>
        <w:bidi w:val="0"/>
        <w:adjustRightInd w:val="0"/>
        <w:ind w:firstLine="708"/>
        <w:jc w:val="both"/>
        <w:rPr>
          <w:rFonts w:ascii="Times New Roman" w:hAnsi="Times New Roman" w:cs="Times New Roman"/>
        </w:rPr>
      </w:pPr>
      <w:r w:rsidRPr="007F66EE">
        <w:rPr>
          <w:rFonts w:ascii="Times New Roman" w:hAnsi="Times New Roman" w:cs="Times New Roman"/>
        </w:rPr>
        <w:t>Nasledujúca tabuľka poskytuje prehľad o základných parametroch fiškálneho rámca</w:t>
      </w:r>
      <w:r>
        <w:rPr>
          <w:rFonts w:ascii="Times New Roman" w:hAnsi="Times New Roman" w:cs="Times New Roman"/>
        </w:rPr>
        <w:t xml:space="preserve"> </w:t>
      </w:r>
      <w:r>
        <w:rPr>
          <w:rFonts w:ascii="Times New Roman" w:hAnsi="Times New Roman"/>
        </w:rPr>
        <w:t>na roky 2013 až 2015</w:t>
      </w:r>
      <w:r w:rsidRPr="007F66EE">
        <w:rPr>
          <w:rFonts w:ascii="Times New Roman" w:hAnsi="Times New Roman" w:cs="Times New Roman"/>
        </w:rPr>
        <w:t xml:space="preserve">, a to o konkrétnych výškach schodku štátneho rozpočtu v metodike ESA 95 v jednotlivých rokoch zostavovaného rozpočtu a predpokladanom vývoji hospodárenia ostatných subjektov </w:t>
      </w:r>
      <w:r w:rsidRPr="00A4096E">
        <w:rPr>
          <w:rFonts w:ascii="Times New Roman" w:hAnsi="Times New Roman" w:cs="Times New Roman"/>
        </w:rPr>
        <w:t>verejnej správy.</w:t>
      </w:r>
    </w:p>
    <w:p w:rsidR="009F0105" w:rsidP="0057261A">
      <w:pPr>
        <w:autoSpaceDE w:val="0"/>
        <w:autoSpaceDN w:val="0"/>
        <w:bidi w:val="0"/>
        <w:adjustRightInd w:val="0"/>
        <w:ind w:firstLine="708"/>
        <w:jc w:val="both"/>
        <w:rPr>
          <w:rFonts w:ascii="Times New Roman" w:hAnsi="Times New Roman" w:cs="Times New Roman"/>
        </w:rPr>
      </w:pPr>
    </w:p>
    <w:p w:rsidR="009F0105" w:rsidP="0057261A">
      <w:pPr>
        <w:autoSpaceDE w:val="0"/>
        <w:autoSpaceDN w:val="0"/>
        <w:bidi w:val="0"/>
        <w:adjustRightInd w:val="0"/>
        <w:ind w:firstLine="708"/>
        <w:jc w:val="both"/>
        <w:rPr>
          <w:rFonts w:ascii="Times New Roman" w:hAnsi="Times New Roman" w:cs="Times New Roman"/>
        </w:rPr>
      </w:pPr>
    </w:p>
    <w:p w:rsidR="009F0105" w:rsidP="0057261A">
      <w:pPr>
        <w:autoSpaceDE w:val="0"/>
        <w:autoSpaceDN w:val="0"/>
        <w:bidi w:val="0"/>
        <w:adjustRightInd w:val="0"/>
        <w:ind w:firstLine="708"/>
        <w:jc w:val="both"/>
        <w:rPr>
          <w:rFonts w:ascii="Times New Roman" w:hAnsi="Times New Roman" w:cs="Times New Roman"/>
        </w:rPr>
      </w:pPr>
    </w:p>
    <w:p w:rsidR="009F0105" w:rsidP="0057261A">
      <w:pPr>
        <w:autoSpaceDE w:val="0"/>
        <w:autoSpaceDN w:val="0"/>
        <w:bidi w:val="0"/>
        <w:adjustRightInd w:val="0"/>
        <w:ind w:firstLine="708"/>
        <w:jc w:val="both"/>
        <w:rPr>
          <w:rFonts w:ascii="Times New Roman" w:hAnsi="Times New Roman" w:cs="Times New Roman"/>
        </w:rPr>
      </w:pPr>
    </w:p>
    <w:p w:rsidR="009F0105" w:rsidP="0057261A">
      <w:pPr>
        <w:autoSpaceDE w:val="0"/>
        <w:autoSpaceDN w:val="0"/>
        <w:bidi w:val="0"/>
        <w:adjustRightInd w:val="0"/>
        <w:ind w:firstLine="708"/>
        <w:jc w:val="both"/>
        <w:rPr>
          <w:rFonts w:ascii="Times New Roman" w:hAnsi="Times New Roman" w:cs="Times New Roman"/>
        </w:rPr>
      </w:pPr>
    </w:p>
    <w:p w:rsidR="009F0105" w:rsidP="0057261A">
      <w:pPr>
        <w:autoSpaceDE w:val="0"/>
        <w:autoSpaceDN w:val="0"/>
        <w:bidi w:val="0"/>
        <w:adjustRightInd w:val="0"/>
        <w:ind w:firstLine="708"/>
        <w:jc w:val="both"/>
        <w:rPr>
          <w:rFonts w:ascii="Times New Roman" w:hAnsi="Times New Roman" w:cs="Times New Roman"/>
        </w:rPr>
      </w:pPr>
    </w:p>
    <w:p w:rsidR="009F0105" w:rsidRPr="00A4096E" w:rsidP="0057261A">
      <w:pPr>
        <w:autoSpaceDE w:val="0"/>
        <w:autoSpaceDN w:val="0"/>
        <w:bidi w:val="0"/>
        <w:adjustRightInd w:val="0"/>
        <w:ind w:firstLine="708"/>
        <w:jc w:val="both"/>
        <w:rPr>
          <w:rFonts w:ascii="Times New Roman" w:hAnsi="Times New Roman" w:cs="Times New Roman"/>
        </w:rPr>
      </w:pPr>
    </w:p>
    <w:p w:rsidR="0057261A" w:rsidRPr="00A4096E" w:rsidP="0057261A">
      <w:pPr>
        <w:autoSpaceDE w:val="0"/>
        <w:autoSpaceDN w:val="0"/>
        <w:bidi w:val="0"/>
        <w:adjustRightInd w:val="0"/>
        <w:jc w:val="both"/>
        <w:rPr>
          <w:rFonts w:ascii="Times New Roman" w:hAnsi="Times New Roman"/>
        </w:rPr>
      </w:pPr>
    </w:p>
    <w:tbl>
      <w:tblPr>
        <w:tblStyle w:val="TableNormal"/>
        <w:tblW w:w="5000" w:type="pct"/>
        <w:tblCellMar>
          <w:left w:w="70" w:type="dxa"/>
          <w:right w:w="70" w:type="dxa"/>
        </w:tblCellMar>
        <w:tblLook w:val="04A0"/>
      </w:tblPr>
      <w:tblGrid>
        <w:gridCol w:w="3218"/>
        <w:gridCol w:w="741"/>
        <w:gridCol w:w="741"/>
        <w:gridCol w:w="741"/>
        <w:gridCol w:w="741"/>
        <w:gridCol w:w="774"/>
        <w:gridCol w:w="741"/>
        <w:gridCol w:w="774"/>
        <w:gridCol w:w="741"/>
      </w:tblGrid>
      <w:tr>
        <w:tblPrEx>
          <w:tblW w:w="5000" w:type="pct"/>
          <w:tblCellMar>
            <w:left w:w="70" w:type="dxa"/>
            <w:right w:w="70" w:type="dxa"/>
          </w:tblCellMar>
          <w:tblLook w:val="04A0"/>
        </w:tblPrEx>
        <w:trPr>
          <w:trHeight w:val="255"/>
        </w:trPr>
        <w:tc>
          <w:tcPr>
            <w:tcW w:w="1747"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7261A" w:rsidRPr="00A4096E" w:rsidP="00B97CD7">
            <w:pPr>
              <w:bidi w:val="0"/>
              <w:jc w:val="center"/>
              <w:rPr>
                <w:rFonts w:ascii="Times New Roman" w:hAnsi="Times New Roman" w:cs="Times New Roman"/>
                <w:sz w:val="14"/>
                <w:szCs w:val="14"/>
                <w:lang w:eastAsia="sk-SK"/>
              </w:rPr>
            </w:pPr>
          </w:p>
        </w:tc>
        <w:tc>
          <w:tcPr>
            <w:tcW w:w="40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57261A" w:rsidRPr="00A4096E" w:rsidP="00B97CD7">
            <w:pPr>
              <w:bidi w:val="0"/>
              <w:jc w:val="center"/>
              <w:rPr>
                <w:rFonts w:ascii="Times New Roman" w:hAnsi="Times New Roman" w:cs="Times New Roman"/>
                <w:b/>
                <w:bCs/>
                <w:sz w:val="14"/>
                <w:szCs w:val="14"/>
                <w:lang w:eastAsia="sk-SK"/>
              </w:rPr>
            </w:pPr>
            <w:r w:rsidRPr="00A4096E">
              <w:rPr>
                <w:rFonts w:ascii="Times New Roman" w:hAnsi="Times New Roman" w:cs="Times New Roman"/>
                <w:b/>
                <w:bCs/>
                <w:sz w:val="14"/>
                <w:szCs w:val="14"/>
                <w:lang w:eastAsia="sk-SK"/>
              </w:rPr>
              <w:t>m. j.</w:t>
            </w:r>
          </w:p>
        </w:tc>
        <w:tc>
          <w:tcPr>
            <w:tcW w:w="402"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57261A" w:rsidRPr="00A4096E" w:rsidP="00B97CD7">
            <w:pPr>
              <w:bidi w:val="0"/>
              <w:jc w:val="center"/>
              <w:rPr>
                <w:rFonts w:ascii="Times New Roman" w:hAnsi="Times New Roman" w:cs="Times New Roman"/>
                <w:b/>
                <w:bCs/>
                <w:sz w:val="14"/>
                <w:szCs w:val="14"/>
                <w:lang w:eastAsia="sk-SK"/>
              </w:rPr>
            </w:pPr>
            <w:r w:rsidRPr="00A4096E">
              <w:rPr>
                <w:rFonts w:ascii="Times New Roman" w:hAnsi="Times New Roman" w:cs="Times New Roman"/>
                <w:b/>
                <w:bCs/>
                <w:sz w:val="14"/>
                <w:szCs w:val="14"/>
                <w:lang w:eastAsia="sk-SK"/>
              </w:rPr>
              <w:t>2010 S</w:t>
            </w:r>
          </w:p>
        </w:tc>
        <w:tc>
          <w:tcPr>
            <w:tcW w:w="402"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57261A" w:rsidRPr="00A4096E" w:rsidP="00B97CD7">
            <w:pPr>
              <w:bidi w:val="0"/>
              <w:jc w:val="center"/>
              <w:rPr>
                <w:rFonts w:ascii="Times New Roman" w:hAnsi="Times New Roman" w:cs="Times New Roman"/>
                <w:b/>
                <w:bCs/>
                <w:sz w:val="14"/>
                <w:szCs w:val="14"/>
                <w:lang w:eastAsia="sk-SK"/>
              </w:rPr>
            </w:pPr>
            <w:r w:rsidRPr="00A4096E">
              <w:rPr>
                <w:rFonts w:ascii="Times New Roman" w:hAnsi="Times New Roman" w:cs="Times New Roman"/>
                <w:b/>
                <w:bCs/>
                <w:sz w:val="14"/>
                <w:szCs w:val="14"/>
                <w:lang w:eastAsia="sk-SK"/>
              </w:rPr>
              <w:t>2011 S</w:t>
            </w:r>
          </w:p>
        </w:tc>
        <w:tc>
          <w:tcPr>
            <w:tcW w:w="402"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57261A" w:rsidRPr="00A4096E" w:rsidP="00B97CD7">
            <w:pPr>
              <w:bidi w:val="0"/>
              <w:jc w:val="center"/>
              <w:rPr>
                <w:rFonts w:ascii="Times New Roman" w:hAnsi="Times New Roman" w:cs="Times New Roman"/>
                <w:b/>
                <w:bCs/>
                <w:sz w:val="14"/>
                <w:szCs w:val="14"/>
                <w:lang w:eastAsia="sk-SK"/>
              </w:rPr>
            </w:pPr>
            <w:r w:rsidRPr="00A4096E">
              <w:rPr>
                <w:rFonts w:ascii="Times New Roman" w:hAnsi="Times New Roman" w:cs="Times New Roman"/>
                <w:b/>
                <w:bCs/>
                <w:sz w:val="14"/>
                <w:szCs w:val="14"/>
                <w:lang w:eastAsia="sk-SK"/>
              </w:rPr>
              <w:t>2012 R</w:t>
            </w:r>
          </w:p>
        </w:tc>
        <w:tc>
          <w:tcPr>
            <w:tcW w:w="42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57261A" w:rsidRPr="009F0105" w:rsidP="00B97CD7">
            <w:pPr>
              <w:bidi w:val="0"/>
              <w:jc w:val="center"/>
              <w:rPr>
                <w:rFonts w:ascii="Times New Roman" w:hAnsi="Times New Roman" w:cs="Times New Roman"/>
                <w:b/>
                <w:bCs/>
                <w:sz w:val="14"/>
                <w:szCs w:val="14"/>
                <w:lang w:eastAsia="sk-SK"/>
              </w:rPr>
            </w:pPr>
            <w:r w:rsidRPr="009F0105">
              <w:rPr>
                <w:rFonts w:ascii="Times New Roman" w:hAnsi="Times New Roman" w:cs="Times New Roman"/>
                <w:b/>
                <w:bCs/>
                <w:sz w:val="14"/>
                <w:szCs w:val="14"/>
                <w:lang w:eastAsia="sk-SK"/>
              </w:rPr>
              <w:t>2012 OS</w:t>
            </w:r>
            <w:r w:rsidR="009F0105">
              <w:rPr>
                <w:rFonts w:ascii="Times New Roman" w:hAnsi="Times New Roman" w:cs="Times New Roman"/>
                <w:b/>
                <w:bCs/>
                <w:sz w:val="14"/>
                <w:szCs w:val="14"/>
                <w:lang w:eastAsia="sk-SK"/>
              </w:rPr>
              <w:t>*</w:t>
            </w:r>
          </w:p>
        </w:tc>
        <w:tc>
          <w:tcPr>
            <w:tcW w:w="402"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57261A" w:rsidRPr="00A4096E" w:rsidP="00B97CD7">
            <w:pPr>
              <w:bidi w:val="0"/>
              <w:jc w:val="center"/>
              <w:rPr>
                <w:rFonts w:ascii="Times New Roman" w:hAnsi="Times New Roman" w:cs="Times New Roman"/>
                <w:b/>
                <w:bCs/>
                <w:sz w:val="14"/>
                <w:szCs w:val="14"/>
                <w:lang w:eastAsia="sk-SK"/>
              </w:rPr>
            </w:pPr>
            <w:r w:rsidRPr="00A4096E">
              <w:rPr>
                <w:rFonts w:ascii="Times New Roman" w:hAnsi="Times New Roman" w:cs="Times New Roman"/>
                <w:b/>
                <w:bCs/>
                <w:sz w:val="14"/>
                <w:szCs w:val="14"/>
                <w:lang w:eastAsia="sk-SK"/>
              </w:rPr>
              <w:t>2013 R</w:t>
            </w:r>
          </w:p>
        </w:tc>
        <w:tc>
          <w:tcPr>
            <w:tcW w:w="42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57261A" w:rsidRPr="00A4096E" w:rsidP="00B97CD7">
            <w:pPr>
              <w:bidi w:val="0"/>
              <w:jc w:val="center"/>
              <w:rPr>
                <w:rFonts w:ascii="Times New Roman" w:hAnsi="Times New Roman" w:cs="Times New Roman"/>
                <w:b/>
                <w:bCs/>
                <w:sz w:val="14"/>
                <w:szCs w:val="14"/>
                <w:lang w:eastAsia="sk-SK"/>
              </w:rPr>
            </w:pPr>
            <w:r w:rsidRPr="00A4096E">
              <w:rPr>
                <w:rFonts w:ascii="Times New Roman" w:hAnsi="Times New Roman" w:cs="Times New Roman"/>
                <w:b/>
                <w:bCs/>
                <w:sz w:val="14"/>
                <w:szCs w:val="14"/>
                <w:lang w:eastAsia="sk-SK"/>
              </w:rPr>
              <w:t>2014 N</w:t>
            </w:r>
          </w:p>
        </w:tc>
        <w:tc>
          <w:tcPr>
            <w:tcW w:w="402"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57261A" w:rsidRPr="00A4096E" w:rsidP="00B97CD7">
            <w:pPr>
              <w:bidi w:val="0"/>
              <w:jc w:val="center"/>
              <w:rPr>
                <w:rFonts w:ascii="Times New Roman" w:hAnsi="Times New Roman" w:cs="Times New Roman"/>
                <w:b/>
                <w:bCs/>
                <w:sz w:val="14"/>
                <w:szCs w:val="14"/>
                <w:lang w:eastAsia="sk-SK"/>
              </w:rPr>
            </w:pPr>
            <w:r w:rsidRPr="00A4096E">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val="255"/>
        </w:trPr>
        <w:tc>
          <w:tcPr>
            <w:tcW w:w="1747"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7261A" w:rsidRPr="00A4096E" w:rsidP="00B97CD7">
            <w:pPr>
              <w:bidi w:val="0"/>
              <w:rPr>
                <w:rFonts w:ascii="Times New Roman" w:hAnsi="Times New Roman" w:cs="Times New Roman"/>
                <w:sz w:val="14"/>
                <w:szCs w:val="14"/>
                <w:lang w:eastAsia="sk-SK"/>
              </w:rPr>
            </w:pPr>
            <w:r w:rsidRPr="00A4096E">
              <w:rPr>
                <w:rFonts w:ascii="Times New Roman" w:hAnsi="Times New Roman" w:cs="Times New Roman"/>
                <w:sz w:val="14"/>
                <w:szCs w:val="14"/>
                <w:lang w:eastAsia="sk-SK"/>
              </w:rPr>
              <w:t>Cielený podiel schodku RVS na HDP</w:t>
            </w: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57261A" w:rsidRPr="00A4096E" w:rsidP="00B97CD7">
            <w:pPr>
              <w:bidi w:val="0"/>
              <w:jc w:val="center"/>
              <w:rPr>
                <w:rFonts w:ascii="Times New Roman" w:hAnsi="Times New Roman" w:cs="Times New Roman"/>
                <w:sz w:val="14"/>
                <w:szCs w:val="14"/>
                <w:lang w:eastAsia="sk-SK"/>
              </w:rPr>
            </w:pPr>
            <w:r w:rsidRPr="00A4096E">
              <w:rPr>
                <w:rFonts w:ascii="Times New Roman" w:hAnsi="Times New Roman" w:cs="Times New Roman"/>
                <w:sz w:val="14"/>
                <w:szCs w:val="14"/>
                <w:lang w:eastAsia="sk-SK"/>
              </w:rPr>
              <w:t>%</w:t>
            </w: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57261A" w:rsidRPr="00A4096E" w:rsidP="00B97CD7">
            <w:pPr>
              <w:bidi w:val="0"/>
              <w:jc w:val="right"/>
              <w:rPr>
                <w:rFonts w:ascii="Times New Roman" w:hAnsi="Times New Roman" w:cs="Times New Roman"/>
                <w:b/>
                <w:bCs/>
                <w:sz w:val="14"/>
                <w:szCs w:val="14"/>
                <w:lang w:eastAsia="sk-SK"/>
              </w:rPr>
            </w:pP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57261A" w:rsidRPr="00A4096E" w:rsidP="00B97CD7">
            <w:pPr>
              <w:bidi w:val="0"/>
              <w:jc w:val="right"/>
              <w:rPr>
                <w:rFonts w:ascii="Times New Roman" w:hAnsi="Times New Roman" w:cs="Times New Roman"/>
                <w:b/>
                <w:bCs/>
                <w:sz w:val="14"/>
                <w:szCs w:val="14"/>
                <w:lang w:eastAsia="sk-SK"/>
              </w:rPr>
            </w:pP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57261A" w:rsidRPr="00A4096E" w:rsidP="00B97CD7">
            <w:pPr>
              <w:bidi w:val="0"/>
              <w:jc w:val="right"/>
              <w:rPr>
                <w:rFonts w:ascii="Times New Roman" w:hAnsi="Times New Roman" w:cs="Times New Roman"/>
                <w:b/>
                <w:bCs/>
                <w:sz w:val="14"/>
                <w:szCs w:val="14"/>
                <w:lang w:eastAsia="sk-SK"/>
              </w:rPr>
            </w:pPr>
          </w:p>
        </w:tc>
        <w:tc>
          <w:tcPr>
            <w:tcW w:w="420"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57261A" w:rsidRPr="009F0105" w:rsidP="00B97CD7">
            <w:pPr>
              <w:bidi w:val="0"/>
              <w:jc w:val="right"/>
              <w:rPr>
                <w:rFonts w:ascii="Times New Roman" w:hAnsi="Times New Roman" w:cs="Times New Roman"/>
                <w:sz w:val="14"/>
                <w:szCs w:val="14"/>
                <w:lang w:eastAsia="sk-SK"/>
              </w:rPr>
            </w:pPr>
            <w:r w:rsidRPr="009F0105">
              <w:rPr>
                <w:rFonts w:ascii="Times New Roman" w:hAnsi="Times New Roman" w:cs="Times New Roman"/>
                <w:sz w:val="14"/>
                <w:szCs w:val="14"/>
                <w:lang w:eastAsia="sk-SK"/>
              </w:rPr>
              <w:t>-4,6</w:t>
            </w: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-2,9</w:t>
            </w:r>
          </w:p>
        </w:tc>
        <w:tc>
          <w:tcPr>
            <w:tcW w:w="420"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-2,4</w:t>
            </w:r>
          </w:p>
        </w:tc>
        <w:tc>
          <w:tcPr>
            <w:tcW w:w="402" w:type="pct"/>
            <w:tcBorders>
              <w:top w:val="single" w:sz="4" w:space="0" w:color="auto"/>
              <w:left w:val="nil"/>
              <w:bottom w:val="single" w:sz="4" w:space="0" w:color="auto"/>
              <w:right w:val="single" w:sz="4" w:space="0" w:color="auto"/>
            </w:tcBorders>
            <w:shd w:val="clear" w:color="auto" w:fill="BFBFBF"/>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-1,9</w:t>
            </w:r>
          </w:p>
        </w:tc>
      </w:tr>
      <w:tr>
        <w:tblPrEx>
          <w:tblW w:w="5000" w:type="pct"/>
          <w:tblCellMar>
            <w:left w:w="70" w:type="dxa"/>
            <w:right w:w="70" w:type="dxa"/>
          </w:tblCellMar>
          <w:tblLook w:val="04A0"/>
        </w:tblPrEx>
        <w:trPr>
          <w:trHeight w:val="255"/>
        </w:trPr>
        <w:tc>
          <w:tcPr>
            <w:tcW w:w="1747" w:type="pct"/>
            <w:tcBorders>
              <w:top w:val="nil"/>
              <w:left w:val="single" w:sz="4" w:space="0" w:color="auto"/>
              <w:bottom w:val="single" w:sz="4" w:space="0" w:color="auto"/>
              <w:right w:val="single" w:sz="4" w:space="0" w:color="auto"/>
            </w:tcBorders>
            <w:textDirection w:val="lrTb"/>
            <w:vAlign w:val="center"/>
            <w:hideMark/>
          </w:tcPr>
          <w:p w:rsidR="0057261A" w:rsidRPr="00A4096E" w:rsidP="00B97CD7">
            <w:pPr>
              <w:bidi w:val="0"/>
              <w:rPr>
                <w:rFonts w:ascii="Times New Roman" w:hAnsi="Times New Roman" w:cs="Times New Roman"/>
                <w:sz w:val="14"/>
                <w:szCs w:val="14"/>
                <w:lang w:eastAsia="sk-SK"/>
              </w:rPr>
            </w:pPr>
            <w:r w:rsidRPr="00A4096E">
              <w:rPr>
                <w:rFonts w:ascii="Times New Roman" w:hAnsi="Times New Roman" w:cs="Times New Roman"/>
                <w:sz w:val="14"/>
                <w:szCs w:val="14"/>
                <w:lang w:eastAsia="sk-SK"/>
              </w:rPr>
              <w:t>Cielený schodok RVS</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center"/>
              <w:rPr>
                <w:rFonts w:ascii="Times New Roman" w:hAnsi="Times New Roman" w:cs="Times New Roman"/>
                <w:sz w:val="14"/>
                <w:szCs w:val="14"/>
                <w:lang w:eastAsia="sk-SK"/>
              </w:rPr>
            </w:pPr>
            <w:r w:rsidRPr="00A4096E">
              <w:rPr>
                <w:rFonts w:ascii="Times New Roman" w:hAnsi="Times New Roman" w:cs="Times New Roman"/>
                <w:sz w:val="14"/>
                <w:szCs w:val="14"/>
                <w:lang w:eastAsia="sk-SK"/>
              </w:rPr>
              <w:t>mil. eur</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p>
        </w:tc>
        <w:tc>
          <w:tcPr>
            <w:tcW w:w="420" w:type="pct"/>
            <w:tcBorders>
              <w:top w:val="nil"/>
              <w:left w:val="nil"/>
              <w:bottom w:val="single" w:sz="4" w:space="0" w:color="auto"/>
              <w:right w:val="single" w:sz="4" w:space="0" w:color="auto"/>
            </w:tcBorders>
            <w:noWrap/>
            <w:textDirection w:val="lrTb"/>
            <w:vAlign w:val="center"/>
            <w:hideMark/>
          </w:tcPr>
          <w:p w:rsidR="0057261A" w:rsidRPr="009F0105" w:rsidP="00B97CD7">
            <w:pPr>
              <w:bidi w:val="0"/>
              <w:jc w:val="right"/>
              <w:rPr>
                <w:rFonts w:ascii="Times New Roman" w:hAnsi="Times New Roman" w:cs="Times New Roman"/>
                <w:sz w:val="14"/>
                <w:szCs w:val="14"/>
                <w:lang w:eastAsia="sk-SK"/>
              </w:rPr>
            </w:pPr>
            <w:r w:rsidRPr="009F0105">
              <w:rPr>
                <w:rFonts w:ascii="Times New Roman" w:hAnsi="Times New Roman" w:cs="Times New Roman"/>
                <w:sz w:val="14"/>
                <w:szCs w:val="14"/>
                <w:lang w:eastAsia="sk-SK"/>
              </w:rPr>
              <w:t>-3 323,7</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-2 186,5</w:t>
            </w:r>
          </w:p>
        </w:tc>
        <w:tc>
          <w:tcPr>
            <w:tcW w:w="420"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-1 913,5</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-1 608,3</w:t>
            </w:r>
          </w:p>
        </w:tc>
      </w:tr>
      <w:tr>
        <w:tblPrEx>
          <w:tblW w:w="5000" w:type="pct"/>
          <w:tblCellMar>
            <w:left w:w="70" w:type="dxa"/>
            <w:right w:w="70" w:type="dxa"/>
          </w:tblCellMar>
          <w:tblLook w:val="04A0"/>
        </w:tblPrEx>
        <w:trPr>
          <w:trHeight w:val="255"/>
        </w:trPr>
        <w:tc>
          <w:tcPr>
            <w:tcW w:w="1747" w:type="pct"/>
            <w:tcBorders>
              <w:top w:val="nil"/>
              <w:left w:val="single" w:sz="4" w:space="0" w:color="auto"/>
              <w:bottom w:val="single" w:sz="4" w:space="0" w:color="auto"/>
              <w:right w:val="single" w:sz="4" w:space="0" w:color="auto"/>
            </w:tcBorders>
            <w:textDirection w:val="lrTb"/>
            <w:vAlign w:val="center"/>
            <w:hideMark/>
          </w:tcPr>
          <w:p w:rsidR="0057261A" w:rsidRPr="00A4096E" w:rsidP="00B97CD7">
            <w:pPr>
              <w:bidi w:val="0"/>
              <w:rPr>
                <w:rFonts w:ascii="Times New Roman" w:hAnsi="Times New Roman" w:cs="Times New Roman"/>
                <w:sz w:val="14"/>
                <w:szCs w:val="14"/>
                <w:lang w:eastAsia="sk-SK"/>
              </w:rPr>
            </w:pPr>
            <w:r w:rsidRPr="00A4096E">
              <w:rPr>
                <w:rFonts w:ascii="Times New Roman" w:hAnsi="Times New Roman" w:cs="Times New Roman"/>
                <w:sz w:val="14"/>
                <w:szCs w:val="14"/>
                <w:lang w:eastAsia="sk-SK"/>
              </w:rPr>
              <w:t>potreba dodatočných konsolidačných opatrení</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center"/>
              <w:rPr>
                <w:rFonts w:ascii="Times New Roman" w:hAnsi="Times New Roman" w:cs="Times New Roman"/>
                <w:sz w:val="14"/>
                <w:szCs w:val="14"/>
                <w:lang w:eastAsia="sk-SK"/>
              </w:rPr>
            </w:pPr>
            <w:r w:rsidRPr="00A4096E">
              <w:rPr>
                <w:rFonts w:ascii="Times New Roman" w:hAnsi="Times New Roman" w:cs="Times New Roman"/>
                <w:sz w:val="14"/>
                <w:szCs w:val="14"/>
                <w:lang w:eastAsia="sk-SK"/>
              </w:rPr>
              <w:t>mil. eur</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p>
        </w:tc>
        <w:tc>
          <w:tcPr>
            <w:tcW w:w="420" w:type="pct"/>
            <w:tcBorders>
              <w:top w:val="nil"/>
              <w:left w:val="nil"/>
              <w:bottom w:val="single" w:sz="4" w:space="0" w:color="auto"/>
              <w:right w:val="single" w:sz="4" w:space="0" w:color="auto"/>
            </w:tcBorders>
            <w:noWrap/>
            <w:textDirection w:val="lrTb"/>
            <w:vAlign w:val="center"/>
            <w:hideMark/>
          </w:tcPr>
          <w:p w:rsidR="0057261A" w:rsidRPr="009F0105" w:rsidP="00B97CD7">
            <w:pPr>
              <w:bidi w:val="0"/>
              <w:jc w:val="right"/>
              <w:rPr>
                <w:rFonts w:ascii="Times New Roman" w:hAnsi="Times New Roman" w:cs="Times New Roman"/>
                <w:sz w:val="14"/>
                <w:szCs w:val="14"/>
                <w:lang w:eastAsia="sk-SK"/>
              </w:rPr>
            </w:pPr>
            <w:r w:rsidRPr="009F0105">
              <w:rPr>
                <w:rFonts w:ascii="Times New Roman" w:hAnsi="Times New Roman" w:cs="Times New Roman"/>
                <w:sz w:val="14"/>
                <w:szCs w:val="14"/>
                <w:lang w:eastAsia="sk-SK"/>
              </w:rPr>
              <w:t>498,2</w:t>
            </w:r>
          </w:p>
        </w:tc>
        <w:tc>
          <w:tcPr>
            <w:tcW w:w="402" w:type="pct"/>
            <w:tcBorders>
              <w:top w:val="nil"/>
              <w:left w:val="nil"/>
              <w:bottom w:val="single" w:sz="4" w:space="0" w:color="auto"/>
              <w:right w:val="single" w:sz="4" w:space="0" w:color="auto"/>
            </w:tcBorders>
            <w:noWrap/>
            <w:textDirection w:val="lrTb"/>
            <w:vAlign w:val="center"/>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0</w:t>
            </w:r>
          </w:p>
        </w:tc>
        <w:tc>
          <w:tcPr>
            <w:tcW w:w="420" w:type="pct"/>
            <w:tcBorders>
              <w:top w:val="nil"/>
              <w:left w:val="nil"/>
              <w:bottom w:val="single" w:sz="4" w:space="0" w:color="auto"/>
              <w:right w:val="single" w:sz="4" w:space="0" w:color="auto"/>
            </w:tcBorders>
            <w:noWrap/>
            <w:textDirection w:val="lrTb"/>
            <w:vAlign w:val="center"/>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0</w:t>
            </w:r>
          </w:p>
        </w:tc>
        <w:tc>
          <w:tcPr>
            <w:tcW w:w="402" w:type="pct"/>
            <w:tcBorders>
              <w:top w:val="nil"/>
              <w:left w:val="nil"/>
              <w:bottom w:val="single" w:sz="4" w:space="0" w:color="auto"/>
              <w:right w:val="single" w:sz="4" w:space="0" w:color="auto"/>
            </w:tcBorders>
            <w:noWrap/>
            <w:textDirection w:val="lrTb"/>
            <w:vAlign w:val="center"/>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747" w:type="pct"/>
            <w:tcBorders>
              <w:top w:val="nil"/>
              <w:left w:val="single" w:sz="4" w:space="0" w:color="auto"/>
              <w:bottom w:val="single" w:sz="4" w:space="0" w:color="auto"/>
              <w:right w:val="single" w:sz="4" w:space="0" w:color="auto"/>
            </w:tcBorders>
            <w:noWrap/>
            <w:textDirection w:val="lrTb"/>
            <w:vAlign w:val="center"/>
            <w:hideMark/>
          </w:tcPr>
          <w:p w:rsidR="0057261A" w:rsidRPr="00A4096E" w:rsidP="00B97CD7">
            <w:pPr>
              <w:bidi w:val="0"/>
              <w:rPr>
                <w:rFonts w:ascii="Times New Roman" w:hAnsi="Times New Roman" w:cs="Times New Roman"/>
                <w:sz w:val="14"/>
                <w:szCs w:val="14"/>
                <w:lang w:eastAsia="sk-SK"/>
              </w:rPr>
            </w:pPr>
            <w:r w:rsidRPr="00A4096E">
              <w:rPr>
                <w:rFonts w:ascii="Times New Roman" w:hAnsi="Times New Roman" w:cs="Times New Roman"/>
                <w:sz w:val="14"/>
                <w:szCs w:val="14"/>
                <w:lang w:eastAsia="sk-SK"/>
              </w:rPr>
              <w:t>Podiel rozpočtu VS na HDP</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center"/>
              <w:rPr>
                <w:rFonts w:ascii="Times New Roman" w:hAnsi="Times New Roman" w:cs="Times New Roman"/>
                <w:sz w:val="14"/>
                <w:szCs w:val="14"/>
                <w:lang w:eastAsia="sk-SK"/>
              </w:rPr>
            </w:pPr>
            <w:r w:rsidRPr="00A4096E">
              <w:rPr>
                <w:rFonts w:ascii="Times New Roman" w:hAnsi="Times New Roman" w:cs="Times New Roman"/>
                <w:sz w:val="14"/>
                <w:szCs w:val="14"/>
                <w:lang w:eastAsia="sk-SK"/>
              </w:rPr>
              <w:t>%</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-7,7</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-4,8</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-4,6</w:t>
            </w:r>
          </w:p>
        </w:tc>
        <w:tc>
          <w:tcPr>
            <w:tcW w:w="420" w:type="pct"/>
            <w:tcBorders>
              <w:top w:val="nil"/>
              <w:left w:val="nil"/>
              <w:bottom w:val="single" w:sz="4" w:space="0" w:color="auto"/>
              <w:right w:val="single" w:sz="4" w:space="0" w:color="auto"/>
            </w:tcBorders>
            <w:noWrap/>
            <w:textDirection w:val="lrTb"/>
            <w:vAlign w:val="center"/>
            <w:hideMark/>
          </w:tcPr>
          <w:p w:rsidR="0057261A" w:rsidRPr="009F0105" w:rsidP="00B97CD7">
            <w:pPr>
              <w:bidi w:val="0"/>
              <w:jc w:val="right"/>
              <w:rPr>
                <w:rFonts w:ascii="Times New Roman" w:hAnsi="Times New Roman" w:cs="Times New Roman"/>
                <w:sz w:val="14"/>
                <w:szCs w:val="14"/>
                <w:lang w:eastAsia="sk-SK"/>
              </w:rPr>
            </w:pPr>
            <w:r w:rsidRPr="009F0105">
              <w:rPr>
                <w:rFonts w:ascii="Times New Roman" w:hAnsi="Times New Roman" w:cs="Times New Roman"/>
                <w:sz w:val="14"/>
                <w:szCs w:val="14"/>
                <w:lang w:eastAsia="sk-SK"/>
              </w:rPr>
              <w:t>-5,3</w:t>
            </w:r>
          </w:p>
        </w:tc>
        <w:tc>
          <w:tcPr>
            <w:tcW w:w="402" w:type="pct"/>
            <w:tcBorders>
              <w:top w:val="nil"/>
              <w:left w:val="nil"/>
              <w:bottom w:val="single" w:sz="4" w:space="0" w:color="auto"/>
              <w:right w:val="single" w:sz="4" w:space="0" w:color="auto"/>
            </w:tcBorders>
            <w:noWrap/>
            <w:textDirection w:val="lrTb"/>
            <w:vAlign w:val="center"/>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-2,9</w:t>
            </w:r>
          </w:p>
        </w:tc>
        <w:tc>
          <w:tcPr>
            <w:tcW w:w="420" w:type="pct"/>
            <w:tcBorders>
              <w:top w:val="nil"/>
              <w:left w:val="nil"/>
              <w:bottom w:val="single" w:sz="4" w:space="0" w:color="auto"/>
              <w:right w:val="single" w:sz="4" w:space="0" w:color="auto"/>
            </w:tcBorders>
            <w:noWrap/>
            <w:textDirection w:val="lrTb"/>
            <w:vAlign w:val="center"/>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-2,4</w:t>
            </w:r>
          </w:p>
        </w:tc>
        <w:tc>
          <w:tcPr>
            <w:tcW w:w="402" w:type="pct"/>
            <w:tcBorders>
              <w:top w:val="nil"/>
              <w:left w:val="nil"/>
              <w:bottom w:val="single" w:sz="4" w:space="0" w:color="auto"/>
              <w:right w:val="single" w:sz="4" w:space="0" w:color="auto"/>
            </w:tcBorders>
            <w:noWrap/>
            <w:textDirection w:val="lrTb"/>
            <w:vAlign w:val="center"/>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-1,9</w:t>
            </w:r>
          </w:p>
        </w:tc>
      </w:tr>
      <w:tr>
        <w:tblPrEx>
          <w:tblW w:w="5000" w:type="pct"/>
          <w:tblCellMar>
            <w:left w:w="70" w:type="dxa"/>
            <w:right w:w="70" w:type="dxa"/>
          </w:tblCellMar>
          <w:tblLook w:val="04A0"/>
        </w:tblPrEx>
        <w:trPr>
          <w:trHeight w:val="255"/>
        </w:trPr>
        <w:tc>
          <w:tcPr>
            <w:tcW w:w="1747" w:type="pct"/>
            <w:tcBorders>
              <w:top w:val="nil"/>
              <w:left w:val="single" w:sz="4" w:space="0" w:color="auto"/>
              <w:bottom w:val="single" w:sz="4" w:space="0" w:color="auto"/>
              <w:right w:val="single" w:sz="4" w:space="0" w:color="auto"/>
            </w:tcBorders>
            <w:noWrap/>
            <w:textDirection w:val="lrTb"/>
            <w:vAlign w:val="center"/>
            <w:hideMark/>
          </w:tcPr>
          <w:p w:rsidR="0057261A" w:rsidRPr="00A4096E" w:rsidP="00B97CD7">
            <w:pPr>
              <w:bidi w:val="0"/>
              <w:rPr>
                <w:rFonts w:ascii="Times New Roman" w:hAnsi="Times New Roman" w:cs="Times New Roman"/>
                <w:sz w:val="14"/>
                <w:szCs w:val="14"/>
                <w:lang w:eastAsia="sk-SK"/>
              </w:rPr>
            </w:pPr>
            <w:r w:rsidRPr="00A4096E">
              <w:rPr>
                <w:rFonts w:ascii="Times New Roman" w:hAnsi="Times New Roman" w:cs="Times New Roman"/>
                <w:sz w:val="14"/>
                <w:szCs w:val="14"/>
                <w:lang w:eastAsia="sk-SK"/>
              </w:rPr>
              <w:t>Rozpočet VS spolu</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center"/>
              <w:rPr>
                <w:rFonts w:ascii="Times New Roman" w:hAnsi="Times New Roman" w:cs="Times New Roman"/>
                <w:sz w:val="14"/>
                <w:szCs w:val="14"/>
                <w:lang w:eastAsia="sk-SK"/>
              </w:rPr>
            </w:pPr>
            <w:r w:rsidRPr="00A4096E">
              <w:rPr>
                <w:rFonts w:ascii="Times New Roman" w:hAnsi="Times New Roman" w:cs="Times New Roman"/>
                <w:sz w:val="14"/>
                <w:szCs w:val="14"/>
                <w:lang w:eastAsia="sk-SK"/>
              </w:rPr>
              <w:t>mil. eur</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-5 053,8</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-3 326,6</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-3 323,7</w:t>
            </w:r>
          </w:p>
        </w:tc>
        <w:tc>
          <w:tcPr>
            <w:tcW w:w="420" w:type="pct"/>
            <w:tcBorders>
              <w:top w:val="nil"/>
              <w:left w:val="nil"/>
              <w:bottom w:val="single" w:sz="4" w:space="0" w:color="auto"/>
              <w:right w:val="single" w:sz="4" w:space="0" w:color="auto"/>
            </w:tcBorders>
            <w:noWrap/>
            <w:textDirection w:val="lrTb"/>
            <w:vAlign w:val="center"/>
            <w:hideMark/>
          </w:tcPr>
          <w:p w:rsidR="0057261A" w:rsidRPr="009F0105" w:rsidP="00B97CD7">
            <w:pPr>
              <w:bidi w:val="0"/>
              <w:jc w:val="right"/>
              <w:rPr>
                <w:rFonts w:ascii="Times New Roman" w:hAnsi="Times New Roman" w:cs="Times New Roman"/>
                <w:sz w:val="14"/>
                <w:szCs w:val="14"/>
                <w:lang w:eastAsia="sk-SK"/>
              </w:rPr>
            </w:pPr>
            <w:r w:rsidRPr="009F0105">
              <w:rPr>
                <w:rFonts w:ascii="Times New Roman" w:hAnsi="Times New Roman" w:cs="Times New Roman"/>
                <w:sz w:val="14"/>
                <w:szCs w:val="14"/>
                <w:lang w:eastAsia="sk-SK"/>
              </w:rPr>
              <w:t>-3 828,7</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-2 186,5</w:t>
            </w:r>
          </w:p>
        </w:tc>
        <w:tc>
          <w:tcPr>
            <w:tcW w:w="420"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-1 913,5</w:t>
            </w:r>
          </w:p>
        </w:tc>
        <w:tc>
          <w:tcPr>
            <w:tcW w:w="402" w:type="pct"/>
            <w:tcBorders>
              <w:top w:val="nil"/>
              <w:left w:val="nil"/>
              <w:bottom w:val="single" w:sz="4" w:space="0" w:color="auto"/>
              <w:right w:val="single" w:sz="4" w:space="0" w:color="auto"/>
            </w:tcBorders>
            <w:noWrap/>
            <w:textDirection w:val="lrTb"/>
            <w:vAlign w:val="center"/>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-1 608,3</w:t>
            </w:r>
          </w:p>
        </w:tc>
      </w:tr>
      <w:tr>
        <w:tblPrEx>
          <w:tblW w:w="5000" w:type="pct"/>
          <w:tblCellMar>
            <w:left w:w="70" w:type="dxa"/>
            <w:right w:w="70" w:type="dxa"/>
          </w:tblCellMar>
          <w:tblLook w:val="04A0"/>
        </w:tblPrEx>
        <w:trPr>
          <w:trHeight w:val="255"/>
        </w:trPr>
        <w:tc>
          <w:tcPr>
            <w:tcW w:w="1747" w:type="pct"/>
            <w:tcBorders>
              <w:top w:val="nil"/>
              <w:left w:val="single" w:sz="4" w:space="0" w:color="auto"/>
              <w:bottom w:val="single" w:sz="4" w:space="0" w:color="auto"/>
              <w:right w:val="single" w:sz="4" w:space="0" w:color="auto"/>
            </w:tcBorders>
            <w:noWrap/>
            <w:textDirection w:val="lrTb"/>
            <w:vAlign w:val="center"/>
            <w:hideMark/>
          </w:tcPr>
          <w:p w:rsidR="0057261A" w:rsidRPr="00A4096E" w:rsidP="00B97CD7">
            <w:pPr>
              <w:bidi w:val="0"/>
              <w:rPr>
                <w:rFonts w:ascii="Times New Roman" w:hAnsi="Times New Roman" w:cs="Times New Roman"/>
                <w:sz w:val="14"/>
                <w:szCs w:val="14"/>
                <w:lang w:eastAsia="sk-SK"/>
              </w:rPr>
            </w:pPr>
            <w:r w:rsidRPr="00A4096E">
              <w:rPr>
                <w:rFonts w:ascii="Times New Roman" w:hAnsi="Times New Roman" w:cs="Times New Roman"/>
                <w:sz w:val="14"/>
                <w:szCs w:val="14"/>
                <w:lang w:eastAsia="sk-SK"/>
              </w:rPr>
              <w:t>Ostatné subjekty rozpočtu VS</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center"/>
              <w:rPr>
                <w:rFonts w:ascii="Times New Roman" w:hAnsi="Times New Roman" w:cs="Times New Roman"/>
                <w:sz w:val="14"/>
                <w:szCs w:val="14"/>
                <w:lang w:eastAsia="sk-SK"/>
              </w:rPr>
            </w:pPr>
            <w:r w:rsidRPr="00A4096E">
              <w:rPr>
                <w:rFonts w:ascii="Times New Roman" w:hAnsi="Times New Roman" w:cs="Times New Roman"/>
                <w:sz w:val="14"/>
                <w:szCs w:val="14"/>
                <w:lang w:eastAsia="sk-SK"/>
              </w:rPr>
              <w:t>mil. eur</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-792,3</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201,5</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215,3</w:t>
            </w:r>
          </w:p>
        </w:tc>
        <w:tc>
          <w:tcPr>
            <w:tcW w:w="420" w:type="pct"/>
            <w:tcBorders>
              <w:top w:val="nil"/>
              <w:left w:val="nil"/>
              <w:bottom w:val="single" w:sz="4" w:space="0" w:color="auto"/>
              <w:right w:val="single" w:sz="4" w:space="0" w:color="auto"/>
            </w:tcBorders>
            <w:noWrap/>
            <w:textDirection w:val="lrTb"/>
            <w:vAlign w:val="center"/>
            <w:hideMark/>
          </w:tcPr>
          <w:p w:rsidR="0057261A" w:rsidRPr="009F0105" w:rsidP="00B97CD7">
            <w:pPr>
              <w:bidi w:val="0"/>
              <w:jc w:val="right"/>
              <w:rPr>
                <w:rFonts w:ascii="Times New Roman" w:hAnsi="Times New Roman" w:cs="Times New Roman"/>
                <w:sz w:val="14"/>
                <w:szCs w:val="14"/>
                <w:lang w:eastAsia="sk-SK"/>
              </w:rPr>
            </w:pPr>
            <w:r w:rsidRPr="009F0105">
              <w:rPr>
                <w:rFonts w:ascii="Times New Roman" w:hAnsi="Times New Roman" w:cs="Times New Roman"/>
                <w:sz w:val="14"/>
                <w:szCs w:val="14"/>
                <w:lang w:eastAsia="sk-SK"/>
              </w:rPr>
              <w:t>24,0</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564,1</w:t>
            </w:r>
          </w:p>
        </w:tc>
        <w:tc>
          <w:tcPr>
            <w:tcW w:w="420"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530,1</w:t>
            </w:r>
          </w:p>
        </w:tc>
        <w:tc>
          <w:tcPr>
            <w:tcW w:w="402" w:type="pct"/>
            <w:tcBorders>
              <w:top w:val="nil"/>
              <w:left w:val="nil"/>
              <w:bottom w:val="single" w:sz="4" w:space="0" w:color="auto"/>
              <w:right w:val="single" w:sz="4" w:space="0" w:color="auto"/>
            </w:tcBorders>
            <w:noWrap/>
            <w:textDirection w:val="lrTb"/>
            <w:vAlign w:val="center"/>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796,9</w:t>
            </w:r>
          </w:p>
        </w:tc>
      </w:tr>
      <w:tr>
        <w:tblPrEx>
          <w:tblW w:w="5000" w:type="pct"/>
          <w:tblCellMar>
            <w:left w:w="70" w:type="dxa"/>
            <w:right w:w="70" w:type="dxa"/>
          </w:tblCellMar>
          <w:tblLook w:val="04A0"/>
        </w:tblPrEx>
        <w:trPr>
          <w:trHeight w:val="255"/>
        </w:trPr>
        <w:tc>
          <w:tcPr>
            <w:tcW w:w="1747" w:type="pct"/>
            <w:tcBorders>
              <w:top w:val="nil"/>
              <w:left w:val="single" w:sz="4" w:space="0" w:color="auto"/>
              <w:bottom w:val="single" w:sz="4" w:space="0" w:color="auto"/>
              <w:right w:val="single" w:sz="4" w:space="0" w:color="auto"/>
            </w:tcBorders>
            <w:noWrap/>
            <w:textDirection w:val="lrTb"/>
            <w:vAlign w:val="center"/>
            <w:hideMark/>
          </w:tcPr>
          <w:p w:rsidR="0057261A" w:rsidRPr="00A4096E" w:rsidP="00B97CD7">
            <w:pPr>
              <w:bidi w:val="0"/>
              <w:rPr>
                <w:rFonts w:ascii="Times New Roman" w:hAnsi="Times New Roman" w:cs="Times New Roman"/>
                <w:sz w:val="14"/>
                <w:szCs w:val="14"/>
                <w:lang w:eastAsia="sk-SK"/>
              </w:rPr>
            </w:pPr>
            <w:r w:rsidRPr="00A4096E">
              <w:rPr>
                <w:rFonts w:ascii="Times New Roman" w:hAnsi="Times New Roman" w:cs="Times New Roman"/>
                <w:sz w:val="14"/>
                <w:szCs w:val="14"/>
                <w:lang w:eastAsia="sk-SK"/>
              </w:rPr>
              <w:t>Štátny rozpočet</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center"/>
              <w:rPr>
                <w:rFonts w:ascii="Times New Roman" w:hAnsi="Times New Roman" w:cs="Times New Roman"/>
                <w:sz w:val="14"/>
                <w:szCs w:val="14"/>
                <w:lang w:eastAsia="sk-SK"/>
              </w:rPr>
            </w:pPr>
            <w:r w:rsidRPr="00A4096E">
              <w:rPr>
                <w:rFonts w:ascii="Times New Roman" w:hAnsi="Times New Roman" w:cs="Times New Roman"/>
                <w:sz w:val="14"/>
                <w:szCs w:val="14"/>
                <w:lang w:eastAsia="sk-SK"/>
              </w:rPr>
              <w:t>mil. eur</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-4 261,5</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-3 528,1</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-3 539,0</w:t>
            </w:r>
          </w:p>
        </w:tc>
        <w:tc>
          <w:tcPr>
            <w:tcW w:w="420" w:type="pct"/>
            <w:tcBorders>
              <w:top w:val="nil"/>
              <w:left w:val="nil"/>
              <w:bottom w:val="single" w:sz="4" w:space="0" w:color="auto"/>
              <w:right w:val="single" w:sz="4" w:space="0" w:color="auto"/>
            </w:tcBorders>
            <w:noWrap/>
            <w:textDirection w:val="lrTb"/>
            <w:vAlign w:val="center"/>
            <w:hideMark/>
          </w:tcPr>
          <w:p w:rsidR="0057261A" w:rsidRPr="009F0105" w:rsidP="00B97CD7">
            <w:pPr>
              <w:bidi w:val="0"/>
              <w:jc w:val="right"/>
              <w:rPr>
                <w:rFonts w:ascii="Times New Roman" w:hAnsi="Times New Roman" w:cs="Times New Roman"/>
                <w:sz w:val="14"/>
                <w:szCs w:val="14"/>
                <w:lang w:eastAsia="sk-SK"/>
              </w:rPr>
            </w:pPr>
            <w:r w:rsidRPr="009F0105">
              <w:rPr>
                <w:rFonts w:ascii="Times New Roman" w:hAnsi="Times New Roman" w:cs="Times New Roman"/>
                <w:sz w:val="14"/>
                <w:szCs w:val="14"/>
                <w:lang w:eastAsia="sk-SK"/>
              </w:rPr>
              <w:t>-3 852,7</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-2 750,7</w:t>
            </w:r>
          </w:p>
        </w:tc>
        <w:tc>
          <w:tcPr>
            <w:tcW w:w="420"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-2 443,6</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-2 405,2</w:t>
            </w:r>
          </w:p>
        </w:tc>
      </w:tr>
      <w:tr>
        <w:tblPrEx>
          <w:tblW w:w="5000" w:type="pct"/>
          <w:tblCellMar>
            <w:left w:w="70" w:type="dxa"/>
            <w:right w:w="70" w:type="dxa"/>
          </w:tblCellMar>
          <w:tblLook w:val="04A0"/>
        </w:tblPrEx>
        <w:trPr>
          <w:trHeight w:val="255"/>
        </w:trPr>
        <w:tc>
          <w:tcPr>
            <w:tcW w:w="1747" w:type="pct"/>
            <w:tcBorders>
              <w:top w:val="nil"/>
              <w:left w:val="single" w:sz="4" w:space="0" w:color="auto"/>
              <w:bottom w:val="single" w:sz="4" w:space="0" w:color="auto"/>
              <w:right w:val="single" w:sz="4" w:space="0" w:color="auto"/>
            </w:tcBorders>
            <w:noWrap/>
            <w:textDirection w:val="lrTb"/>
            <w:vAlign w:val="center"/>
            <w:hideMark/>
          </w:tcPr>
          <w:p w:rsidR="0057261A" w:rsidRPr="00A4096E" w:rsidP="00B97CD7">
            <w:pPr>
              <w:bidi w:val="0"/>
              <w:rPr>
                <w:rFonts w:ascii="Times New Roman" w:hAnsi="Times New Roman" w:cs="Times New Roman"/>
                <w:sz w:val="14"/>
                <w:szCs w:val="14"/>
                <w:lang w:eastAsia="sk-SK"/>
              </w:rPr>
            </w:pPr>
            <w:r w:rsidRPr="00A4096E">
              <w:rPr>
                <w:rFonts w:ascii="Times New Roman" w:hAnsi="Times New Roman" w:cs="Times New Roman"/>
                <w:sz w:val="14"/>
                <w:szCs w:val="14"/>
                <w:lang w:eastAsia="sk-SK"/>
              </w:rPr>
              <w:t>HDP v b. c.</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center"/>
              <w:rPr>
                <w:rFonts w:ascii="Times New Roman" w:hAnsi="Times New Roman" w:cs="Times New Roman"/>
                <w:sz w:val="14"/>
                <w:szCs w:val="14"/>
                <w:lang w:eastAsia="sk-SK"/>
              </w:rPr>
            </w:pPr>
            <w:r w:rsidRPr="00A4096E">
              <w:rPr>
                <w:rFonts w:ascii="Times New Roman" w:hAnsi="Times New Roman" w:cs="Times New Roman"/>
                <w:sz w:val="14"/>
                <w:szCs w:val="14"/>
                <w:lang w:eastAsia="sk-SK"/>
              </w:rPr>
              <w:t>mil. eur</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65 887,4</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69 058,2</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71 632,5</w:t>
            </w:r>
          </w:p>
        </w:tc>
        <w:tc>
          <w:tcPr>
            <w:tcW w:w="420" w:type="pct"/>
            <w:tcBorders>
              <w:top w:val="nil"/>
              <w:left w:val="nil"/>
              <w:bottom w:val="single" w:sz="4" w:space="0" w:color="auto"/>
              <w:right w:val="single" w:sz="4" w:space="0" w:color="auto"/>
            </w:tcBorders>
            <w:noWrap/>
            <w:textDirection w:val="lrTb"/>
            <w:vAlign w:val="center"/>
            <w:hideMark/>
          </w:tcPr>
          <w:p w:rsidR="0057261A" w:rsidRPr="009F0105" w:rsidP="00B97CD7">
            <w:pPr>
              <w:bidi w:val="0"/>
              <w:jc w:val="right"/>
              <w:rPr>
                <w:rFonts w:ascii="Times New Roman" w:hAnsi="Times New Roman" w:cs="Times New Roman"/>
                <w:sz w:val="14"/>
                <w:szCs w:val="14"/>
                <w:lang w:eastAsia="sk-SK"/>
              </w:rPr>
            </w:pPr>
            <w:r w:rsidRPr="009F0105">
              <w:rPr>
                <w:rFonts w:ascii="Times New Roman" w:hAnsi="Times New Roman" w:cs="Times New Roman"/>
                <w:sz w:val="14"/>
                <w:szCs w:val="14"/>
                <w:lang w:eastAsia="sk-SK"/>
              </w:rPr>
              <w:t>71 778,7</w:t>
            </w:r>
          </w:p>
        </w:tc>
        <w:tc>
          <w:tcPr>
            <w:tcW w:w="402"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74 371,8</w:t>
            </w:r>
          </w:p>
        </w:tc>
        <w:tc>
          <w:tcPr>
            <w:tcW w:w="420" w:type="pct"/>
            <w:tcBorders>
              <w:top w:val="nil"/>
              <w:left w:val="nil"/>
              <w:bottom w:val="single" w:sz="4" w:space="0" w:color="auto"/>
              <w:right w:val="single" w:sz="4" w:space="0" w:color="auto"/>
            </w:tcBorders>
            <w:noWrap/>
            <w:textDirection w:val="lrTb"/>
            <w:vAlign w:val="center"/>
            <w:hideMark/>
          </w:tcPr>
          <w:p w:rsidR="0057261A" w:rsidRPr="00A4096E"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78 420,5</w:t>
            </w:r>
          </w:p>
        </w:tc>
        <w:tc>
          <w:tcPr>
            <w:tcW w:w="402" w:type="pct"/>
            <w:tcBorders>
              <w:top w:val="nil"/>
              <w:left w:val="nil"/>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A4096E">
              <w:rPr>
                <w:rFonts w:ascii="Times New Roman" w:hAnsi="Times New Roman" w:cs="Times New Roman"/>
                <w:sz w:val="14"/>
                <w:szCs w:val="14"/>
                <w:lang w:eastAsia="sk-SK"/>
              </w:rPr>
              <w:t>82 900,3</w:t>
            </w:r>
          </w:p>
        </w:tc>
      </w:tr>
    </w:tbl>
    <w:p w:rsidR="00B4057F" w:rsidRPr="00B4057F" w:rsidP="00B4057F">
      <w:pPr>
        <w:pStyle w:val="BodyText"/>
        <w:bidi w:val="0"/>
        <w:rPr>
          <w:rFonts w:ascii="Times New Roman" w:hAnsi="Times New Roman"/>
          <w:bCs/>
          <w:sz w:val="14"/>
          <w:szCs w:val="14"/>
        </w:rPr>
      </w:pPr>
      <w:r w:rsidRPr="00B4057F">
        <w:rPr>
          <w:rFonts w:ascii="Times New Roman" w:hAnsi="Times New Roman"/>
          <w:bCs/>
          <w:sz w:val="14"/>
          <w:szCs w:val="14"/>
        </w:rPr>
        <w:t xml:space="preserve">* Odhad vychádza z polročného materiálu (Správa o makroekonomickom vývoji a vývoji verejných financií za prvý polrok 2012 a predikcia vývoja do konca roka), bude aktualizovaný na základe vývoja za tri štvrťroky 2012 (Správa o makroekonomickom vývoji a vývoji verejných financií za tri štvrťroky 2012 a predikcia vývoja do konca roka) . </w:t>
      </w:r>
    </w:p>
    <w:p w:rsidR="009F0105" w:rsidP="0057261A">
      <w:pPr>
        <w:pStyle w:val="BodyText"/>
        <w:tabs>
          <w:tab w:val="left" w:pos="0"/>
        </w:tabs>
        <w:bidi w:val="0"/>
        <w:jc w:val="center"/>
        <w:rPr>
          <w:rFonts w:ascii="Times New Roman" w:hAnsi="Times New Roman" w:cs="Times New Roman"/>
          <w:b/>
          <w:bCs/>
          <w:szCs w:val="22"/>
        </w:rPr>
      </w:pPr>
    </w:p>
    <w:p w:rsidR="009F0105" w:rsidP="0057261A">
      <w:pPr>
        <w:pStyle w:val="BodyText"/>
        <w:tabs>
          <w:tab w:val="left" w:pos="0"/>
        </w:tabs>
        <w:bidi w:val="0"/>
        <w:jc w:val="center"/>
        <w:rPr>
          <w:rFonts w:ascii="Times New Roman" w:hAnsi="Times New Roman" w:cs="Times New Roman"/>
          <w:b/>
          <w:bCs/>
          <w:szCs w:val="22"/>
        </w:rPr>
      </w:pPr>
    </w:p>
    <w:p w:rsidR="0057261A" w:rsidRPr="00591088" w:rsidP="0057261A">
      <w:pPr>
        <w:pStyle w:val="BodyText"/>
        <w:tabs>
          <w:tab w:val="left" w:pos="0"/>
        </w:tabs>
        <w:bidi w:val="0"/>
        <w:jc w:val="center"/>
        <w:rPr>
          <w:rFonts w:ascii="Times New Roman" w:hAnsi="Times New Roman" w:cs="Times New Roman"/>
          <w:b/>
          <w:bCs/>
          <w:szCs w:val="22"/>
        </w:rPr>
      </w:pPr>
      <w:r w:rsidRPr="00591088">
        <w:rPr>
          <w:rFonts w:ascii="Times New Roman" w:hAnsi="Times New Roman" w:cs="Times New Roman"/>
          <w:b/>
          <w:bCs/>
          <w:szCs w:val="22"/>
        </w:rPr>
        <w:t>Bilančné zostatky ostatných subjektov verejnej správy</w:t>
      </w:r>
    </w:p>
    <w:p w:rsidR="0057261A" w:rsidP="0057261A">
      <w:pPr>
        <w:pStyle w:val="BodyText"/>
        <w:tabs>
          <w:tab w:val="left" w:pos="0"/>
        </w:tabs>
        <w:bidi w:val="0"/>
        <w:rPr>
          <w:rFonts w:ascii="Times New Roman" w:hAnsi="Times New Roman" w:cs="Times New Roman"/>
          <w:b/>
          <w:bCs/>
          <w:sz w:val="28"/>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72"/>
        <w:gridCol w:w="820"/>
        <w:gridCol w:w="820"/>
        <w:gridCol w:w="820"/>
        <w:gridCol w:w="820"/>
        <w:gridCol w:w="820"/>
        <w:gridCol w:w="820"/>
        <w:gridCol w:w="82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0"/>
        </w:trPr>
        <w:tc>
          <w:tcPr>
            <w:tcW w:w="188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7261A" w:rsidRPr="00591088" w:rsidP="00B97CD7">
            <w:pPr>
              <w:bidi w:val="0"/>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(v mil. eur)</w:t>
            </w:r>
          </w:p>
        </w:tc>
        <w:tc>
          <w:tcPr>
            <w:tcW w:w="4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2010 S</w:t>
            </w:r>
          </w:p>
        </w:tc>
        <w:tc>
          <w:tcPr>
            <w:tcW w:w="4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2011 S</w:t>
            </w:r>
          </w:p>
        </w:tc>
        <w:tc>
          <w:tcPr>
            <w:tcW w:w="4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2012 R</w:t>
            </w:r>
          </w:p>
        </w:tc>
        <w:tc>
          <w:tcPr>
            <w:tcW w:w="4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2012 OS</w:t>
            </w:r>
          </w:p>
        </w:tc>
        <w:tc>
          <w:tcPr>
            <w:tcW w:w="4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2013 R</w:t>
            </w:r>
          </w:p>
        </w:tc>
        <w:tc>
          <w:tcPr>
            <w:tcW w:w="4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2014 N</w:t>
            </w:r>
          </w:p>
        </w:tc>
        <w:tc>
          <w:tcPr>
            <w:tcW w:w="4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Ostatné subjekty rozpočtu VS spolu</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-792,3</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201,5</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215,3</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24,0</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564,1</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530,1</w:t>
            </w:r>
          </w:p>
        </w:tc>
        <w:tc>
          <w:tcPr>
            <w:tcW w:w="4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796,9</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Obce </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-542,0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29,5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-25,2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-40,2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137,9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76,4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311,6</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Vyššie územné celky</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-24,3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-5,8</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-49,2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-55,4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13,5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42,9</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Sociálna poisťovňa </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67,3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173,6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46,9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40,0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24,6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28,8</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Verejné zdravotné poistenie</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-88,6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107,0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-76,0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16,2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13,7</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Národný jadrový fond </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14,5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99,9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141,0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145,0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155,7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185,9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199,5</w:t>
            </w:r>
          </w:p>
        </w:tc>
      </w:tr>
      <w:tr>
        <w:tblPrEx>
          <w:tblW w:w="5000" w:type="pct"/>
          <w:tblCellMar>
            <w:left w:w="70" w:type="dxa"/>
            <w:right w:w="70" w:type="dxa"/>
          </w:tblCellMar>
          <w:tblLook w:val="04A0"/>
        </w:tblPrEx>
        <w:trPr>
          <w:trHeight w:val="270"/>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Fond národného majetku SR</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-213,3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-287,7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-28,6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-13,6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-17,2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-10,6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-7,8</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Environmentálny fond </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6,3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44,4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10,9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120,5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120,3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120,4</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Štátny fond rozvoja bývania</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81,3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84,4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81,0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81,2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93,3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82,3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82,3</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Úrad pre dohľad nad ZS</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0,1</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0,7</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Slovenský pozemkový fond</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10,2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6,2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7,6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5,6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4,0</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Slovenská konsolidačná, a. s.</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-13,0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-5,8</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-11,3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-49,1</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2,3</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Verejné vysoké školy</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-38,1</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14,7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0,3</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Rozhlas a televízia Slovenska</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-14,6</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24,5</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-8,9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w:t>
            </w:r>
            <w:r>
              <w:rPr>
                <w:rFonts w:ascii="Times New Roman" w:hAnsi="Times New Roman" w:cs="Times New Roman"/>
                <w:sz w:val="14"/>
                <w:szCs w:val="14"/>
                <w:lang w:eastAsia="sk-SK"/>
              </w:rPr>
              <w:t>1</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1,5</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RTVS, s.r.o.</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-0,1</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TASR</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0,1</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Úrad pre dohľad nad výkonom auditu</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0,1</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-0,2</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r>
      <w:tr>
        <w:tblPrEx>
          <w:tblW w:w="5000" w:type="pct"/>
          <w:tblCellMar>
            <w:left w:w="70" w:type="dxa"/>
            <w:right w:w="70" w:type="dxa"/>
          </w:tblCellMar>
          <w:tblLook w:val="04A0"/>
        </w:tblPrEx>
        <w:trPr>
          <w:trHeight w:val="255"/>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Audiovizuálny fond </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1,4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0,0</w:t>
            </w:r>
          </w:p>
        </w:tc>
      </w:tr>
      <w:tr>
        <w:tblPrEx>
          <w:tblW w:w="5000" w:type="pct"/>
          <w:tblCellMar>
            <w:left w:w="70" w:type="dxa"/>
            <w:right w:w="70" w:type="dxa"/>
          </w:tblCellMar>
          <w:tblLook w:val="04A0"/>
        </w:tblPrEx>
        <w:trPr>
          <w:trHeight w:val="270"/>
        </w:trPr>
        <w:tc>
          <w:tcPr>
            <w:tcW w:w="188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both"/>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    Príspevkové organizácie spolu </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-28,9</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-39,7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4,7</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-3,4</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-4,3</w:t>
            </w:r>
          </w:p>
        </w:tc>
        <w:tc>
          <w:tcPr>
            <w:tcW w:w="44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-3,3</w:t>
            </w:r>
          </w:p>
        </w:tc>
      </w:tr>
    </w:tbl>
    <w:p w:rsidR="0057261A" w:rsidP="0057261A">
      <w:pPr>
        <w:pStyle w:val="BodyText"/>
        <w:tabs>
          <w:tab w:val="left" w:pos="0"/>
        </w:tabs>
        <w:bidi w:val="0"/>
        <w:rPr>
          <w:rFonts w:ascii="Times New Roman" w:hAnsi="Times New Roman" w:cs="Times New Roman"/>
          <w:b/>
          <w:bCs/>
          <w:sz w:val="28"/>
        </w:rPr>
      </w:pPr>
    </w:p>
    <w:p w:rsidR="0057261A" w:rsidRPr="007F66EE" w:rsidP="0057261A">
      <w:pPr>
        <w:pStyle w:val="BodyText"/>
        <w:tabs>
          <w:tab w:val="left" w:pos="0"/>
        </w:tabs>
        <w:bidi w:val="0"/>
        <w:rPr>
          <w:rFonts w:ascii="Times New Roman" w:hAnsi="Times New Roman" w:cs="Times New Roman"/>
          <w:szCs w:val="22"/>
        </w:rPr>
      </w:pPr>
      <w:r>
        <w:rPr>
          <w:rFonts w:ascii="Times New Roman" w:hAnsi="Times New Roman" w:cs="Times New Roman"/>
          <w:szCs w:val="22"/>
        </w:rPr>
        <w:tab/>
      </w:r>
      <w:r w:rsidRPr="007F66EE">
        <w:rPr>
          <w:rFonts w:ascii="Times New Roman" w:hAnsi="Times New Roman" w:cs="Times New Roman"/>
          <w:szCs w:val="22"/>
        </w:rPr>
        <w:t>V roku 201</w:t>
      </w:r>
      <w:r>
        <w:rPr>
          <w:rFonts w:ascii="Times New Roman" w:hAnsi="Times New Roman" w:cs="Times New Roman"/>
          <w:szCs w:val="22"/>
        </w:rPr>
        <w:t>3</w:t>
      </w:r>
      <w:r w:rsidRPr="007F66EE">
        <w:rPr>
          <w:rFonts w:ascii="Times New Roman" w:hAnsi="Times New Roman" w:cs="Times New Roman"/>
          <w:szCs w:val="22"/>
        </w:rPr>
        <w:t xml:space="preserve"> sa predpokladá prebytkové hospodárenie ostatných subjektov verejnej správy vo výške </w:t>
      </w:r>
      <w:r>
        <w:rPr>
          <w:rFonts w:ascii="Times New Roman" w:hAnsi="Times New Roman" w:cs="Times New Roman"/>
          <w:szCs w:val="22"/>
        </w:rPr>
        <w:t xml:space="preserve">564,1 </w:t>
      </w:r>
      <w:r w:rsidRPr="007F66EE">
        <w:rPr>
          <w:rFonts w:ascii="Times New Roman" w:hAnsi="Times New Roman" w:cs="Times New Roman"/>
          <w:szCs w:val="22"/>
        </w:rPr>
        <w:t>mil. eur. Na tomto vývoji sa na jednej strane podieľa prebytkové hospodárenie niektorých subjektov verejnej správy, a to hlavne prebytok hospodárenia Národného jadrového fondu vo výške 1</w:t>
      </w:r>
      <w:r>
        <w:rPr>
          <w:rFonts w:ascii="Times New Roman" w:hAnsi="Times New Roman" w:cs="Times New Roman"/>
          <w:szCs w:val="22"/>
        </w:rPr>
        <w:t xml:space="preserve">55,7 </w:t>
      </w:r>
      <w:r w:rsidRPr="007F66EE">
        <w:rPr>
          <w:rFonts w:ascii="Times New Roman" w:hAnsi="Times New Roman" w:cs="Times New Roman"/>
          <w:szCs w:val="22"/>
        </w:rPr>
        <w:t xml:space="preserve">mil. eur, obcí vo výške </w:t>
      </w:r>
      <w:r>
        <w:rPr>
          <w:rFonts w:ascii="Times New Roman" w:hAnsi="Times New Roman" w:cs="Times New Roman"/>
          <w:szCs w:val="22"/>
        </w:rPr>
        <w:t xml:space="preserve">137,9 </w:t>
      </w:r>
      <w:r w:rsidRPr="007F66EE">
        <w:rPr>
          <w:rFonts w:ascii="Times New Roman" w:hAnsi="Times New Roman" w:cs="Times New Roman"/>
          <w:szCs w:val="22"/>
        </w:rPr>
        <w:t>mil. eur</w:t>
      </w:r>
      <w:r>
        <w:rPr>
          <w:rFonts w:ascii="Times New Roman" w:hAnsi="Times New Roman" w:cs="Times New Roman"/>
          <w:szCs w:val="22"/>
        </w:rPr>
        <w:t>,</w:t>
      </w:r>
      <w:r w:rsidRPr="007F66EE">
        <w:rPr>
          <w:rFonts w:ascii="Times New Roman" w:hAnsi="Times New Roman" w:cs="Times New Roman"/>
          <w:szCs w:val="22"/>
        </w:rPr>
        <w:t xml:space="preserve"> Environmentálneho fondu vo výške </w:t>
      </w:r>
      <w:r>
        <w:rPr>
          <w:rFonts w:ascii="Times New Roman" w:hAnsi="Times New Roman" w:cs="Times New Roman"/>
          <w:szCs w:val="22"/>
        </w:rPr>
        <w:t xml:space="preserve">120,5 </w:t>
      </w:r>
      <w:r w:rsidRPr="007F66EE">
        <w:rPr>
          <w:rFonts w:ascii="Times New Roman" w:hAnsi="Times New Roman" w:cs="Times New Roman"/>
          <w:szCs w:val="22"/>
        </w:rPr>
        <w:t>mil. eur</w:t>
      </w:r>
      <w:r>
        <w:rPr>
          <w:rFonts w:ascii="Times New Roman" w:hAnsi="Times New Roman" w:cs="Times New Roman"/>
          <w:szCs w:val="22"/>
        </w:rPr>
        <w:t xml:space="preserve">, </w:t>
      </w:r>
      <w:r w:rsidRPr="007F66EE">
        <w:rPr>
          <w:rFonts w:ascii="Times New Roman" w:hAnsi="Times New Roman" w:cs="Times New Roman"/>
          <w:szCs w:val="22"/>
        </w:rPr>
        <w:t xml:space="preserve">Štátneho fondu rozvoja bývania na úrovni </w:t>
      </w:r>
      <w:r>
        <w:rPr>
          <w:rFonts w:ascii="Times New Roman" w:hAnsi="Times New Roman" w:cs="Times New Roman"/>
          <w:szCs w:val="22"/>
        </w:rPr>
        <w:t xml:space="preserve">93,3 </w:t>
      </w:r>
      <w:r w:rsidRPr="007F66EE">
        <w:rPr>
          <w:rFonts w:ascii="Times New Roman" w:hAnsi="Times New Roman" w:cs="Times New Roman"/>
          <w:szCs w:val="22"/>
        </w:rPr>
        <w:t>mil. eur</w:t>
      </w:r>
      <w:r>
        <w:rPr>
          <w:rFonts w:ascii="Times New Roman" w:hAnsi="Times New Roman" w:cs="Times New Roman"/>
          <w:szCs w:val="22"/>
        </w:rPr>
        <w:t>,</w:t>
      </w:r>
      <w:r w:rsidRPr="007F66EE">
        <w:rPr>
          <w:rFonts w:ascii="Times New Roman" w:hAnsi="Times New Roman" w:cs="Times New Roman"/>
          <w:szCs w:val="22"/>
        </w:rPr>
        <w:t> </w:t>
      </w:r>
      <w:r>
        <w:rPr>
          <w:rFonts w:ascii="Times New Roman" w:hAnsi="Times New Roman" w:cs="Times New Roman"/>
          <w:szCs w:val="22"/>
        </w:rPr>
        <w:t xml:space="preserve">Sociálnej poisťovne vo výške 40,0 </w:t>
      </w:r>
      <w:r w:rsidRPr="007F66EE">
        <w:rPr>
          <w:rFonts w:ascii="Times New Roman" w:hAnsi="Times New Roman" w:cs="Times New Roman"/>
          <w:szCs w:val="22"/>
        </w:rPr>
        <w:t>mil. eur</w:t>
      </w:r>
      <w:r>
        <w:rPr>
          <w:rFonts w:ascii="Times New Roman" w:hAnsi="Times New Roman" w:cs="Times New Roman"/>
          <w:szCs w:val="22"/>
        </w:rPr>
        <w:t xml:space="preserve">, verejného zdravotného poistenia vo výške 16,2 </w:t>
      </w:r>
      <w:r w:rsidRPr="007F66EE">
        <w:rPr>
          <w:rFonts w:ascii="Times New Roman" w:hAnsi="Times New Roman" w:cs="Times New Roman"/>
          <w:szCs w:val="22"/>
        </w:rPr>
        <w:t>mil. eur</w:t>
      </w:r>
      <w:r>
        <w:rPr>
          <w:rFonts w:ascii="Times New Roman" w:hAnsi="Times New Roman" w:cs="Times New Roman"/>
          <w:szCs w:val="22"/>
        </w:rPr>
        <w:t xml:space="preserve">  a </w:t>
      </w:r>
      <w:r w:rsidRPr="007F66EE">
        <w:rPr>
          <w:rFonts w:ascii="Times New Roman" w:hAnsi="Times New Roman" w:cs="Times New Roman"/>
          <w:szCs w:val="22"/>
        </w:rPr>
        <w:t xml:space="preserve">vyšších územných celkov vo výške </w:t>
      </w:r>
      <w:r>
        <w:rPr>
          <w:rFonts w:ascii="Times New Roman" w:hAnsi="Times New Roman" w:cs="Times New Roman"/>
          <w:szCs w:val="22"/>
        </w:rPr>
        <w:t xml:space="preserve">13,5 </w:t>
      </w:r>
      <w:r w:rsidRPr="007F66EE">
        <w:rPr>
          <w:rFonts w:ascii="Times New Roman" w:hAnsi="Times New Roman" w:cs="Times New Roman"/>
          <w:szCs w:val="22"/>
        </w:rPr>
        <w:t xml:space="preserve">mil. eur. Na druhej strane je to schodkové hospodárenie Fondu národného majetku SR na úrovni </w:t>
      </w:r>
      <w:r>
        <w:rPr>
          <w:rFonts w:ascii="Times New Roman" w:hAnsi="Times New Roman" w:cs="Times New Roman"/>
          <w:szCs w:val="22"/>
        </w:rPr>
        <w:t xml:space="preserve">17,2 </w:t>
      </w:r>
      <w:r w:rsidRPr="007F66EE">
        <w:rPr>
          <w:rFonts w:ascii="Times New Roman" w:hAnsi="Times New Roman" w:cs="Times New Roman"/>
          <w:szCs w:val="22"/>
        </w:rPr>
        <w:t xml:space="preserve">mil. eur. Ostatné nespomenuté subjekty verejnej správy majú vo väčšine neutrálny vplyv na celkové hospodárenie ostatných subjektov verejnej správy. </w:t>
      </w:r>
      <w:r>
        <w:rPr>
          <w:rFonts w:ascii="Times New Roman" w:hAnsi="Times New Roman" w:cs="Times New Roman"/>
          <w:szCs w:val="22"/>
        </w:rPr>
        <w:t xml:space="preserve">Hospodárenie </w:t>
      </w:r>
      <w:r w:rsidRPr="007F66EE">
        <w:rPr>
          <w:rFonts w:ascii="Times New Roman" w:hAnsi="Times New Roman" w:cs="Times New Roman"/>
          <w:szCs w:val="22"/>
        </w:rPr>
        <w:t xml:space="preserve">ostatných subjektov verejnej správy </w:t>
      </w:r>
      <w:r>
        <w:rPr>
          <w:rFonts w:ascii="Times New Roman" w:hAnsi="Times New Roman" w:cs="Times New Roman"/>
          <w:szCs w:val="22"/>
        </w:rPr>
        <w:t>zobrazuje tabuľka a detaily sú uvedené v </w:t>
      </w:r>
      <w:r w:rsidRPr="007F66EE">
        <w:rPr>
          <w:rFonts w:ascii="Times New Roman" w:hAnsi="Times New Roman" w:cs="Times New Roman"/>
          <w:szCs w:val="22"/>
        </w:rPr>
        <w:t>príloh</w:t>
      </w:r>
      <w:r>
        <w:rPr>
          <w:rFonts w:ascii="Times New Roman" w:hAnsi="Times New Roman" w:cs="Times New Roman"/>
          <w:szCs w:val="22"/>
        </w:rPr>
        <w:t>e</w:t>
      </w:r>
      <w:r w:rsidRPr="007F66EE">
        <w:rPr>
          <w:rFonts w:ascii="Times New Roman" w:hAnsi="Times New Roman" w:cs="Times New Roman"/>
          <w:szCs w:val="22"/>
        </w:rPr>
        <w:t xml:space="preserve">  č. 1 tohto materiálu. </w:t>
      </w:r>
    </w:p>
    <w:p w:rsidR="0057261A" w:rsidRPr="007F66EE" w:rsidP="0057261A">
      <w:pPr>
        <w:pStyle w:val="BodyText"/>
        <w:tabs>
          <w:tab w:val="left" w:pos="0"/>
        </w:tabs>
        <w:bidi w:val="0"/>
        <w:rPr>
          <w:rFonts w:ascii="Times New Roman" w:hAnsi="Times New Roman" w:cs="Times New Roman"/>
          <w:b/>
          <w:bCs/>
          <w:sz w:val="28"/>
        </w:rPr>
      </w:pPr>
    </w:p>
    <w:p w:rsidR="0057261A" w:rsidRPr="007F66EE" w:rsidP="0057261A">
      <w:pPr>
        <w:pStyle w:val="BodyText"/>
        <w:tabs>
          <w:tab w:val="left" w:pos="0"/>
        </w:tabs>
        <w:bidi w:val="0"/>
        <w:rPr>
          <w:rFonts w:ascii="Times New Roman" w:hAnsi="Times New Roman" w:cs="Times New Roman"/>
          <w:szCs w:val="22"/>
        </w:rPr>
      </w:pPr>
      <w:r w:rsidRPr="007F66EE">
        <w:rPr>
          <w:rFonts w:ascii="Times New Roman" w:hAnsi="Times New Roman" w:cs="Times New Roman"/>
          <w:b/>
          <w:bCs/>
          <w:sz w:val="28"/>
        </w:rPr>
        <w:tab/>
      </w:r>
      <w:r w:rsidRPr="007F66EE">
        <w:rPr>
          <w:rFonts w:ascii="Times New Roman" w:hAnsi="Times New Roman" w:cs="Times New Roman"/>
          <w:szCs w:val="22"/>
        </w:rPr>
        <w:t xml:space="preserve">Schodok štátneho rozpočtu podľa metodiky ESA 95 je pretransformovaný pomocou modifikujúcich faktorov na hotovostné saldo. Takto získaný schodok štátneho rozpočtu na hotovostnom princípe spolu s prognózovanými hotovostnými príjmami štátneho rozpočtu vytvárajú priestor pre realizáciu výdavkov štátneho rozpočtu. </w:t>
      </w:r>
    </w:p>
    <w:p w:rsidR="0057261A" w:rsidRPr="007F66EE" w:rsidP="0057261A">
      <w:pPr>
        <w:pStyle w:val="BodyText"/>
        <w:tabs>
          <w:tab w:val="left" w:pos="0"/>
        </w:tabs>
        <w:bidi w:val="0"/>
        <w:rPr>
          <w:rFonts w:ascii="Times New Roman" w:hAnsi="Times New Roman" w:cs="Times New Roman"/>
          <w:sz w:val="22"/>
          <w:szCs w:val="22"/>
        </w:rPr>
      </w:pPr>
    </w:p>
    <w:p w:rsidR="0057261A" w:rsidRPr="0047499C" w:rsidP="0057261A">
      <w:pPr>
        <w:pStyle w:val="BodyText"/>
        <w:tabs>
          <w:tab w:val="left" w:pos="0"/>
        </w:tabs>
        <w:bidi w:val="0"/>
        <w:jc w:val="center"/>
        <w:rPr>
          <w:rFonts w:ascii="Times New Roman" w:hAnsi="Times New Roman" w:cs="Times New Roman"/>
          <w:b/>
          <w:bCs/>
        </w:rPr>
      </w:pPr>
      <w:r w:rsidRPr="0047499C">
        <w:rPr>
          <w:rFonts w:ascii="Times New Roman" w:hAnsi="Times New Roman" w:cs="Times New Roman"/>
          <w:b/>
          <w:bCs/>
        </w:rPr>
        <w:t>Rámec štátneho rozpočtu</w:t>
      </w:r>
    </w:p>
    <w:p w:rsidR="0057261A" w:rsidRPr="00975F77" w:rsidP="0057261A">
      <w:pPr>
        <w:bidi w:val="0"/>
        <w:jc w:val="both"/>
        <w:rPr>
          <w:rFonts w:ascii="Times New Roman" w:hAnsi="Times New Roman" w:cs="Times New Roman"/>
          <w:szCs w:val="22"/>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44"/>
        <w:gridCol w:w="718"/>
        <w:gridCol w:w="719"/>
        <w:gridCol w:w="717"/>
        <w:gridCol w:w="719"/>
        <w:gridCol w:w="746"/>
        <w:gridCol w:w="719"/>
        <w:gridCol w:w="719"/>
        <w:gridCol w:w="71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0"/>
          <w:jc w:val="center"/>
        </w:trPr>
        <w:tc>
          <w:tcPr>
            <w:tcW w:w="1870"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7261A" w:rsidRPr="00975F77" w:rsidP="00B97CD7">
            <w:pPr>
              <w:bidi w:val="0"/>
              <w:rPr>
                <w:rFonts w:ascii="Times New Roman" w:hAnsi="Times New Roman" w:cs="Times New Roman"/>
                <w:sz w:val="14"/>
                <w:szCs w:val="14"/>
                <w:lang w:eastAsia="sk-SK"/>
              </w:rPr>
            </w:pPr>
            <w:r w:rsidRPr="00975F77">
              <w:rPr>
                <w:rFonts w:ascii="Times New Roman" w:hAnsi="Times New Roman" w:cs="Times New Roman"/>
                <w:sz w:val="14"/>
                <w:szCs w:val="14"/>
                <w:lang w:eastAsia="sk-SK"/>
              </w:rPr>
              <w:t> </w:t>
            </w:r>
          </w:p>
        </w:tc>
        <w:tc>
          <w:tcPr>
            <w:tcW w:w="390"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7261A" w:rsidRPr="00975F77" w:rsidP="00B97CD7">
            <w:pPr>
              <w:bidi w:val="0"/>
              <w:jc w:val="center"/>
              <w:rPr>
                <w:rFonts w:ascii="Times New Roman" w:hAnsi="Times New Roman" w:cs="Times New Roman"/>
                <w:b/>
                <w:bCs/>
                <w:sz w:val="14"/>
                <w:szCs w:val="14"/>
                <w:lang w:eastAsia="sk-SK"/>
              </w:rPr>
            </w:pPr>
            <w:r w:rsidRPr="00975F77">
              <w:rPr>
                <w:rFonts w:ascii="Times New Roman" w:hAnsi="Times New Roman" w:cs="Times New Roman"/>
                <w:b/>
                <w:bCs/>
                <w:sz w:val="14"/>
                <w:szCs w:val="14"/>
                <w:lang w:eastAsia="sk-SK"/>
              </w:rPr>
              <w:t xml:space="preserve">m. j. </w:t>
            </w:r>
          </w:p>
        </w:tc>
        <w:tc>
          <w:tcPr>
            <w:tcW w:w="39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975F77" w:rsidP="00B97CD7">
            <w:pPr>
              <w:bidi w:val="0"/>
              <w:jc w:val="center"/>
              <w:rPr>
                <w:rFonts w:ascii="Times New Roman" w:hAnsi="Times New Roman" w:cs="Times New Roman"/>
                <w:b/>
                <w:bCs/>
                <w:sz w:val="14"/>
                <w:szCs w:val="14"/>
                <w:lang w:eastAsia="sk-SK"/>
              </w:rPr>
            </w:pPr>
            <w:r w:rsidRPr="00975F77">
              <w:rPr>
                <w:rFonts w:ascii="Times New Roman" w:hAnsi="Times New Roman" w:cs="Times New Roman"/>
                <w:b/>
                <w:bCs/>
                <w:sz w:val="14"/>
                <w:szCs w:val="14"/>
                <w:lang w:eastAsia="sk-SK"/>
              </w:rPr>
              <w:t>2010 S</w:t>
            </w:r>
          </w:p>
        </w:tc>
        <w:tc>
          <w:tcPr>
            <w:tcW w:w="38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975F77" w:rsidP="00B97CD7">
            <w:pPr>
              <w:bidi w:val="0"/>
              <w:jc w:val="center"/>
              <w:rPr>
                <w:rFonts w:ascii="Times New Roman" w:hAnsi="Times New Roman" w:cs="Times New Roman"/>
                <w:b/>
                <w:bCs/>
                <w:sz w:val="14"/>
                <w:szCs w:val="14"/>
                <w:lang w:eastAsia="sk-SK"/>
              </w:rPr>
            </w:pPr>
            <w:r w:rsidRPr="00975F77">
              <w:rPr>
                <w:rFonts w:ascii="Times New Roman" w:hAnsi="Times New Roman" w:cs="Times New Roman"/>
                <w:b/>
                <w:bCs/>
                <w:sz w:val="14"/>
                <w:szCs w:val="14"/>
                <w:lang w:eastAsia="sk-SK"/>
              </w:rPr>
              <w:t>2011 S</w:t>
            </w:r>
          </w:p>
        </w:tc>
        <w:tc>
          <w:tcPr>
            <w:tcW w:w="39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975F77" w:rsidP="00B97CD7">
            <w:pPr>
              <w:bidi w:val="0"/>
              <w:jc w:val="center"/>
              <w:rPr>
                <w:rFonts w:ascii="Times New Roman" w:hAnsi="Times New Roman" w:cs="Times New Roman"/>
                <w:b/>
                <w:bCs/>
                <w:sz w:val="14"/>
                <w:szCs w:val="14"/>
                <w:lang w:eastAsia="sk-SK"/>
              </w:rPr>
            </w:pPr>
            <w:r w:rsidRPr="00975F77">
              <w:rPr>
                <w:rFonts w:ascii="Times New Roman" w:hAnsi="Times New Roman" w:cs="Times New Roman"/>
                <w:b/>
                <w:bCs/>
                <w:sz w:val="14"/>
                <w:szCs w:val="14"/>
                <w:lang w:eastAsia="sk-SK"/>
              </w:rPr>
              <w:t>2012 R</w:t>
            </w:r>
          </w:p>
        </w:tc>
        <w:tc>
          <w:tcPr>
            <w:tcW w:w="40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975F77" w:rsidP="00B97CD7">
            <w:pPr>
              <w:bidi w:val="0"/>
              <w:jc w:val="center"/>
              <w:rPr>
                <w:rFonts w:ascii="Times New Roman" w:hAnsi="Times New Roman" w:cs="Times New Roman"/>
                <w:b/>
                <w:bCs/>
                <w:sz w:val="14"/>
                <w:szCs w:val="14"/>
                <w:lang w:eastAsia="sk-SK"/>
              </w:rPr>
            </w:pPr>
            <w:r w:rsidRPr="00975F77">
              <w:rPr>
                <w:rFonts w:ascii="Times New Roman" w:hAnsi="Times New Roman" w:cs="Times New Roman"/>
                <w:b/>
                <w:bCs/>
                <w:sz w:val="14"/>
                <w:szCs w:val="14"/>
                <w:lang w:eastAsia="sk-SK"/>
              </w:rPr>
              <w:t>2012 OS</w:t>
            </w:r>
          </w:p>
        </w:tc>
        <w:tc>
          <w:tcPr>
            <w:tcW w:w="39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975F77" w:rsidP="00B97CD7">
            <w:pPr>
              <w:bidi w:val="0"/>
              <w:jc w:val="center"/>
              <w:rPr>
                <w:rFonts w:ascii="Times New Roman" w:hAnsi="Times New Roman" w:cs="Times New Roman"/>
                <w:b/>
                <w:bCs/>
                <w:sz w:val="14"/>
                <w:szCs w:val="14"/>
                <w:lang w:eastAsia="sk-SK"/>
              </w:rPr>
            </w:pPr>
            <w:r w:rsidRPr="00975F77">
              <w:rPr>
                <w:rFonts w:ascii="Times New Roman" w:hAnsi="Times New Roman" w:cs="Times New Roman"/>
                <w:b/>
                <w:bCs/>
                <w:sz w:val="14"/>
                <w:szCs w:val="14"/>
                <w:lang w:eastAsia="sk-SK"/>
              </w:rPr>
              <w:t>2013 R</w:t>
            </w:r>
          </w:p>
        </w:tc>
        <w:tc>
          <w:tcPr>
            <w:tcW w:w="39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975F77" w:rsidP="00B97CD7">
            <w:pPr>
              <w:bidi w:val="0"/>
              <w:jc w:val="center"/>
              <w:rPr>
                <w:rFonts w:ascii="Times New Roman" w:hAnsi="Times New Roman" w:cs="Times New Roman"/>
                <w:b/>
                <w:bCs/>
                <w:sz w:val="14"/>
                <w:szCs w:val="14"/>
                <w:lang w:eastAsia="sk-SK"/>
              </w:rPr>
            </w:pPr>
            <w:r w:rsidRPr="00975F77">
              <w:rPr>
                <w:rFonts w:ascii="Times New Roman" w:hAnsi="Times New Roman" w:cs="Times New Roman"/>
                <w:b/>
                <w:bCs/>
                <w:sz w:val="14"/>
                <w:szCs w:val="14"/>
                <w:lang w:eastAsia="sk-SK"/>
              </w:rPr>
              <w:t>2014 N</w:t>
            </w:r>
          </w:p>
        </w:tc>
        <w:tc>
          <w:tcPr>
            <w:tcW w:w="38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975F77" w:rsidP="00B97CD7">
            <w:pPr>
              <w:bidi w:val="0"/>
              <w:jc w:val="center"/>
              <w:rPr>
                <w:rFonts w:ascii="Times New Roman" w:hAnsi="Times New Roman" w:cs="Times New Roman"/>
                <w:b/>
                <w:bCs/>
                <w:sz w:val="14"/>
                <w:szCs w:val="14"/>
                <w:lang w:eastAsia="sk-SK"/>
              </w:rPr>
            </w:pPr>
            <w:r w:rsidRPr="00975F77">
              <w:rPr>
                <w:rFonts w:ascii="Times New Roman" w:hAnsi="Times New Roman" w:cs="Times New Roman"/>
                <w:b/>
                <w:bCs/>
                <w:sz w:val="14"/>
                <w:szCs w:val="14"/>
                <w:lang w:eastAsia="sk-SK"/>
              </w:rPr>
              <w:t>2015 N</w:t>
            </w:r>
          </w:p>
        </w:tc>
      </w:tr>
      <w:tr>
        <w:tblPrEx>
          <w:tblW w:w="5000" w:type="pct"/>
          <w:jc w:val="center"/>
          <w:tblCellMar>
            <w:left w:w="70" w:type="dxa"/>
            <w:right w:w="70" w:type="dxa"/>
          </w:tblCellMar>
          <w:tblLook w:val="04A0"/>
        </w:tblPrEx>
        <w:trPr>
          <w:trHeight w:val="270"/>
          <w:jc w:val="center"/>
        </w:trPr>
        <w:tc>
          <w:tcPr>
            <w:tcW w:w="187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rPr>
                <w:rFonts w:ascii="Times New Roman" w:hAnsi="Times New Roman" w:cs="Times New Roman"/>
                <w:sz w:val="14"/>
                <w:szCs w:val="14"/>
                <w:lang w:eastAsia="sk-SK"/>
              </w:rPr>
            </w:pPr>
            <w:r w:rsidRPr="00975F77">
              <w:rPr>
                <w:rFonts w:ascii="Times New Roman" w:hAnsi="Times New Roman" w:cs="Times New Roman"/>
                <w:sz w:val="14"/>
                <w:szCs w:val="14"/>
                <w:lang w:eastAsia="sk-SK"/>
              </w:rPr>
              <w:t>Schodok štátneho rozpočtu v metodike ESA 95</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center"/>
              <w:rPr>
                <w:rFonts w:ascii="Times New Roman" w:hAnsi="Times New Roman" w:cs="Times New Roman"/>
                <w:sz w:val="14"/>
                <w:szCs w:val="14"/>
                <w:lang w:eastAsia="sk-SK"/>
              </w:rPr>
            </w:pPr>
            <w:r w:rsidRPr="00975F77">
              <w:rPr>
                <w:rFonts w:ascii="Times New Roman" w:hAnsi="Times New Roman" w:cs="Times New Roman"/>
                <w:sz w:val="14"/>
                <w:szCs w:val="14"/>
                <w:lang w:eastAsia="sk-SK"/>
              </w:rPr>
              <w:t>mil. eur</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-4 261,5</w:t>
            </w:r>
          </w:p>
        </w:tc>
        <w:tc>
          <w:tcPr>
            <w:tcW w:w="389"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-3 528,1</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-3 539,0</w:t>
            </w:r>
          </w:p>
        </w:tc>
        <w:tc>
          <w:tcPr>
            <w:tcW w:w="40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-3 852,7</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-2 750,7</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-2 443,6</w:t>
            </w:r>
          </w:p>
        </w:tc>
        <w:tc>
          <w:tcPr>
            <w:tcW w:w="389"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-2 405,2</w:t>
            </w:r>
          </w:p>
        </w:tc>
      </w:tr>
      <w:tr>
        <w:tblPrEx>
          <w:tblW w:w="5000" w:type="pct"/>
          <w:jc w:val="center"/>
          <w:tblCellMar>
            <w:left w:w="70" w:type="dxa"/>
            <w:right w:w="70" w:type="dxa"/>
          </w:tblCellMar>
          <w:tblLook w:val="04A0"/>
        </w:tblPrEx>
        <w:trPr>
          <w:trHeight w:val="270"/>
          <w:jc w:val="center"/>
        </w:trPr>
        <w:tc>
          <w:tcPr>
            <w:tcW w:w="187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rPr>
                <w:rFonts w:ascii="Times New Roman" w:hAnsi="Times New Roman" w:cs="Times New Roman"/>
                <w:sz w:val="14"/>
                <w:szCs w:val="14"/>
                <w:lang w:eastAsia="sk-SK"/>
              </w:rPr>
            </w:pPr>
            <w:r w:rsidRPr="00975F77">
              <w:rPr>
                <w:rFonts w:ascii="Times New Roman" w:hAnsi="Times New Roman" w:cs="Times New Roman"/>
                <w:sz w:val="14"/>
                <w:szCs w:val="14"/>
                <w:lang w:eastAsia="sk-SK"/>
              </w:rPr>
              <w:t>Modifikujúce faktory</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center"/>
              <w:rPr>
                <w:rFonts w:ascii="Times New Roman" w:hAnsi="Times New Roman" w:cs="Times New Roman"/>
                <w:sz w:val="14"/>
                <w:szCs w:val="14"/>
                <w:lang w:eastAsia="sk-SK"/>
              </w:rPr>
            </w:pPr>
            <w:r w:rsidRPr="00975F77">
              <w:rPr>
                <w:rFonts w:ascii="Times New Roman" w:hAnsi="Times New Roman" w:cs="Times New Roman"/>
                <w:sz w:val="14"/>
                <w:szCs w:val="14"/>
                <w:lang w:eastAsia="sk-SK"/>
              </w:rPr>
              <w:t>mil. eur</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174,6</w:t>
            </w:r>
          </w:p>
        </w:tc>
        <w:tc>
          <w:tcPr>
            <w:tcW w:w="389"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-252,4</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136,3</w:t>
            </w:r>
          </w:p>
        </w:tc>
        <w:tc>
          <w:tcPr>
            <w:tcW w:w="40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-319,8</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30</w:t>
            </w:r>
            <w:r>
              <w:rPr>
                <w:rFonts w:ascii="Times New Roman" w:hAnsi="Times New Roman" w:cs="Times New Roman"/>
                <w:sz w:val="14"/>
                <w:szCs w:val="14"/>
                <w:lang w:eastAsia="sk-SK"/>
              </w:rPr>
              <w:t>8,0</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34</w:t>
            </w:r>
            <w:r>
              <w:rPr>
                <w:rFonts w:ascii="Times New Roman" w:hAnsi="Times New Roman" w:cs="Times New Roman"/>
                <w:sz w:val="14"/>
                <w:szCs w:val="14"/>
                <w:lang w:eastAsia="sk-SK"/>
              </w:rPr>
              <w:t>2,8</w:t>
            </w:r>
          </w:p>
        </w:tc>
        <w:tc>
          <w:tcPr>
            <w:tcW w:w="389"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20</w:t>
            </w:r>
            <w:r>
              <w:rPr>
                <w:rFonts w:ascii="Times New Roman" w:hAnsi="Times New Roman" w:cs="Times New Roman"/>
                <w:sz w:val="14"/>
                <w:szCs w:val="14"/>
                <w:lang w:eastAsia="sk-SK"/>
              </w:rPr>
              <w:t>9</w:t>
            </w:r>
            <w:r w:rsidRPr="00975F77">
              <w:rPr>
                <w:rFonts w:ascii="Times New Roman" w:hAnsi="Times New Roman" w:cs="Times New Roman"/>
                <w:sz w:val="14"/>
                <w:szCs w:val="14"/>
                <w:lang w:eastAsia="sk-SK"/>
              </w:rPr>
              <w:t>,</w:t>
            </w:r>
            <w:r>
              <w:rPr>
                <w:rFonts w:ascii="Times New Roman" w:hAnsi="Times New Roman" w:cs="Times New Roman"/>
                <w:sz w:val="14"/>
                <w:szCs w:val="14"/>
                <w:lang w:eastAsia="sk-SK"/>
              </w:rPr>
              <w:t>8</w:t>
            </w:r>
          </w:p>
        </w:tc>
      </w:tr>
      <w:tr>
        <w:tblPrEx>
          <w:tblW w:w="5000" w:type="pct"/>
          <w:jc w:val="center"/>
          <w:tblCellMar>
            <w:left w:w="70" w:type="dxa"/>
            <w:right w:w="70" w:type="dxa"/>
          </w:tblCellMar>
          <w:tblLook w:val="04A0"/>
        </w:tblPrEx>
        <w:trPr>
          <w:trHeight w:val="270"/>
          <w:jc w:val="center"/>
        </w:trPr>
        <w:tc>
          <w:tcPr>
            <w:tcW w:w="187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975F77" w:rsidP="00B97CD7">
            <w:pPr>
              <w:bidi w:val="0"/>
              <w:rPr>
                <w:rFonts w:ascii="Times New Roman" w:hAnsi="Times New Roman" w:cs="Times New Roman"/>
                <w:sz w:val="14"/>
                <w:szCs w:val="14"/>
                <w:lang w:eastAsia="sk-SK"/>
              </w:rPr>
            </w:pPr>
            <w:r w:rsidRPr="00975F77">
              <w:rPr>
                <w:rFonts w:ascii="Times New Roman" w:hAnsi="Times New Roman" w:cs="Times New Roman"/>
                <w:sz w:val="14"/>
                <w:szCs w:val="14"/>
                <w:lang w:eastAsia="sk-SK"/>
              </w:rPr>
              <w:t>Schodok štátneho rozpočtu na hotovostnom princípe</w:t>
            </w:r>
          </w:p>
        </w:tc>
        <w:tc>
          <w:tcPr>
            <w:tcW w:w="39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975F77" w:rsidP="00B97CD7">
            <w:pPr>
              <w:bidi w:val="0"/>
              <w:jc w:val="center"/>
              <w:rPr>
                <w:rFonts w:ascii="Times New Roman" w:hAnsi="Times New Roman" w:cs="Times New Roman"/>
                <w:sz w:val="14"/>
                <w:szCs w:val="14"/>
                <w:lang w:eastAsia="sk-SK"/>
              </w:rPr>
            </w:pPr>
            <w:r w:rsidRPr="00975F77">
              <w:rPr>
                <w:rFonts w:ascii="Times New Roman" w:hAnsi="Times New Roman" w:cs="Times New Roman"/>
                <w:sz w:val="14"/>
                <w:szCs w:val="14"/>
                <w:lang w:eastAsia="sk-SK"/>
              </w:rPr>
              <w:t>mil. eur</w:t>
            </w:r>
          </w:p>
        </w:tc>
        <w:tc>
          <w:tcPr>
            <w:tcW w:w="39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-4 436,1</w:t>
            </w:r>
          </w:p>
        </w:tc>
        <w:tc>
          <w:tcPr>
            <w:tcW w:w="38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-3 275,7</w:t>
            </w:r>
          </w:p>
        </w:tc>
        <w:tc>
          <w:tcPr>
            <w:tcW w:w="39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-3 675,3</w:t>
            </w:r>
          </w:p>
        </w:tc>
        <w:tc>
          <w:tcPr>
            <w:tcW w:w="40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-3 532,9</w:t>
            </w:r>
          </w:p>
        </w:tc>
        <w:tc>
          <w:tcPr>
            <w:tcW w:w="39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-3</w:t>
            </w:r>
            <w:r>
              <w:rPr>
                <w:rFonts w:ascii="Times New Roman" w:hAnsi="Times New Roman" w:cs="Times New Roman"/>
                <w:sz w:val="14"/>
                <w:szCs w:val="14"/>
                <w:lang w:eastAsia="sk-SK"/>
              </w:rPr>
              <w:t> </w:t>
            </w:r>
            <w:r w:rsidRPr="00975F77">
              <w:rPr>
                <w:rFonts w:ascii="Times New Roman" w:hAnsi="Times New Roman" w:cs="Times New Roman"/>
                <w:sz w:val="14"/>
                <w:szCs w:val="14"/>
                <w:lang w:eastAsia="sk-SK"/>
              </w:rPr>
              <w:t>05</w:t>
            </w:r>
            <w:r>
              <w:rPr>
                <w:rFonts w:ascii="Times New Roman" w:hAnsi="Times New Roman" w:cs="Times New Roman"/>
                <w:sz w:val="14"/>
                <w:szCs w:val="14"/>
                <w:lang w:eastAsia="sk-SK"/>
              </w:rPr>
              <w:t>8,7</w:t>
            </w:r>
          </w:p>
        </w:tc>
        <w:tc>
          <w:tcPr>
            <w:tcW w:w="39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-2</w:t>
            </w:r>
            <w:r>
              <w:rPr>
                <w:rFonts w:ascii="Times New Roman" w:hAnsi="Times New Roman" w:cs="Times New Roman"/>
                <w:sz w:val="14"/>
                <w:szCs w:val="14"/>
                <w:lang w:eastAsia="sk-SK"/>
              </w:rPr>
              <w:t> </w:t>
            </w:r>
            <w:r w:rsidRPr="00975F77">
              <w:rPr>
                <w:rFonts w:ascii="Times New Roman" w:hAnsi="Times New Roman" w:cs="Times New Roman"/>
                <w:sz w:val="14"/>
                <w:szCs w:val="14"/>
                <w:lang w:eastAsia="sk-SK"/>
              </w:rPr>
              <w:t>78</w:t>
            </w:r>
            <w:r>
              <w:rPr>
                <w:rFonts w:ascii="Times New Roman" w:hAnsi="Times New Roman" w:cs="Times New Roman"/>
                <w:sz w:val="14"/>
                <w:szCs w:val="14"/>
                <w:lang w:eastAsia="sk-SK"/>
              </w:rPr>
              <w:t>6,4</w:t>
            </w:r>
          </w:p>
        </w:tc>
        <w:tc>
          <w:tcPr>
            <w:tcW w:w="38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-2</w:t>
            </w:r>
            <w:r>
              <w:rPr>
                <w:rFonts w:ascii="Times New Roman" w:hAnsi="Times New Roman" w:cs="Times New Roman"/>
                <w:sz w:val="14"/>
                <w:szCs w:val="14"/>
                <w:lang w:eastAsia="sk-SK"/>
              </w:rPr>
              <w:t> </w:t>
            </w:r>
            <w:r w:rsidRPr="00975F77">
              <w:rPr>
                <w:rFonts w:ascii="Times New Roman" w:hAnsi="Times New Roman" w:cs="Times New Roman"/>
                <w:sz w:val="14"/>
                <w:szCs w:val="14"/>
                <w:lang w:eastAsia="sk-SK"/>
              </w:rPr>
              <w:t>61</w:t>
            </w:r>
            <w:r>
              <w:rPr>
                <w:rFonts w:ascii="Times New Roman" w:hAnsi="Times New Roman" w:cs="Times New Roman"/>
                <w:sz w:val="14"/>
                <w:szCs w:val="14"/>
                <w:lang w:eastAsia="sk-SK"/>
              </w:rPr>
              <w:t>5,0</w:t>
            </w:r>
          </w:p>
        </w:tc>
      </w:tr>
      <w:tr>
        <w:tblPrEx>
          <w:tblW w:w="5000" w:type="pct"/>
          <w:jc w:val="center"/>
          <w:tblCellMar>
            <w:left w:w="70" w:type="dxa"/>
            <w:right w:w="70" w:type="dxa"/>
          </w:tblCellMar>
          <w:tblLook w:val="04A0"/>
        </w:tblPrEx>
        <w:trPr>
          <w:trHeight w:val="270"/>
          <w:jc w:val="center"/>
        </w:trPr>
        <w:tc>
          <w:tcPr>
            <w:tcW w:w="187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rPr>
                <w:rFonts w:ascii="Times New Roman" w:hAnsi="Times New Roman" w:cs="Times New Roman"/>
                <w:sz w:val="14"/>
                <w:szCs w:val="14"/>
                <w:lang w:eastAsia="sk-SK"/>
              </w:rPr>
            </w:pPr>
            <w:r w:rsidRPr="00975F77">
              <w:rPr>
                <w:rFonts w:ascii="Times New Roman" w:hAnsi="Times New Roman" w:cs="Times New Roman"/>
                <w:sz w:val="14"/>
                <w:szCs w:val="14"/>
                <w:lang w:eastAsia="sk-SK"/>
              </w:rPr>
              <w:t>Príjmy štátneho rozpočtu na hotovostnom princípe</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center"/>
              <w:rPr>
                <w:rFonts w:ascii="Times New Roman" w:hAnsi="Times New Roman" w:cs="Times New Roman"/>
                <w:sz w:val="14"/>
                <w:szCs w:val="14"/>
                <w:lang w:eastAsia="sk-SK"/>
              </w:rPr>
            </w:pPr>
            <w:r w:rsidRPr="00975F77">
              <w:rPr>
                <w:rFonts w:ascii="Times New Roman" w:hAnsi="Times New Roman" w:cs="Times New Roman"/>
                <w:sz w:val="14"/>
                <w:szCs w:val="14"/>
                <w:lang w:eastAsia="sk-SK"/>
              </w:rPr>
              <w:t>mil. eur</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10 900,9</w:t>
            </w:r>
          </w:p>
        </w:tc>
        <w:tc>
          <w:tcPr>
            <w:tcW w:w="389"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12 002,3</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13 624,7</w:t>
            </w:r>
          </w:p>
        </w:tc>
        <w:tc>
          <w:tcPr>
            <w:tcW w:w="40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12 994,9</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14 176,5</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13 777,6</w:t>
            </w:r>
          </w:p>
        </w:tc>
        <w:tc>
          <w:tcPr>
            <w:tcW w:w="389"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13 726,0</w:t>
            </w:r>
          </w:p>
        </w:tc>
      </w:tr>
      <w:tr>
        <w:tblPrEx>
          <w:tblW w:w="5000" w:type="pct"/>
          <w:jc w:val="center"/>
          <w:tblCellMar>
            <w:left w:w="70" w:type="dxa"/>
            <w:right w:w="70" w:type="dxa"/>
          </w:tblCellMar>
          <w:tblLook w:val="04A0"/>
        </w:tblPrEx>
        <w:trPr>
          <w:trHeight w:val="270"/>
          <w:jc w:val="center"/>
        </w:trPr>
        <w:tc>
          <w:tcPr>
            <w:tcW w:w="187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rPr>
                <w:rFonts w:ascii="Times New Roman" w:hAnsi="Times New Roman" w:cs="Times New Roman"/>
                <w:sz w:val="14"/>
                <w:szCs w:val="14"/>
                <w:lang w:eastAsia="sk-SK"/>
              </w:rPr>
            </w:pPr>
            <w:r w:rsidRPr="00975F77">
              <w:rPr>
                <w:rFonts w:ascii="Times New Roman" w:hAnsi="Times New Roman" w:cs="Times New Roman"/>
                <w:sz w:val="14"/>
                <w:szCs w:val="14"/>
                <w:lang w:eastAsia="sk-SK"/>
              </w:rPr>
              <w:t>Výdavky štátneho rozpočtu na hotovostnom princípe</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center"/>
              <w:rPr>
                <w:rFonts w:ascii="Times New Roman" w:hAnsi="Times New Roman" w:cs="Times New Roman"/>
                <w:sz w:val="14"/>
                <w:szCs w:val="14"/>
                <w:lang w:eastAsia="sk-SK"/>
              </w:rPr>
            </w:pPr>
            <w:r w:rsidRPr="00975F77">
              <w:rPr>
                <w:rFonts w:ascii="Times New Roman" w:hAnsi="Times New Roman" w:cs="Times New Roman"/>
                <w:sz w:val="14"/>
                <w:szCs w:val="14"/>
                <w:lang w:eastAsia="sk-SK"/>
              </w:rPr>
              <w:t>mil. eur</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15 337,0</w:t>
            </w:r>
          </w:p>
        </w:tc>
        <w:tc>
          <w:tcPr>
            <w:tcW w:w="389"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15 278,0</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17 300,0</w:t>
            </w:r>
          </w:p>
        </w:tc>
        <w:tc>
          <w:tcPr>
            <w:tcW w:w="405"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16 527,8</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17</w:t>
            </w:r>
            <w:r>
              <w:rPr>
                <w:rFonts w:ascii="Times New Roman" w:hAnsi="Times New Roman" w:cs="Times New Roman"/>
                <w:sz w:val="14"/>
                <w:szCs w:val="14"/>
                <w:lang w:eastAsia="sk-SK"/>
              </w:rPr>
              <w:t> </w:t>
            </w:r>
            <w:r w:rsidRPr="00975F77">
              <w:rPr>
                <w:rFonts w:ascii="Times New Roman" w:hAnsi="Times New Roman" w:cs="Times New Roman"/>
                <w:sz w:val="14"/>
                <w:szCs w:val="14"/>
                <w:lang w:eastAsia="sk-SK"/>
              </w:rPr>
              <w:t>2</w:t>
            </w:r>
            <w:r>
              <w:rPr>
                <w:rFonts w:ascii="Times New Roman" w:hAnsi="Times New Roman" w:cs="Times New Roman"/>
                <w:sz w:val="14"/>
                <w:szCs w:val="14"/>
                <w:lang w:eastAsia="sk-SK"/>
              </w:rPr>
              <w:t>35,2</w:t>
            </w:r>
          </w:p>
        </w:tc>
        <w:tc>
          <w:tcPr>
            <w:tcW w:w="390"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975F77"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16 564,</w:t>
            </w:r>
            <w:r>
              <w:rPr>
                <w:rFonts w:ascii="Times New Roman" w:hAnsi="Times New Roman" w:cs="Times New Roman"/>
                <w:sz w:val="14"/>
                <w:szCs w:val="14"/>
                <w:lang w:eastAsia="sk-SK"/>
              </w:rPr>
              <w:t>0</w:t>
            </w:r>
          </w:p>
        </w:tc>
        <w:tc>
          <w:tcPr>
            <w:tcW w:w="389"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591088" w:rsidP="00B97CD7">
            <w:pPr>
              <w:bidi w:val="0"/>
              <w:jc w:val="right"/>
              <w:rPr>
                <w:rFonts w:ascii="Times New Roman" w:hAnsi="Times New Roman" w:cs="Times New Roman"/>
                <w:sz w:val="14"/>
                <w:szCs w:val="14"/>
                <w:lang w:eastAsia="sk-SK"/>
              </w:rPr>
            </w:pPr>
            <w:r w:rsidRPr="00975F77">
              <w:rPr>
                <w:rFonts w:ascii="Times New Roman" w:hAnsi="Times New Roman" w:cs="Times New Roman"/>
                <w:sz w:val="14"/>
                <w:szCs w:val="14"/>
                <w:lang w:eastAsia="sk-SK"/>
              </w:rPr>
              <w:t>16</w:t>
            </w:r>
            <w:r>
              <w:rPr>
                <w:rFonts w:ascii="Times New Roman" w:hAnsi="Times New Roman" w:cs="Times New Roman"/>
                <w:sz w:val="14"/>
                <w:szCs w:val="14"/>
                <w:lang w:eastAsia="sk-SK"/>
              </w:rPr>
              <w:t> </w:t>
            </w:r>
            <w:r w:rsidRPr="00975F77">
              <w:rPr>
                <w:rFonts w:ascii="Times New Roman" w:hAnsi="Times New Roman" w:cs="Times New Roman"/>
                <w:sz w:val="14"/>
                <w:szCs w:val="14"/>
                <w:lang w:eastAsia="sk-SK"/>
              </w:rPr>
              <w:t>3</w:t>
            </w:r>
            <w:r>
              <w:rPr>
                <w:rFonts w:ascii="Times New Roman" w:hAnsi="Times New Roman" w:cs="Times New Roman"/>
                <w:sz w:val="14"/>
                <w:szCs w:val="14"/>
                <w:lang w:eastAsia="sk-SK"/>
              </w:rPr>
              <w:t>41,0</w:t>
            </w:r>
          </w:p>
        </w:tc>
      </w:tr>
    </w:tbl>
    <w:p w:rsidR="0057261A" w:rsidRPr="007F66EE" w:rsidP="0057261A">
      <w:pPr>
        <w:bidi w:val="0"/>
        <w:jc w:val="both"/>
        <w:rPr>
          <w:rFonts w:ascii="Times New Roman" w:hAnsi="Times New Roman" w:cs="Times New Roman"/>
          <w:szCs w:val="22"/>
        </w:rPr>
      </w:pPr>
    </w:p>
    <w:p w:rsidR="0057261A" w:rsidRPr="007F66EE" w:rsidP="0057261A">
      <w:pPr>
        <w:bidi w:val="0"/>
        <w:jc w:val="both"/>
        <w:rPr>
          <w:rFonts w:ascii="Times New Roman" w:hAnsi="Times New Roman" w:cs="Times New Roman"/>
          <w:szCs w:val="22"/>
        </w:rPr>
      </w:pPr>
      <w:r w:rsidRPr="007F66EE">
        <w:rPr>
          <w:rFonts w:ascii="Times New Roman" w:hAnsi="Times New Roman" w:cs="Times New Roman"/>
          <w:szCs w:val="22"/>
        </w:rPr>
        <w:tab/>
        <w:t>Celkovú pozitívnu hodnotu modifikujúcich faktorov štátneho rozpočtu v roku 201</w:t>
      </w:r>
      <w:r>
        <w:rPr>
          <w:rFonts w:ascii="Times New Roman" w:hAnsi="Times New Roman" w:cs="Times New Roman"/>
          <w:szCs w:val="22"/>
        </w:rPr>
        <w:t>3</w:t>
      </w:r>
      <w:r w:rsidRPr="007F66EE">
        <w:rPr>
          <w:rFonts w:ascii="Times New Roman" w:hAnsi="Times New Roman" w:cs="Times New Roman"/>
          <w:szCs w:val="22"/>
        </w:rPr>
        <w:t xml:space="preserve"> tvorí predovšetkým pozitívny vplyv </w:t>
      </w:r>
      <w:r>
        <w:rPr>
          <w:rFonts w:ascii="Times New Roman" w:hAnsi="Times New Roman" w:cs="Times New Roman"/>
          <w:szCs w:val="22"/>
        </w:rPr>
        <w:t>salda rozpočtových operácií štátnych finančných aktív bez finančných operácií,</w:t>
      </w:r>
      <w:r w:rsidRPr="007F66EE">
        <w:rPr>
          <w:rFonts w:ascii="Times New Roman" w:hAnsi="Times New Roman" w:cs="Times New Roman"/>
          <w:szCs w:val="22"/>
        </w:rPr>
        <w:t xml:space="preserve"> a to vo výške </w:t>
      </w:r>
      <w:r>
        <w:rPr>
          <w:rFonts w:ascii="Times New Roman" w:hAnsi="Times New Roman" w:cs="Times New Roman"/>
          <w:szCs w:val="22"/>
        </w:rPr>
        <w:t>352,8</w:t>
      </w:r>
      <w:r w:rsidRPr="007F66EE">
        <w:rPr>
          <w:rFonts w:ascii="Times New Roman" w:hAnsi="Times New Roman" w:cs="Times New Roman"/>
          <w:szCs w:val="22"/>
        </w:rPr>
        <w:t xml:space="preserve"> mil. eur. Podrobnú identifikáciu modifikujúcich faktorov štátneho rozpočtu obsahuje časť </w:t>
      </w:r>
      <w:r w:rsidRPr="00591088">
        <w:rPr>
          <w:rFonts w:ascii="Times New Roman" w:hAnsi="Times New Roman" w:cs="Times New Roman"/>
          <w:szCs w:val="22"/>
        </w:rPr>
        <w:t>6. Štátny rozpočet</w:t>
      </w:r>
      <w:r w:rsidRPr="007F66EE">
        <w:rPr>
          <w:rFonts w:ascii="Times New Roman" w:hAnsi="Times New Roman" w:cs="Times New Roman"/>
          <w:szCs w:val="22"/>
        </w:rPr>
        <w:t xml:space="preserve"> v metodike ESA 95.</w:t>
      </w:r>
    </w:p>
    <w:p w:rsidR="0057261A" w:rsidRPr="007F66EE" w:rsidP="0057261A">
      <w:pPr>
        <w:bidi w:val="0"/>
        <w:jc w:val="both"/>
        <w:rPr>
          <w:rFonts w:ascii="Times New Roman" w:hAnsi="Times New Roman" w:cs="Times New Roman"/>
          <w:szCs w:val="22"/>
        </w:rPr>
      </w:pPr>
    </w:p>
    <w:p w:rsidR="0057261A" w:rsidRPr="002F2506" w:rsidP="0057261A">
      <w:pPr>
        <w:pStyle w:val="Zarkazkladnhotextu1"/>
        <w:bidi w:val="0"/>
        <w:spacing w:after="0"/>
        <w:ind w:left="0" w:firstLine="708"/>
        <w:jc w:val="both"/>
        <w:rPr>
          <w:rFonts w:ascii="Times New Roman" w:hAnsi="Times New Roman" w:cs="Times New Roman"/>
          <w:szCs w:val="22"/>
        </w:rPr>
      </w:pPr>
      <w:r w:rsidRPr="007F66EE">
        <w:rPr>
          <w:rFonts w:ascii="Times New Roman" w:hAnsi="Times New Roman" w:cs="Times New Roman"/>
          <w:szCs w:val="22"/>
        </w:rPr>
        <w:t xml:space="preserve">Na základe stanovených parametrov fiškálneho rámca, hospodárenia ostatných subjektov verejnej správy a stanovenia rámca štátneho rozpočtu je možné definovať nasledujúce základné parametre vývoja verejných financií.  </w:t>
      </w:r>
    </w:p>
    <w:p w:rsidR="0057261A" w:rsidP="0057261A">
      <w:pPr>
        <w:pStyle w:val="BodyText"/>
        <w:tabs>
          <w:tab w:val="left" w:pos="0"/>
        </w:tabs>
        <w:bidi w:val="0"/>
        <w:rPr>
          <w:rFonts w:ascii="Times New Roman" w:hAnsi="Times New Roman" w:cs="Times New Roman"/>
          <w:b/>
          <w:bCs/>
          <w:sz w:val="22"/>
          <w:szCs w:val="22"/>
        </w:rPr>
      </w:pPr>
    </w:p>
    <w:p w:rsidR="0057261A" w:rsidRPr="0047499C" w:rsidP="0057261A">
      <w:pPr>
        <w:pStyle w:val="BodyText"/>
        <w:tabs>
          <w:tab w:val="left" w:pos="0"/>
        </w:tabs>
        <w:bidi w:val="0"/>
        <w:jc w:val="center"/>
        <w:rPr>
          <w:rFonts w:ascii="Times New Roman" w:hAnsi="Times New Roman" w:cs="Times New Roman"/>
          <w:b/>
          <w:bCs/>
        </w:rPr>
      </w:pPr>
      <w:r w:rsidRPr="0047499C">
        <w:rPr>
          <w:rFonts w:ascii="Times New Roman" w:hAnsi="Times New Roman" w:cs="Times New Roman"/>
          <w:b/>
          <w:bCs/>
        </w:rPr>
        <w:t>Konsolidovaná bilancia rozpočtu verejnej správy</w:t>
      </w:r>
    </w:p>
    <w:p w:rsidR="0057261A" w:rsidRPr="0047499C" w:rsidP="0057261A">
      <w:pPr>
        <w:pStyle w:val="BodyText"/>
        <w:tabs>
          <w:tab w:val="left" w:pos="0"/>
        </w:tabs>
        <w:bidi w:val="0"/>
        <w:rPr>
          <w:rFonts w:ascii="Times New Roman" w:hAnsi="Times New Roman" w:cs="Times New Roman"/>
          <w:b/>
          <w:bCs/>
          <w:highlight w:val="cya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44"/>
        <w:gridCol w:w="849"/>
        <w:gridCol w:w="883"/>
        <w:gridCol w:w="884"/>
        <w:gridCol w:w="884"/>
        <w:gridCol w:w="884"/>
        <w:gridCol w:w="894"/>
        <w:gridCol w:w="884"/>
        <w:gridCol w:w="906"/>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0"/>
          <w:jc w:val="center"/>
        </w:trPr>
        <w:tc>
          <w:tcPr>
            <w:tcW w:w="116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7261A" w:rsidRPr="00591088" w:rsidP="00B97CD7">
            <w:pPr>
              <w:bidi w:val="0"/>
              <w:rPr>
                <w:rFonts w:ascii="Times New Roman" w:hAnsi="Times New Roman" w:cs="Times New Roman"/>
                <w:sz w:val="14"/>
                <w:szCs w:val="14"/>
                <w:lang w:eastAsia="sk-SK"/>
              </w:rPr>
            </w:pPr>
            <w:r w:rsidRPr="00591088">
              <w:rPr>
                <w:rFonts w:ascii="Times New Roman" w:hAnsi="Times New Roman" w:cs="Times New Roman"/>
                <w:sz w:val="14"/>
                <w:szCs w:val="14"/>
                <w:lang w:eastAsia="sk-SK"/>
              </w:rPr>
              <w:t>(v metodike ESA 95)</w:t>
            </w:r>
          </w:p>
        </w:tc>
        <w:tc>
          <w:tcPr>
            <w:tcW w:w="461"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 xml:space="preserve">m. j. </w:t>
            </w:r>
          </w:p>
        </w:tc>
        <w:tc>
          <w:tcPr>
            <w:tcW w:w="47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2010 S</w:t>
            </w:r>
          </w:p>
        </w:tc>
        <w:tc>
          <w:tcPr>
            <w:tcW w:w="48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2011 S</w:t>
            </w:r>
          </w:p>
        </w:tc>
        <w:tc>
          <w:tcPr>
            <w:tcW w:w="48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2012 R</w:t>
            </w:r>
          </w:p>
        </w:tc>
        <w:tc>
          <w:tcPr>
            <w:tcW w:w="48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2012 OS</w:t>
            </w:r>
          </w:p>
        </w:tc>
        <w:tc>
          <w:tcPr>
            <w:tcW w:w="48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2013 R</w:t>
            </w:r>
          </w:p>
        </w:tc>
        <w:tc>
          <w:tcPr>
            <w:tcW w:w="48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2014 N</w:t>
            </w:r>
          </w:p>
        </w:tc>
        <w:tc>
          <w:tcPr>
            <w:tcW w:w="49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7261A" w:rsidRPr="00591088" w:rsidP="00B97CD7">
            <w:pPr>
              <w:bidi w:val="0"/>
              <w:jc w:val="center"/>
              <w:rPr>
                <w:rFonts w:ascii="Times New Roman" w:hAnsi="Times New Roman" w:cs="Times New Roman"/>
                <w:b/>
                <w:bCs/>
                <w:sz w:val="14"/>
                <w:szCs w:val="14"/>
                <w:lang w:eastAsia="sk-SK"/>
              </w:rPr>
            </w:pPr>
            <w:r w:rsidRPr="00591088">
              <w:rPr>
                <w:rFonts w:ascii="Times New Roman" w:hAnsi="Times New Roman" w:cs="Times New Roman"/>
                <w:b/>
                <w:bCs/>
                <w:sz w:val="14"/>
                <w:szCs w:val="14"/>
                <w:lang w:eastAsia="sk-SK"/>
              </w:rPr>
              <w:t>2015 N</w:t>
            </w:r>
          </w:p>
        </w:tc>
      </w:tr>
      <w:tr>
        <w:tblPrEx>
          <w:tblW w:w="5000" w:type="pct"/>
          <w:jc w:val="center"/>
          <w:tblCellMar>
            <w:left w:w="70" w:type="dxa"/>
            <w:right w:w="70" w:type="dxa"/>
          </w:tblCellMar>
          <w:tblLook w:val="04A0"/>
        </w:tblPrEx>
        <w:trPr>
          <w:trHeight w:val="270"/>
          <w:jc w:val="center"/>
        </w:trPr>
        <w:tc>
          <w:tcPr>
            <w:tcW w:w="116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rPr>
                <w:rFonts w:ascii="Times New Roman" w:hAnsi="Times New Roman" w:cs="Times New Roman"/>
                <w:sz w:val="14"/>
                <w:szCs w:val="14"/>
                <w:lang w:eastAsia="sk-SK"/>
              </w:rPr>
            </w:pPr>
            <w:r w:rsidRPr="00591088">
              <w:rPr>
                <w:rFonts w:ascii="Times New Roman" w:hAnsi="Times New Roman" w:cs="Times New Roman"/>
                <w:sz w:val="14"/>
                <w:szCs w:val="14"/>
                <w:lang w:eastAsia="sk-SK"/>
              </w:rPr>
              <w:t>Príjmy verejnej správy</w:t>
            </w:r>
          </w:p>
        </w:tc>
        <w:tc>
          <w:tcPr>
            <w:tcW w:w="461"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center"/>
              <w:rPr>
                <w:rFonts w:ascii="Times New Roman" w:hAnsi="Times New Roman" w:cs="Times New Roman"/>
                <w:sz w:val="14"/>
                <w:szCs w:val="14"/>
                <w:lang w:eastAsia="sk-SK"/>
              </w:rPr>
            </w:pPr>
            <w:r w:rsidRPr="00591088">
              <w:rPr>
                <w:rFonts w:ascii="Times New Roman" w:hAnsi="Times New Roman" w:cs="Times New Roman"/>
                <w:sz w:val="14"/>
                <w:szCs w:val="14"/>
                <w:lang w:eastAsia="sk-SK"/>
              </w:rPr>
              <w:t>mil. eur</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21293,8</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22 497,2</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23 824,7</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23</w:t>
            </w:r>
            <w:r>
              <w:rPr>
                <w:rFonts w:ascii="Times New Roman" w:hAnsi="Times New Roman" w:cs="Times New Roman"/>
                <w:sz w:val="14"/>
                <w:szCs w:val="14"/>
                <w:lang w:eastAsia="sk-SK"/>
              </w:rPr>
              <w:t> </w:t>
            </w:r>
            <w:r w:rsidRPr="00591088">
              <w:rPr>
                <w:rFonts w:ascii="Times New Roman" w:hAnsi="Times New Roman" w:cs="Times New Roman"/>
                <w:sz w:val="14"/>
                <w:szCs w:val="14"/>
                <w:lang w:eastAsia="sk-SK"/>
              </w:rPr>
              <w:t>5</w:t>
            </w:r>
            <w:r>
              <w:rPr>
                <w:rFonts w:ascii="Times New Roman" w:hAnsi="Times New Roman" w:cs="Times New Roman"/>
                <w:sz w:val="14"/>
                <w:szCs w:val="14"/>
                <w:lang w:eastAsia="sk-SK"/>
              </w:rPr>
              <w:t>35,2</w:t>
            </w:r>
          </w:p>
        </w:tc>
        <w:tc>
          <w:tcPr>
            <w:tcW w:w="485"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25 699,6</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25 727,9</w:t>
            </w:r>
          </w:p>
        </w:tc>
        <w:tc>
          <w:tcPr>
            <w:tcW w:w="492"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26 600,1</w:t>
            </w:r>
          </w:p>
        </w:tc>
      </w:tr>
      <w:tr>
        <w:tblPrEx>
          <w:tblW w:w="5000" w:type="pct"/>
          <w:jc w:val="center"/>
          <w:tblCellMar>
            <w:left w:w="70" w:type="dxa"/>
            <w:right w:w="70" w:type="dxa"/>
          </w:tblCellMar>
          <w:tblLook w:val="04A0"/>
        </w:tblPrEx>
        <w:trPr>
          <w:trHeight w:val="270"/>
          <w:jc w:val="center"/>
        </w:trPr>
        <w:tc>
          <w:tcPr>
            <w:tcW w:w="116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Príjmy verejnej správy </w:t>
            </w:r>
          </w:p>
        </w:tc>
        <w:tc>
          <w:tcPr>
            <w:tcW w:w="46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center"/>
              <w:rPr>
                <w:rFonts w:ascii="Times New Roman" w:hAnsi="Times New Roman" w:cs="Times New Roman"/>
                <w:sz w:val="14"/>
                <w:szCs w:val="14"/>
                <w:lang w:eastAsia="sk-SK"/>
              </w:rPr>
            </w:pPr>
            <w:r w:rsidRPr="00591088">
              <w:rPr>
                <w:rFonts w:ascii="Times New Roman" w:hAnsi="Times New Roman" w:cs="Times New Roman"/>
                <w:sz w:val="14"/>
                <w:szCs w:val="14"/>
                <w:lang w:eastAsia="sk-SK"/>
              </w:rPr>
              <w:t>%</w:t>
            </w:r>
          </w:p>
        </w:tc>
        <w:tc>
          <w:tcPr>
            <w:tcW w:w="47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32,3</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32,6</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33,3</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32,8</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34,6</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32,8</w:t>
            </w:r>
          </w:p>
        </w:tc>
        <w:tc>
          <w:tcPr>
            <w:tcW w:w="49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32,1</w:t>
            </w:r>
          </w:p>
        </w:tc>
      </w:tr>
      <w:tr>
        <w:tblPrEx>
          <w:tblW w:w="5000" w:type="pct"/>
          <w:jc w:val="center"/>
          <w:tblCellMar>
            <w:left w:w="70" w:type="dxa"/>
            <w:right w:w="70" w:type="dxa"/>
          </w:tblCellMar>
          <w:tblLook w:val="04A0"/>
        </w:tblPrEx>
        <w:trPr>
          <w:trHeight w:val="270"/>
          <w:jc w:val="center"/>
        </w:trPr>
        <w:tc>
          <w:tcPr>
            <w:tcW w:w="116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rPr>
                <w:rFonts w:ascii="Times New Roman" w:hAnsi="Times New Roman" w:cs="Times New Roman"/>
                <w:sz w:val="14"/>
                <w:szCs w:val="14"/>
                <w:lang w:eastAsia="sk-SK"/>
              </w:rPr>
            </w:pPr>
            <w:r w:rsidRPr="00591088">
              <w:rPr>
                <w:rFonts w:ascii="Times New Roman" w:hAnsi="Times New Roman" w:cs="Times New Roman"/>
                <w:sz w:val="14"/>
                <w:szCs w:val="14"/>
                <w:lang w:eastAsia="sk-SK"/>
              </w:rPr>
              <w:t>Výdavky verejnej správy</w:t>
            </w:r>
          </w:p>
        </w:tc>
        <w:tc>
          <w:tcPr>
            <w:tcW w:w="461"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center"/>
              <w:rPr>
                <w:rFonts w:ascii="Times New Roman" w:hAnsi="Times New Roman" w:cs="Times New Roman"/>
                <w:sz w:val="14"/>
                <w:szCs w:val="14"/>
                <w:lang w:eastAsia="sk-SK"/>
              </w:rPr>
            </w:pPr>
            <w:r w:rsidRPr="00591088">
              <w:rPr>
                <w:rFonts w:ascii="Times New Roman" w:hAnsi="Times New Roman" w:cs="Times New Roman"/>
                <w:sz w:val="14"/>
                <w:szCs w:val="14"/>
                <w:lang w:eastAsia="sk-SK"/>
              </w:rPr>
              <w:t>mil. eur</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26 347,6</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25 823,8</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27 148,4</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27</w:t>
            </w:r>
            <w:r>
              <w:rPr>
                <w:rFonts w:ascii="Times New Roman" w:hAnsi="Times New Roman" w:cs="Times New Roman"/>
                <w:sz w:val="14"/>
                <w:szCs w:val="14"/>
                <w:lang w:eastAsia="sk-SK"/>
              </w:rPr>
              <w:t> </w:t>
            </w:r>
            <w:r w:rsidRPr="00591088">
              <w:rPr>
                <w:rFonts w:ascii="Times New Roman" w:hAnsi="Times New Roman" w:cs="Times New Roman"/>
                <w:sz w:val="14"/>
                <w:szCs w:val="14"/>
                <w:lang w:eastAsia="sk-SK"/>
              </w:rPr>
              <w:t>3</w:t>
            </w:r>
            <w:r>
              <w:rPr>
                <w:rFonts w:ascii="Times New Roman" w:hAnsi="Times New Roman" w:cs="Times New Roman"/>
                <w:sz w:val="14"/>
                <w:szCs w:val="14"/>
                <w:lang w:eastAsia="sk-SK"/>
              </w:rPr>
              <w:t>63,9</w:t>
            </w:r>
          </w:p>
        </w:tc>
        <w:tc>
          <w:tcPr>
            <w:tcW w:w="485"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27 886,1</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27 641,4</w:t>
            </w:r>
          </w:p>
        </w:tc>
        <w:tc>
          <w:tcPr>
            <w:tcW w:w="492"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28 208,4</w:t>
            </w:r>
          </w:p>
        </w:tc>
      </w:tr>
      <w:tr>
        <w:tblPrEx>
          <w:tblW w:w="5000" w:type="pct"/>
          <w:jc w:val="center"/>
          <w:tblCellMar>
            <w:left w:w="70" w:type="dxa"/>
            <w:right w:w="70" w:type="dxa"/>
          </w:tblCellMar>
          <w:tblLook w:val="04A0"/>
        </w:tblPrEx>
        <w:trPr>
          <w:trHeight w:val="270"/>
          <w:jc w:val="center"/>
        </w:trPr>
        <w:tc>
          <w:tcPr>
            <w:tcW w:w="116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Výdavky verejnej správy </w:t>
            </w:r>
          </w:p>
        </w:tc>
        <w:tc>
          <w:tcPr>
            <w:tcW w:w="46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center"/>
              <w:rPr>
                <w:rFonts w:ascii="Times New Roman" w:hAnsi="Times New Roman" w:cs="Times New Roman"/>
                <w:sz w:val="14"/>
                <w:szCs w:val="14"/>
                <w:lang w:eastAsia="sk-SK"/>
              </w:rPr>
            </w:pPr>
            <w:r w:rsidRPr="00591088">
              <w:rPr>
                <w:rFonts w:ascii="Times New Roman" w:hAnsi="Times New Roman" w:cs="Times New Roman"/>
                <w:sz w:val="14"/>
                <w:szCs w:val="14"/>
                <w:lang w:eastAsia="sk-SK"/>
              </w:rPr>
              <w:t>%</w:t>
            </w:r>
          </w:p>
        </w:tc>
        <w:tc>
          <w:tcPr>
            <w:tcW w:w="47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40,0</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37,4</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37,9</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38,</w:t>
            </w:r>
            <w:r>
              <w:rPr>
                <w:rFonts w:ascii="Times New Roman" w:hAnsi="Times New Roman" w:cs="Times New Roman"/>
                <w:sz w:val="14"/>
                <w:szCs w:val="14"/>
                <w:lang w:eastAsia="sk-SK"/>
              </w:rPr>
              <w:t>1</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37,5</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35,2</w:t>
            </w:r>
          </w:p>
        </w:tc>
        <w:tc>
          <w:tcPr>
            <w:tcW w:w="49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34,0</w:t>
            </w:r>
          </w:p>
        </w:tc>
      </w:tr>
      <w:tr>
        <w:tblPrEx>
          <w:tblW w:w="5000" w:type="pct"/>
          <w:jc w:val="center"/>
          <w:tblCellMar>
            <w:left w:w="70" w:type="dxa"/>
            <w:right w:w="70" w:type="dxa"/>
          </w:tblCellMar>
          <w:tblLook w:val="04A0"/>
        </w:tblPrEx>
        <w:trPr>
          <w:trHeight w:val="270"/>
          <w:jc w:val="center"/>
        </w:trPr>
        <w:tc>
          <w:tcPr>
            <w:tcW w:w="1163"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rPr>
                <w:rFonts w:ascii="Times New Roman" w:hAnsi="Times New Roman" w:cs="Times New Roman"/>
                <w:sz w:val="14"/>
                <w:szCs w:val="14"/>
                <w:lang w:eastAsia="sk-SK"/>
              </w:rPr>
            </w:pPr>
            <w:r w:rsidRPr="00591088">
              <w:rPr>
                <w:rFonts w:ascii="Times New Roman" w:hAnsi="Times New Roman" w:cs="Times New Roman"/>
                <w:sz w:val="14"/>
                <w:szCs w:val="14"/>
                <w:lang w:eastAsia="sk-SK"/>
              </w:rPr>
              <w:t>Schodok verejnej správy</w:t>
            </w:r>
          </w:p>
        </w:tc>
        <w:tc>
          <w:tcPr>
            <w:tcW w:w="461"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center"/>
              <w:rPr>
                <w:rFonts w:ascii="Times New Roman" w:hAnsi="Times New Roman" w:cs="Times New Roman"/>
                <w:sz w:val="14"/>
                <w:szCs w:val="14"/>
                <w:lang w:eastAsia="sk-SK"/>
              </w:rPr>
            </w:pPr>
            <w:r w:rsidRPr="00591088">
              <w:rPr>
                <w:rFonts w:ascii="Times New Roman" w:hAnsi="Times New Roman" w:cs="Times New Roman"/>
                <w:sz w:val="14"/>
                <w:szCs w:val="14"/>
                <w:lang w:eastAsia="sk-SK"/>
              </w:rPr>
              <w:t>mil. eur</w:t>
            </w:r>
          </w:p>
        </w:tc>
        <w:tc>
          <w:tcPr>
            <w:tcW w:w="479"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-5  053,8</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-3 326,6</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-3 323,7</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-3 828,7</w:t>
            </w:r>
          </w:p>
        </w:tc>
        <w:tc>
          <w:tcPr>
            <w:tcW w:w="485"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-2 186,5</w:t>
            </w:r>
          </w:p>
        </w:tc>
        <w:tc>
          <w:tcPr>
            <w:tcW w:w="480"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-1 913,5</w:t>
            </w:r>
          </w:p>
        </w:tc>
        <w:tc>
          <w:tcPr>
            <w:tcW w:w="492" w:type="pct"/>
            <w:tcBorders>
              <w:top w:val="single" w:sz="4" w:space="0" w:color="auto"/>
              <w:left w:val="single" w:sz="4" w:space="0" w:color="auto"/>
              <w:bottom w:val="single" w:sz="4" w:space="0" w:color="auto"/>
              <w:right w:val="single" w:sz="4" w:space="0" w:color="auto"/>
            </w:tcBorders>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-1 608,3</w:t>
            </w:r>
          </w:p>
        </w:tc>
      </w:tr>
      <w:tr>
        <w:tblPrEx>
          <w:tblW w:w="5000" w:type="pct"/>
          <w:jc w:val="center"/>
          <w:tblCellMar>
            <w:left w:w="70" w:type="dxa"/>
            <w:right w:w="70" w:type="dxa"/>
          </w:tblCellMar>
          <w:tblLook w:val="04A0"/>
        </w:tblPrEx>
        <w:trPr>
          <w:trHeight w:val="270"/>
          <w:jc w:val="center"/>
        </w:trPr>
        <w:tc>
          <w:tcPr>
            <w:tcW w:w="116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rPr>
                <w:rFonts w:ascii="Times New Roman" w:hAnsi="Times New Roman" w:cs="Times New Roman"/>
                <w:sz w:val="14"/>
                <w:szCs w:val="14"/>
                <w:lang w:eastAsia="sk-SK"/>
              </w:rPr>
            </w:pPr>
            <w:r w:rsidRPr="00591088">
              <w:rPr>
                <w:rFonts w:ascii="Times New Roman" w:hAnsi="Times New Roman" w:cs="Times New Roman"/>
                <w:sz w:val="14"/>
                <w:szCs w:val="14"/>
                <w:lang w:eastAsia="sk-SK"/>
              </w:rPr>
              <w:t xml:space="preserve">Schodok verejnej správy </w:t>
            </w:r>
          </w:p>
        </w:tc>
        <w:tc>
          <w:tcPr>
            <w:tcW w:w="46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center"/>
              <w:rPr>
                <w:rFonts w:ascii="Times New Roman" w:hAnsi="Times New Roman" w:cs="Times New Roman"/>
                <w:sz w:val="14"/>
                <w:szCs w:val="14"/>
                <w:lang w:eastAsia="sk-SK"/>
              </w:rPr>
            </w:pPr>
            <w:r w:rsidRPr="00591088">
              <w:rPr>
                <w:rFonts w:ascii="Times New Roman" w:hAnsi="Times New Roman" w:cs="Times New Roman"/>
                <w:sz w:val="14"/>
                <w:szCs w:val="14"/>
                <w:lang w:eastAsia="sk-SK"/>
              </w:rPr>
              <w:t>%</w:t>
            </w:r>
          </w:p>
        </w:tc>
        <w:tc>
          <w:tcPr>
            <w:tcW w:w="47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-7,7</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-4,8</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-4,6</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7261A" w:rsidRPr="00591088" w:rsidP="00B97CD7">
            <w:pPr>
              <w:bidi w:val="0"/>
              <w:jc w:val="right"/>
              <w:rPr>
                <w:rFonts w:ascii="Times New Roman" w:hAnsi="Times New Roman" w:cs="Times New Roman"/>
                <w:sz w:val="14"/>
                <w:szCs w:val="14"/>
                <w:lang w:eastAsia="sk-SK"/>
              </w:rPr>
            </w:pPr>
            <w:r w:rsidRPr="00591088">
              <w:rPr>
                <w:rFonts w:ascii="Times New Roman" w:hAnsi="Times New Roman" w:cs="Times New Roman"/>
                <w:sz w:val="14"/>
                <w:szCs w:val="14"/>
                <w:lang w:eastAsia="sk-SK"/>
              </w:rPr>
              <w:t>-5,3</w:t>
            </w:r>
          </w:p>
        </w:tc>
        <w:tc>
          <w:tcPr>
            <w:tcW w:w="48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-2,9</w:t>
            </w:r>
          </w:p>
        </w:tc>
        <w:tc>
          <w:tcPr>
            <w:tcW w:w="48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-2,4</w:t>
            </w:r>
          </w:p>
        </w:tc>
        <w:tc>
          <w:tcPr>
            <w:tcW w:w="49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7261A" w:rsidRPr="00591088" w:rsidP="00B97CD7">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-1,9</w:t>
            </w:r>
          </w:p>
        </w:tc>
      </w:tr>
    </w:tbl>
    <w:p w:rsidR="0057261A" w:rsidRPr="00F816B5" w:rsidP="0057261A">
      <w:pPr>
        <w:pStyle w:val="Zarkazkladnhotextu1"/>
        <w:bidi w:val="0"/>
        <w:spacing w:after="0"/>
        <w:ind w:left="0" w:firstLine="708"/>
        <w:jc w:val="both"/>
        <w:rPr>
          <w:rFonts w:ascii="Times New Roman" w:hAnsi="Times New Roman"/>
          <w:highlight w:val="cyan"/>
        </w:rPr>
      </w:pPr>
    </w:p>
    <w:p w:rsidR="0057261A" w:rsidRPr="001E668F" w:rsidP="0057261A">
      <w:pPr>
        <w:pStyle w:val="Zarkazkladnhotextu1"/>
        <w:bidi w:val="0"/>
        <w:spacing w:after="0"/>
        <w:ind w:left="0" w:firstLine="708"/>
        <w:jc w:val="both"/>
        <w:rPr>
          <w:rFonts w:ascii="Times New Roman" w:hAnsi="Times New Roman"/>
        </w:rPr>
      </w:pPr>
      <w:r w:rsidRPr="001E668F">
        <w:rPr>
          <w:rFonts w:ascii="Times New Roman" w:hAnsi="Times New Roman"/>
        </w:rPr>
        <w:t>Z vyššie uvedenej tabuľky je možné vidieť ozdravenie verejných financií v roku 2013. Verejné príjmy vzrastú v roku 2013 v porovnaní s tohtoročnou predpokladanou skutočnosťou o</w:t>
      </w:r>
      <w:r>
        <w:rPr>
          <w:rFonts w:ascii="Times New Roman" w:hAnsi="Times New Roman"/>
        </w:rPr>
        <w:t> 1,8</w:t>
      </w:r>
      <w:r w:rsidRPr="001E668F">
        <w:rPr>
          <w:rFonts w:ascii="Times New Roman" w:hAnsi="Times New Roman"/>
        </w:rPr>
        <w:t xml:space="preserve"> p. b. HDP. Naopak výdavky poklesnú o</w:t>
      </w:r>
      <w:r>
        <w:rPr>
          <w:rFonts w:ascii="Times New Roman" w:hAnsi="Times New Roman"/>
        </w:rPr>
        <w:t> 0,6</w:t>
      </w:r>
      <w:r w:rsidRPr="001E668F">
        <w:rPr>
          <w:rFonts w:ascii="Times New Roman" w:hAnsi="Times New Roman"/>
        </w:rPr>
        <w:t xml:space="preserve"> p. b. </w:t>
      </w:r>
    </w:p>
    <w:p w:rsidR="0057261A" w:rsidRPr="00162D53" w:rsidP="0057261A">
      <w:pPr>
        <w:pStyle w:val="Zarkazkladnhotextu1"/>
        <w:bidi w:val="0"/>
        <w:spacing w:after="0"/>
        <w:ind w:left="0" w:firstLine="708"/>
        <w:jc w:val="both"/>
        <w:rPr>
          <w:rFonts w:ascii="Times New Roman" w:hAnsi="Times New Roman"/>
          <w:highlight w:val="yellow"/>
        </w:rPr>
      </w:pPr>
    </w:p>
    <w:p w:rsidR="0057261A" w:rsidRPr="001E668F" w:rsidP="0057261A">
      <w:pPr>
        <w:pStyle w:val="Zarkazkladnhotextu1"/>
        <w:bidi w:val="0"/>
        <w:spacing w:after="0"/>
        <w:ind w:left="0" w:firstLine="708"/>
        <w:jc w:val="both"/>
        <w:rPr>
          <w:rFonts w:ascii="Times New Roman" w:hAnsi="Times New Roman"/>
        </w:rPr>
      </w:pPr>
      <w:r w:rsidRPr="001E668F">
        <w:rPr>
          <w:rFonts w:ascii="Times New Roman" w:hAnsi="Times New Roman"/>
        </w:rPr>
        <w:t>Tieto čísla sú ešte čiastočne skreslené čerpaním eurofondov, ktoré „navyšujú“ úroveň verejných príjmov aj výdavkov (podľa metodiky ESA 95 sú eurofondy, ktoré využijú verejné subjekty súčasťou verejných príjmov aj výdavkov). Ak by sme od eurofondov abstrahovali, príjmy verejných financií dosiahnu v roku 2013 úroveň 3</w:t>
      </w:r>
      <w:r>
        <w:rPr>
          <w:rFonts w:ascii="Times New Roman" w:hAnsi="Times New Roman"/>
        </w:rPr>
        <w:t>2,6</w:t>
      </w:r>
      <w:r w:rsidRPr="001E668F">
        <w:rPr>
          <w:rFonts w:ascii="Times New Roman" w:hAnsi="Times New Roman"/>
        </w:rPr>
        <w:t xml:space="preserve"> % HDP a oproti očakávanej skutočnosti roku 2012 </w:t>
      </w:r>
      <w:r>
        <w:rPr>
          <w:rFonts w:ascii="Times New Roman" w:hAnsi="Times New Roman"/>
        </w:rPr>
        <w:t xml:space="preserve">vzrastú </w:t>
      </w:r>
      <w:r w:rsidRPr="001E668F">
        <w:rPr>
          <w:rFonts w:ascii="Times New Roman" w:hAnsi="Times New Roman"/>
        </w:rPr>
        <w:t>o</w:t>
      </w:r>
      <w:r>
        <w:rPr>
          <w:rFonts w:ascii="Times New Roman" w:hAnsi="Times New Roman"/>
        </w:rPr>
        <w:t> 1,4</w:t>
      </w:r>
      <w:r w:rsidRPr="001E668F">
        <w:rPr>
          <w:rFonts w:ascii="Times New Roman" w:hAnsi="Times New Roman"/>
        </w:rPr>
        <w:t xml:space="preserve"> % HDP.  </w:t>
      </w:r>
    </w:p>
    <w:p w:rsidR="0057261A" w:rsidRPr="00162D53" w:rsidP="0057261A">
      <w:pPr>
        <w:pStyle w:val="Zarkazkladnhotextu1"/>
        <w:bidi w:val="0"/>
        <w:spacing w:after="0"/>
        <w:ind w:left="0" w:firstLine="708"/>
        <w:jc w:val="both"/>
        <w:rPr>
          <w:rFonts w:ascii="Times New Roman" w:hAnsi="Times New Roman"/>
          <w:highlight w:val="yellow"/>
        </w:rPr>
      </w:pPr>
    </w:p>
    <w:p w:rsidR="0057261A" w:rsidP="0057261A">
      <w:pPr>
        <w:pStyle w:val="Zarkazkladnhotextu1"/>
        <w:bidi w:val="0"/>
        <w:spacing w:after="0"/>
        <w:ind w:left="0" w:firstLine="708"/>
        <w:jc w:val="both"/>
        <w:rPr>
          <w:rFonts w:ascii="Times New Roman" w:hAnsi="Times New Roman"/>
        </w:rPr>
      </w:pPr>
      <w:r w:rsidRPr="0005143E">
        <w:rPr>
          <w:rFonts w:ascii="Times New Roman" w:hAnsi="Times New Roman"/>
        </w:rPr>
        <w:t>Výdavky verejných financií bez EÚ fondov v roku 2013 dosiahnu 35,</w:t>
      </w:r>
      <w:r>
        <w:rPr>
          <w:rFonts w:ascii="Times New Roman" w:hAnsi="Times New Roman"/>
        </w:rPr>
        <w:t>5</w:t>
      </w:r>
      <w:r w:rsidRPr="0005143E">
        <w:rPr>
          <w:rFonts w:ascii="Times New Roman" w:hAnsi="Times New Roman"/>
        </w:rPr>
        <w:t xml:space="preserve"> % HDP. V porovnaní s očakávanou skutočnosťou roku 2012 klesajú o 1,</w:t>
      </w:r>
      <w:r>
        <w:rPr>
          <w:rFonts w:ascii="Times New Roman" w:hAnsi="Times New Roman"/>
        </w:rPr>
        <w:t xml:space="preserve">0 </w:t>
      </w:r>
      <w:r w:rsidRPr="0005143E">
        <w:rPr>
          <w:rFonts w:ascii="Times New Roman" w:hAnsi="Times New Roman"/>
        </w:rPr>
        <w:t>%.</w:t>
      </w:r>
      <w:r w:rsidRPr="009917F3">
        <w:rPr>
          <w:rFonts w:ascii="Times New Roman" w:hAnsi="Times New Roman"/>
        </w:rPr>
        <w:t xml:space="preserve"> </w:t>
      </w:r>
    </w:p>
    <w:p w:rsidR="00BE01BB" w:rsidP="0057261A">
      <w:pPr>
        <w:pStyle w:val="Zarkazkladnhotextu1"/>
        <w:bidi w:val="0"/>
        <w:spacing w:after="0"/>
        <w:ind w:left="0" w:firstLine="708"/>
        <w:jc w:val="both"/>
        <w:rPr>
          <w:rFonts w:ascii="Times New Roman" w:hAnsi="Times New Roman"/>
        </w:rPr>
      </w:pPr>
    </w:p>
    <w:p w:rsidR="00BA1BF7" w:rsidP="0057261A">
      <w:pPr>
        <w:pStyle w:val="Zarkazkladnhotextu1"/>
        <w:bidi w:val="0"/>
        <w:spacing w:after="0"/>
        <w:ind w:left="0" w:firstLine="708"/>
        <w:jc w:val="both"/>
        <w:rPr>
          <w:rFonts w:ascii="Times New Roman" w:hAnsi="Times New Roman"/>
        </w:rPr>
      </w:pPr>
    </w:p>
    <w:p w:rsidR="00BA1BF7" w:rsidP="0057261A">
      <w:pPr>
        <w:pStyle w:val="Zarkazkladnhotextu1"/>
        <w:bidi w:val="0"/>
        <w:spacing w:after="0"/>
        <w:ind w:left="0" w:firstLine="708"/>
        <w:jc w:val="both"/>
        <w:rPr>
          <w:rFonts w:ascii="Times New Roman" w:hAnsi="Times New Roman"/>
        </w:rPr>
      </w:pPr>
    </w:p>
    <w:p w:rsidR="00BA1BF7" w:rsidP="0057261A">
      <w:pPr>
        <w:pStyle w:val="Zarkazkladnhotextu1"/>
        <w:bidi w:val="0"/>
        <w:spacing w:after="0"/>
        <w:ind w:left="0" w:firstLine="708"/>
        <w:jc w:val="both"/>
        <w:rPr>
          <w:rFonts w:ascii="Times New Roman" w:hAnsi="Times New Roman"/>
        </w:rPr>
      </w:pPr>
    </w:p>
    <w:p w:rsidR="00BA1BF7" w:rsidP="0057261A">
      <w:pPr>
        <w:pStyle w:val="Zarkazkladnhotextu1"/>
        <w:bidi w:val="0"/>
        <w:spacing w:after="0"/>
        <w:ind w:left="0" w:firstLine="708"/>
        <w:jc w:val="both"/>
        <w:rPr>
          <w:rFonts w:ascii="Times New Roman" w:hAnsi="Times New Roman"/>
        </w:rPr>
      </w:pPr>
    </w:p>
    <w:p w:rsidR="00BA1BF7" w:rsidP="0057261A">
      <w:pPr>
        <w:pStyle w:val="Zarkazkladnhotextu1"/>
        <w:bidi w:val="0"/>
        <w:spacing w:after="0"/>
        <w:ind w:left="0" w:firstLine="708"/>
        <w:jc w:val="both"/>
        <w:rPr>
          <w:rFonts w:ascii="Times New Roman" w:hAnsi="Times New Roman"/>
        </w:rPr>
      </w:pPr>
    </w:p>
    <w:p w:rsidR="00044D70" w:rsidRPr="00C96910" w:rsidP="00B66C34">
      <w:pPr>
        <w:pStyle w:val="Heading2"/>
        <w:bidi w:val="0"/>
        <w:spacing w:before="0" w:after="0"/>
        <w:rPr>
          <w:rFonts w:ascii="Times New Roman" w:hAnsi="Times New Roman"/>
          <w:i w:val="0"/>
          <w:iCs w:val="0"/>
          <w:sz w:val="24"/>
          <w:szCs w:val="24"/>
        </w:rPr>
      </w:pPr>
      <w:bookmarkStart w:id="24" w:name="_Toc273148229"/>
      <w:bookmarkStart w:id="25" w:name="_Toc337237747"/>
      <w:bookmarkStart w:id="26" w:name="_Toc206478402"/>
      <w:bookmarkStart w:id="27" w:name="_Toc211592393"/>
      <w:bookmarkEnd w:id="7"/>
      <w:bookmarkEnd w:id="8"/>
      <w:bookmarkEnd w:id="9"/>
      <w:bookmarkEnd w:id="10"/>
      <w:bookmarkEnd w:id="11"/>
      <w:bookmarkEnd w:id="12"/>
      <w:bookmarkEnd w:id="13"/>
      <w:bookmarkEnd w:id="14"/>
      <w:r w:rsidRPr="00C96910">
        <w:rPr>
          <w:rFonts w:ascii="Times New Roman" w:hAnsi="Times New Roman"/>
          <w:i w:val="0"/>
          <w:iCs w:val="0"/>
          <w:sz w:val="24"/>
          <w:szCs w:val="24"/>
        </w:rPr>
        <w:t>2.3. Dlh verejnej správy</w:t>
      </w:r>
      <w:bookmarkEnd w:id="24"/>
      <w:bookmarkEnd w:id="25"/>
      <w:r w:rsidRPr="00C96910">
        <w:rPr>
          <w:rFonts w:ascii="Times New Roman" w:hAnsi="Times New Roman"/>
          <w:i w:val="0"/>
          <w:iCs w:val="0"/>
          <w:sz w:val="24"/>
          <w:szCs w:val="24"/>
        </w:rPr>
        <w:t xml:space="preserve">       </w:t>
      </w:r>
    </w:p>
    <w:p w:rsidR="00151398" w:rsidRPr="00151398" w:rsidP="00C96910">
      <w:pPr>
        <w:bidi w:val="0"/>
        <w:jc w:val="both"/>
        <w:rPr>
          <w:rFonts w:ascii="Times New Roman" w:hAnsi="Times New Roman" w:cs="Times New Roman"/>
        </w:rPr>
      </w:pPr>
      <w:bookmarkEnd w:id="26"/>
      <w:bookmarkEnd w:id="27"/>
      <w:r>
        <w:rPr>
          <w:rFonts w:ascii="Times New Roman" w:hAnsi="Times New Roman" w:cs="Times New Roman"/>
          <w:szCs w:val="22"/>
        </w:rPr>
        <w:t xml:space="preserve"> </w:t>
      </w:r>
    </w:p>
    <w:p w:rsidR="00C96910" w:rsidP="00151398">
      <w:pPr>
        <w:bidi w:val="0"/>
        <w:ind w:firstLine="708"/>
        <w:jc w:val="both"/>
        <w:rPr>
          <w:rFonts w:ascii="Times New Roman" w:hAnsi="Times New Roman" w:cs="Times New Roman"/>
        </w:rPr>
      </w:pPr>
      <w:r w:rsidRPr="00151398">
        <w:rPr>
          <w:rFonts w:ascii="Times New Roman" w:hAnsi="Times New Roman" w:cs="Times New Roman"/>
        </w:rPr>
        <w:t>Hrubý dlh verejnej správy</w:t>
      </w:r>
      <w:r>
        <w:rPr>
          <w:rStyle w:val="FootnoteReference"/>
          <w:rFonts w:ascii="Times New Roman" w:hAnsi="Times New Roman"/>
          <w:rtl w:val="0"/>
        </w:rPr>
        <w:footnoteReference w:id="3"/>
      </w:r>
      <w:r w:rsidRPr="00151398">
        <w:rPr>
          <w:rFonts w:ascii="Times New Roman" w:hAnsi="Times New Roman" w:cs="Times New Roman"/>
        </w:rPr>
        <w:t xml:space="preserve"> dosiahol na konci roku 2011 úroveň 43,3 % HDP. Za predpokladu naplnenia rozpočtových cieľov do roku 2015 sa tempo nárastu dlhu spomalí. V roku 2015 by mal dlh verejnej správy dosiahnuť úroveň 56,0 % HDP. </w:t>
      </w:r>
    </w:p>
    <w:p w:rsidR="00C96910" w:rsidRPr="00151398" w:rsidP="00C96910">
      <w:pPr>
        <w:bidi w:val="0"/>
        <w:jc w:val="both"/>
        <w:rPr>
          <w:rFonts w:ascii="Times New Roman" w:hAnsi="Times New Roman" w:cs="Times New Roman"/>
        </w:rPr>
      </w:pPr>
    </w:p>
    <w:tbl>
      <w:tblPr>
        <w:tblStyle w:val="TableNormal"/>
        <w:tblW w:w="922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2"/>
        <w:gridCol w:w="886"/>
        <w:gridCol w:w="886"/>
        <w:gridCol w:w="887"/>
        <w:gridCol w:w="886"/>
        <w:gridCol w:w="886"/>
        <w:gridCol w:w="887"/>
      </w:tblGrid>
      <w:tr>
        <w:tblPrEx>
          <w:tblW w:w="922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5"/>
        </w:trPr>
        <w:tc>
          <w:tcPr>
            <w:tcW w:w="9220" w:type="dxa"/>
            <w:gridSpan w:val="7"/>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C96910" w:rsidRPr="00151398" w:rsidP="00F26615">
            <w:pPr>
              <w:bidi w:val="0"/>
              <w:rPr>
                <w:rFonts w:ascii="Times New Roman" w:hAnsi="Times New Roman" w:cs="Times New Roman"/>
                <w:b/>
                <w:bCs/>
                <w:color w:val="000000"/>
                <w:sz w:val="14"/>
                <w:szCs w:val="16"/>
                <w:lang w:eastAsia="en-US"/>
              </w:rPr>
            </w:pPr>
            <w:r w:rsidRPr="00151398">
              <w:rPr>
                <w:rFonts w:ascii="Times New Roman" w:hAnsi="Times New Roman" w:cs="Times New Roman"/>
                <w:b/>
                <w:bCs/>
                <w:color w:val="000000"/>
                <w:sz w:val="14"/>
                <w:szCs w:val="16"/>
                <w:lang w:eastAsia="en-US"/>
              </w:rPr>
              <w:t>Hrubý dlh verejnej správy (% HDP, stav k 31.12.)</w:t>
            </w:r>
          </w:p>
        </w:tc>
      </w:tr>
      <w:tr>
        <w:tblPrEx>
          <w:tblW w:w="9220" w:type="dxa"/>
          <w:tblInd w:w="98" w:type="dxa"/>
          <w:tblLook w:val="04A0"/>
        </w:tblPrEx>
        <w:trPr>
          <w:trHeight w:val="345"/>
        </w:trPr>
        <w:tc>
          <w:tcPr>
            <w:tcW w:w="390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top"/>
            <w:hideMark/>
          </w:tcPr>
          <w:p w:rsidR="00C96910" w:rsidRPr="00151398" w:rsidP="00F26615">
            <w:pPr>
              <w:bidi w:val="0"/>
              <w:jc w:val="center"/>
              <w:rPr>
                <w:rFonts w:ascii="Times New Roman" w:hAnsi="Times New Roman" w:cs="Times New Roman"/>
                <w:b/>
                <w:bCs/>
                <w:color w:val="000000"/>
                <w:sz w:val="14"/>
                <w:szCs w:val="16"/>
                <w:lang w:eastAsia="en-US"/>
              </w:rPr>
            </w:pPr>
            <w:r w:rsidRPr="00151398">
              <w:rPr>
                <w:rFonts w:ascii="Times New Roman" w:hAnsi="Times New Roman" w:cs="Times New Roman"/>
                <w:b/>
                <w:bCs/>
                <w:color w:val="000000"/>
                <w:sz w:val="14"/>
                <w:szCs w:val="16"/>
                <w:lang w:eastAsia="en-US"/>
              </w:rPr>
              <w:t> </w:t>
            </w:r>
          </w:p>
        </w:tc>
        <w:tc>
          <w:tcPr>
            <w:tcW w:w="8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96910" w:rsidRPr="00151398" w:rsidP="00F26615">
            <w:pPr>
              <w:bidi w:val="0"/>
              <w:jc w:val="center"/>
              <w:rPr>
                <w:rFonts w:ascii="Times New Roman" w:hAnsi="Times New Roman" w:cs="Times New Roman"/>
                <w:b/>
                <w:bCs/>
                <w:color w:val="000000"/>
                <w:sz w:val="14"/>
                <w:szCs w:val="16"/>
                <w:lang w:eastAsia="en-US"/>
              </w:rPr>
            </w:pPr>
            <w:r w:rsidRPr="00151398">
              <w:rPr>
                <w:rFonts w:ascii="Times New Roman" w:hAnsi="Times New Roman" w:cs="Times New Roman"/>
                <w:b/>
                <w:bCs/>
                <w:color w:val="000000"/>
                <w:sz w:val="14"/>
                <w:szCs w:val="16"/>
                <w:lang w:eastAsia="en-US"/>
              </w:rPr>
              <w:t>2010 S</w:t>
            </w:r>
          </w:p>
        </w:tc>
        <w:tc>
          <w:tcPr>
            <w:tcW w:w="88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6910" w:rsidRPr="00151398" w:rsidP="00F26615">
            <w:pPr>
              <w:bidi w:val="0"/>
              <w:jc w:val="center"/>
              <w:rPr>
                <w:rFonts w:ascii="Times New Roman" w:hAnsi="Times New Roman" w:cs="Times New Roman"/>
                <w:b/>
                <w:bCs/>
                <w:color w:val="000000"/>
                <w:sz w:val="14"/>
                <w:szCs w:val="16"/>
                <w:lang w:eastAsia="en-US"/>
              </w:rPr>
            </w:pPr>
            <w:r w:rsidRPr="00151398">
              <w:rPr>
                <w:rFonts w:ascii="Times New Roman" w:hAnsi="Times New Roman" w:cs="Times New Roman"/>
                <w:b/>
                <w:bCs/>
                <w:color w:val="000000"/>
                <w:sz w:val="14"/>
                <w:szCs w:val="16"/>
                <w:lang w:eastAsia="en-US"/>
              </w:rPr>
              <w:t>2011 S</w:t>
            </w:r>
          </w:p>
        </w:tc>
        <w:tc>
          <w:tcPr>
            <w:tcW w:w="88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6910" w:rsidRPr="00151398" w:rsidP="00F26615">
            <w:pPr>
              <w:bidi w:val="0"/>
              <w:jc w:val="center"/>
              <w:rPr>
                <w:rFonts w:ascii="Times New Roman" w:hAnsi="Times New Roman" w:cs="Times New Roman"/>
                <w:b/>
                <w:bCs/>
                <w:color w:val="000000"/>
                <w:sz w:val="14"/>
                <w:szCs w:val="16"/>
                <w:lang w:eastAsia="en-US"/>
              </w:rPr>
            </w:pPr>
            <w:r w:rsidRPr="00151398">
              <w:rPr>
                <w:rFonts w:ascii="Times New Roman" w:hAnsi="Times New Roman" w:cs="Times New Roman"/>
                <w:b/>
                <w:bCs/>
                <w:color w:val="000000"/>
                <w:sz w:val="14"/>
                <w:szCs w:val="16"/>
                <w:lang w:eastAsia="en-US"/>
              </w:rPr>
              <w:t>2012 OS</w:t>
            </w:r>
          </w:p>
        </w:tc>
        <w:tc>
          <w:tcPr>
            <w:tcW w:w="88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6910" w:rsidRPr="00151398" w:rsidP="00F26615">
            <w:pPr>
              <w:bidi w:val="0"/>
              <w:jc w:val="center"/>
              <w:rPr>
                <w:rFonts w:ascii="Times New Roman" w:hAnsi="Times New Roman" w:cs="Times New Roman"/>
                <w:b/>
                <w:bCs/>
                <w:color w:val="000000"/>
                <w:sz w:val="14"/>
                <w:szCs w:val="16"/>
                <w:lang w:eastAsia="en-US"/>
              </w:rPr>
            </w:pPr>
            <w:r w:rsidRPr="00151398">
              <w:rPr>
                <w:rFonts w:ascii="Times New Roman" w:hAnsi="Times New Roman" w:cs="Times New Roman"/>
                <w:b/>
                <w:bCs/>
                <w:color w:val="000000"/>
                <w:sz w:val="14"/>
                <w:szCs w:val="16"/>
                <w:lang w:eastAsia="en-US"/>
              </w:rPr>
              <w:t>2013 N</w:t>
            </w:r>
          </w:p>
        </w:tc>
        <w:tc>
          <w:tcPr>
            <w:tcW w:w="88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6910" w:rsidRPr="00151398" w:rsidP="00F26615">
            <w:pPr>
              <w:bidi w:val="0"/>
              <w:jc w:val="center"/>
              <w:rPr>
                <w:rFonts w:ascii="Times New Roman" w:hAnsi="Times New Roman" w:cs="Times New Roman"/>
                <w:b/>
                <w:bCs/>
                <w:color w:val="000000"/>
                <w:sz w:val="14"/>
                <w:szCs w:val="16"/>
                <w:lang w:eastAsia="en-US"/>
              </w:rPr>
            </w:pPr>
            <w:r w:rsidRPr="00151398">
              <w:rPr>
                <w:rFonts w:ascii="Times New Roman" w:hAnsi="Times New Roman" w:cs="Times New Roman"/>
                <w:b/>
                <w:bCs/>
                <w:color w:val="000000"/>
                <w:sz w:val="14"/>
                <w:szCs w:val="16"/>
                <w:lang w:eastAsia="en-US"/>
              </w:rPr>
              <w:t>2014 N</w:t>
            </w:r>
          </w:p>
        </w:tc>
        <w:tc>
          <w:tcPr>
            <w:tcW w:w="88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6910" w:rsidRPr="00151398" w:rsidP="00F26615">
            <w:pPr>
              <w:bidi w:val="0"/>
              <w:jc w:val="center"/>
              <w:rPr>
                <w:rFonts w:ascii="Times New Roman" w:hAnsi="Times New Roman" w:cs="Times New Roman"/>
                <w:b/>
                <w:bCs/>
                <w:color w:val="000000"/>
                <w:sz w:val="14"/>
                <w:szCs w:val="16"/>
                <w:lang w:eastAsia="en-US"/>
              </w:rPr>
            </w:pPr>
            <w:r w:rsidRPr="00151398">
              <w:rPr>
                <w:rFonts w:ascii="Times New Roman" w:hAnsi="Times New Roman" w:cs="Times New Roman"/>
                <w:b/>
                <w:bCs/>
                <w:color w:val="000000"/>
                <w:sz w:val="14"/>
                <w:szCs w:val="16"/>
                <w:lang w:eastAsia="en-US"/>
              </w:rPr>
              <w:t>2015 N</w:t>
            </w:r>
          </w:p>
        </w:tc>
      </w:tr>
      <w:tr>
        <w:tblPrEx>
          <w:tblW w:w="9220" w:type="dxa"/>
          <w:tblInd w:w="98" w:type="dxa"/>
          <w:tblLook w:val="04A0"/>
        </w:tblPrEx>
        <w:trPr>
          <w:trHeight w:val="345"/>
        </w:trPr>
        <w:tc>
          <w:tcPr>
            <w:tcW w:w="3902"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rPr>
                <w:rFonts w:ascii="Times New Roman" w:hAnsi="Times New Roman" w:cs="Times New Roman"/>
                <w:b/>
                <w:bCs/>
                <w:color w:val="000000"/>
                <w:sz w:val="14"/>
                <w:szCs w:val="16"/>
                <w:lang w:eastAsia="en-US"/>
              </w:rPr>
            </w:pPr>
            <w:r w:rsidRPr="00151398">
              <w:rPr>
                <w:rFonts w:ascii="Times New Roman" w:hAnsi="Times New Roman" w:cs="Times New Roman"/>
                <w:b/>
                <w:bCs/>
                <w:color w:val="000000"/>
                <w:sz w:val="14"/>
                <w:szCs w:val="16"/>
                <w:lang w:eastAsia="en-US"/>
              </w:rPr>
              <w:t>Hrubý dlh verejnej správy</w:t>
            </w:r>
          </w:p>
        </w:tc>
        <w:tc>
          <w:tcPr>
            <w:tcW w:w="886" w:type="dxa"/>
            <w:tcBorders>
              <w:top w:val="single" w:sz="4" w:space="0" w:color="auto"/>
              <w:left w:val="single" w:sz="4" w:space="0" w:color="auto"/>
              <w:bottom w:val="single" w:sz="4" w:space="0" w:color="auto"/>
              <w:right w:val="single" w:sz="4" w:space="0" w:color="auto"/>
            </w:tcBorders>
            <w:textDirection w:val="lrTb"/>
            <w:vAlign w:val="center"/>
            <w:hideMark/>
          </w:tcPr>
          <w:p w:rsidR="00C96910" w:rsidRPr="00151398" w:rsidP="00F26615">
            <w:pPr>
              <w:bidi w:val="0"/>
              <w:jc w:val="right"/>
              <w:rPr>
                <w:rFonts w:ascii="Times New Roman" w:hAnsi="Times New Roman" w:cs="Times New Roman"/>
                <w:b/>
                <w:bCs/>
                <w:color w:val="000000"/>
                <w:sz w:val="14"/>
                <w:szCs w:val="16"/>
                <w:lang w:eastAsia="en-US"/>
              </w:rPr>
            </w:pPr>
            <w:r w:rsidRPr="00151398">
              <w:rPr>
                <w:rFonts w:ascii="Times New Roman" w:hAnsi="Times New Roman" w:cs="Times New Roman"/>
                <w:b/>
                <w:bCs/>
                <w:color w:val="000000"/>
                <w:sz w:val="14"/>
                <w:szCs w:val="16"/>
                <w:lang w:eastAsia="en-US"/>
              </w:rPr>
              <w:t>41,0</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6"/>
              </w:rPr>
            </w:pPr>
            <w:r w:rsidRPr="00151398">
              <w:rPr>
                <w:rFonts w:ascii="Times New Roman" w:hAnsi="Times New Roman" w:cs="Times New Roman"/>
                <w:b/>
                <w:bCs/>
                <w:sz w:val="14"/>
                <w:szCs w:val="16"/>
              </w:rPr>
              <w:t>43,3</w:t>
            </w:r>
          </w:p>
        </w:tc>
        <w:tc>
          <w:tcPr>
            <w:tcW w:w="887"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6"/>
              </w:rPr>
            </w:pPr>
            <w:r w:rsidRPr="00151398">
              <w:rPr>
                <w:rFonts w:ascii="Times New Roman" w:hAnsi="Times New Roman" w:cs="Times New Roman"/>
                <w:b/>
                <w:bCs/>
                <w:sz w:val="14"/>
                <w:szCs w:val="16"/>
              </w:rPr>
              <w:t>52,2</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6"/>
              </w:rPr>
            </w:pPr>
            <w:r w:rsidRPr="00151398">
              <w:rPr>
                <w:rFonts w:ascii="Times New Roman" w:hAnsi="Times New Roman" w:cs="Times New Roman"/>
                <w:b/>
                <w:bCs/>
                <w:sz w:val="14"/>
                <w:szCs w:val="16"/>
              </w:rPr>
              <w:t>54,9</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6"/>
              </w:rPr>
            </w:pPr>
            <w:r w:rsidRPr="00151398">
              <w:rPr>
                <w:rFonts w:ascii="Times New Roman" w:hAnsi="Times New Roman" w:cs="Times New Roman"/>
                <w:b/>
                <w:bCs/>
                <w:sz w:val="14"/>
                <w:szCs w:val="16"/>
              </w:rPr>
              <w:t>55,8</w:t>
            </w:r>
          </w:p>
        </w:tc>
        <w:tc>
          <w:tcPr>
            <w:tcW w:w="887"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6"/>
              </w:rPr>
            </w:pPr>
            <w:r w:rsidRPr="00151398">
              <w:rPr>
                <w:rFonts w:ascii="Times New Roman" w:hAnsi="Times New Roman" w:cs="Times New Roman"/>
                <w:b/>
                <w:bCs/>
                <w:sz w:val="14"/>
                <w:szCs w:val="16"/>
              </w:rPr>
              <w:t>56,0</w:t>
            </w:r>
          </w:p>
        </w:tc>
      </w:tr>
      <w:tr>
        <w:tblPrEx>
          <w:tblW w:w="9220" w:type="dxa"/>
          <w:tblInd w:w="98" w:type="dxa"/>
          <w:tblLook w:val="04A0"/>
        </w:tblPrEx>
        <w:trPr>
          <w:trHeight w:val="345"/>
        </w:trPr>
        <w:tc>
          <w:tcPr>
            <w:tcW w:w="3902"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 xml:space="preserve">  - štátny dlh (bez vplyvu vkladu do ESM)</w:t>
            </w:r>
          </w:p>
        </w:tc>
        <w:tc>
          <w:tcPr>
            <w:tcW w:w="886" w:type="dxa"/>
            <w:tcBorders>
              <w:top w:val="single" w:sz="4" w:space="0" w:color="auto"/>
              <w:left w:val="single" w:sz="4" w:space="0" w:color="auto"/>
              <w:bottom w:val="single" w:sz="4" w:space="0" w:color="auto"/>
              <w:right w:val="single" w:sz="4" w:space="0" w:color="auto"/>
            </w:tcBorders>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39,2</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6"/>
              </w:rPr>
            </w:pPr>
            <w:r w:rsidRPr="00151398">
              <w:rPr>
                <w:rFonts w:ascii="Times New Roman" w:hAnsi="Times New Roman" w:cs="Times New Roman"/>
                <w:sz w:val="14"/>
                <w:szCs w:val="16"/>
              </w:rPr>
              <w:t>41,4</w:t>
            </w:r>
          </w:p>
        </w:tc>
        <w:tc>
          <w:tcPr>
            <w:tcW w:w="887"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6"/>
              </w:rPr>
            </w:pPr>
            <w:r w:rsidRPr="00151398">
              <w:rPr>
                <w:rFonts w:ascii="Times New Roman" w:hAnsi="Times New Roman" w:cs="Times New Roman"/>
                <w:sz w:val="14"/>
                <w:szCs w:val="16"/>
              </w:rPr>
              <w:t>48,4</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6"/>
              </w:rPr>
            </w:pPr>
            <w:r w:rsidRPr="00151398">
              <w:rPr>
                <w:rFonts w:ascii="Times New Roman" w:hAnsi="Times New Roman" w:cs="Times New Roman"/>
                <w:sz w:val="14"/>
                <w:szCs w:val="16"/>
              </w:rPr>
              <w:t>50,1</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6"/>
              </w:rPr>
            </w:pPr>
            <w:r w:rsidRPr="00151398">
              <w:rPr>
                <w:rFonts w:ascii="Times New Roman" w:hAnsi="Times New Roman" w:cs="Times New Roman"/>
                <w:sz w:val="14"/>
                <w:szCs w:val="16"/>
              </w:rPr>
              <w:t>50,9</w:t>
            </w:r>
          </w:p>
        </w:tc>
        <w:tc>
          <w:tcPr>
            <w:tcW w:w="887"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6"/>
              </w:rPr>
            </w:pPr>
            <w:r w:rsidRPr="00151398">
              <w:rPr>
                <w:rFonts w:ascii="Times New Roman" w:hAnsi="Times New Roman" w:cs="Times New Roman"/>
                <w:sz w:val="14"/>
                <w:szCs w:val="16"/>
              </w:rPr>
              <w:t>51,4</w:t>
            </w:r>
          </w:p>
        </w:tc>
      </w:tr>
      <w:tr>
        <w:tblPrEx>
          <w:tblW w:w="9220" w:type="dxa"/>
          <w:tblInd w:w="98" w:type="dxa"/>
          <w:tblLook w:val="04A0"/>
        </w:tblPrEx>
        <w:trPr>
          <w:trHeight w:val="345"/>
        </w:trPr>
        <w:tc>
          <w:tcPr>
            <w:tcW w:w="3902"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 xml:space="preserve">  - dlh ostatných zložiek verejnej správy</w:t>
            </w:r>
          </w:p>
        </w:tc>
        <w:tc>
          <w:tcPr>
            <w:tcW w:w="886" w:type="dxa"/>
            <w:tcBorders>
              <w:top w:val="single" w:sz="4" w:space="0" w:color="auto"/>
              <w:left w:val="single" w:sz="4" w:space="0" w:color="auto"/>
              <w:bottom w:val="single" w:sz="4" w:space="0" w:color="auto"/>
              <w:right w:val="single" w:sz="4" w:space="0" w:color="auto"/>
            </w:tcBorders>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1,8</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1,6</w:t>
            </w:r>
          </w:p>
        </w:tc>
        <w:tc>
          <w:tcPr>
            <w:tcW w:w="887"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1,7</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1,5</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1,5</w:t>
            </w:r>
          </w:p>
        </w:tc>
        <w:tc>
          <w:tcPr>
            <w:tcW w:w="887"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1,4</w:t>
            </w:r>
          </w:p>
        </w:tc>
      </w:tr>
      <w:tr>
        <w:tblPrEx>
          <w:tblW w:w="9220" w:type="dxa"/>
          <w:tblInd w:w="98" w:type="dxa"/>
          <w:tblLook w:val="04A0"/>
        </w:tblPrEx>
        <w:trPr>
          <w:trHeight w:val="345"/>
        </w:trPr>
        <w:tc>
          <w:tcPr>
            <w:tcW w:w="3902"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 xml:space="preserve">  - podiel SR na dlhu EFSF</w:t>
            </w:r>
          </w:p>
        </w:tc>
        <w:tc>
          <w:tcPr>
            <w:tcW w:w="886" w:type="dxa"/>
            <w:tcBorders>
              <w:top w:val="single" w:sz="4" w:space="0" w:color="auto"/>
              <w:left w:val="single" w:sz="4" w:space="0" w:color="auto"/>
              <w:bottom w:val="single" w:sz="4" w:space="0" w:color="auto"/>
              <w:right w:val="single" w:sz="4" w:space="0" w:color="auto"/>
            </w:tcBorders>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0,0</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0,2</w:t>
            </w:r>
          </w:p>
        </w:tc>
        <w:tc>
          <w:tcPr>
            <w:tcW w:w="887"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1,9</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2,5</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2,6</w:t>
            </w:r>
          </w:p>
        </w:tc>
        <w:tc>
          <w:tcPr>
            <w:tcW w:w="887"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2,4</w:t>
            </w:r>
          </w:p>
        </w:tc>
      </w:tr>
      <w:tr>
        <w:tblPrEx>
          <w:tblW w:w="9220" w:type="dxa"/>
          <w:tblInd w:w="98" w:type="dxa"/>
          <w:tblLook w:val="04A0"/>
        </w:tblPrEx>
        <w:trPr>
          <w:trHeight w:val="345"/>
        </w:trPr>
        <w:tc>
          <w:tcPr>
            <w:tcW w:w="3902"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 xml:space="preserve">  - vklad do ESM</w:t>
            </w:r>
          </w:p>
        </w:tc>
        <w:tc>
          <w:tcPr>
            <w:tcW w:w="886" w:type="dxa"/>
            <w:tcBorders>
              <w:top w:val="single" w:sz="4" w:space="0" w:color="auto"/>
              <w:left w:val="single" w:sz="4" w:space="0" w:color="auto"/>
              <w:bottom w:val="single" w:sz="4" w:space="0" w:color="auto"/>
              <w:right w:val="single" w:sz="4" w:space="0" w:color="auto"/>
            </w:tcBorders>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0,0</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0,0</w:t>
            </w:r>
          </w:p>
        </w:tc>
        <w:tc>
          <w:tcPr>
            <w:tcW w:w="887"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0,4</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0,7</w:t>
            </w:r>
          </w:p>
        </w:tc>
        <w:tc>
          <w:tcPr>
            <w:tcW w:w="886"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0,8</w:t>
            </w:r>
          </w:p>
        </w:tc>
        <w:tc>
          <w:tcPr>
            <w:tcW w:w="887"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6"/>
                <w:lang w:eastAsia="en-US"/>
              </w:rPr>
            </w:pPr>
            <w:r w:rsidRPr="00151398">
              <w:rPr>
                <w:rFonts w:ascii="Times New Roman" w:hAnsi="Times New Roman" w:cs="Times New Roman"/>
                <w:color w:val="000000"/>
                <w:sz w:val="14"/>
                <w:szCs w:val="16"/>
                <w:lang w:eastAsia="en-US"/>
              </w:rPr>
              <w:t>0,8</w:t>
            </w:r>
          </w:p>
        </w:tc>
      </w:tr>
    </w:tbl>
    <w:p w:rsidR="00C96910" w:rsidP="00151398">
      <w:pPr>
        <w:bidi w:val="0"/>
        <w:spacing w:before="240"/>
        <w:ind w:firstLine="708"/>
        <w:jc w:val="both"/>
        <w:rPr>
          <w:rFonts w:ascii="Times New Roman" w:hAnsi="Times New Roman" w:cs="Times New Roman"/>
          <w:szCs w:val="22"/>
        </w:rPr>
      </w:pPr>
      <w:r w:rsidRPr="00151398">
        <w:rPr>
          <w:rFonts w:ascii="Times New Roman" w:hAnsi="Times New Roman" w:cs="Times New Roman"/>
          <w:szCs w:val="22"/>
        </w:rPr>
        <w:t>Hlavným faktorom prispievajúcim k nárastu hrubého dlhu verejnej správy bude hotovostný</w:t>
      </w:r>
      <w:r w:rsidRPr="00151398">
        <w:rPr>
          <w:rFonts w:ascii="Times New Roman" w:hAnsi="Times New Roman" w:cs="Times New Roman"/>
          <w:b/>
          <w:szCs w:val="22"/>
        </w:rPr>
        <w:t xml:space="preserve"> schodok štátneho rozpočtu</w:t>
      </w:r>
      <w:r w:rsidRPr="00151398">
        <w:rPr>
          <w:rFonts w:ascii="Times New Roman" w:hAnsi="Times New Roman" w:cs="Times New Roman"/>
          <w:szCs w:val="22"/>
        </w:rPr>
        <w:t xml:space="preserve">. Odhaduje sa, že </w:t>
      </w:r>
      <w:r w:rsidRPr="00151398">
        <w:rPr>
          <w:rFonts w:ascii="Times New Roman" w:hAnsi="Times New Roman" w:cs="Times New Roman"/>
          <w:b/>
          <w:szCs w:val="22"/>
        </w:rPr>
        <w:t>aj samospráva bude v rokoch 2012 a 2014 zvyšovať dlh</w:t>
      </w:r>
      <w:r w:rsidRPr="00151398">
        <w:rPr>
          <w:rFonts w:ascii="Times New Roman" w:hAnsi="Times New Roman" w:cs="Times New Roman"/>
          <w:szCs w:val="22"/>
        </w:rPr>
        <w:t xml:space="preserve">, pretože výška prijatých úverov obcí a VÚC presiahne splátky istín. </w:t>
      </w:r>
    </w:p>
    <w:p w:rsidR="00591536" w:rsidRPr="00151398" w:rsidP="00591536">
      <w:pPr>
        <w:bidi w:val="0"/>
        <w:ind w:firstLine="709"/>
        <w:jc w:val="both"/>
        <w:rPr>
          <w:rFonts w:ascii="Times New Roman" w:hAnsi="Times New Roman" w:cs="Times New Roman"/>
          <w:szCs w:val="22"/>
        </w:rPr>
      </w:pPr>
    </w:p>
    <w:p w:rsidR="00C96910" w:rsidRPr="00151398" w:rsidP="00151398">
      <w:pPr>
        <w:bidi w:val="0"/>
        <w:ind w:firstLine="708"/>
        <w:jc w:val="both"/>
        <w:rPr>
          <w:rFonts w:ascii="Times New Roman" w:hAnsi="Times New Roman" w:cs="Times New Roman"/>
        </w:rPr>
      </w:pPr>
      <w:r w:rsidRPr="00151398">
        <w:rPr>
          <w:rFonts w:ascii="Times New Roman" w:hAnsi="Times New Roman" w:cs="Times New Roman"/>
        </w:rPr>
        <w:t xml:space="preserve">Prognóza hrubého dlhu verejnej správy berie do úvahy aj </w:t>
      </w:r>
      <w:r w:rsidRPr="00151398">
        <w:rPr>
          <w:rFonts w:ascii="Times New Roman" w:hAnsi="Times New Roman" w:cs="Times New Roman"/>
          <w:b/>
          <w:bCs/>
        </w:rPr>
        <w:t xml:space="preserve">systém Štátnej pokladnice. </w:t>
      </w:r>
      <w:r w:rsidRPr="00151398">
        <w:rPr>
          <w:rFonts w:ascii="Times New Roman" w:hAnsi="Times New Roman" w:cs="Times New Roman"/>
          <w:bCs/>
        </w:rPr>
        <w:t>Vývoj prostriedkov Štátnej pokladnice využitých pre financovanie potrieb štátu v roku 2012 je významne ovplyvnený predpokladaným zvýšením voľných zdrojov systému (ktoré sa ukladajú v komerčných bankách a nevyužívajú sa na financovanie dlhu), čo súvisí s využitím relatívne priaznivých podmienok na financovanie štátneho dlhu v priebehu roku 2012</w:t>
      </w:r>
      <w:r w:rsidRPr="00151398">
        <w:rPr>
          <w:rFonts w:ascii="Times New Roman" w:hAnsi="Times New Roman" w:cs="Times New Roman"/>
        </w:rPr>
        <w:t>. Tieto prostriedky umožnia znížiť potrebu emitovania dlhových nástrojov v ďalšom roku, t.</w:t>
      </w:r>
      <w:r w:rsidR="00B4057F">
        <w:rPr>
          <w:rFonts w:ascii="Times New Roman" w:hAnsi="Times New Roman" w:cs="Times New Roman"/>
        </w:rPr>
        <w:t xml:space="preserve"> </w:t>
      </w:r>
      <w:r w:rsidRPr="00151398">
        <w:rPr>
          <w:rFonts w:ascii="Times New Roman" w:hAnsi="Times New Roman" w:cs="Times New Roman"/>
        </w:rPr>
        <w:t>j. budú prispievať k poklesu dlhu v roku 2013.</w:t>
      </w:r>
    </w:p>
    <w:p w:rsidR="00C96910" w:rsidRPr="00151398" w:rsidP="00C96910">
      <w:pPr>
        <w:bidi w:val="0"/>
        <w:jc w:val="both"/>
        <w:rPr>
          <w:rFonts w:ascii="Times New Roman" w:hAnsi="Times New Roman" w:cs="Times New Roman"/>
          <w:highlight w:val="yellow"/>
        </w:rPr>
      </w:pPr>
    </w:p>
    <w:p w:rsidR="00C96910" w:rsidP="00BA1BF7">
      <w:pPr>
        <w:bidi w:val="0"/>
        <w:ind w:firstLine="708"/>
        <w:jc w:val="both"/>
        <w:rPr>
          <w:rFonts w:ascii="Times New Roman" w:hAnsi="Times New Roman" w:cs="Times New Roman"/>
        </w:rPr>
      </w:pPr>
      <w:r w:rsidRPr="00151398">
        <w:rPr>
          <w:rFonts w:ascii="Times New Roman" w:hAnsi="Times New Roman" w:cs="Times New Roman"/>
        </w:rPr>
        <w:t xml:space="preserve">Ďalším negatívnym faktorom, ktorý prispeje k zvýšeniu dlhu je </w:t>
      </w:r>
      <w:r w:rsidRPr="00151398">
        <w:rPr>
          <w:rFonts w:ascii="Times New Roman" w:hAnsi="Times New Roman" w:cs="Times New Roman"/>
          <w:b/>
          <w:bCs/>
        </w:rPr>
        <w:t>diskont pri emisii štátnych dlhopisov</w:t>
      </w:r>
      <w:r w:rsidRPr="00151398">
        <w:rPr>
          <w:rFonts w:ascii="Times New Roman" w:hAnsi="Times New Roman" w:cs="Times New Roman"/>
        </w:rPr>
        <w:t xml:space="preserve"> a štátnych pokladničných poukážok. Keďže v okamihu emisie dlhopisov narastú záväzky štátu o nominálnu hodnotu dlhopisov, avšak štát získava v hotovosti nižšiu sumu (zníženú práve o diskont), potom emisný diskont je faktorom, ktorý prispieva k nárastu dlhu. V čase splatnosti dlhopisov je výška </w:t>
      </w:r>
      <w:r w:rsidRPr="00151398">
        <w:rPr>
          <w:rFonts w:ascii="Times New Roman" w:hAnsi="Times New Roman" w:cs="Times New Roman"/>
          <w:bCs/>
        </w:rPr>
        <w:t>plateného diskontu</w:t>
      </w:r>
      <w:r w:rsidRPr="00151398">
        <w:rPr>
          <w:rFonts w:ascii="Times New Roman" w:hAnsi="Times New Roman" w:cs="Times New Roman"/>
        </w:rPr>
        <w:t xml:space="preserve"> súčasťou hotovostných výdavkov štátneho rozpočtu, avšak táto suma neprispieva k nárastu dlhu. Spôsob výpočtu predpokladá, že </w:t>
      </w:r>
      <w:r w:rsidRPr="00151398">
        <w:rPr>
          <w:rFonts w:ascii="Times New Roman" w:hAnsi="Times New Roman" w:cs="Times New Roman"/>
          <w:b/>
        </w:rPr>
        <w:t>ak hotovostný deficit štátneho rozpočtu v plnej výške zvyšuje štátny dlh, potom diskont pri splatení štátnych dlhopisov má pozitívny vplyv na dlh.</w:t>
      </w:r>
      <w:r w:rsidRPr="00151398">
        <w:rPr>
          <w:rFonts w:ascii="Times New Roman" w:hAnsi="Times New Roman" w:cs="Times New Roman"/>
        </w:rPr>
        <w:t xml:space="preserve"> Dôvodom je skutočnosť, že k nárastu dlhu dochádza už pri emisii dlhopisov, a to v nominálnej hodnote dlhopisu a nie pri ich splatení.</w:t>
      </w:r>
    </w:p>
    <w:p w:rsidR="00BA1BF7" w:rsidP="00BA1BF7">
      <w:pPr>
        <w:bidi w:val="0"/>
        <w:ind w:firstLine="708"/>
        <w:jc w:val="both"/>
        <w:rPr>
          <w:rFonts w:ascii="Times New Roman" w:hAnsi="Times New Roman" w:cs="Times New Roman"/>
        </w:rPr>
      </w:pPr>
    </w:p>
    <w:p w:rsidR="00BA1BF7" w:rsidP="00BA1BF7">
      <w:pPr>
        <w:bidi w:val="0"/>
        <w:ind w:firstLine="708"/>
        <w:jc w:val="both"/>
        <w:rPr>
          <w:rFonts w:ascii="Times New Roman" w:hAnsi="Times New Roman" w:cs="Times New Roman"/>
        </w:rPr>
      </w:pPr>
    </w:p>
    <w:p w:rsidR="00BA1BF7" w:rsidP="00BA1BF7">
      <w:pPr>
        <w:bidi w:val="0"/>
        <w:ind w:firstLine="708"/>
        <w:jc w:val="both"/>
        <w:rPr>
          <w:rFonts w:ascii="Times New Roman" w:hAnsi="Times New Roman" w:cs="Times New Roman"/>
        </w:rPr>
      </w:pPr>
    </w:p>
    <w:p w:rsidR="00BA1BF7" w:rsidP="00BA1BF7">
      <w:pPr>
        <w:bidi w:val="0"/>
        <w:ind w:firstLine="708"/>
        <w:jc w:val="both"/>
        <w:rPr>
          <w:rFonts w:ascii="Times New Roman" w:hAnsi="Times New Roman" w:cs="Times New Roman"/>
        </w:rPr>
      </w:pPr>
    </w:p>
    <w:p w:rsidR="00BA1BF7" w:rsidP="00BA1BF7">
      <w:pPr>
        <w:bidi w:val="0"/>
        <w:ind w:firstLine="708"/>
        <w:jc w:val="both"/>
        <w:rPr>
          <w:rFonts w:ascii="Times New Roman" w:hAnsi="Times New Roman" w:cs="Times New Roman"/>
        </w:rPr>
      </w:pPr>
    </w:p>
    <w:p w:rsidR="00BA1BF7" w:rsidP="00BA1BF7">
      <w:pPr>
        <w:bidi w:val="0"/>
        <w:ind w:firstLine="708"/>
        <w:jc w:val="both"/>
        <w:rPr>
          <w:rFonts w:ascii="Times New Roman" w:hAnsi="Times New Roman" w:cs="Times New Roman"/>
        </w:rPr>
      </w:pPr>
    </w:p>
    <w:p w:rsidR="00BA1BF7" w:rsidP="00BA1BF7">
      <w:pPr>
        <w:bidi w:val="0"/>
        <w:ind w:firstLine="708"/>
        <w:jc w:val="both"/>
        <w:rPr>
          <w:rFonts w:ascii="Times New Roman" w:hAnsi="Times New Roman" w:cs="Times New Roman"/>
        </w:rPr>
      </w:pPr>
    </w:p>
    <w:p w:rsidR="00BA1BF7" w:rsidRPr="00151398" w:rsidP="00BA1BF7">
      <w:pPr>
        <w:bidi w:val="0"/>
        <w:ind w:firstLine="708"/>
        <w:jc w:val="both"/>
        <w:rPr>
          <w:rFonts w:ascii="Times New Roman" w:hAnsi="Times New Roman" w:cs="Times New Roman"/>
        </w:rPr>
      </w:pPr>
    </w:p>
    <w:p w:rsidR="00C96910" w:rsidP="00151398">
      <w:pPr>
        <w:bidi w:val="0"/>
        <w:ind w:firstLine="708"/>
        <w:jc w:val="both"/>
        <w:rPr>
          <w:rFonts w:ascii="Times New Roman" w:hAnsi="Times New Roman" w:cs="Times New Roman"/>
        </w:rPr>
      </w:pPr>
      <w:r w:rsidRPr="00151398">
        <w:rPr>
          <w:rFonts w:ascii="Times New Roman" w:hAnsi="Times New Roman" w:cs="Times New Roman"/>
        </w:rPr>
        <w:t xml:space="preserve">Prognóza dlhu zahŕňa aj vplyv </w:t>
      </w:r>
      <w:r w:rsidRPr="00151398">
        <w:rPr>
          <w:rFonts w:ascii="Times New Roman" w:hAnsi="Times New Roman" w:cs="Times New Roman"/>
          <w:b/>
        </w:rPr>
        <w:t>podielu Slovenska na záväzkoch EFSF</w:t>
      </w:r>
      <w:r w:rsidRPr="00151398">
        <w:rPr>
          <w:rFonts w:ascii="Times New Roman" w:hAnsi="Times New Roman" w:cs="Times New Roman"/>
        </w:rPr>
        <w:t xml:space="preserve"> (Európsky nástroj finančnej stability). V prognóze sa uvažuje so záväzkami EFSF vznikajúcimi v súvislosti s poskytnutím finančnej pomoci Írsku, Portugalsku a Grécku. Neuvažuje sa tu s vplyvom reštrukturalizácie a rekapitalizácie španielskeho finančného sektora, keďže táto pomoc by mala byť poskytnutá</w:t>
      </w:r>
      <w:r w:rsidR="00BE01BB">
        <w:rPr>
          <w:rFonts w:ascii="Times New Roman" w:hAnsi="Times New Roman" w:cs="Times New Roman"/>
        </w:rPr>
        <w:t>,</w:t>
      </w:r>
      <w:r w:rsidRPr="00151398">
        <w:rPr>
          <w:rFonts w:ascii="Times New Roman" w:hAnsi="Times New Roman" w:cs="Times New Roman"/>
        </w:rPr>
        <w:t xml:space="preserve"> resp. presunutá na vznikajúci Európsky mechanizmus pre stabilitu (ESM)</w:t>
      </w:r>
      <w:r>
        <w:rPr>
          <w:rStyle w:val="FootnoteReference"/>
          <w:rFonts w:ascii="Times New Roman" w:hAnsi="Times New Roman"/>
          <w:rtl w:val="0"/>
        </w:rPr>
        <w:footnoteReference w:id="4"/>
      </w:r>
      <w:r w:rsidRPr="00151398">
        <w:rPr>
          <w:rFonts w:ascii="Times New Roman" w:hAnsi="Times New Roman" w:cs="Times New Roman"/>
        </w:rPr>
        <w:t>. Dôvodom je to, že záväzky ESM by, na rozdiel od EFSF, neboli priamo presmerované do dlhu verejnej správy členských krajín</w:t>
      </w:r>
      <w:r>
        <w:rPr>
          <w:rStyle w:val="FootnoteReference"/>
          <w:rFonts w:ascii="Times New Roman" w:hAnsi="Times New Roman"/>
          <w:rtl w:val="0"/>
        </w:rPr>
        <w:footnoteReference w:id="5"/>
      </w:r>
      <w:r w:rsidRPr="00151398">
        <w:rPr>
          <w:rFonts w:ascii="Times New Roman" w:hAnsi="Times New Roman" w:cs="Times New Roman"/>
        </w:rPr>
        <w:t>.</w:t>
      </w:r>
    </w:p>
    <w:p w:rsidR="00BA1BF7" w:rsidRPr="00151398" w:rsidP="00151398">
      <w:pPr>
        <w:bidi w:val="0"/>
        <w:ind w:firstLine="708"/>
        <w:jc w:val="both"/>
        <w:rPr>
          <w:rFonts w:ascii="Times New Roman" w:hAnsi="Times New Roman" w:cs="Times New Roman"/>
        </w:rPr>
      </w:pPr>
    </w:p>
    <w:p w:rsidR="00C96910" w:rsidRPr="00151398" w:rsidP="00151398">
      <w:pPr>
        <w:bidi w:val="0"/>
        <w:ind w:firstLine="708"/>
        <w:jc w:val="both"/>
        <w:rPr>
          <w:rFonts w:ascii="Times New Roman" w:hAnsi="Times New Roman" w:cs="Times New Roman"/>
        </w:rPr>
      </w:pPr>
      <w:r w:rsidRPr="00151398">
        <w:rPr>
          <w:rFonts w:ascii="Times New Roman" w:hAnsi="Times New Roman" w:cs="Times New Roman"/>
        </w:rPr>
        <w:t xml:space="preserve">Negatívny vplyv na výšku hrubého dlhu budú mať aj </w:t>
      </w:r>
      <w:r w:rsidRPr="00151398">
        <w:rPr>
          <w:rFonts w:ascii="Times New Roman" w:hAnsi="Times New Roman" w:cs="Times New Roman"/>
          <w:b/>
        </w:rPr>
        <w:t>vklady Slovenska do ESM</w:t>
      </w:r>
      <w:r w:rsidRPr="00151398">
        <w:rPr>
          <w:rFonts w:ascii="Times New Roman" w:hAnsi="Times New Roman" w:cs="Times New Roman"/>
        </w:rPr>
        <w:t xml:space="preserve">. Uvedené vklady znižujú disponibilné prostriedky Štátnej pokladnice využiteľné pre financovanie potrieb štátu, čím prispievajú k nárastu hrubého dlhu. </w:t>
      </w:r>
    </w:p>
    <w:p w:rsidR="00C96910" w:rsidRPr="00151398" w:rsidP="00C96910">
      <w:pPr>
        <w:bidi w:val="0"/>
        <w:jc w:val="both"/>
        <w:rPr>
          <w:rFonts w:ascii="Times New Roman" w:hAnsi="Times New Roman" w:cs="Times New Roman"/>
        </w:rPr>
      </w:pPr>
    </w:p>
    <w:p w:rsidR="00C96910" w:rsidP="00151398">
      <w:pPr>
        <w:bidi w:val="0"/>
        <w:ind w:firstLine="708"/>
        <w:jc w:val="both"/>
        <w:rPr>
          <w:rFonts w:ascii="Times New Roman" w:hAnsi="Times New Roman" w:cs="Times New Roman"/>
        </w:rPr>
      </w:pPr>
      <w:r w:rsidRPr="00151398">
        <w:rPr>
          <w:rFonts w:ascii="Times New Roman" w:hAnsi="Times New Roman" w:cs="Times New Roman"/>
        </w:rPr>
        <w:t>Prognóza uvažuje aj s </w:t>
      </w:r>
      <w:r w:rsidRPr="00151398">
        <w:rPr>
          <w:rFonts w:ascii="Times New Roman" w:hAnsi="Times New Roman" w:cs="Times New Roman"/>
          <w:b/>
        </w:rPr>
        <w:t>vplyvom kurzových rozdielov</w:t>
      </w:r>
      <w:r w:rsidRPr="00151398">
        <w:rPr>
          <w:rFonts w:ascii="Times New Roman" w:hAnsi="Times New Roman" w:cs="Times New Roman"/>
        </w:rPr>
        <w:t xml:space="preserve"> z časti dlhu denominovaného v zahraničnej mene, ktorý nie je zabezpečený voči kurzovým zmenám.  </w:t>
      </w:r>
    </w:p>
    <w:p w:rsidR="00C96910" w:rsidRPr="00151398" w:rsidP="00C96910">
      <w:pPr>
        <w:bidi w:val="0"/>
        <w:jc w:val="both"/>
        <w:rPr>
          <w:rFonts w:ascii="Times New Roman" w:hAnsi="Times New Roman" w:cs="Times New Roman"/>
        </w:rPr>
      </w:pPr>
    </w:p>
    <w:tbl>
      <w:tblPr>
        <w:tblStyle w:val="TableNormal"/>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0"/>
        <w:gridCol w:w="888"/>
        <w:gridCol w:w="888"/>
        <w:gridCol w:w="888"/>
        <w:gridCol w:w="888"/>
      </w:tblGrid>
      <w:tr>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2"/>
        </w:trPr>
        <w:tc>
          <w:tcPr>
            <w:tcW w:w="9072" w:type="dxa"/>
            <w:gridSpan w:val="5"/>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C96910" w:rsidRPr="00151398" w:rsidP="00151398">
            <w:pPr>
              <w:bidi w:val="0"/>
              <w:rPr>
                <w:rFonts w:ascii="Times New Roman" w:hAnsi="Times New Roman" w:cs="Times New Roman"/>
                <w:b/>
                <w:bCs/>
                <w:color w:val="000000"/>
                <w:sz w:val="14"/>
                <w:szCs w:val="14"/>
                <w:lang w:eastAsia="en-US"/>
              </w:rPr>
            </w:pPr>
            <w:r w:rsidRPr="00151398">
              <w:rPr>
                <w:rFonts w:ascii="Times New Roman" w:hAnsi="Times New Roman" w:cs="Times New Roman"/>
                <w:b/>
                <w:bCs/>
                <w:color w:val="000000"/>
                <w:sz w:val="14"/>
                <w:szCs w:val="14"/>
                <w:lang w:eastAsia="en-US"/>
              </w:rPr>
              <w:t>Príspevky k zmene hrubého dlhu verejnej správy (mil.</w:t>
            </w:r>
            <w:r w:rsidR="00151398">
              <w:rPr>
                <w:rFonts w:ascii="Times New Roman" w:hAnsi="Times New Roman" w:cs="Times New Roman"/>
                <w:b/>
                <w:bCs/>
                <w:color w:val="000000"/>
                <w:sz w:val="14"/>
                <w:szCs w:val="14"/>
                <w:lang w:eastAsia="en-US"/>
              </w:rPr>
              <w:t xml:space="preserve"> </w:t>
            </w:r>
            <w:r w:rsidRPr="00151398">
              <w:rPr>
                <w:rFonts w:ascii="Times New Roman" w:hAnsi="Times New Roman" w:cs="Times New Roman"/>
                <w:b/>
                <w:bCs/>
                <w:color w:val="000000"/>
                <w:sz w:val="14"/>
                <w:szCs w:val="14"/>
                <w:lang w:eastAsia="en-US"/>
              </w:rPr>
              <w:t>eur)</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6910" w:rsidRPr="00151398" w:rsidP="00F26615">
            <w:pPr>
              <w:bidi w:val="0"/>
              <w:jc w:val="center"/>
              <w:rPr>
                <w:rFonts w:ascii="Times New Roman" w:hAnsi="Times New Roman" w:cs="Times New Roman"/>
                <w:b/>
                <w:bCs/>
                <w:color w:val="000000"/>
                <w:sz w:val="14"/>
                <w:szCs w:val="14"/>
                <w:lang w:eastAsia="en-US"/>
              </w:rPr>
            </w:pPr>
            <w:r w:rsidRPr="00151398">
              <w:rPr>
                <w:rFonts w:ascii="Times New Roman" w:hAnsi="Times New Roman" w:cs="Times New Roman"/>
                <w:b/>
                <w:bCs/>
                <w:color w:val="000000"/>
                <w:sz w:val="14"/>
                <w:szCs w:val="14"/>
                <w:lang w:eastAsia="en-US"/>
              </w:rPr>
              <w:t> </w:t>
            </w:r>
          </w:p>
        </w:tc>
        <w:tc>
          <w:tcPr>
            <w:tcW w:w="88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6910" w:rsidRPr="00151398" w:rsidP="00F26615">
            <w:pPr>
              <w:bidi w:val="0"/>
              <w:jc w:val="center"/>
              <w:rPr>
                <w:rFonts w:ascii="Times New Roman" w:hAnsi="Times New Roman" w:cs="Times New Roman"/>
                <w:b/>
                <w:bCs/>
                <w:color w:val="000000"/>
                <w:sz w:val="14"/>
                <w:szCs w:val="14"/>
                <w:lang w:eastAsia="en-US"/>
              </w:rPr>
            </w:pPr>
            <w:r w:rsidRPr="00151398">
              <w:rPr>
                <w:rFonts w:ascii="Times New Roman" w:hAnsi="Times New Roman" w:cs="Times New Roman"/>
                <w:b/>
                <w:bCs/>
                <w:color w:val="000000"/>
                <w:sz w:val="14"/>
                <w:szCs w:val="14"/>
                <w:lang w:eastAsia="en-US"/>
              </w:rPr>
              <w:t>2012 OS</w:t>
            </w:r>
          </w:p>
        </w:tc>
        <w:tc>
          <w:tcPr>
            <w:tcW w:w="88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6910" w:rsidRPr="00151398" w:rsidP="00F26615">
            <w:pPr>
              <w:bidi w:val="0"/>
              <w:jc w:val="center"/>
              <w:rPr>
                <w:rFonts w:ascii="Times New Roman" w:hAnsi="Times New Roman" w:cs="Times New Roman"/>
                <w:b/>
                <w:bCs/>
                <w:color w:val="000000"/>
                <w:sz w:val="14"/>
                <w:szCs w:val="14"/>
                <w:lang w:eastAsia="en-US"/>
              </w:rPr>
            </w:pPr>
            <w:r w:rsidRPr="00151398">
              <w:rPr>
                <w:rFonts w:ascii="Times New Roman" w:hAnsi="Times New Roman" w:cs="Times New Roman"/>
                <w:b/>
                <w:bCs/>
                <w:color w:val="000000"/>
                <w:sz w:val="14"/>
                <w:szCs w:val="14"/>
                <w:lang w:eastAsia="en-US"/>
              </w:rPr>
              <w:t>2013 N</w:t>
            </w:r>
          </w:p>
        </w:tc>
        <w:tc>
          <w:tcPr>
            <w:tcW w:w="88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6910" w:rsidRPr="00151398" w:rsidP="00F26615">
            <w:pPr>
              <w:bidi w:val="0"/>
              <w:jc w:val="center"/>
              <w:rPr>
                <w:rFonts w:ascii="Times New Roman" w:hAnsi="Times New Roman" w:cs="Times New Roman"/>
                <w:b/>
                <w:bCs/>
                <w:color w:val="000000"/>
                <w:sz w:val="14"/>
                <w:szCs w:val="14"/>
                <w:lang w:eastAsia="en-US"/>
              </w:rPr>
            </w:pPr>
            <w:r w:rsidRPr="00151398">
              <w:rPr>
                <w:rFonts w:ascii="Times New Roman" w:hAnsi="Times New Roman" w:cs="Times New Roman"/>
                <w:b/>
                <w:bCs/>
                <w:color w:val="000000"/>
                <w:sz w:val="14"/>
                <w:szCs w:val="14"/>
                <w:lang w:eastAsia="en-US"/>
              </w:rPr>
              <w:t>2014 N</w:t>
            </w:r>
          </w:p>
        </w:tc>
        <w:tc>
          <w:tcPr>
            <w:tcW w:w="88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6910" w:rsidRPr="00151398" w:rsidP="00F26615">
            <w:pPr>
              <w:bidi w:val="0"/>
              <w:jc w:val="center"/>
              <w:rPr>
                <w:rFonts w:ascii="Times New Roman" w:hAnsi="Times New Roman" w:cs="Times New Roman"/>
                <w:b/>
                <w:bCs/>
                <w:color w:val="000000"/>
                <w:sz w:val="14"/>
                <w:szCs w:val="14"/>
                <w:lang w:eastAsia="en-US"/>
              </w:rPr>
            </w:pPr>
            <w:r w:rsidRPr="00151398">
              <w:rPr>
                <w:rFonts w:ascii="Times New Roman" w:hAnsi="Times New Roman" w:cs="Times New Roman"/>
                <w:b/>
                <w:bCs/>
                <w:color w:val="000000"/>
                <w:sz w:val="14"/>
                <w:szCs w:val="14"/>
                <w:lang w:eastAsia="en-US"/>
              </w:rPr>
              <w:t>2015 N</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rPr>
                <w:rFonts w:ascii="Times New Roman" w:hAnsi="Times New Roman" w:cs="Times New Roman"/>
                <w:b/>
                <w:bCs/>
                <w:color w:val="000000"/>
                <w:sz w:val="14"/>
                <w:szCs w:val="14"/>
                <w:lang w:eastAsia="en-US"/>
              </w:rPr>
            </w:pPr>
            <w:r w:rsidRPr="00151398">
              <w:rPr>
                <w:rFonts w:ascii="Times New Roman" w:hAnsi="Times New Roman" w:cs="Times New Roman"/>
                <w:b/>
                <w:bCs/>
                <w:color w:val="000000"/>
                <w:sz w:val="14"/>
                <w:szCs w:val="14"/>
                <w:lang w:eastAsia="en-US"/>
              </w:rPr>
              <w:t>Hrubý dlh verejnej správy (stav k 1.1.)</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29 911</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37 399</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40 794</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43 788</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rPr>
                <w:rFonts w:ascii="Times New Roman" w:hAnsi="Times New Roman" w:cs="Times New Roman"/>
                <w:b/>
                <w:bCs/>
                <w:color w:val="000000"/>
                <w:sz w:val="14"/>
                <w:szCs w:val="14"/>
                <w:lang w:eastAsia="en-US"/>
              </w:rPr>
            </w:pPr>
            <w:r w:rsidRPr="00151398">
              <w:rPr>
                <w:rFonts w:ascii="Times New Roman" w:hAnsi="Times New Roman" w:cs="Times New Roman"/>
                <w:b/>
                <w:bCs/>
                <w:color w:val="000000"/>
                <w:sz w:val="14"/>
                <w:szCs w:val="14"/>
                <w:lang w:eastAsia="en-US"/>
              </w:rPr>
              <w:t>Medziročná zmena hrubého dlhu VS</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7 489</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3 394</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2 995</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2 658</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151398">
            <w:pPr>
              <w:bidi w:val="0"/>
              <w:ind w:firstLine="140" w:firstLineChars="100"/>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 xml:space="preserve"> - deficit ŠR na hotovostnom princípe</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3 675</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3 059</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2 786</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2 615</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151398">
            <w:pPr>
              <w:bidi w:val="0"/>
              <w:ind w:firstLine="140" w:firstLineChars="100"/>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 xml:space="preserve"> - prevzaté záväzky nemocníc</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50</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0</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0</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0</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151398">
            <w:pPr>
              <w:bidi w:val="0"/>
              <w:ind w:firstLine="140" w:firstLineChars="100"/>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 xml:space="preserve"> - prostriedky Štátnej pokladnice využité pre financovanie potrieb štátu</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2 432</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-425</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-181</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93</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151398">
            <w:pPr>
              <w:bidi w:val="0"/>
              <w:ind w:firstLine="140" w:firstLineChars="100"/>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 xml:space="preserve"> - emisný diskont</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112</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109</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85</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78</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151398">
            <w:pPr>
              <w:bidi w:val="0"/>
              <w:ind w:firstLine="140" w:firstLineChars="100"/>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 xml:space="preserve"> - splatenie dlhopisov (diskont)</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-247</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-65</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-76</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-102</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151398">
            <w:pPr>
              <w:bidi w:val="0"/>
              <w:ind w:firstLine="140" w:firstLineChars="100"/>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 xml:space="preserve"> - saldo prijatých a splatených úverov (obce a VÚC)</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49</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-44</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60</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-24</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151398">
            <w:pPr>
              <w:bidi w:val="0"/>
              <w:ind w:firstLine="140" w:firstLineChars="100"/>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 xml:space="preserve"> - vklady Slovenska do ESM</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264</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264</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132</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0</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151398">
            <w:pPr>
              <w:bidi w:val="0"/>
              <w:ind w:firstLine="140" w:firstLineChars="100"/>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 xml:space="preserve"> - podiel SR na dlhu EFSF</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1 156</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502</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195</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sz w:val="14"/>
                <w:szCs w:val="14"/>
              </w:rPr>
            </w:pPr>
            <w:r w:rsidRPr="00151398">
              <w:rPr>
                <w:rFonts w:ascii="Times New Roman" w:hAnsi="Times New Roman" w:cs="Times New Roman"/>
                <w:sz w:val="14"/>
                <w:szCs w:val="14"/>
              </w:rPr>
              <w:t>0</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 xml:space="preserve">     - kurzové rozdiely</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-3</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-5</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-6</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color w:val="000000"/>
                <w:sz w:val="14"/>
                <w:szCs w:val="14"/>
                <w:lang w:eastAsia="en-US"/>
              </w:rPr>
            </w:pPr>
            <w:r w:rsidRPr="00151398">
              <w:rPr>
                <w:rFonts w:ascii="Times New Roman" w:hAnsi="Times New Roman" w:cs="Times New Roman"/>
                <w:color w:val="000000"/>
                <w:sz w:val="14"/>
                <w:szCs w:val="14"/>
                <w:lang w:eastAsia="en-US"/>
              </w:rPr>
              <w:t>-3</w:t>
            </w:r>
          </w:p>
        </w:tc>
      </w:tr>
      <w:tr>
        <w:tblPrEx>
          <w:tblW w:w="9072" w:type="dxa"/>
          <w:tblInd w:w="108" w:type="dxa"/>
          <w:tblLayout w:type="fixed"/>
          <w:tblLook w:val="04A0"/>
        </w:tblPrEx>
        <w:trPr>
          <w:trHeight w:val="312"/>
        </w:trPr>
        <w:tc>
          <w:tcPr>
            <w:tcW w:w="5520"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rPr>
                <w:rFonts w:ascii="Times New Roman" w:hAnsi="Times New Roman" w:cs="Times New Roman"/>
                <w:b/>
                <w:bCs/>
                <w:color w:val="000000"/>
                <w:sz w:val="14"/>
                <w:szCs w:val="14"/>
                <w:lang w:eastAsia="en-US"/>
              </w:rPr>
            </w:pPr>
            <w:r w:rsidRPr="00151398">
              <w:rPr>
                <w:rFonts w:ascii="Times New Roman" w:hAnsi="Times New Roman" w:cs="Times New Roman"/>
                <w:b/>
                <w:bCs/>
                <w:color w:val="000000"/>
                <w:sz w:val="14"/>
                <w:szCs w:val="14"/>
                <w:lang w:eastAsia="en-US"/>
              </w:rPr>
              <w:t>Hrubý dlh verejnej správy (stav k 31.12.)</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37 399</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40 794</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43 788</w:t>
            </w:r>
          </w:p>
        </w:tc>
        <w:tc>
          <w:tcPr>
            <w:tcW w:w="888" w:type="dxa"/>
            <w:tcBorders>
              <w:top w:val="single" w:sz="4" w:space="0" w:color="auto"/>
              <w:left w:val="single" w:sz="4" w:space="0" w:color="auto"/>
              <w:bottom w:val="single" w:sz="4" w:space="0" w:color="auto"/>
              <w:right w:val="single" w:sz="4" w:space="0" w:color="auto"/>
            </w:tcBorders>
            <w:noWrap/>
            <w:textDirection w:val="lrTb"/>
            <w:vAlign w:val="center"/>
            <w:hideMark/>
          </w:tcPr>
          <w:p w:rsidR="00C96910" w:rsidRPr="00151398" w:rsidP="00F26615">
            <w:pPr>
              <w:bidi w:val="0"/>
              <w:jc w:val="right"/>
              <w:rPr>
                <w:rFonts w:ascii="Times New Roman" w:hAnsi="Times New Roman" w:cs="Times New Roman"/>
                <w:b/>
                <w:bCs/>
                <w:sz w:val="14"/>
                <w:szCs w:val="14"/>
              </w:rPr>
            </w:pPr>
            <w:r w:rsidRPr="00151398">
              <w:rPr>
                <w:rFonts w:ascii="Times New Roman" w:hAnsi="Times New Roman" w:cs="Times New Roman"/>
                <w:b/>
                <w:bCs/>
                <w:sz w:val="14"/>
                <w:szCs w:val="14"/>
              </w:rPr>
              <w:t>46 446</w:t>
            </w:r>
          </w:p>
        </w:tc>
      </w:tr>
    </w:tbl>
    <w:p w:rsidR="00C96910" w:rsidRPr="00151398" w:rsidP="00C96910">
      <w:pPr>
        <w:tabs>
          <w:tab w:val="left" w:pos="4773"/>
        </w:tabs>
        <w:bidi w:val="0"/>
        <w:rPr>
          <w:rFonts w:ascii="Times New Roman" w:hAnsi="Times New Roman" w:cs="Times New Roman"/>
          <w:i/>
          <w:iCs/>
          <w:sz w:val="14"/>
          <w:szCs w:val="16"/>
        </w:rPr>
      </w:pPr>
      <w:r w:rsidRPr="00151398">
        <w:rPr>
          <w:rFonts w:ascii="Times New Roman" w:hAnsi="Times New Roman" w:cs="Times New Roman"/>
          <w:i/>
          <w:iCs/>
          <w:sz w:val="14"/>
          <w:szCs w:val="16"/>
        </w:rPr>
        <w:t>Pozn.: Plusové položky zvyšujú dlh verejnej správy  k 31.12. príslušného roku, mínusové položky dlh znižujú.</w:t>
      </w:r>
    </w:p>
    <w:p w:rsidR="00C96910" w:rsidP="00044D70">
      <w:pPr>
        <w:bidi w:val="0"/>
        <w:jc w:val="both"/>
        <w:rPr>
          <w:rFonts w:ascii="Arial Narrow" w:hAnsi="Arial Narrow" w:cs="Arial Narrow"/>
          <w:color w:val="0070C0"/>
          <w:sz w:val="22"/>
          <w:szCs w:val="22"/>
        </w:rPr>
      </w:pPr>
    </w:p>
    <w:p w:rsidR="00C30226" w:rsidRPr="00947A3E" w:rsidP="00044D70">
      <w:pPr>
        <w:bidi w:val="0"/>
        <w:jc w:val="both"/>
        <w:rPr>
          <w:rFonts w:ascii="Arial Narrow" w:hAnsi="Arial Narrow" w:cs="Arial Narrow"/>
          <w:color w:val="0070C0"/>
          <w:sz w:val="22"/>
          <w:szCs w:val="22"/>
        </w:rPr>
      </w:pPr>
    </w:p>
    <w:p w:rsidR="009C536E" w:rsidRPr="002C6FBF" w:rsidP="009C536E">
      <w:pPr>
        <w:pStyle w:val="Heading1"/>
        <w:bidi w:val="0"/>
        <w:spacing w:before="0"/>
        <w:rPr>
          <w:rFonts w:ascii="Times New Roman" w:hAnsi="Times New Roman"/>
          <w:sz w:val="28"/>
          <w:szCs w:val="28"/>
        </w:rPr>
      </w:pPr>
      <w:bookmarkStart w:id="28" w:name="_Toc337237748"/>
      <w:bookmarkEnd w:id="15"/>
      <w:r w:rsidRPr="002C6FBF" w:rsidR="00044D70">
        <w:rPr>
          <w:rFonts w:ascii="Times New Roman" w:hAnsi="Times New Roman"/>
          <w:sz w:val="28"/>
          <w:szCs w:val="28"/>
        </w:rPr>
        <w:t>3</w:t>
      </w:r>
      <w:r w:rsidRPr="002C6FBF">
        <w:rPr>
          <w:rFonts w:ascii="Times New Roman" w:hAnsi="Times New Roman"/>
          <w:sz w:val="28"/>
          <w:szCs w:val="28"/>
        </w:rPr>
        <w:t xml:space="preserve">. </w:t>
      </w:r>
      <w:bookmarkStart w:id="29" w:name="_Toc273148230"/>
      <w:bookmarkStart w:id="30" w:name="_Toc273950830"/>
      <w:r w:rsidRPr="002C6FBF">
        <w:rPr>
          <w:rFonts w:ascii="Times New Roman" w:hAnsi="Times New Roman"/>
          <w:sz w:val="28"/>
          <w:szCs w:val="28"/>
        </w:rPr>
        <w:t xml:space="preserve">Rozpočtovanie príjmov </w:t>
      </w:r>
      <w:bookmarkEnd w:id="29"/>
      <w:bookmarkEnd w:id="30"/>
      <w:r w:rsidRPr="002C6FBF">
        <w:rPr>
          <w:rFonts w:ascii="Times New Roman" w:hAnsi="Times New Roman"/>
          <w:sz w:val="28"/>
          <w:szCs w:val="28"/>
        </w:rPr>
        <w:t>verejnej správy</w:t>
      </w:r>
      <w:bookmarkEnd w:id="28"/>
    </w:p>
    <w:p w:rsidR="007044C8" w:rsidP="007044C8">
      <w:pPr>
        <w:pStyle w:val="Heading2"/>
        <w:bidi w:val="0"/>
        <w:rPr>
          <w:rFonts w:ascii="Times New Roman" w:hAnsi="Times New Roman"/>
          <w:i w:val="0"/>
          <w:iCs w:val="0"/>
          <w:sz w:val="24"/>
          <w:szCs w:val="24"/>
        </w:rPr>
      </w:pPr>
      <w:bookmarkStart w:id="31" w:name="_Toc337237749"/>
      <w:r w:rsidRPr="003F31E1">
        <w:rPr>
          <w:rFonts w:ascii="Times New Roman" w:hAnsi="Times New Roman"/>
          <w:i w:val="0"/>
          <w:iCs w:val="0"/>
          <w:sz w:val="24"/>
          <w:szCs w:val="24"/>
        </w:rPr>
        <w:t>3.1. Rozpočtovanie daňových a odvodových príjmov verejnej správy</w:t>
      </w:r>
      <w:bookmarkEnd w:id="31"/>
    </w:p>
    <w:p w:rsidR="00E52AA5" w:rsidRPr="00E52AA5" w:rsidP="00E52AA5">
      <w:pPr>
        <w:bidi w:val="0"/>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Makroekonomické predpoklady uvedené v predchádzajúcej časti sú základom pre vypracovanie aktuálnych prognóz daňových a odvodových príjmov verejnej správy na roky 2012 až 2015. Okrem vplyvu odhadu makroekonomického vývoja prognóza príjmov zohľadňuje aj skutočné výnosy daní za rok 2011 podľa metodiky ESA 95 (s výnimkou DPPO a DPFO z podnikania, ktoré sú stále odhadmi) a aktuálne hotovostné plnenie daní a poistného za január až august 2012).</w:t>
      </w:r>
    </w:p>
    <w:p w:rsidR="005F4319" w:rsidRPr="006759EA" w:rsidP="005F4319">
      <w:pPr>
        <w:bidi w:val="0"/>
        <w:ind w:firstLine="708"/>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Aktualizácia strednodobej prognózy daňových príjmov a príjmov z poistného, bez zahrnutia konsolidačných opatrení neschválených Národnou radou SR</w:t>
      </w:r>
      <w:r>
        <w:rPr>
          <w:rStyle w:val="FootnoteReference"/>
          <w:rFonts w:ascii="Times New Roman" w:hAnsi="Times New Roman"/>
          <w:bCs/>
          <w:rtl w:val="0"/>
        </w:rPr>
        <w:footnoteReference w:id="6"/>
      </w:r>
      <w:r w:rsidRPr="006759EA">
        <w:rPr>
          <w:rFonts w:ascii="Times New Roman" w:hAnsi="Times New Roman" w:cs="Times New Roman"/>
        </w:rPr>
        <w:t xml:space="preserve">, bola členmi Výboru pre daňové prognózy (ďalej len „Výbor“), ktorý sa konal dňa 19. septembra 2012 </w:t>
      </w:r>
      <w:r w:rsidRPr="006759EA">
        <w:rPr>
          <w:rFonts w:ascii="Times New Roman" w:hAnsi="Times New Roman" w:cs="Times New Roman"/>
          <w:b/>
        </w:rPr>
        <w:t xml:space="preserve">označená ako </w:t>
      </w:r>
      <w:r w:rsidRPr="006759EA">
        <w:rPr>
          <w:rFonts w:ascii="Times New Roman" w:hAnsi="Times New Roman" w:cs="Times New Roman"/>
          <w:b/>
          <w:bCs/>
        </w:rPr>
        <w:t>realistická</w:t>
      </w:r>
      <w:r w:rsidRPr="006759EA">
        <w:rPr>
          <w:rFonts w:ascii="Times New Roman" w:hAnsi="Times New Roman" w:cs="Times New Roman"/>
        </w:rPr>
        <w:t>.</w:t>
      </w:r>
    </w:p>
    <w:p w:rsidR="005F4319" w:rsidRPr="006759EA" w:rsidP="005F4319">
      <w:pPr>
        <w:bidi w:val="0"/>
        <w:ind w:firstLine="708"/>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V prognóze príjmov pre r</w:t>
      </w:r>
      <w:r>
        <w:rPr>
          <w:rFonts w:ascii="Times New Roman" w:hAnsi="Times New Roman" w:cs="Times New Roman"/>
        </w:rPr>
        <w:t xml:space="preserve">ozpočet verejnej správy na roky 2013 až </w:t>
      </w:r>
      <w:r w:rsidRPr="006759EA">
        <w:rPr>
          <w:rFonts w:ascii="Times New Roman" w:hAnsi="Times New Roman" w:cs="Times New Roman"/>
        </w:rPr>
        <w:t xml:space="preserve">2015 sú okrem uvedenej prognózy Výboru zahrnuté navyše aj tie vládou schválené konsolidačné opatrenia, ktoré v čase ukončenia prípravy rozpočtu neboli schválené Národnou radou SR. Tieto opatrenia majú konkrétnu legislatívnu podobu a s vysokou pravdepodobnosťou budú schválené. </w:t>
      </w:r>
    </w:p>
    <w:p w:rsidR="005F4319" w:rsidRPr="006759EA" w:rsidP="005F4319">
      <w:pPr>
        <w:bidi w:val="0"/>
        <w:ind w:firstLine="720"/>
        <w:jc w:val="both"/>
        <w:rPr>
          <w:rFonts w:ascii="Times New Roman" w:hAnsi="Times New Roman" w:cs="Times New Roman"/>
        </w:rPr>
      </w:pPr>
    </w:p>
    <w:p w:rsidR="005F4319" w:rsidRPr="006759EA" w:rsidP="005F4319">
      <w:pPr>
        <w:bidi w:val="0"/>
        <w:rPr>
          <w:rFonts w:ascii="Times New Roman" w:hAnsi="Times New Roman" w:cs="Times New Roman"/>
          <w:b/>
          <w:bCs/>
        </w:rPr>
      </w:pPr>
      <w:r w:rsidRPr="006759EA">
        <w:rPr>
          <w:rFonts w:ascii="Times New Roman" w:hAnsi="Times New Roman" w:cs="Times New Roman"/>
          <w:b/>
          <w:bCs/>
        </w:rPr>
        <w:t>Prehľad legislatívnych zmien</w:t>
      </w:r>
    </w:p>
    <w:p w:rsidR="005F4319" w:rsidRPr="006759EA" w:rsidP="005F4319">
      <w:pPr>
        <w:bidi w:val="0"/>
        <w:ind w:firstLine="720"/>
        <w:jc w:val="both"/>
        <w:rPr>
          <w:rFonts w:ascii="Times New Roman" w:hAnsi="Times New Roman" w:cs="Times New Roman"/>
        </w:rPr>
      </w:pPr>
    </w:p>
    <w:p w:rsidR="005F4319" w:rsidRPr="006759EA" w:rsidP="005F4319">
      <w:pPr>
        <w:bidi w:val="0"/>
        <w:ind w:firstLine="720"/>
        <w:jc w:val="both"/>
        <w:rPr>
          <w:rFonts w:ascii="Times New Roman" w:hAnsi="Times New Roman" w:cs="Times New Roman"/>
        </w:rPr>
      </w:pPr>
      <w:r w:rsidRPr="006759EA">
        <w:rPr>
          <w:rFonts w:ascii="Times New Roman" w:hAnsi="Times New Roman" w:cs="Times New Roman"/>
        </w:rPr>
        <w:t xml:space="preserve">V porovnaní so schváleným rozpočtom verejnej správy na roky 2012 až 2014 sa výrazne menia legislatívne predpoklady pri takmer všetkých daňových a odvodových príjmoch s výnimkou dane z pridanej hodnoty a väčšiny spotrebných daní. Prehľad legislatívnych zmien je možné rozdeliť do troch skupín, prvou sú zmeny nesúvisiace s konsolidačnými opatreniami vlády, druhú časť tvoria konsolidačné opatrenia schválené </w:t>
      </w:r>
      <w:r w:rsidR="00070AEC">
        <w:rPr>
          <w:rFonts w:ascii="Times New Roman" w:hAnsi="Times New Roman" w:cs="Times New Roman"/>
        </w:rPr>
        <w:br/>
      </w:r>
      <w:r w:rsidRPr="006759EA">
        <w:rPr>
          <w:rFonts w:ascii="Times New Roman" w:hAnsi="Times New Roman" w:cs="Times New Roman"/>
        </w:rPr>
        <w:t>NR</w:t>
      </w:r>
      <w:r w:rsidR="00070AEC">
        <w:rPr>
          <w:rFonts w:ascii="Times New Roman" w:hAnsi="Times New Roman" w:cs="Times New Roman"/>
        </w:rPr>
        <w:t xml:space="preserve"> </w:t>
      </w:r>
      <w:r w:rsidRPr="006759EA">
        <w:rPr>
          <w:rFonts w:ascii="Times New Roman" w:hAnsi="Times New Roman" w:cs="Times New Roman"/>
        </w:rPr>
        <w:t>SR a tretiu časť konsolidačné opatrenia schválené vládou SR, avšak nie NR SR.</w:t>
      </w:r>
    </w:p>
    <w:p w:rsidR="005F4319" w:rsidRPr="006759EA" w:rsidP="005F4319">
      <w:pPr>
        <w:bidi w:val="0"/>
        <w:ind w:firstLine="720"/>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68"/>
        <w:gridCol w:w="802"/>
        <w:gridCol w:w="1118"/>
        <w:gridCol w:w="1013"/>
        <w:gridCol w:w="101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83"/>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A13FDE" w:rsidP="00DC7838">
            <w:pPr>
              <w:bidi w:val="0"/>
              <w:rPr>
                <w:rFonts w:ascii="Times New Roman" w:hAnsi="Times New Roman" w:cs="Times New Roman"/>
                <w:b/>
                <w:bCs/>
                <w:color w:val="000000" w:themeColor="tx1" w:themeShade="FF"/>
                <w:sz w:val="14"/>
                <w:szCs w:val="14"/>
                <w:lang w:eastAsia="sk-SK"/>
              </w:rPr>
            </w:pPr>
            <w:r w:rsidRPr="00A13FDE">
              <w:rPr>
                <w:rFonts w:ascii="Times New Roman" w:hAnsi="Times New Roman" w:cs="Times New Roman"/>
                <w:b/>
                <w:bCs/>
                <w:color w:val="000000" w:themeColor="tx1" w:themeShade="FF"/>
                <w:sz w:val="14"/>
                <w:szCs w:val="14"/>
                <w:lang w:eastAsia="sk-SK"/>
              </w:rPr>
              <w:t>Sumár legislatívnych zmien v porovnaní s rozpočtom verejnej správy na roky 2012 až 2014 (ESA</w:t>
            </w:r>
            <w:r w:rsidR="00A13FDE">
              <w:rPr>
                <w:rFonts w:ascii="Times New Roman" w:hAnsi="Times New Roman" w:cs="Times New Roman"/>
                <w:b/>
                <w:bCs/>
                <w:color w:val="000000" w:themeColor="tx1" w:themeShade="FF"/>
                <w:sz w:val="14"/>
                <w:szCs w:val="14"/>
                <w:lang w:eastAsia="sk-SK"/>
              </w:rPr>
              <w:t xml:space="preserve"> </w:t>
            </w:r>
            <w:r w:rsidRPr="00A13FDE">
              <w:rPr>
                <w:rFonts w:ascii="Times New Roman" w:hAnsi="Times New Roman" w:cs="Times New Roman"/>
                <w:b/>
                <w:bCs/>
                <w:color w:val="000000" w:themeColor="tx1" w:themeShade="FF"/>
                <w:sz w:val="14"/>
                <w:szCs w:val="14"/>
                <w:lang w:eastAsia="sk-SK"/>
              </w:rPr>
              <w:t>95, tis. eur)</w:t>
            </w:r>
          </w:p>
          <w:p w:rsidR="005F4319" w:rsidRPr="00A13FDE" w:rsidP="00DC7838">
            <w:pPr>
              <w:bidi w:val="0"/>
              <w:rPr>
                <w:rFonts w:ascii="Times New Roman" w:hAnsi="Times New Roman" w:cs="Times New Roman"/>
                <w:b/>
                <w:bCs/>
                <w:color w:val="000000" w:themeColor="tx1" w:themeShade="FF"/>
                <w:sz w:val="14"/>
                <w:szCs w:val="14"/>
                <w:lang w:eastAsia="sk-SK"/>
              </w:rPr>
            </w:pPr>
            <w:r w:rsidRPr="00A13FDE">
              <w:rPr>
                <w:rFonts w:ascii="Times New Roman" w:hAnsi="Times New Roman" w:cs="Times New Roman"/>
                <w:b/>
                <w:bCs/>
                <w:color w:val="000000" w:themeColor="tx1" w:themeShade="FF"/>
                <w:sz w:val="14"/>
                <w:szCs w:val="14"/>
                <w:lang w:eastAsia="sk-SK"/>
              </w:rPr>
              <w:t> </w:t>
            </w:r>
          </w:p>
          <w:p w:rsidR="005F4319" w:rsidRPr="00A13FDE" w:rsidP="00DC7838">
            <w:pPr>
              <w:bidi w:val="0"/>
              <w:rPr>
                <w:rFonts w:ascii="Times New Roman" w:hAnsi="Times New Roman" w:cs="Times New Roman"/>
                <w:b/>
                <w:bCs/>
                <w:color w:val="000000" w:themeColor="tx1" w:themeShade="FF"/>
                <w:sz w:val="14"/>
                <w:szCs w:val="14"/>
                <w:lang w:eastAsia="sk-SK"/>
              </w:rPr>
            </w:pPr>
            <w:r w:rsidRPr="00A13FDE">
              <w:rPr>
                <w:rFonts w:ascii="Times New Roman" w:hAnsi="Times New Roman" w:cs="Times New Roman"/>
                <w:b/>
                <w:bCs/>
                <w:color w:val="000000" w:themeColor="tx1" w:themeShade="FF"/>
                <w:sz w:val="14"/>
                <w:szCs w:val="14"/>
                <w:lang w:eastAsia="sk-SK"/>
              </w:rPr>
              <w:t> </w:t>
            </w:r>
          </w:p>
          <w:p w:rsidR="005F4319" w:rsidRPr="00A13FDE" w:rsidP="00DC7838">
            <w:pPr>
              <w:bidi w:val="0"/>
              <w:rPr>
                <w:rFonts w:ascii="Times New Roman" w:hAnsi="Times New Roman" w:cs="Times New Roman"/>
                <w:b/>
                <w:bCs/>
                <w:color w:val="000000" w:themeColor="tx1" w:themeShade="FF"/>
                <w:sz w:val="14"/>
                <w:szCs w:val="14"/>
                <w:lang w:eastAsia="sk-SK"/>
              </w:rPr>
            </w:pPr>
            <w:r w:rsidRPr="00A13FDE">
              <w:rPr>
                <w:rFonts w:ascii="Times New Roman" w:hAnsi="Times New Roman" w:cs="Times New Roman"/>
                <w:b/>
                <w:bCs/>
                <w:color w:val="000000" w:themeColor="tx1" w:themeShade="FF"/>
                <w:sz w:val="14"/>
                <w:szCs w:val="14"/>
                <w:lang w:eastAsia="sk-SK"/>
              </w:rPr>
              <w:t> </w:t>
            </w:r>
          </w:p>
          <w:p w:rsidR="005F4319" w:rsidRPr="00A13FDE" w:rsidP="00DC7838">
            <w:pPr>
              <w:bidi w:val="0"/>
              <w:rPr>
                <w:rFonts w:ascii="Times New Roman" w:hAnsi="Times New Roman" w:cs="Times New Roman"/>
                <w:b/>
                <w:bCs/>
                <w:color w:val="000000" w:themeColor="tx1" w:themeShade="FF"/>
                <w:sz w:val="14"/>
                <w:szCs w:val="14"/>
                <w:lang w:eastAsia="sk-SK"/>
              </w:rPr>
            </w:pPr>
            <w:r w:rsidRPr="00A13FDE">
              <w:rPr>
                <w:rFonts w:ascii="Times New Roman" w:hAnsi="Times New Roman" w:cs="Times New Roman"/>
                <w:b/>
                <w:bCs/>
                <w:color w:val="000000" w:themeColor="tx1" w:themeShade="FF"/>
                <w:sz w:val="14"/>
                <w:szCs w:val="14"/>
                <w:lang w:eastAsia="sk-SK"/>
              </w:rPr>
              <w:t> </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sk-SK"/>
              </w:rPr>
              <w:t> </w:t>
            </w:r>
          </w:p>
        </w:tc>
        <w:tc>
          <w:tcPr>
            <w:tcW w:w="43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sk-SK"/>
              </w:rPr>
              <w:t>2012</w:t>
            </w:r>
          </w:p>
        </w:tc>
        <w:tc>
          <w:tcPr>
            <w:tcW w:w="60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sk-SK"/>
              </w:rPr>
              <w:t>2013</w:t>
            </w:r>
          </w:p>
        </w:tc>
        <w:tc>
          <w:tcPr>
            <w:tcW w:w="55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sk-SK"/>
              </w:rPr>
              <w:t>2014</w:t>
            </w:r>
          </w:p>
        </w:tc>
        <w:tc>
          <w:tcPr>
            <w:tcW w:w="55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sk-SK"/>
              </w:rPr>
              <w:t>2015</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sk-SK"/>
              </w:rPr>
              <w:t>VPLYV NA DAŇOVÉ PRÍJMY SPOLU*</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sk-SK"/>
              </w:rPr>
              <w:t>267 736</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sk-SK"/>
              </w:rPr>
              <w:t>1 638 188</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sk-SK"/>
              </w:rPr>
              <w:t>1 437 875</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sk-SK"/>
              </w:rPr>
              <w:t>1 443 829</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Daň z príjmov fyzických osôb</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29 724</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27 828</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28 635</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560" w:firstLineChars="4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DPFO zo závislej činnosti</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7 215</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11 100</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11 736</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560" w:firstLineChars="4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DPFO z podnikania</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22 509</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16 728</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16 898</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Daň z príjmov právnických osôb</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-15 978</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212 596</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252 827</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283 362</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Daň z príjmov vyberaná zrážkou</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16 652</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-1 500</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-1 500</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Spotrebná daň z tabaku a tabakových výrobkov</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8 147</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8 514</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8 871</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Osobitný odvod finančných inštitúcií</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27 468</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109 873</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109 873</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7 010</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Mimoriadny odvod finančných inštitúcií</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49 531</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Osobitný odvod z podnikania v regulovaných odvetviach</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33 333</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100 000</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Úhrada za služby verejnosti poskytované STV a SRO</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73 881</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73 979</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73 988</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Daň z emisných kvót</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-41 621</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Sociálna poisťovňa</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215 003</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958 314</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803 170</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865 015</w:t>
            </w:r>
          </w:p>
        </w:tc>
      </w:tr>
      <w:tr>
        <w:tblPrEx>
          <w:tblW w:w="5000" w:type="pct"/>
          <w:tblCellMar>
            <w:left w:w="70" w:type="dxa"/>
            <w:right w:w="70" w:type="dxa"/>
          </w:tblCellMar>
          <w:tblLook w:val="04A0"/>
        </w:tblPrEx>
        <w:trPr>
          <w:trHeight w:hRule="exact" w:val="283"/>
        </w:trPr>
        <w:tc>
          <w:tcPr>
            <w:tcW w:w="285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Zdravotné poisťovne</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0</w:t>
            </w:r>
          </w:p>
        </w:tc>
        <w:tc>
          <w:tcPr>
            <w:tcW w:w="607"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129 001</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163 183</w:t>
            </w:r>
          </w:p>
        </w:tc>
        <w:tc>
          <w:tcPr>
            <w:tcW w:w="55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178 448</w:t>
            </w:r>
          </w:p>
        </w:tc>
      </w:tr>
      <w:tr>
        <w:tblPrEx>
          <w:tblW w:w="5000" w:type="pct"/>
          <w:tblCellMar>
            <w:left w:w="70" w:type="dxa"/>
            <w:right w:w="70" w:type="dxa"/>
          </w:tblCellMar>
          <w:tblLook w:val="04A0"/>
        </w:tblPrEx>
        <w:trPr>
          <w:trHeight w:hRule="exact" w:val="255"/>
        </w:trPr>
        <w:tc>
          <w:tcPr>
            <w:tcW w:w="2859" w:type="pct"/>
            <w:tcBorders>
              <w:top w:val="single" w:sz="4" w:space="0" w:color="auto"/>
              <w:left w:val="nil"/>
              <w:bottom w:val="nil"/>
              <w:right w:val="nil"/>
            </w:tcBorders>
            <w:noWrap/>
            <w:textDirection w:val="lrTb"/>
            <w:vAlign w:val="center"/>
            <w:hideMark/>
          </w:tcPr>
          <w:p w:rsidR="005F4319" w:rsidRPr="00A13FDE" w:rsidP="00DC7838">
            <w:pPr>
              <w:bidi w:val="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sk-SK"/>
              </w:rPr>
              <w:t>* znamienko (-) znamená zníženie daňových príjmov verejnej správy</w:t>
            </w:r>
          </w:p>
        </w:tc>
        <w:tc>
          <w:tcPr>
            <w:tcW w:w="435" w:type="pct"/>
            <w:tcBorders>
              <w:top w:val="single" w:sz="4" w:space="0" w:color="auto"/>
              <w:left w:val="nil"/>
              <w:bottom w:val="nil"/>
              <w:right w:val="nil"/>
            </w:tcBorders>
            <w:noWrap/>
            <w:textDirection w:val="lrTb"/>
            <w:vAlign w:val="bottom"/>
            <w:hideMark/>
          </w:tcPr>
          <w:p w:rsidR="005F4319" w:rsidRPr="00A13FDE" w:rsidP="00DC7838">
            <w:pPr>
              <w:bidi w:val="0"/>
              <w:rPr>
                <w:rFonts w:ascii="Times New Roman" w:hAnsi="Times New Roman" w:cs="Times New Roman"/>
                <w:color w:val="000000"/>
                <w:sz w:val="14"/>
                <w:szCs w:val="14"/>
                <w:lang w:eastAsia="sk-SK"/>
              </w:rPr>
            </w:pPr>
          </w:p>
        </w:tc>
        <w:tc>
          <w:tcPr>
            <w:tcW w:w="607" w:type="pct"/>
            <w:tcBorders>
              <w:top w:val="single" w:sz="4" w:space="0" w:color="auto"/>
              <w:left w:val="nil"/>
              <w:bottom w:val="nil"/>
              <w:right w:val="nil"/>
            </w:tcBorders>
            <w:noWrap/>
            <w:textDirection w:val="lrTb"/>
            <w:vAlign w:val="bottom"/>
            <w:hideMark/>
          </w:tcPr>
          <w:p w:rsidR="005F4319" w:rsidRPr="00A13FDE" w:rsidP="00DC7838">
            <w:pPr>
              <w:bidi w:val="0"/>
              <w:rPr>
                <w:rFonts w:ascii="Times New Roman" w:hAnsi="Times New Roman" w:cs="Times New Roman"/>
                <w:color w:val="000000"/>
                <w:sz w:val="14"/>
                <w:szCs w:val="14"/>
                <w:lang w:eastAsia="sk-SK"/>
              </w:rPr>
            </w:pPr>
          </w:p>
        </w:tc>
        <w:tc>
          <w:tcPr>
            <w:tcW w:w="550" w:type="pct"/>
            <w:tcBorders>
              <w:top w:val="single" w:sz="4" w:space="0" w:color="auto"/>
              <w:left w:val="nil"/>
              <w:bottom w:val="nil"/>
              <w:right w:val="nil"/>
            </w:tcBorders>
            <w:noWrap/>
            <w:textDirection w:val="lrTb"/>
            <w:vAlign w:val="bottom"/>
            <w:hideMark/>
          </w:tcPr>
          <w:p w:rsidR="005F4319" w:rsidRPr="00A13FDE" w:rsidP="00DC7838">
            <w:pPr>
              <w:bidi w:val="0"/>
              <w:rPr>
                <w:rFonts w:ascii="Times New Roman" w:hAnsi="Times New Roman" w:cs="Times New Roman"/>
                <w:color w:val="000000"/>
                <w:sz w:val="14"/>
                <w:szCs w:val="14"/>
                <w:lang w:eastAsia="sk-SK"/>
              </w:rPr>
            </w:pPr>
          </w:p>
        </w:tc>
        <w:tc>
          <w:tcPr>
            <w:tcW w:w="550" w:type="pct"/>
            <w:tcBorders>
              <w:top w:val="single" w:sz="4" w:space="0" w:color="auto"/>
              <w:left w:val="nil"/>
              <w:bottom w:val="nil"/>
              <w:right w:val="nil"/>
            </w:tcBorders>
            <w:noWrap/>
            <w:textDirection w:val="lrTb"/>
            <w:vAlign w:val="bottom"/>
            <w:hideMark/>
          </w:tcPr>
          <w:p w:rsidR="005F4319" w:rsidRPr="00A13FDE" w:rsidP="00DC7838">
            <w:pPr>
              <w:bidi w:val="0"/>
              <w:rPr>
                <w:rFonts w:ascii="Times New Roman" w:hAnsi="Times New Roman" w:cs="Times New Roman"/>
                <w:color w:val="000000"/>
                <w:sz w:val="14"/>
                <w:szCs w:val="14"/>
                <w:lang w:eastAsia="sk-SK"/>
              </w:rPr>
            </w:pPr>
          </w:p>
        </w:tc>
      </w:tr>
    </w:tbl>
    <w:p w:rsidR="005F4319" w:rsidRPr="006759EA" w:rsidP="005F4319">
      <w:pPr>
        <w:bidi w:val="0"/>
        <w:ind w:firstLine="720"/>
        <w:jc w:val="both"/>
        <w:rPr>
          <w:rFonts w:ascii="Times New Roman" w:hAnsi="Times New Roman" w:cs="Times New Roman"/>
        </w:rPr>
      </w:pPr>
    </w:p>
    <w:p w:rsidR="005F4319" w:rsidRPr="006759EA" w:rsidP="005F4319">
      <w:pPr>
        <w:bidi w:val="0"/>
        <w:jc w:val="both"/>
        <w:rPr>
          <w:rFonts w:ascii="Times New Roman" w:hAnsi="Times New Roman" w:cs="Times New Roman"/>
          <w:i/>
        </w:rPr>
      </w:pPr>
      <w:r w:rsidRPr="006759EA">
        <w:rPr>
          <w:rFonts w:ascii="Times New Roman" w:hAnsi="Times New Roman" w:cs="Times New Roman"/>
          <w:i/>
        </w:rPr>
        <w:t xml:space="preserve">Vplyv legislatívnych zmien nesúvisiacich s konsolidáciou </w:t>
      </w:r>
      <w:r>
        <w:rPr>
          <w:rFonts w:ascii="Times New Roman" w:hAnsi="Times New Roman" w:cs="Times New Roman"/>
          <w:i/>
        </w:rPr>
        <w:t>verejnej správy</w:t>
      </w:r>
    </w:p>
    <w:p w:rsidR="005F4319" w:rsidRPr="006759EA" w:rsidP="005F4319">
      <w:pPr>
        <w:bidi w:val="0"/>
        <w:ind w:firstLine="720"/>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Pri </w:t>
      </w:r>
      <w:r w:rsidRPr="006759EA">
        <w:rPr>
          <w:rFonts w:ascii="Times New Roman" w:hAnsi="Times New Roman" w:cs="Times New Roman"/>
          <w:b/>
        </w:rPr>
        <w:t>dani z príjmu právnických osôb</w:t>
      </w:r>
      <w:r w:rsidRPr="006759EA">
        <w:rPr>
          <w:rFonts w:ascii="Times New Roman" w:hAnsi="Times New Roman" w:cs="Times New Roman"/>
        </w:rPr>
        <w:t xml:space="preserve"> sa s účinnosťou od 1. marca 2012 upravili podmienky odpisovania majetku obstaraného formou finančného leasingu. </w:t>
      </w:r>
    </w:p>
    <w:p w:rsidR="005F4319" w:rsidRPr="006759EA" w:rsidP="005F4319">
      <w:pPr>
        <w:bidi w:val="0"/>
        <w:ind w:firstLine="708"/>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Zrušenie </w:t>
      </w:r>
      <w:r w:rsidRPr="006759EA">
        <w:rPr>
          <w:rFonts w:ascii="Times New Roman" w:hAnsi="Times New Roman" w:cs="Times New Roman"/>
          <w:b/>
        </w:rPr>
        <w:t>dane z emisných kvót</w:t>
      </w:r>
      <w:r w:rsidRPr="006759EA">
        <w:rPr>
          <w:rFonts w:ascii="Times New Roman" w:hAnsi="Times New Roman" w:cs="Times New Roman"/>
        </w:rPr>
        <w:t xml:space="preserve"> za rok 2012 bolo iniciované zo strany M</w:t>
      </w:r>
      <w:r w:rsidR="00070AEC">
        <w:rPr>
          <w:rFonts w:ascii="Times New Roman" w:hAnsi="Times New Roman" w:cs="Times New Roman"/>
        </w:rPr>
        <w:t>inisterstva financií</w:t>
      </w:r>
      <w:r w:rsidRPr="006759EA">
        <w:rPr>
          <w:rFonts w:ascii="Times New Roman" w:hAnsi="Times New Roman" w:cs="Times New Roman"/>
        </w:rPr>
        <w:t xml:space="preserve"> SR ako reakcia na konanie Európskej komisie a Ústavného súdu SR v tejto veci. V roku 2012 sa tak z tejto dane neočakáva žiadny výnos. Zároveň toto opatrenie bude mať pozitívny vplyv na príjmy z DPPO vo výške 12,9</w:t>
      </w:r>
      <w:r>
        <w:rPr>
          <w:rFonts w:ascii="Times New Roman" w:hAnsi="Times New Roman" w:cs="Times New Roman"/>
        </w:rPr>
        <w:t xml:space="preserve"> mil. e</w:t>
      </w:r>
      <w:r w:rsidRPr="006759EA">
        <w:rPr>
          <w:rFonts w:ascii="Times New Roman" w:hAnsi="Times New Roman" w:cs="Times New Roman"/>
        </w:rPr>
        <w:t xml:space="preserve">ur, keďže výnosy z predaja emisií za zdaňovacie obdobie 2012 budú predmetom dane z príjmu. </w:t>
      </w:r>
    </w:p>
    <w:p w:rsidR="005F4319" w:rsidRPr="006759EA" w:rsidP="005F4319">
      <w:pPr>
        <w:bidi w:val="0"/>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81"/>
        <w:gridCol w:w="801"/>
        <w:gridCol w:w="671"/>
        <w:gridCol w:w="866"/>
        <w:gridCol w:w="99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83"/>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A13FDE" w:rsidP="00DC7838">
            <w:pPr>
              <w:bidi w:val="0"/>
              <w:rPr>
                <w:rFonts w:ascii="Times New Roman" w:hAnsi="Times New Roman" w:cs="Times New Roman"/>
                <w:b/>
                <w:bCs/>
                <w:color w:val="000000" w:themeColor="tx1" w:themeShade="FF"/>
                <w:sz w:val="14"/>
                <w:szCs w:val="14"/>
                <w:lang w:eastAsia="sk-SK"/>
              </w:rPr>
            </w:pPr>
            <w:r w:rsidRPr="00A13FDE">
              <w:rPr>
                <w:rFonts w:ascii="Times New Roman" w:hAnsi="Times New Roman" w:cs="Times New Roman"/>
                <w:b/>
                <w:bCs/>
                <w:color w:val="000000" w:themeColor="tx1" w:themeShade="FF"/>
                <w:sz w:val="14"/>
                <w:szCs w:val="14"/>
                <w:lang w:eastAsia="en-US"/>
              </w:rPr>
              <w:t>Opatrenia schválené v</w:t>
            </w:r>
            <w:r w:rsidR="000F5058">
              <w:rPr>
                <w:rFonts w:ascii="Times New Roman" w:hAnsi="Times New Roman" w:cs="Times New Roman"/>
                <w:b/>
                <w:bCs/>
                <w:color w:val="000000" w:themeColor="tx1" w:themeShade="FF"/>
                <w:sz w:val="14"/>
                <w:szCs w:val="14"/>
                <w:lang w:eastAsia="en-US"/>
              </w:rPr>
              <w:t> </w:t>
            </w:r>
            <w:r w:rsidRPr="00A13FDE">
              <w:rPr>
                <w:rFonts w:ascii="Times New Roman" w:hAnsi="Times New Roman" w:cs="Times New Roman"/>
                <w:b/>
                <w:bCs/>
                <w:color w:val="000000" w:themeColor="tx1" w:themeShade="FF"/>
                <w:sz w:val="14"/>
                <w:szCs w:val="14"/>
                <w:lang w:eastAsia="en-US"/>
              </w:rPr>
              <w:t>NR</w:t>
            </w:r>
            <w:r w:rsidR="000F5058">
              <w:rPr>
                <w:rFonts w:ascii="Times New Roman" w:hAnsi="Times New Roman" w:cs="Times New Roman"/>
                <w:b/>
                <w:bCs/>
                <w:color w:val="000000" w:themeColor="tx1" w:themeShade="FF"/>
                <w:sz w:val="14"/>
                <w:szCs w:val="14"/>
                <w:lang w:eastAsia="en-US"/>
              </w:rPr>
              <w:t xml:space="preserve"> </w:t>
            </w:r>
            <w:r w:rsidRPr="00A13FDE">
              <w:rPr>
                <w:rFonts w:ascii="Times New Roman" w:hAnsi="Times New Roman" w:cs="Times New Roman"/>
                <w:b/>
                <w:bCs/>
                <w:color w:val="000000" w:themeColor="tx1" w:themeShade="FF"/>
                <w:sz w:val="14"/>
                <w:szCs w:val="14"/>
                <w:lang w:eastAsia="en-US"/>
              </w:rPr>
              <w:t>SR – nesúvisiace s konsolidáciou (ESA 95, tis. eur) </w:t>
            </w:r>
          </w:p>
        </w:tc>
      </w:tr>
      <w:tr>
        <w:tblPrEx>
          <w:tblW w:w="5000" w:type="pct"/>
          <w:tblCellMar>
            <w:left w:w="70" w:type="dxa"/>
            <w:right w:w="70" w:type="dxa"/>
          </w:tblCellMar>
          <w:tblLook w:val="04A0"/>
        </w:tblPrEx>
        <w:trPr>
          <w:trHeight w:hRule="exact" w:val="283"/>
        </w:trPr>
        <w:tc>
          <w:tcPr>
            <w:tcW w:w="319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rPr>
                <w:rFonts w:ascii="Times New Roman" w:hAnsi="Times New Roman" w:cs="Times New Roman"/>
                <w:b/>
                <w:bCs/>
                <w:color w:val="000000"/>
                <w:sz w:val="14"/>
                <w:szCs w:val="14"/>
                <w:lang w:eastAsia="sk-SK"/>
              </w:rPr>
            </w:pPr>
          </w:p>
        </w:tc>
        <w:tc>
          <w:tcPr>
            <w:tcW w:w="43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2012</w:t>
            </w:r>
          </w:p>
        </w:tc>
        <w:tc>
          <w:tcPr>
            <w:tcW w:w="36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2013</w:t>
            </w:r>
          </w:p>
        </w:tc>
        <w:tc>
          <w:tcPr>
            <w:tcW w:w="47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2014</w:t>
            </w:r>
          </w:p>
        </w:tc>
        <w:tc>
          <w:tcPr>
            <w:tcW w:w="53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2015</w:t>
            </w:r>
          </w:p>
        </w:tc>
      </w:tr>
      <w:tr>
        <w:tblPrEx>
          <w:tblW w:w="5000" w:type="pct"/>
          <w:tblCellMar>
            <w:left w:w="70" w:type="dxa"/>
            <w:right w:w="70" w:type="dxa"/>
          </w:tblCellMar>
          <w:tblLook w:val="04A0"/>
        </w:tblPrEx>
        <w:trPr>
          <w:trHeight w:hRule="exact" w:val="283"/>
        </w:trPr>
        <w:tc>
          <w:tcPr>
            <w:tcW w:w="319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DC7838">
            <w:pPr>
              <w:bidi w:val="0"/>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Vplyv legislatívnych opatrení na daňové príjmy spolu*</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-31 864</w:t>
            </w:r>
          </w:p>
        </w:tc>
        <w:tc>
          <w:tcPr>
            <w:tcW w:w="36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-300</w:t>
            </w:r>
          </w:p>
        </w:tc>
        <w:tc>
          <w:tcPr>
            <w:tcW w:w="47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-5 500</w:t>
            </w:r>
          </w:p>
        </w:tc>
        <w:tc>
          <w:tcPr>
            <w:tcW w:w="53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-19 500</w:t>
            </w:r>
          </w:p>
        </w:tc>
      </w:tr>
      <w:tr>
        <w:tblPrEx>
          <w:tblW w:w="5000" w:type="pct"/>
          <w:tblCellMar>
            <w:left w:w="70" w:type="dxa"/>
            <w:right w:w="70" w:type="dxa"/>
          </w:tblCellMar>
          <w:tblLook w:val="04A0"/>
        </w:tblPrEx>
        <w:trPr>
          <w:trHeight w:hRule="exact" w:val="510"/>
        </w:trPr>
        <w:tc>
          <w:tcPr>
            <w:tcW w:w="319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140" w:firstLineChars="100"/>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 xml:space="preserve">1. Zmeny v odpisovaní majetku obstaraného formou finančného  </w:t>
            </w:r>
          </w:p>
          <w:p w:rsidR="005F4319" w:rsidRPr="00A13FDE" w:rsidP="00A13FDE">
            <w:pPr>
              <w:bidi w:val="0"/>
              <w:ind w:firstLine="140" w:firstLineChars="100"/>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 xml:space="preserve">    leasingu (novela </w:t>
            </w:r>
            <w:r w:rsidR="00A13FDE">
              <w:rPr>
                <w:rFonts w:ascii="Times New Roman" w:hAnsi="Times New Roman" w:cs="Times New Roman"/>
                <w:b/>
                <w:bCs/>
                <w:color w:val="000000"/>
                <w:sz w:val="14"/>
                <w:szCs w:val="14"/>
                <w:lang w:eastAsia="en-US"/>
              </w:rPr>
              <w:t xml:space="preserve">zákona č. </w:t>
            </w:r>
            <w:r w:rsidRPr="00A13FDE">
              <w:rPr>
                <w:rFonts w:ascii="Times New Roman" w:hAnsi="Times New Roman" w:cs="Times New Roman"/>
                <w:b/>
                <w:bCs/>
                <w:color w:val="000000"/>
                <w:sz w:val="14"/>
                <w:szCs w:val="14"/>
                <w:lang w:eastAsia="en-US"/>
              </w:rPr>
              <w:t>595/2003 Z. z.)</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-3 100</w:t>
            </w:r>
          </w:p>
        </w:tc>
        <w:tc>
          <w:tcPr>
            <w:tcW w:w="36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140" w:firstLineChars="10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-300</w:t>
            </w:r>
          </w:p>
        </w:tc>
        <w:tc>
          <w:tcPr>
            <w:tcW w:w="47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140" w:firstLineChars="10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-5 500</w:t>
            </w:r>
          </w:p>
        </w:tc>
        <w:tc>
          <w:tcPr>
            <w:tcW w:w="53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A13FDE">
            <w:pPr>
              <w:bidi w:val="0"/>
              <w:ind w:firstLine="140" w:firstLineChars="10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-19 500</w:t>
            </w:r>
          </w:p>
        </w:tc>
      </w:tr>
      <w:tr>
        <w:tblPrEx>
          <w:tblW w:w="5000" w:type="pct"/>
          <w:tblCellMar>
            <w:left w:w="70" w:type="dxa"/>
            <w:right w:w="70" w:type="dxa"/>
          </w:tblCellMar>
          <w:tblLook w:val="04A0"/>
        </w:tblPrEx>
        <w:trPr>
          <w:trHeight w:hRule="exact" w:val="255"/>
        </w:trPr>
        <w:tc>
          <w:tcPr>
            <w:tcW w:w="319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z toho: vplyv na DPPO</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Cs/>
                <w:color w:val="000000"/>
                <w:sz w:val="14"/>
                <w:szCs w:val="14"/>
                <w:lang w:eastAsia="sk-SK"/>
              </w:rPr>
            </w:pPr>
            <w:r w:rsidRPr="00A13FDE">
              <w:rPr>
                <w:rFonts w:ascii="Times New Roman" w:hAnsi="Times New Roman" w:cs="Times New Roman"/>
                <w:bCs/>
                <w:color w:val="000000"/>
                <w:sz w:val="14"/>
                <w:szCs w:val="14"/>
                <w:lang w:eastAsia="en-US"/>
              </w:rPr>
              <w:t>-3 100</w:t>
            </w:r>
          </w:p>
        </w:tc>
        <w:tc>
          <w:tcPr>
            <w:tcW w:w="36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-300</w:t>
            </w:r>
          </w:p>
        </w:tc>
        <w:tc>
          <w:tcPr>
            <w:tcW w:w="47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-5 500</w:t>
            </w:r>
          </w:p>
        </w:tc>
        <w:tc>
          <w:tcPr>
            <w:tcW w:w="53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-19 500</w:t>
            </w:r>
          </w:p>
        </w:tc>
      </w:tr>
      <w:tr>
        <w:tblPrEx>
          <w:tblW w:w="5000" w:type="pct"/>
          <w:tblCellMar>
            <w:left w:w="70" w:type="dxa"/>
            <w:right w:w="70" w:type="dxa"/>
          </w:tblCellMar>
          <w:tblLook w:val="04A0"/>
        </w:tblPrEx>
        <w:trPr>
          <w:trHeight w:hRule="exact" w:val="255"/>
        </w:trPr>
        <w:tc>
          <w:tcPr>
            <w:tcW w:w="319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140" w:firstLineChars="100"/>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 xml:space="preserve">2. Zrušenie dane z emisných kvót (novela </w:t>
            </w:r>
            <w:r w:rsidR="00A13FDE">
              <w:rPr>
                <w:rFonts w:ascii="Times New Roman" w:hAnsi="Times New Roman" w:cs="Times New Roman"/>
                <w:b/>
                <w:bCs/>
                <w:color w:val="000000"/>
                <w:sz w:val="14"/>
                <w:szCs w:val="14"/>
                <w:lang w:eastAsia="en-US"/>
              </w:rPr>
              <w:t xml:space="preserve">zákona č. </w:t>
            </w:r>
            <w:r w:rsidRPr="00A13FDE">
              <w:rPr>
                <w:rFonts w:ascii="Times New Roman" w:hAnsi="Times New Roman" w:cs="Times New Roman"/>
                <w:b/>
                <w:bCs/>
                <w:color w:val="000000"/>
                <w:sz w:val="14"/>
                <w:szCs w:val="14"/>
                <w:lang w:eastAsia="en-US"/>
              </w:rPr>
              <w:t>595/2003 Z. z.)</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-28 764</w:t>
            </w:r>
          </w:p>
        </w:tc>
        <w:tc>
          <w:tcPr>
            <w:tcW w:w="36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0</w:t>
            </w:r>
          </w:p>
        </w:tc>
        <w:tc>
          <w:tcPr>
            <w:tcW w:w="47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0</w:t>
            </w:r>
          </w:p>
        </w:tc>
        <w:tc>
          <w:tcPr>
            <w:tcW w:w="53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0</w:t>
            </w:r>
          </w:p>
        </w:tc>
      </w:tr>
      <w:tr>
        <w:tblPrEx>
          <w:tblW w:w="5000" w:type="pct"/>
          <w:tblCellMar>
            <w:left w:w="70" w:type="dxa"/>
            <w:right w:w="70" w:type="dxa"/>
          </w:tblCellMar>
          <w:tblLook w:val="04A0"/>
        </w:tblPrEx>
        <w:trPr>
          <w:trHeight w:hRule="exact" w:val="255"/>
        </w:trPr>
        <w:tc>
          <w:tcPr>
            <w:tcW w:w="319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z toho: vplyv na DPPO</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Cs/>
                <w:color w:val="000000"/>
                <w:sz w:val="14"/>
                <w:szCs w:val="14"/>
                <w:lang w:eastAsia="sk-SK"/>
              </w:rPr>
            </w:pPr>
            <w:r w:rsidRPr="00A13FDE">
              <w:rPr>
                <w:rFonts w:ascii="Times New Roman" w:hAnsi="Times New Roman" w:cs="Times New Roman"/>
                <w:bCs/>
                <w:color w:val="000000"/>
                <w:sz w:val="14"/>
                <w:szCs w:val="14"/>
                <w:lang w:eastAsia="en-US"/>
              </w:rPr>
              <w:t>12 857</w:t>
            </w:r>
          </w:p>
        </w:tc>
        <w:tc>
          <w:tcPr>
            <w:tcW w:w="36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0</w:t>
            </w:r>
          </w:p>
        </w:tc>
        <w:tc>
          <w:tcPr>
            <w:tcW w:w="47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0</w:t>
            </w:r>
          </w:p>
        </w:tc>
        <w:tc>
          <w:tcPr>
            <w:tcW w:w="53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0</w:t>
            </w:r>
          </w:p>
        </w:tc>
      </w:tr>
      <w:tr>
        <w:tblPrEx>
          <w:tblW w:w="5000" w:type="pct"/>
          <w:tblCellMar>
            <w:left w:w="70" w:type="dxa"/>
            <w:right w:w="70" w:type="dxa"/>
          </w:tblCellMar>
          <w:tblLook w:val="04A0"/>
        </w:tblPrEx>
        <w:trPr>
          <w:trHeight w:hRule="exact" w:val="255"/>
        </w:trPr>
        <w:tc>
          <w:tcPr>
            <w:tcW w:w="319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z toho: vplyv na daň z emisných kvót</w:t>
            </w:r>
          </w:p>
        </w:tc>
        <w:tc>
          <w:tcPr>
            <w:tcW w:w="43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Cs/>
                <w:color w:val="000000"/>
                <w:sz w:val="14"/>
                <w:szCs w:val="14"/>
                <w:lang w:eastAsia="sk-SK"/>
              </w:rPr>
            </w:pPr>
            <w:r w:rsidRPr="00A13FDE">
              <w:rPr>
                <w:rFonts w:ascii="Times New Roman" w:hAnsi="Times New Roman" w:cs="Times New Roman"/>
                <w:bCs/>
                <w:color w:val="000000"/>
                <w:sz w:val="14"/>
                <w:szCs w:val="14"/>
                <w:lang w:eastAsia="en-US"/>
              </w:rPr>
              <w:t>-41 621</w:t>
            </w:r>
          </w:p>
        </w:tc>
        <w:tc>
          <w:tcPr>
            <w:tcW w:w="36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0</w:t>
            </w:r>
          </w:p>
        </w:tc>
        <w:tc>
          <w:tcPr>
            <w:tcW w:w="470"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0</w:t>
            </w:r>
          </w:p>
        </w:tc>
        <w:tc>
          <w:tcPr>
            <w:tcW w:w="53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0</w:t>
            </w:r>
          </w:p>
        </w:tc>
      </w:tr>
      <w:tr>
        <w:tblPrEx>
          <w:tblW w:w="5000" w:type="pct"/>
          <w:tblCellMar>
            <w:left w:w="70" w:type="dxa"/>
            <w:right w:w="70" w:type="dxa"/>
          </w:tblCellMar>
          <w:tblLook w:val="04A0"/>
        </w:tblPrEx>
        <w:trPr>
          <w:trHeight w:hRule="exact" w:val="255"/>
        </w:trPr>
        <w:tc>
          <w:tcPr>
            <w:tcW w:w="3192" w:type="pct"/>
            <w:tcBorders>
              <w:top w:val="single" w:sz="4" w:space="0" w:color="auto"/>
              <w:left w:val="nil"/>
              <w:bottom w:val="nil"/>
              <w:right w:val="nil"/>
            </w:tcBorders>
            <w:textDirection w:val="lrTb"/>
            <w:vAlign w:val="center"/>
            <w:hideMark/>
          </w:tcPr>
          <w:p w:rsidR="005F4319" w:rsidRPr="00A13FDE" w:rsidP="00DC7838">
            <w:pPr>
              <w:bidi w:val="0"/>
              <w:rPr>
                <w:rFonts w:ascii="Times New Roman" w:hAnsi="Times New Roman" w:cs="Times New Roman"/>
                <w:color w:val="000000"/>
                <w:sz w:val="14"/>
                <w:szCs w:val="14"/>
                <w:lang w:eastAsia="sk-SK"/>
              </w:rPr>
            </w:pPr>
            <w:r w:rsidRPr="00A13FDE">
              <w:rPr>
                <w:rFonts w:ascii="Times New Roman" w:hAnsi="Times New Roman" w:cs="Times New Roman"/>
                <w:color w:val="000000"/>
                <w:sz w:val="14"/>
                <w:szCs w:val="14"/>
                <w:lang w:eastAsia="en-US"/>
              </w:rPr>
              <w:t>* znamienko (-) znamená zníženie daňových príjmov verejnej správy</w:t>
            </w:r>
          </w:p>
        </w:tc>
        <w:tc>
          <w:tcPr>
            <w:tcW w:w="435" w:type="pct"/>
            <w:tcBorders>
              <w:top w:val="single" w:sz="4" w:space="0" w:color="auto"/>
              <w:left w:val="nil"/>
              <w:bottom w:val="nil"/>
              <w:right w:val="nil"/>
            </w:tcBorders>
            <w:noWrap/>
            <w:textDirection w:val="lrTb"/>
            <w:vAlign w:val="center"/>
            <w:hideMark/>
          </w:tcPr>
          <w:p w:rsidR="005F4319" w:rsidRPr="00A13FDE" w:rsidP="00DC7838">
            <w:pPr>
              <w:bidi w:val="0"/>
              <w:rPr>
                <w:rFonts w:ascii="Times New Roman" w:hAnsi="Times New Roman" w:cs="Times New Roman"/>
                <w:color w:val="000000"/>
                <w:sz w:val="14"/>
                <w:szCs w:val="14"/>
                <w:lang w:eastAsia="sk-SK"/>
              </w:rPr>
            </w:pPr>
          </w:p>
        </w:tc>
        <w:tc>
          <w:tcPr>
            <w:tcW w:w="364" w:type="pct"/>
            <w:tcBorders>
              <w:top w:val="single" w:sz="4" w:space="0" w:color="auto"/>
              <w:left w:val="nil"/>
              <w:bottom w:val="nil"/>
              <w:right w:val="nil"/>
            </w:tcBorders>
            <w:noWrap/>
            <w:textDirection w:val="lrTb"/>
            <w:vAlign w:val="center"/>
            <w:hideMark/>
          </w:tcPr>
          <w:p w:rsidR="005F4319" w:rsidRPr="00A13FDE" w:rsidP="00DC7838">
            <w:pPr>
              <w:bidi w:val="0"/>
              <w:rPr>
                <w:rFonts w:ascii="Times New Roman" w:hAnsi="Times New Roman" w:cs="Times New Roman"/>
                <w:color w:val="000000"/>
                <w:sz w:val="14"/>
                <w:szCs w:val="14"/>
                <w:lang w:eastAsia="sk-SK"/>
              </w:rPr>
            </w:pPr>
          </w:p>
        </w:tc>
        <w:tc>
          <w:tcPr>
            <w:tcW w:w="470" w:type="pct"/>
            <w:tcBorders>
              <w:top w:val="single" w:sz="4" w:space="0" w:color="auto"/>
              <w:left w:val="nil"/>
              <w:bottom w:val="nil"/>
              <w:right w:val="nil"/>
            </w:tcBorders>
            <w:noWrap/>
            <w:textDirection w:val="lrTb"/>
            <w:vAlign w:val="center"/>
            <w:hideMark/>
          </w:tcPr>
          <w:p w:rsidR="005F4319" w:rsidRPr="00A13FDE" w:rsidP="00DC7838">
            <w:pPr>
              <w:bidi w:val="0"/>
              <w:rPr>
                <w:rFonts w:ascii="Times New Roman" w:hAnsi="Times New Roman" w:cs="Times New Roman"/>
                <w:color w:val="000000"/>
                <w:sz w:val="14"/>
                <w:szCs w:val="14"/>
                <w:lang w:eastAsia="sk-SK"/>
              </w:rPr>
            </w:pPr>
          </w:p>
        </w:tc>
        <w:tc>
          <w:tcPr>
            <w:tcW w:w="539" w:type="pct"/>
            <w:tcBorders>
              <w:top w:val="single" w:sz="4" w:space="0" w:color="auto"/>
              <w:left w:val="nil"/>
              <w:bottom w:val="nil"/>
              <w:right w:val="nil"/>
            </w:tcBorders>
            <w:noWrap/>
            <w:textDirection w:val="lrTb"/>
            <w:vAlign w:val="center"/>
            <w:hideMark/>
          </w:tcPr>
          <w:p w:rsidR="005F4319" w:rsidRPr="00A13FDE" w:rsidP="00DC7838">
            <w:pPr>
              <w:bidi w:val="0"/>
              <w:rPr>
                <w:rFonts w:ascii="Times New Roman" w:hAnsi="Times New Roman" w:cs="Times New Roman"/>
                <w:color w:val="000000"/>
                <w:sz w:val="14"/>
                <w:szCs w:val="14"/>
                <w:lang w:eastAsia="sk-SK"/>
              </w:rPr>
            </w:pPr>
          </w:p>
        </w:tc>
      </w:tr>
    </w:tbl>
    <w:p w:rsidR="005F4319" w:rsidRPr="006759EA" w:rsidP="005F4319">
      <w:pPr>
        <w:bidi w:val="0"/>
        <w:jc w:val="both"/>
        <w:rPr>
          <w:rFonts w:ascii="Times New Roman" w:hAnsi="Times New Roman" w:cs="Times New Roman"/>
        </w:rPr>
      </w:pPr>
    </w:p>
    <w:p w:rsidR="005F4319" w:rsidRPr="006759EA" w:rsidP="005F4319">
      <w:pPr>
        <w:bidi w:val="0"/>
        <w:jc w:val="both"/>
        <w:rPr>
          <w:rFonts w:ascii="Times New Roman" w:hAnsi="Times New Roman" w:cs="Times New Roman"/>
          <w:i/>
        </w:rPr>
      </w:pPr>
      <w:r w:rsidRPr="006759EA">
        <w:rPr>
          <w:rFonts w:ascii="Times New Roman" w:hAnsi="Times New Roman" w:cs="Times New Roman"/>
          <w:i/>
        </w:rPr>
        <w:t>Vplyv konsolidačných opatrení schválených NR</w:t>
      </w:r>
      <w:r w:rsidR="00070AEC">
        <w:rPr>
          <w:rFonts w:ascii="Times New Roman" w:hAnsi="Times New Roman" w:cs="Times New Roman"/>
          <w:i/>
        </w:rPr>
        <w:t xml:space="preserve"> </w:t>
      </w:r>
      <w:r w:rsidRPr="006759EA">
        <w:rPr>
          <w:rFonts w:ascii="Times New Roman" w:hAnsi="Times New Roman" w:cs="Times New Roman"/>
          <w:i/>
        </w:rPr>
        <w:t>SR</w:t>
      </w:r>
    </w:p>
    <w:p w:rsidR="005F4319" w:rsidRPr="006759EA" w:rsidP="005F4319">
      <w:pPr>
        <w:bidi w:val="0"/>
        <w:ind w:firstLine="708"/>
        <w:jc w:val="both"/>
        <w:rPr>
          <w:rFonts w:ascii="Times New Roman" w:hAnsi="Times New Roman" w:cs="Times New Roman"/>
          <w:b/>
        </w:rPr>
      </w:pPr>
    </w:p>
    <w:p w:rsidR="005F4319" w:rsidRPr="006759EA" w:rsidP="005F4319">
      <w:pPr>
        <w:bidi w:val="0"/>
        <w:ind w:firstLine="708"/>
        <w:jc w:val="both"/>
        <w:rPr>
          <w:rFonts w:ascii="Times New Roman" w:hAnsi="Times New Roman" w:cs="Times New Roman"/>
        </w:rPr>
      </w:pPr>
      <w:r>
        <w:rPr>
          <w:rFonts w:ascii="Times New Roman" w:hAnsi="Times New Roman" w:cs="Times New Roman"/>
        </w:rPr>
        <w:t>Novela</w:t>
      </w:r>
      <w:r w:rsidRPr="006759EA">
        <w:rPr>
          <w:rFonts w:ascii="Times New Roman" w:hAnsi="Times New Roman" w:cs="Times New Roman"/>
        </w:rPr>
        <w:t xml:space="preserve"> zákona č. 461/2003 Z. z. o </w:t>
      </w:r>
      <w:r w:rsidRPr="006759EA">
        <w:rPr>
          <w:rFonts w:ascii="Times New Roman" w:hAnsi="Times New Roman" w:cs="Times New Roman"/>
          <w:b/>
        </w:rPr>
        <w:t>sociálnom poistení</w:t>
      </w:r>
      <w:r>
        <w:rPr>
          <w:rFonts w:ascii="Times New Roman" w:hAnsi="Times New Roman" w:cs="Times New Roman"/>
        </w:rPr>
        <w:t xml:space="preserve"> z pohľadu prognóz znamenala </w:t>
      </w:r>
      <w:r w:rsidRPr="006759EA">
        <w:rPr>
          <w:rFonts w:ascii="Times New Roman" w:hAnsi="Times New Roman" w:cs="Times New Roman"/>
        </w:rPr>
        <w:t xml:space="preserve"> viacero legislatívnych zmien</w:t>
      </w:r>
      <w:r>
        <w:rPr>
          <w:rFonts w:ascii="Times New Roman" w:hAnsi="Times New Roman" w:cs="Times New Roman"/>
        </w:rPr>
        <w:t xml:space="preserve"> s významným vplyvom na prognózu príjmov verejnej správy</w:t>
      </w:r>
      <w:r w:rsidRPr="006759EA">
        <w:rPr>
          <w:rFonts w:ascii="Times New Roman" w:hAnsi="Times New Roman" w:cs="Times New Roman"/>
        </w:rPr>
        <w:t>. V prípade sociálneho poistenia ide najmä o zníženie príspevkov na dôchodkové sporenie</w:t>
      </w:r>
      <w:r>
        <w:rPr>
          <w:rFonts w:ascii="Times New Roman" w:hAnsi="Times New Roman" w:cs="Times New Roman"/>
        </w:rPr>
        <w:t>,</w:t>
      </w:r>
      <w:r w:rsidRPr="006759EA">
        <w:rPr>
          <w:rFonts w:ascii="Times New Roman" w:hAnsi="Times New Roman" w:cs="Times New Roman"/>
        </w:rPr>
        <w:t xml:space="preserve"> otvorenie 2. piliera, zavedenie </w:t>
      </w:r>
      <w:r>
        <w:rPr>
          <w:rFonts w:ascii="Times New Roman" w:hAnsi="Times New Roman" w:cs="Times New Roman"/>
        </w:rPr>
        <w:t xml:space="preserve">povinnosti platenia </w:t>
      </w:r>
      <w:r w:rsidRPr="006759EA">
        <w:rPr>
          <w:rFonts w:ascii="Times New Roman" w:hAnsi="Times New Roman" w:cs="Times New Roman"/>
        </w:rPr>
        <w:t xml:space="preserve">sociálnych a zdravotných odvodov z príjmov z dohôd, zmeny daňovo-odvodového zaťaženia SZČO a zvýšenie/zjednotenie všetkých </w:t>
      </w:r>
      <w:r w:rsidRPr="003628A9">
        <w:rPr>
          <w:rFonts w:ascii="Times New Roman" w:hAnsi="Times New Roman" w:cs="Times New Roman"/>
        </w:rPr>
        <w:t xml:space="preserve">maximálnych vymeriavacích základov na úroveň päťnásobku priemernej mzdy. Celkový vplyv novely na daňové a odvodové príjmy je vo výške </w:t>
      </w:r>
      <w:r w:rsidR="00070AEC">
        <w:rPr>
          <w:rFonts w:ascii="Times New Roman" w:hAnsi="Times New Roman" w:cs="Times New Roman"/>
        </w:rPr>
        <w:br/>
      </w:r>
      <w:r w:rsidRPr="003628A9">
        <w:rPr>
          <w:rFonts w:ascii="Times New Roman" w:hAnsi="Times New Roman" w:cs="Times New Roman"/>
        </w:rPr>
        <w:t>215 mil. eur v roku 2012 a 1 01</w:t>
      </w:r>
      <w:r>
        <w:rPr>
          <w:rFonts w:ascii="Times New Roman" w:hAnsi="Times New Roman" w:cs="Times New Roman"/>
        </w:rPr>
        <w:t>7</w:t>
      </w:r>
      <w:r w:rsidRPr="003628A9">
        <w:rPr>
          <w:rFonts w:ascii="Times New Roman" w:hAnsi="Times New Roman" w:cs="Times New Roman"/>
        </w:rPr>
        <w:t xml:space="preserve"> mil. eur v roku 2013. Vzhľadom na veľkosť konsolidačného balíčka pristúpilo M</w:t>
      </w:r>
      <w:r w:rsidR="00070AEC">
        <w:rPr>
          <w:rFonts w:ascii="Times New Roman" w:hAnsi="Times New Roman" w:cs="Times New Roman"/>
        </w:rPr>
        <w:t>inisterstvo financií</w:t>
      </w:r>
      <w:r w:rsidRPr="003628A9">
        <w:rPr>
          <w:rFonts w:ascii="Times New Roman" w:hAnsi="Times New Roman" w:cs="Times New Roman"/>
        </w:rPr>
        <w:t xml:space="preserve"> SR ku zohľadneniu zhoršenej</w:t>
      </w:r>
      <w:r>
        <w:rPr>
          <w:rFonts w:ascii="Times New Roman" w:hAnsi="Times New Roman" w:cs="Times New Roman"/>
        </w:rPr>
        <w:t xml:space="preserve"> septembrovej makroprognózy aj do kvantifikácie vplyvov schváleného konsolidačného balíčka, ktorý bol prezentovaný v Návrhu rozpočtu verejnej správy na roky 2013 až 2015 z augusta 2012. </w:t>
      </w:r>
    </w:p>
    <w:p w:rsidR="005F4319" w:rsidRPr="006759EA" w:rsidP="005F4319">
      <w:pPr>
        <w:bidi w:val="0"/>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Novelou zákona</w:t>
      </w:r>
      <w:r>
        <w:rPr>
          <w:rFonts w:ascii="Times New Roman" w:hAnsi="Times New Roman" w:cs="Times New Roman"/>
        </w:rPr>
        <w:t xml:space="preserve"> č.</w:t>
      </w:r>
      <w:r w:rsidRPr="006759EA">
        <w:rPr>
          <w:rFonts w:ascii="Times New Roman" w:hAnsi="Times New Roman" w:cs="Times New Roman"/>
        </w:rPr>
        <w:t xml:space="preserve"> 384/2011 Z. z. o </w:t>
      </w:r>
      <w:r w:rsidRPr="006759EA">
        <w:rPr>
          <w:rFonts w:ascii="Times New Roman" w:hAnsi="Times New Roman" w:cs="Times New Roman"/>
          <w:b/>
        </w:rPr>
        <w:t xml:space="preserve">osobitnom odvode finančných inštitúcií </w:t>
      </w:r>
      <w:r w:rsidRPr="006759EA">
        <w:rPr>
          <w:rFonts w:ascii="Times New Roman" w:hAnsi="Times New Roman" w:cs="Times New Roman"/>
        </w:rPr>
        <w:t>sa s</w:t>
      </w:r>
      <w:r w:rsidRPr="006759EA">
        <w:rPr>
          <w:rFonts w:ascii="Times New Roman" w:hAnsi="Times New Roman" w:cs="Times New Roman"/>
          <w:b/>
        </w:rPr>
        <w:t xml:space="preserve"> </w:t>
      </w:r>
      <w:r>
        <w:rPr>
          <w:rFonts w:ascii="Times New Roman" w:hAnsi="Times New Roman" w:cs="Times New Roman"/>
        </w:rPr>
        <w:t xml:space="preserve">účinnosťou od 1. septembra </w:t>
      </w:r>
      <w:r w:rsidRPr="006759EA">
        <w:rPr>
          <w:rFonts w:ascii="Times New Roman" w:hAnsi="Times New Roman" w:cs="Times New Roman"/>
        </w:rPr>
        <w:t>2012 rozšírila základňa pre výpočet osobitného odvodu aj o hodnotu chránených vkladov, ktoré boli doposiaľ vyňaté. Súčasne bol zavedený jednorazový mimoriadny odvod v štvrtom štvrťroku 2012 vo výške 0,1</w:t>
      </w:r>
      <w:r>
        <w:rPr>
          <w:rFonts w:ascii="Times New Roman" w:hAnsi="Times New Roman" w:cs="Times New Roman"/>
        </w:rPr>
        <w:t xml:space="preserve"> </w:t>
      </w:r>
      <w:r w:rsidRPr="006759EA">
        <w:rPr>
          <w:rFonts w:ascii="Times New Roman" w:hAnsi="Times New Roman" w:cs="Times New Roman"/>
        </w:rPr>
        <w:t>% z rozšírenej základne. Sadzba odvodu sa bude postupne znižovať. V prvom kroku, ak celková suma uhradených odvodov dosiahne 500 mil. eur, sadzba odvodu sa zníži z 0,4</w:t>
      </w:r>
      <w:r>
        <w:rPr>
          <w:rFonts w:ascii="Times New Roman" w:hAnsi="Times New Roman" w:cs="Times New Roman"/>
        </w:rPr>
        <w:t xml:space="preserve"> </w:t>
      </w:r>
      <w:r w:rsidRPr="006759EA">
        <w:rPr>
          <w:rFonts w:ascii="Times New Roman" w:hAnsi="Times New Roman" w:cs="Times New Roman"/>
        </w:rPr>
        <w:t xml:space="preserve">% na 0,2 %. Dodatočný vplyv opatrení očistený o negatívny vplyv na DPPO na rok 2012 je vo výške </w:t>
      </w:r>
      <w:r w:rsidR="00070AEC">
        <w:rPr>
          <w:rFonts w:ascii="Times New Roman" w:hAnsi="Times New Roman" w:cs="Times New Roman"/>
        </w:rPr>
        <w:br/>
      </w:r>
      <w:r w:rsidRPr="006759EA">
        <w:rPr>
          <w:rFonts w:ascii="Times New Roman" w:hAnsi="Times New Roman" w:cs="Times New Roman"/>
        </w:rPr>
        <w:t xml:space="preserve">62 mil. eur a v roku 2013 vo výške 89 mil. eur. </w:t>
      </w:r>
    </w:p>
    <w:p w:rsidR="005F4319" w:rsidRPr="006759EA" w:rsidP="005F4319">
      <w:pPr>
        <w:bidi w:val="0"/>
        <w:ind w:firstLine="708"/>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Zákonom č. 235/2012 Z. z. o </w:t>
      </w:r>
      <w:r w:rsidRPr="006759EA">
        <w:rPr>
          <w:rFonts w:ascii="Times New Roman" w:hAnsi="Times New Roman" w:cs="Times New Roman"/>
          <w:b/>
        </w:rPr>
        <w:t>osobitnom odvode z podnikania v regulovaných odvetviach</w:t>
      </w:r>
      <w:r w:rsidRPr="006759EA">
        <w:rPr>
          <w:rFonts w:ascii="Times New Roman" w:hAnsi="Times New Roman" w:cs="Times New Roman"/>
        </w:rPr>
        <w:t xml:space="preserve"> sa s účinnosťou od 1. októbra 2012 zaviedlo nové opatrenie, ktoré ukladá povinnosť platenia osobitného odvodu z podnikania v regulovaných odvetviach. Opatrenie sa bude týkať iba spoločností, ktorých výnosy z regulovanej činnosti dosiahli aspoň 50</w:t>
      </w:r>
      <w:r>
        <w:rPr>
          <w:rFonts w:ascii="Times New Roman" w:hAnsi="Times New Roman" w:cs="Times New Roman"/>
        </w:rPr>
        <w:t xml:space="preserve"> </w:t>
      </w:r>
      <w:r w:rsidRPr="006759EA">
        <w:rPr>
          <w:rFonts w:ascii="Times New Roman" w:hAnsi="Times New Roman" w:cs="Times New Roman"/>
        </w:rPr>
        <w:t xml:space="preserve">% jej celkových výnosov. Základ pre výpočet </w:t>
      </w:r>
      <w:r>
        <w:rPr>
          <w:rFonts w:ascii="Times New Roman" w:hAnsi="Times New Roman" w:cs="Times New Roman"/>
        </w:rPr>
        <w:t xml:space="preserve">osobitného </w:t>
      </w:r>
      <w:r w:rsidRPr="006759EA">
        <w:rPr>
          <w:rFonts w:ascii="Times New Roman" w:hAnsi="Times New Roman" w:cs="Times New Roman"/>
        </w:rPr>
        <w:t xml:space="preserve">odvodu je hospodársky výsledok prevyšujúci 3 000 000 eur. Osobitný odvod bude súčasťou štátnych finančných aktív. Ide o jedno z dočasných konsolidačných opatrení pre roky 2012 a 2013 na dosiahnutie plánovaného deficitu verejných financií. Predpokladaný výnos na spomenuté roky očistený o negatívny vplyv na DPPO je 27 mil. eur v roku 2012 a 81 mil. eur v roku 2013. </w:t>
      </w:r>
    </w:p>
    <w:p w:rsidR="005F4319" w:rsidRPr="006759EA" w:rsidP="005F4319">
      <w:pPr>
        <w:bidi w:val="0"/>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Novelou zákona </w:t>
      </w:r>
      <w:r>
        <w:rPr>
          <w:rFonts w:ascii="Times New Roman" w:hAnsi="Times New Roman" w:cs="Times New Roman"/>
        </w:rPr>
        <w:t xml:space="preserve">č. </w:t>
      </w:r>
      <w:r w:rsidRPr="006759EA">
        <w:rPr>
          <w:rFonts w:ascii="Times New Roman" w:hAnsi="Times New Roman" w:cs="Times New Roman"/>
        </w:rPr>
        <w:t xml:space="preserve">106/2004 Z. z. </w:t>
      </w:r>
      <w:r w:rsidRPr="006759EA">
        <w:rPr>
          <w:rFonts w:ascii="Times New Roman" w:hAnsi="Times New Roman" w:cs="Times New Roman"/>
          <w:b/>
        </w:rPr>
        <w:t xml:space="preserve">o spotrebnej dani z tabakových výrobkov </w:t>
      </w:r>
      <w:r w:rsidRPr="006759EA">
        <w:rPr>
          <w:rFonts w:ascii="Times New Roman" w:hAnsi="Times New Roman" w:cs="Times New Roman"/>
        </w:rPr>
        <w:t>došlo k predsunutiu účinnosti novely na 1. októb</w:t>
      </w:r>
      <w:r>
        <w:rPr>
          <w:rFonts w:ascii="Times New Roman" w:hAnsi="Times New Roman" w:cs="Times New Roman"/>
        </w:rPr>
        <w:t>e</w:t>
      </w:r>
      <w:r w:rsidRPr="006759EA">
        <w:rPr>
          <w:rFonts w:ascii="Times New Roman" w:hAnsi="Times New Roman" w:cs="Times New Roman"/>
        </w:rPr>
        <w:t>r 2012.</w:t>
      </w:r>
      <w:r w:rsidRPr="006759EA">
        <w:rPr>
          <w:rFonts w:ascii="Times New Roman" w:hAnsi="Times New Roman" w:cs="Times New Roman"/>
          <w:b/>
        </w:rPr>
        <w:t xml:space="preserve"> </w:t>
      </w:r>
      <w:r w:rsidRPr="006759EA">
        <w:rPr>
          <w:rFonts w:ascii="Times New Roman" w:hAnsi="Times New Roman" w:cs="Times New Roman"/>
        </w:rPr>
        <w:t xml:space="preserve">Zvyšuje sa špecifická a minimálna sadzba spotrebnej dane z cigariet a upravujú sa sadzby ostatných tabakových výrobkov. Ustanovuje sa </w:t>
      </w:r>
      <w:r>
        <w:rPr>
          <w:rFonts w:ascii="Times New Roman" w:hAnsi="Times New Roman" w:cs="Times New Roman"/>
        </w:rPr>
        <w:t>jedno</w:t>
      </w:r>
      <w:r w:rsidRPr="006759EA">
        <w:rPr>
          <w:rFonts w:ascii="Times New Roman" w:hAnsi="Times New Roman" w:cs="Times New Roman"/>
        </w:rPr>
        <w:t xml:space="preserve">mesačná lehota pre dopredaj cigariet zdanených súčasnou sadzbou spotrebnej dane.  </w:t>
      </w:r>
    </w:p>
    <w:p w:rsidR="005F4319" w:rsidRPr="006759EA" w:rsidP="005F4319">
      <w:pPr>
        <w:bidi w:val="0"/>
        <w:jc w:val="both"/>
        <w:rPr>
          <w:rFonts w:ascii="Times New Roman" w:hAnsi="Times New Roman" w:cs="Times New Roman"/>
        </w:rPr>
      </w:pPr>
    </w:p>
    <w:p w:rsidR="005F4319" w:rsidP="005F4319">
      <w:pPr>
        <w:bidi w:val="0"/>
        <w:ind w:firstLine="708"/>
        <w:jc w:val="both"/>
        <w:rPr>
          <w:rFonts w:ascii="Times New Roman" w:hAnsi="Times New Roman" w:cs="Times New Roman"/>
        </w:rPr>
      </w:pPr>
      <w:r w:rsidRPr="006759EA">
        <w:rPr>
          <w:rFonts w:ascii="Times New Roman" w:hAnsi="Times New Roman" w:cs="Times New Roman"/>
        </w:rPr>
        <w:t xml:space="preserve">V oblasti </w:t>
      </w:r>
      <w:r w:rsidRPr="006759EA">
        <w:rPr>
          <w:rFonts w:ascii="Times New Roman" w:hAnsi="Times New Roman" w:cs="Times New Roman"/>
          <w:b/>
        </w:rPr>
        <w:t>správnych poplatkov</w:t>
      </w:r>
      <w:r w:rsidRPr="006759EA">
        <w:rPr>
          <w:rFonts w:ascii="Times New Roman" w:hAnsi="Times New Roman" w:cs="Times New Roman"/>
        </w:rPr>
        <w:t xml:space="preserve"> došlo k novelizácii zákona </w:t>
      </w:r>
      <w:r>
        <w:rPr>
          <w:rFonts w:ascii="Times New Roman" w:hAnsi="Times New Roman" w:cs="Times New Roman"/>
        </w:rPr>
        <w:t xml:space="preserve">č. </w:t>
      </w:r>
      <w:r w:rsidRPr="006759EA">
        <w:rPr>
          <w:rFonts w:ascii="Times New Roman" w:hAnsi="Times New Roman" w:cs="Times New Roman"/>
        </w:rPr>
        <w:t xml:space="preserve">145/1995 Z. z. Novela </w:t>
      </w:r>
      <w:r w:rsidRPr="006759EA">
        <w:rPr>
          <w:rFonts w:ascii="Times New Roman" w:hAnsi="Times New Roman"/>
        </w:rPr>
        <w:t>zvýšila úroveň viacerých sadzieb správnych a súdnych poplatkov a doplnila sadzobník o nové spoplatňované úkony a konania. Opatrenia zahŕňajú z</w:t>
      </w:r>
      <w:r w:rsidRPr="006759EA">
        <w:rPr>
          <w:rFonts w:ascii="Times New Roman" w:hAnsi="Times New Roman" w:cs="Times New Roman"/>
        </w:rPr>
        <w:t>výšenie odvodov z číselných lotérií a poplatkov pri registrácií motorových vozidiel, pričom sa s</w:t>
      </w:r>
      <w:r w:rsidRPr="006759EA">
        <w:rPr>
          <w:rFonts w:ascii="Times New Roman" w:hAnsi="Times New Roman"/>
        </w:rPr>
        <w:t>poplatňuje prvá evidencia motorových vozidiel kategórie L, M</w:t>
      </w:r>
      <w:r w:rsidRPr="006759EA">
        <w:rPr>
          <w:rFonts w:ascii="Times New Roman" w:hAnsi="Times New Roman"/>
          <w:vertAlign w:val="subscript"/>
        </w:rPr>
        <w:t>1</w:t>
      </w:r>
      <w:r w:rsidRPr="006759EA">
        <w:rPr>
          <w:rFonts w:ascii="Times New Roman" w:hAnsi="Times New Roman"/>
        </w:rPr>
        <w:t xml:space="preserve"> a N</w:t>
      </w:r>
      <w:r w:rsidRPr="006759EA">
        <w:rPr>
          <w:rFonts w:ascii="Times New Roman" w:hAnsi="Times New Roman"/>
          <w:vertAlign w:val="subscript"/>
        </w:rPr>
        <w:t xml:space="preserve">1 </w:t>
      </w:r>
      <w:r w:rsidRPr="006759EA">
        <w:rPr>
          <w:rFonts w:ascii="Times New Roman" w:hAnsi="Times New Roman"/>
        </w:rPr>
        <w:t xml:space="preserve">v závislosti od výkonu motora. </w:t>
      </w:r>
      <w:r w:rsidRPr="006759EA">
        <w:rPr>
          <w:rFonts w:ascii="Times New Roman" w:hAnsi="Times New Roman" w:cs="Times New Roman"/>
        </w:rPr>
        <w:t>Účinnosť zákona je od 1. októbra 2012. Samotné opatrenia majú pozitívny vplyv na výnos nedaňových príjmov, avšak zvýšenie poplatkov sa premietne negatívne do základu dane najmä právnických osôb s negatívnym vplyvom na výnos DPPO.</w:t>
      </w:r>
    </w:p>
    <w:p w:rsidR="005F4319" w:rsidRPr="006759EA" w:rsidP="005F4319">
      <w:pPr>
        <w:bidi w:val="0"/>
        <w:jc w:val="both"/>
        <w:rPr>
          <w:rFonts w:ascii="Times New Roman" w:hAnsi="Times New Roman" w:cs="Times New Roman"/>
        </w:rPr>
      </w:pPr>
    </w:p>
    <w:tbl>
      <w:tblPr>
        <w:tblStyle w:val="TableNormal"/>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1"/>
        <w:gridCol w:w="811"/>
        <w:gridCol w:w="811"/>
        <w:gridCol w:w="671"/>
        <w:gridCol w:w="671"/>
      </w:tblGrid>
      <w:tr>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3"/>
        </w:trPr>
        <w:tc>
          <w:tcPr>
            <w:tcW w:w="0" w:type="auto"/>
            <w:tcBorders>
              <w:top w:val="single" w:sz="4" w:space="0" w:color="auto"/>
              <w:left w:val="single" w:sz="4" w:space="0" w:color="auto"/>
              <w:bottom w:val="single" w:sz="4" w:space="0" w:color="auto"/>
              <w:right w:val="nil"/>
            </w:tcBorders>
            <w:shd w:val="clear" w:color="auto" w:fill="A6A6A6"/>
            <w:noWrap/>
            <w:textDirection w:val="lrTb"/>
            <w:vAlign w:val="center"/>
            <w:hideMark/>
          </w:tcPr>
          <w:p w:rsidR="005F4319" w:rsidRPr="00A13FDE" w:rsidP="00DC7838">
            <w:pPr>
              <w:bidi w:val="0"/>
              <w:rPr>
                <w:rFonts w:ascii="Times New Roman" w:hAnsi="Times New Roman" w:cs="Times New Roman"/>
                <w:b/>
                <w:bCs/>
                <w:color w:val="000000" w:themeColor="tx1" w:themeShade="FF"/>
                <w:sz w:val="14"/>
                <w:szCs w:val="14"/>
                <w:lang w:eastAsia="en-US"/>
              </w:rPr>
            </w:pPr>
            <w:r w:rsidRPr="00A13FDE">
              <w:rPr>
                <w:rFonts w:ascii="Times New Roman" w:hAnsi="Times New Roman" w:cs="Times New Roman"/>
                <w:b/>
                <w:bCs/>
                <w:color w:val="000000" w:themeColor="tx1" w:themeShade="FF"/>
                <w:sz w:val="14"/>
                <w:szCs w:val="14"/>
                <w:lang w:eastAsia="en-US"/>
              </w:rPr>
              <w:t>Konsolidačné opatrenia schválené v</w:t>
            </w:r>
            <w:r w:rsidR="00C30226">
              <w:rPr>
                <w:rFonts w:ascii="Times New Roman" w:hAnsi="Times New Roman" w:cs="Times New Roman"/>
                <w:b/>
                <w:bCs/>
                <w:color w:val="000000" w:themeColor="tx1" w:themeShade="FF"/>
                <w:sz w:val="14"/>
                <w:szCs w:val="14"/>
                <w:lang w:eastAsia="en-US"/>
              </w:rPr>
              <w:t> </w:t>
            </w:r>
            <w:r w:rsidRPr="00A13FDE">
              <w:rPr>
                <w:rFonts w:ascii="Times New Roman" w:hAnsi="Times New Roman" w:cs="Times New Roman"/>
                <w:b/>
                <w:bCs/>
                <w:color w:val="000000" w:themeColor="tx1" w:themeShade="FF"/>
                <w:sz w:val="14"/>
                <w:szCs w:val="14"/>
                <w:lang w:eastAsia="en-US"/>
              </w:rPr>
              <w:t>NR</w:t>
            </w:r>
            <w:r w:rsidR="00C30226">
              <w:rPr>
                <w:rFonts w:ascii="Times New Roman" w:hAnsi="Times New Roman" w:cs="Times New Roman"/>
                <w:b/>
                <w:bCs/>
                <w:color w:val="000000" w:themeColor="tx1" w:themeShade="FF"/>
                <w:sz w:val="14"/>
                <w:szCs w:val="14"/>
                <w:lang w:eastAsia="en-US"/>
              </w:rPr>
              <w:t xml:space="preserve"> </w:t>
            </w:r>
            <w:r w:rsidRPr="00A13FDE">
              <w:rPr>
                <w:rFonts w:ascii="Times New Roman" w:hAnsi="Times New Roman" w:cs="Times New Roman"/>
                <w:b/>
                <w:bCs/>
                <w:color w:val="000000" w:themeColor="tx1" w:themeShade="FF"/>
                <w:sz w:val="14"/>
                <w:szCs w:val="14"/>
                <w:lang w:eastAsia="en-US"/>
              </w:rPr>
              <w:t>SR (ESA 95, tis. eur)</w:t>
            </w:r>
          </w:p>
        </w:tc>
        <w:tc>
          <w:tcPr>
            <w:tcW w:w="0" w:type="auto"/>
            <w:tcBorders>
              <w:top w:val="single" w:sz="4" w:space="0" w:color="auto"/>
              <w:left w:val="nil"/>
              <w:bottom w:val="single" w:sz="4" w:space="0" w:color="auto"/>
              <w:right w:val="nil"/>
            </w:tcBorders>
            <w:shd w:val="clear" w:color="auto" w:fill="A6A6A6"/>
            <w:noWrap/>
            <w:textDirection w:val="lrTb"/>
            <w:vAlign w:val="center"/>
            <w:hideMark/>
          </w:tcPr>
          <w:p w:rsidR="005F4319" w:rsidRPr="00A13FDE" w:rsidP="00DC7838">
            <w:pPr>
              <w:bidi w:val="0"/>
              <w:rPr>
                <w:rFonts w:ascii="Times New Roman" w:hAnsi="Times New Roman" w:cs="Times New Roman"/>
                <w:b/>
                <w:bCs/>
                <w:color w:val="000000" w:themeColor="tx1" w:themeShade="FF"/>
                <w:sz w:val="14"/>
                <w:szCs w:val="14"/>
                <w:lang w:eastAsia="en-US"/>
              </w:rPr>
            </w:pPr>
            <w:r w:rsidRPr="00A13FDE">
              <w:rPr>
                <w:rFonts w:ascii="Times New Roman" w:hAnsi="Times New Roman" w:cs="Times New Roman"/>
                <w:b/>
                <w:bCs/>
                <w:color w:val="000000" w:themeColor="tx1" w:themeShade="FF"/>
                <w:sz w:val="14"/>
                <w:szCs w:val="14"/>
                <w:lang w:eastAsia="en-US"/>
              </w:rPr>
              <w:t> </w:t>
            </w:r>
          </w:p>
        </w:tc>
        <w:tc>
          <w:tcPr>
            <w:tcW w:w="0" w:type="auto"/>
            <w:tcBorders>
              <w:top w:val="single" w:sz="4" w:space="0" w:color="auto"/>
              <w:left w:val="nil"/>
              <w:bottom w:val="single" w:sz="4" w:space="0" w:color="auto"/>
              <w:right w:val="nil"/>
            </w:tcBorders>
            <w:shd w:val="clear" w:color="auto" w:fill="A6A6A6"/>
            <w:noWrap/>
            <w:textDirection w:val="lrTb"/>
            <w:vAlign w:val="center"/>
            <w:hideMark/>
          </w:tcPr>
          <w:p w:rsidR="005F4319" w:rsidRPr="00A13FDE" w:rsidP="00DC7838">
            <w:pPr>
              <w:bidi w:val="0"/>
              <w:rPr>
                <w:rFonts w:ascii="Times New Roman" w:hAnsi="Times New Roman" w:cs="Times New Roman"/>
                <w:b/>
                <w:bCs/>
                <w:color w:val="000000" w:themeColor="tx1" w:themeShade="FF"/>
                <w:sz w:val="14"/>
                <w:szCs w:val="14"/>
                <w:lang w:eastAsia="en-US"/>
              </w:rPr>
            </w:pPr>
            <w:r w:rsidRPr="00A13FDE">
              <w:rPr>
                <w:rFonts w:ascii="Times New Roman" w:hAnsi="Times New Roman" w:cs="Times New Roman"/>
                <w:b/>
                <w:bCs/>
                <w:color w:val="000000" w:themeColor="tx1" w:themeShade="FF"/>
                <w:sz w:val="14"/>
                <w:szCs w:val="14"/>
                <w:lang w:eastAsia="en-US"/>
              </w:rPr>
              <w:t> </w:t>
            </w:r>
          </w:p>
        </w:tc>
        <w:tc>
          <w:tcPr>
            <w:tcW w:w="0" w:type="auto"/>
            <w:tcBorders>
              <w:top w:val="single" w:sz="4" w:space="0" w:color="auto"/>
              <w:left w:val="nil"/>
              <w:bottom w:val="single" w:sz="4" w:space="0" w:color="auto"/>
              <w:right w:val="nil"/>
            </w:tcBorders>
            <w:shd w:val="clear" w:color="auto" w:fill="A6A6A6"/>
            <w:noWrap/>
            <w:textDirection w:val="lrTb"/>
            <w:vAlign w:val="center"/>
            <w:hideMark/>
          </w:tcPr>
          <w:p w:rsidR="005F4319" w:rsidRPr="00A13FDE" w:rsidP="00DC7838">
            <w:pPr>
              <w:bidi w:val="0"/>
              <w:rPr>
                <w:rFonts w:ascii="Times New Roman" w:hAnsi="Times New Roman" w:cs="Times New Roman"/>
                <w:b/>
                <w:bCs/>
                <w:color w:val="000000" w:themeColor="tx1" w:themeShade="FF"/>
                <w:sz w:val="14"/>
                <w:szCs w:val="14"/>
                <w:lang w:eastAsia="en-US"/>
              </w:rPr>
            </w:pPr>
            <w:r w:rsidRPr="00A13FDE">
              <w:rPr>
                <w:rFonts w:ascii="Times New Roman" w:hAnsi="Times New Roman" w:cs="Times New Roman"/>
                <w:b/>
                <w:bCs/>
                <w:color w:val="000000" w:themeColor="tx1" w:themeShade="FF"/>
                <w:sz w:val="14"/>
                <w:szCs w:val="14"/>
                <w:lang w:eastAsia="en-US"/>
              </w:rPr>
              <w:t> </w:t>
            </w:r>
          </w:p>
        </w:tc>
        <w:tc>
          <w:tcPr>
            <w:tcW w:w="0" w:type="auto"/>
            <w:tcBorders>
              <w:top w:val="single" w:sz="4" w:space="0" w:color="auto"/>
              <w:left w:val="nil"/>
              <w:bottom w:val="single" w:sz="4" w:space="0" w:color="auto"/>
              <w:right w:val="nil"/>
            </w:tcBorders>
            <w:shd w:val="clear" w:color="auto" w:fill="A6A6A6"/>
            <w:noWrap/>
            <w:textDirection w:val="lrTb"/>
            <w:vAlign w:val="center"/>
            <w:hideMark/>
          </w:tcPr>
          <w:p w:rsidR="005F4319" w:rsidRPr="00A13FDE" w:rsidP="00DC7838">
            <w:pPr>
              <w:bidi w:val="0"/>
              <w:rPr>
                <w:rFonts w:ascii="Times New Roman" w:hAnsi="Times New Roman" w:cs="Times New Roman"/>
                <w:b/>
                <w:bCs/>
                <w:color w:val="000000" w:themeColor="tx1" w:themeShade="FF"/>
                <w:sz w:val="14"/>
                <w:szCs w:val="14"/>
                <w:lang w:eastAsia="en-US"/>
              </w:rPr>
            </w:pPr>
            <w:r w:rsidRPr="00A13FDE">
              <w:rPr>
                <w:rFonts w:ascii="Times New Roman" w:hAnsi="Times New Roman" w:cs="Times New Roman"/>
                <w:b/>
                <w:bCs/>
                <w:color w:val="000000" w:themeColor="tx1" w:themeShade="FF"/>
                <w:sz w:val="14"/>
                <w:szCs w:val="14"/>
                <w:lang w:eastAsia="en-US"/>
              </w:rPr>
              <w:t> </w:t>
            </w:r>
          </w:p>
        </w:tc>
      </w:tr>
      <w:tr>
        <w:tblPrEx>
          <w:tblW w:w="0" w:type="auto"/>
          <w:tblInd w:w="93" w:type="dxa"/>
          <w:tblLook w:val="04A0"/>
        </w:tblPrEx>
        <w:trPr>
          <w:trHeight w:val="283"/>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rPr>
                <w:rFonts w:ascii="Times New Roman" w:hAnsi="Times New Roman" w:cs="Times New Roman"/>
                <w:b/>
                <w:bCs/>
                <w:color w:val="000000"/>
                <w:sz w:val="14"/>
                <w:szCs w:val="14"/>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2012</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2013</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2014</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106F36">
            <w:pPr>
              <w:bidi w:val="0"/>
              <w:jc w:val="center"/>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2015</w:t>
            </w:r>
          </w:p>
        </w:tc>
      </w:tr>
      <w:tr>
        <w:tblPrEx>
          <w:tblW w:w="0" w:type="auto"/>
          <w:tblInd w:w="93" w:type="dxa"/>
          <w:tblLook w:val="04A0"/>
        </w:tblPrEx>
        <w:trPr>
          <w:trHeight w:val="283"/>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DC7838">
            <w:pPr>
              <w:bidi w:val="0"/>
              <w:rPr>
                <w:rFonts w:ascii="Times New Roman" w:hAnsi="Times New Roman" w:cs="Times New Roman"/>
                <w:b/>
                <w:bCs/>
                <w:color w:val="000000"/>
                <w:sz w:val="14"/>
                <w:szCs w:val="14"/>
                <w:lang w:eastAsia="sk-SK"/>
              </w:rPr>
            </w:pPr>
            <w:r w:rsidRPr="00A13FDE">
              <w:rPr>
                <w:rFonts w:ascii="Times New Roman" w:hAnsi="Times New Roman" w:cs="Times New Roman"/>
                <w:b/>
                <w:bCs/>
                <w:color w:val="000000"/>
                <w:sz w:val="14"/>
                <w:szCs w:val="14"/>
                <w:lang w:eastAsia="en-US"/>
              </w:rPr>
              <w:t>Vplyv legislatívnych opatrení na daňové príjmy spolu***</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color w:val="000000"/>
                <w:sz w:val="14"/>
                <w:szCs w:val="14"/>
                <w:lang w:eastAsia="en-US"/>
              </w:rPr>
            </w:pPr>
            <w:r w:rsidRPr="00A13FDE">
              <w:rPr>
                <w:rFonts w:ascii="Times New Roman" w:hAnsi="Times New Roman" w:cs="Times New Roman"/>
                <w:b/>
                <w:color w:val="000000"/>
                <w:sz w:val="14"/>
                <w:szCs w:val="14"/>
                <w:lang w:eastAsia="en-US"/>
              </w:rPr>
              <w:t>304 076</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color w:val="000000"/>
                <w:sz w:val="14"/>
                <w:szCs w:val="14"/>
                <w:lang w:eastAsia="en-US"/>
              </w:rPr>
            </w:pPr>
            <w:r w:rsidRPr="00A13FDE">
              <w:rPr>
                <w:rFonts w:ascii="Times New Roman" w:hAnsi="Times New Roman" w:cs="Times New Roman"/>
                <w:b/>
                <w:color w:val="000000"/>
                <w:sz w:val="14"/>
                <w:szCs w:val="14"/>
                <w:lang w:eastAsia="en-US"/>
              </w:rPr>
              <w:t>1 193 531</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color w:val="000000"/>
                <w:sz w:val="14"/>
                <w:szCs w:val="14"/>
                <w:lang w:eastAsia="en-US"/>
              </w:rPr>
            </w:pPr>
            <w:r w:rsidRPr="00A13FDE">
              <w:rPr>
                <w:rFonts w:ascii="Times New Roman" w:hAnsi="Times New Roman" w:cs="Times New Roman"/>
                <w:b/>
                <w:color w:val="000000"/>
                <w:sz w:val="14"/>
                <w:szCs w:val="14"/>
                <w:lang w:eastAsia="en-US"/>
              </w:rPr>
              <w:t>955 742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b/>
                <w:color w:val="000000"/>
                <w:sz w:val="14"/>
                <w:szCs w:val="14"/>
                <w:lang w:eastAsia="en-US"/>
              </w:rPr>
            </w:pPr>
            <w:r w:rsidRPr="00A13FDE">
              <w:rPr>
                <w:rFonts w:ascii="Times New Roman" w:hAnsi="Times New Roman" w:cs="Times New Roman"/>
                <w:b/>
                <w:color w:val="000000"/>
                <w:sz w:val="14"/>
                <w:szCs w:val="14"/>
                <w:lang w:eastAsia="en-US"/>
              </w:rPr>
              <w:t>942 129</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A13FDE" w:rsidP="00DC7838">
            <w:pPr>
              <w:bidi w:val="0"/>
              <w:ind w:left="170" w:hanging="170"/>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 xml:space="preserve">1. Zvýšenie a zosúladenie maximálnych vymeriavacích základov (VZ) na úrovni 5-násobku PM (novela </w:t>
            </w:r>
            <w:r w:rsidR="00070AEC">
              <w:rPr>
                <w:rFonts w:ascii="Times New Roman" w:hAnsi="Times New Roman" w:cs="Times New Roman"/>
                <w:b/>
                <w:bCs/>
                <w:color w:val="000000"/>
                <w:sz w:val="14"/>
                <w:szCs w:val="14"/>
                <w:lang w:eastAsia="en-US"/>
              </w:rPr>
              <w:t xml:space="preserve">zákona č. </w:t>
            </w:r>
            <w:r w:rsidRPr="00A13FDE">
              <w:rPr>
                <w:rFonts w:ascii="Times New Roman" w:hAnsi="Times New Roman" w:cs="Times New Roman"/>
                <w:b/>
                <w:bCs/>
                <w:color w:val="000000"/>
                <w:sz w:val="14"/>
                <w:szCs w:val="14"/>
                <w:lang w:eastAsia="en-US"/>
              </w:rPr>
              <w:t>461/2003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129 977</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138 985</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150 040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DPFO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-11 244</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-12 002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-13 001</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DPPO*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-20 802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-22 237</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-24 018</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sociálne poistenie</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100 493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107 441</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116 164</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zdravotné poistenie</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61 529</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65 783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70 894</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A13FDE" w:rsidP="00DC7838">
            <w:pPr>
              <w:bidi w:val="0"/>
              <w:ind w:left="170" w:hanging="170"/>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 xml:space="preserve">2. Zvýšenie v odvodovej povinnosti SZČO – zvýšenie min. VZ, zmeny vo výpočte VZ pre platenie odvodov (novela </w:t>
            </w:r>
            <w:r w:rsidR="00070AEC">
              <w:rPr>
                <w:rFonts w:ascii="Times New Roman" w:hAnsi="Times New Roman" w:cs="Times New Roman"/>
                <w:b/>
                <w:bCs/>
                <w:color w:val="000000"/>
                <w:sz w:val="14"/>
                <w:szCs w:val="14"/>
                <w:lang w:eastAsia="en-US"/>
              </w:rPr>
              <w:t xml:space="preserve">zákona č.  </w:t>
            </w:r>
            <w:r w:rsidRPr="00A13FDE">
              <w:rPr>
                <w:rFonts w:ascii="Times New Roman" w:hAnsi="Times New Roman" w:cs="Times New Roman"/>
                <w:b/>
                <w:bCs/>
                <w:color w:val="000000"/>
                <w:sz w:val="14"/>
                <w:szCs w:val="14"/>
                <w:lang w:eastAsia="en-US"/>
              </w:rPr>
              <w:t>461/2003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51 517</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74 618</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94 169</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DPFO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-8 208</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-8 471</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-8 809</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sociálne poistenie</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33 049</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46 480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60 564</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zdravotné poistenie</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26 676</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36 609</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42 415</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A13FDE" w:rsidP="00DC7838">
            <w:pPr>
              <w:bidi w:val="0"/>
              <w:ind w:left="170" w:hanging="170"/>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 xml:space="preserve">3. Zavedenie odvodovej povinnosti na príjmy z dohôd (novela </w:t>
            </w:r>
            <w:r w:rsidR="00070AEC">
              <w:rPr>
                <w:rFonts w:ascii="Times New Roman" w:hAnsi="Times New Roman" w:cs="Times New Roman"/>
                <w:b/>
                <w:bCs/>
                <w:color w:val="000000"/>
                <w:sz w:val="14"/>
                <w:szCs w:val="14"/>
                <w:lang w:eastAsia="en-US"/>
              </w:rPr>
              <w:t xml:space="preserve">zákona č.  </w:t>
            </w:r>
            <w:r w:rsidRPr="00A13FDE">
              <w:rPr>
                <w:rFonts w:ascii="Times New Roman" w:hAnsi="Times New Roman" w:cs="Times New Roman"/>
                <w:b/>
                <w:bCs/>
                <w:color w:val="000000"/>
                <w:sz w:val="14"/>
                <w:szCs w:val="14"/>
                <w:lang w:eastAsia="en-US"/>
              </w:rPr>
              <w:t>461/2003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133 922</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140 667</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149 274</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DPFO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-29 570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-31 423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-33 800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sociálne poistenie</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122 653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128 868</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136 414</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zdravotné poistenie</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40 839</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43 222</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46 659</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A13FDE" w:rsidP="00DC7838">
            <w:pPr>
              <w:bidi w:val="0"/>
              <w:ind w:left="170" w:hanging="170"/>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 xml:space="preserve">4. Zmeny v 2. pilieri – zníženie príspevkov na dôchodkové sporenie, otvorenie 2. piliera a pod. (novela </w:t>
            </w:r>
            <w:r w:rsidR="00070AEC">
              <w:rPr>
                <w:rFonts w:ascii="Times New Roman" w:hAnsi="Times New Roman" w:cs="Times New Roman"/>
                <w:b/>
                <w:bCs/>
                <w:color w:val="000000"/>
                <w:sz w:val="14"/>
                <w:szCs w:val="14"/>
                <w:lang w:eastAsia="en-US"/>
              </w:rPr>
              <w:t xml:space="preserve">zákona č.  </w:t>
            </w:r>
            <w:r w:rsidRPr="00A13FDE">
              <w:rPr>
                <w:rFonts w:ascii="Times New Roman" w:hAnsi="Times New Roman" w:cs="Times New Roman"/>
                <w:b/>
                <w:bCs/>
                <w:color w:val="000000"/>
                <w:sz w:val="14"/>
                <w:szCs w:val="14"/>
                <w:lang w:eastAsia="en-US"/>
              </w:rPr>
              <w:t>461/2003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215 003</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701 363</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505 381</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535 550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DPFO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-810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-8 950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-9 360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sociálne poistenie</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215 003**</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702 174**</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514 332</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544 910</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A13FDE" w:rsidP="00DC7838">
            <w:pPr>
              <w:bidi w:val="0"/>
              <w:ind w:left="170" w:hanging="170"/>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 xml:space="preserve">5. Rozšírenie osobitného odvodu a zavedenie mimoriadneho odvodu v bankovom sektore </w:t>
            </w:r>
            <w:r w:rsidR="00070AEC">
              <w:rPr>
                <w:rFonts w:ascii="Times New Roman" w:hAnsi="Times New Roman" w:cs="Times New Roman"/>
                <w:b/>
                <w:bCs/>
                <w:color w:val="000000"/>
                <w:sz w:val="14"/>
                <w:szCs w:val="14"/>
                <w:lang w:eastAsia="en-US"/>
              </w:rPr>
              <w:br/>
            </w:r>
            <w:r w:rsidRPr="00A13FDE">
              <w:rPr>
                <w:rFonts w:ascii="Times New Roman" w:hAnsi="Times New Roman" w:cs="Times New Roman"/>
                <w:b/>
                <w:bCs/>
                <w:color w:val="000000"/>
                <w:sz w:val="14"/>
                <w:szCs w:val="14"/>
                <w:lang w:eastAsia="en-US"/>
              </w:rPr>
              <w:t xml:space="preserve">(novela </w:t>
            </w:r>
            <w:r w:rsidR="00070AEC">
              <w:rPr>
                <w:rFonts w:ascii="Times New Roman" w:hAnsi="Times New Roman" w:cs="Times New Roman"/>
                <w:b/>
                <w:bCs/>
                <w:color w:val="000000"/>
                <w:sz w:val="14"/>
                <w:szCs w:val="14"/>
                <w:lang w:eastAsia="en-US"/>
              </w:rPr>
              <w:t xml:space="preserve">zákona č.  </w:t>
            </w:r>
            <w:r w:rsidRPr="00A13FDE">
              <w:rPr>
                <w:rFonts w:ascii="Times New Roman" w:hAnsi="Times New Roman" w:cs="Times New Roman"/>
                <w:b/>
                <w:bCs/>
                <w:color w:val="000000"/>
                <w:sz w:val="14"/>
                <w:szCs w:val="14"/>
                <w:lang w:eastAsia="en-US"/>
              </w:rPr>
              <w:t>384/2011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62 369</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88 997</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88 997</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5 678</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DPPO*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-14 630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-20 876</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-20 876</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-1 332</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mimoriadny odvod</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49 531</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osobitný odvod</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27 468</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109 873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109 873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jc w:val="right"/>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7 010</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A13FDE" w:rsidP="00DC7838">
            <w:pPr>
              <w:bidi w:val="0"/>
              <w:ind w:left="170" w:hanging="170"/>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 xml:space="preserve">6. Zavedenie dočasného osobitného odvodu z podnikania v regulovaných odvetviach </w:t>
            </w:r>
            <w:r w:rsidR="00070AEC">
              <w:rPr>
                <w:rFonts w:ascii="Times New Roman" w:hAnsi="Times New Roman" w:cs="Times New Roman"/>
                <w:b/>
                <w:bCs/>
                <w:color w:val="000000"/>
                <w:sz w:val="14"/>
                <w:szCs w:val="14"/>
                <w:lang w:eastAsia="en-US"/>
              </w:rPr>
              <w:br/>
            </w:r>
            <w:r w:rsidRPr="00A13FDE">
              <w:rPr>
                <w:rFonts w:ascii="Times New Roman" w:hAnsi="Times New Roman" w:cs="Times New Roman"/>
                <w:b/>
                <w:bCs/>
                <w:color w:val="000000"/>
                <w:sz w:val="14"/>
                <w:szCs w:val="14"/>
                <w:lang w:eastAsia="en-US"/>
              </w:rPr>
              <w:t>(zákon č. 235/2012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27 000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81 000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DPPO*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-6 333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-19 000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 </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osobitný odvod</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33 333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100 000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0</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A13FDE" w:rsidP="00070AEC">
            <w:pPr>
              <w:bidi w:val="0"/>
              <w:ind w:left="170" w:hanging="170"/>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 xml:space="preserve">7. Predsunutie zvýšenia spotrebnej dane z tabakových výrobkov (novela </w:t>
            </w:r>
            <w:r w:rsidR="00070AEC">
              <w:rPr>
                <w:rFonts w:ascii="Times New Roman" w:hAnsi="Times New Roman" w:cs="Times New Roman"/>
                <w:b/>
                <w:bCs/>
                <w:color w:val="000000"/>
                <w:sz w:val="14"/>
                <w:szCs w:val="14"/>
                <w:lang w:eastAsia="en-US"/>
              </w:rPr>
              <w:t xml:space="preserve">zákona č. </w:t>
            </w:r>
            <w:r w:rsidRPr="00A13FDE">
              <w:rPr>
                <w:rFonts w:ascii="Times New Roman" w:hAnsi="Times New Roman" w:cs="Times New Roman"/>
                <w:b/>
                <w:bCs/>
                <w:color w:val="000000"/>
                <w:sz w:val="14"/>
                <w:szCs w:val="14"/>
                <w:lang w:eastAsia="en-US"/>
              </w:rPr>
              <w:t>106/2004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8 147</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8 514</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8 871</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spotrebnú daň z tabakových výrobkov</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8 147</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8 514</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8 871</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A13FDE" w:rsidP="00070AEC">
            <w:pPr>
              <w:bidi w:val="0"/>
              <w:ind w:left="170" w:hanging="170"/>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 xml:space="preserve">8. Zvýšenie poplatku pri registrácii (novela </w:t>
            </w:r>
            <w:r w:rsidR="00070AEC">
              <w:rPr>
                <w:rFonts w:ascii="Times New Roman" w:hAnsi="Times New Roman" w:cs="Times New Roman"/>
                <w:b/>
                <w:bCs/>
                <w:color w:val="000000"/>
                <w:sz w:val="14"/>
                <w:szCs w:val="14"/>
                <w:lang w:eastAsia="en-US"/>
              </w:rPr>
              <w:t xml:space="preserve">zákona č. </w:t>
            </w:r>
            <w:r w:rsidRPr="00A13FDE">
              <w:rPr>
                <w:rFonts w:ascii="Times New Roman" w:hAnsi="Times New Roman" w:cs="Times New Roman"/>
                <w:b/>
                <w:bCs/>
                <w:color w:val="000000"/>
                <w:sz w:val="14"/>
                <w:szCs w:val="14"/>
                <w:lang w:eastAsia="en-US"/>
              </w:rPr>
              <w:t>145/1995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-274</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-1 259</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-1 287</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-1 321</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DPPO*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-274</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-1 259</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-1 287</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-1 321</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A13FDE" w:rsidP="00DC7838">
            <w:pPr>
              <w:bidi w:val="0"/>
              <w:ind w:left="170" w:hanging="170"/>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 xml:space="preserve">9. Zmeny v zdaňovaní hazardných hier (novela </w:t>
            </w:r>
            <w:r w:rsidR="00070AEC">
              <w:rPr>
                <w:rFonts w:ascii="Times New Roman" w:hAnsi="Times New Roman" w:cs="Times New Roman"/>
                <w:b/>
                <w:bCs/>
                <w:color w:val="000000"/>
                <w:sz w:val="14"/>
                <w:szCs w:val="14"/>
                <w:lang w:eastAsia="en-US"/>
              </w:rPr>
              <w:t xml:space="preserve">zákona č. </w:t>
            </w:r>
            <w:r w:rsidRPr="00A13FDE">
              <w:rPr>
                <w:rFonts w:ascii="Times New Roman" w:hAnsi="Times New Roman" w:cs="Times New Roman"/>
                <w:b/>
                <w:bCs/>
                <w:color w:val="000000"/>
                <w:sz w:val="14"/>
                <w:szCs w:val="14"/>
                <w:lang w:eastAsia="en-US"/>
              </w:rPr>
              <w:t>145/1995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-22</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-132</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-133</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A13FDE" w:rsidP="00DC7838">
            <w:pPr>
              <w:bidi w:val="0"/>
              <w:ind w:left="170" w:hanging="170"/>
              <w:jc w:val="right"/>
              <w:rPr>
                <w:rFonts w:ascii="Times New Roman" w:hAnsi="Times New Roman" w:cs="Times New Roman"/>
                <w:b/>
                <w:bCs/>
                <w:color w:val="000000"/>
                <w:sz w:val="14"/>
                <w:szCs w:val="14"/>
                <w:lang w:eastAsia="en-US"/>
              </w:rPr>
            </w:pPr>
            <w:r w:rsidRPr="00A13FDE">
              <w:rPr>
                <w:rFonts w:ascii="Times New Roman" w:hAnsi="Times New Roman" w:cs="Times New Roman"/>
                <w:b/>
                <w:bCs/>
                <w:color w:val="000000"/>
                <w:sz w:val="14"/>
                <w:szCs w:val="14"/>
                <w:lang w:eastAsia="en-US"/>
              </w:rPr>
              <w:t>-133</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A13FDE" w:rsidP="00A13FDE">
            <w:pPr>
              <w:bidi w:val="0"/>
              <w:ind w:firstLine="280" w:firstLineChars="200"/>
              <w:rPr>
                <w:rFonts w:ascii="Times New Roman" w:hAnsi="Times New Roman" w:cs="Times New Roman"/>
                <w:color w:val="000000"/>
                <w:sz w:val="14"/>
                <w:szCs w:val="14"/>
                <w:lang w:eastAsia="en-US"/>
              </w:rPr>
            </w:pPr>
            <w:r w:rsidRPr="00A13FDE">
              <w:rPr>
                <w:rFonts w:ascii="Times New Roman" w:hAnsi="Times New Roman" w:cs="Times New Roman"/>
                <w:color w:val="000000"/>
                <w:sz w:val="14"/>
                <w:szCs w:val="14"/>
                <w:lang w:eastAsia="en-US"/>
              </w:rPr>
              <w:t>z toho: vplyv na DPPO*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-22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-132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-133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A13FDE" w:rsidP="00DC7838">
            <w:pPr>
              <w:bidi w:val="0"/>
              <w:ind w:left="170" w:hanging="170"/>
              <w:jc w:val="right"/>
              <w:rPr>
                <w:rFonts w:ascii="Times New Roman" w:hAnsi="Times New Roman" w:cs="Times New Roman"/>
                <w:bCs/>
                <w:color w:val="000000"/>
                <w:sz w:val="14"/>
                <w:szCs w:val="14"/>
                <w:lang w:eastAsia="en-US"/>
              </w:rPr>
            </w:pPr>
            <w:r w:rsidRPr="00A13FDE">
              <w:rPr>
                <w:rFonts w:ascii="Times New Roman" w:hAnsi="Times New Roman" w:cs="Times New Roman"/>
                <w:bCs/>
                <w:color w:val="000000"/>
                <w:sz w:val="14"/>
                <w:szCs w:val="14"/>
                <w:lang w:eastAsia="en-US"/>
              </w:rPr>
              <w:t>-133</w:t>
            </w:r>
          </w:p>
        </w:tc>
      </w:tr>
      <w:tr>
        <w:tblPrEx>
          <w:tblW w:w="0" w:type="auto"/>
          <w:tblInd w:w="93" w:type="dxa"/>
          <w:tblLook w:val="04A0"/>
        </w:tblPrEx>
        <w:trPr>
          <w:trHeight w:val="240"/>
        </w:trPr>
        <w:tc>
          <w:tcPr>
            <w:tcW w:w="0" w:type="auto"/>
            <w:gridSpan w:val="5"/>
            <w:tcBorders>
              <w:top w:val="single" w:sz="4" w:space="0" w:color="auto"/>
              <w:left w:val="nil"/>
              <w:bottom w:val="nil"/>
              <w:right w:val="nil"/>
            </w:tcBorders>
            <w:noWrap/>
            <w:textDirection w:val="lrTb"/>
            <w:vAlign w:val="bottom"/>
            <w:hideMark/>
          </w:tcPr>
          <w:p w:rsidR="005F4319" w:rsidRPr="00A13FDE" w:rsidP="00DC7838">
            <w:pPr>
              <w:bidi w:val="0"/>
              <w:rPr>
                <w:rFonts w:ascii="Times New Roman" w:hAnsi="Times New Roman" w:cs="Times New Roman"/>
                <w:sz w:val="14"/>
                <w:szCs w:val="14"/>
                <w:lang w:eastAsia="en-US"/>
              </w:rPr>
            </w:pPr>
            <w:r w:rsidRPr="00A13FDE">
              <w:rPr>
                <w:rFonts w:ascii="Times New Roman" w:hAnsi="Times New Roman" w:cs="Times New Roman"/>
                <w:sz w:val="14"/>
                <w:szCs w:val="14"/>
                <w:lang w:eastAsia="en-US"/>
              </w:rPr>
              <w:t xml:space="preserve">Pozn.: * negatívny vplyv na DPPO vyplýva zo zníženia základu dane a je kvantifikované za predpokladu 19% sadzby, </w:t>
            </w:r>
          </w:p>
          <w:p w:rsidR="005F4319" w:rsidRPr="00A13FDE" w:rsidP="00DC7838">
            <w:pPr>
              <w:bidi w:val="0"/>
              <w:rPr>
                <w:rFonts w:ascii="Times New Roman" w:hAnsi="Times New Roman" w:cs="Times New Roman"/>
                <w:sz w:val="14"/>
                <w:szCs w:val="14"/>
                <w:lang w:eastAsia="en-US"/>
              </w:rPr>
            </w:pPr>
            <w:r w:rsidRPr="00A13FDE">
              <w:rPr>
                <w:rFonts w:ascii="Times New Roman" w:hAnsi="Times New Roman" w:cs="Times New Roman"/>
                <w:sz w:val="14"/>
                <w:szCs w:val="14"/>
                <w:lang w:eastAsia="en-US"/>
              </w:rPr>
              <w:t xml:space="preserve">            ** vrátane jednorazového vplyvu (68,3 mil. eur v r. 2012 a 212,2 mil. eur v r. 2013), ktorý neovplyvňuje saldo verejnej správy</w:t>
            </w:r>
          </w:p>
          <w:p w:rsidR="005F4319" w:rsidRPr="00A13FDE" w:rsidP="00DC7838">
            <w:pPr>
              <w:bidi w:val="0"/>
              <w:rPr>
                <w:rFonts w:ascii="Times New Roman" w:hAnsi="Times New Roman" w:cs="Times New Roman"/>
                <w:color w:val="000000"/>
                <w:sz w:val="14"/>
                <w:szCs w:val="14"/>
                <w:lang w:eastAsia="en-US"/>
              </w:rPr>
            </w:pPr>
            <w:r w:rsidRPr="00A13FDE">
              <w:rPr>
                <w:rFonts w:ascii="Times New Roman" w:hAnsi="Times New Roman" w:cs="Times New Roman"/>
                <w:sz w:val="14"/>
                <w:szCs w:val="14"/>
                <w:lang w:eastAsia="en-US"/>
              </w:rPr>
              <w:t xml:space="preserve">            *** </w:t>
            </w:r>
            <w:r w:rsidRPr="00A13FDE">
              <w:rPr>
                <w:rFonts w:ascii="Times New Roman" w:hAnsi="Times New Roman" w:cs="Times New Roman"/>
                <w:color w:val="000000"/>
                <w:sz w:val="14"/>
                <w:szCs w:val="14"/>
                <w:lang w:eastAsia="en-US"/>
              </w:rPr>
              <w:t>znamienko (-) znamená zníženie daňových príjmov verejnej správy</w:t>
            </w:r>
          </w:p>
        </w:tc>
      </w:tr>
    </w:tbl>
    <w:p w:rsidR="005F4319" w:rsidRPr="006759EA" w:rsidP="005F4319">
      <w:pPr>
        <w:bidi w:val="0"/>
        <w:jc w:val="both"/>
        <w:rPr>
          <w:rFonts w:ascii="Times New Roman" w:hAnsi="Times New Roman" w:cs="Times New Roman"/>
        </w:rPr>
      </w:pPr>
    </w:p>
    <w:p w:rsidR="005F4319" w:rsidRPr="006759EA" w:rsidP="005F4319">
      <w:pPr>
        <w:bidi w:val="0"/>
        <w:jc w:val="both"/>
        <w:rPr>
          <w:rFonts w:ascii="Times New Roman" w:hAnsi="Times New Roman" w:cs="Times New Roman"/>
          <w:i/>
        </w:rPr>
      </w:pPr>
      <w:r w:rsidRPr="006759EA">
        <w:rPr>
          <w:rFonts w:ascii="Times New Roman" w:hAnsi="Times New Roman" w:cs="Times New Roman"/>
          <w:i/>
        </w:rPr>
        <w:t xml:space="preserve">Vplyv konsolidačných opatrení schválených vládou SR, neschválených NR SR </w:t>
      </w:r>
    </w:p>
    <w:p w:rsidR="005F4319" w:rsidRPr="006759EA" w:rsidP="005F4319">
      <w:pPr>
        <w:bidi w:val="0"/>
        <w:jc w:val="both"/>
        <w:rPr>
          <w:rFonts w:ascii="Times New Roman" w:hAnsi="Times New Roman" w:cs="Times New Roman"/>
        </w:rPr>
      </w:pPr>
      <w:r w:rsidR="00070AEC">
        <w:rPr>
          <w:rFonts w:ascii="Times New Roman" w:hAnsi="Times New Roman" w:cs="Times New Roman"/>
        </w:rPr>
        <w:t xml:space="preserve"> </w:t>
      </w: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Novelou zákona č. 595/2003 Z. z. o </w:t>
      </w:r>
      <w:r w:rsidRPr="006759EA">
        <w:rPr>
          <w:rFonts w:ascii="Times New Roman" w:hAnsi="Times New Roman" w:cs="Times New Roman"/>
          <w:b/>
        </w:rPr>
        <w:t>dani z príjmov</w:t>
      </w:r>
      <w:r>
        <w:rPr>
          <w:rFonts w:ascii="Times New Roman" w:hAnsi="Times New Roman" w:cs="Times New Roman"/>
        </w:rPr>
        <w:t xml:space="preserve"> sa s účinnosťou od 1. januára </w:t>
      </w:r>
      <w:r w:rsidRPr="006759EA">
        <w:rPr>
          <w:rFonts w:ascii="Times New Roman" w:hAnsi="Times New Roman" w:cs="Times New Roman"/>
        </w:rPr>
        <w:t>2013 navrhuje viacero legislatívnych zmien s cieľom konsolidácie verejných financií.</w:t>
      </w:r>
    </w:p>
    <w:p w:rsidR="005F4319" w:rsidRPr="006759EA" w:rsidP="005F4319">
      <w:pPr>
        <w:bidi w:val="0"/>
        <w:ind w:firstLine="708"/>
        <w:jc w:val="both"/>
        <w:rPr>
          <w:rFonts w:ascii="Times New Roman" w:hAnsi="Times New Roman" w:cs="Times New Roman"/>
        </w:rPr>
      </w:pPr>
    </w:p>
    <w:p w:rsidR="005F4319" w:rsidP="005F4319">
      <w:pPr>
        <w:bidi w:val="0"/>
        <w:ind w:firstLine="708"/>
        <w:jc w:val="both"/>
        <w:rPr>
          <w:rFonts w:ascii="Times New Roman" w:hAnsi="Times New Roman" w:cs="Times New Roman"/>
        </w:rPr>
      </w:pPr>
      <w:r w:rsidRPr="006759EA">
        <w:rPr>
          <w:rFonts w:ascii="Times New Roman" w:hAnsi="Times New Roman" w:cs="Times New Roman"/>
        </w:rPr>
        <w:t xml:space="preserve">V oblasti </w:t>
      </w:r>
      <w:r w:rsidRPr="006759EA">
        <w:rPr>
          <w:rFonts w:ascii="Times New Roman" w:hAnsi="Times New Roman" w:cs="Times New Roman"/>
          <w:b/>
        </w:rPr>
        <w:t>dani z príjmov fyzických osôb</w:t>
      </w:r>
      <w:r w:rsidRPr="006759EA">
        <w:rPr>
          <w:rFonts w:ascii="Times New Roman" w:hAnsi="Times New Roman" w:cs="Times New Roman"/>
        </w:rPr>
        <w:t xml:space="preserve"> sa navrhuje najmä zavedenie druhej sadzby dane vo výške 25</w:t>
      </w:r>
      <w:r>
        <w:rPr>
          <w:rFonts w:ascii="Times New Roman" w:hAnsi="Times New Roman" w:cs="Times New Roman"/>
        </w:rPr>
        <w:t xml:space="preserve"> </w:t>
      </w:r>
      <w:r w:rsidRPr="006759EA">
        <w:rPr>
          <w:rFonts w:ascii="Times New Roman" w:hAnsi="Times New Roman" w:cs="Times New Roman"/>
        </w:rPr>
        <w:t>%, osobitnej sadzby dane vo výške 5</w:t>
      </w:r>
      <w:r>
        <w:rPr>
          <w:rFonts w:ascii="Times New Roman" w:hAnsi="Times New Roman" w:cs="Times New Roman"/>
        </w:rPr>
        <w:t xml:space="preserve"> </w:t>
      </w:r>
      <w:r w:rsidRPr="006759EA">
        <w:rPr>
          <w:rFonts w:ascii="Times New Roman" w:hAnsi="Times New Roman" w:cs="Times New Roman"/>
        </w:rPr>
        <w:t>% pre vybraných ústavných činiteľov, obmedzenie paušálnych výdavkov SZČO v maximálnej výške 5 040 eur/rok, zrušenie paušálnych výdavkov pri príjmoch z prenájmu a obmedzenie nezdaniteľnej časti základu dane na manžela/ku.</w:t>
      </w:r>
    </w:p>
    <w:p w:rsidR="004E6709" w:rsidRPr="006759EA" w:rsidP="005F4319">
      <w:pPr>
        <w:bidi w:val="0"/>
        <w:ind w:firstLine="708"/>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Pri </w:t>
      </w:r>
      <w:r w:rsidRPr="006759EA">
        <w:rPr>
          <w:rFonts w:ascii="Times New Roman" w:hAnsi="Times New Roman" w:cs="Times New Roman"/>
          <w:b/>
        </w:rPr>
        <w:t>dani z príjmu právnických osôb</w:t>
      </w:r>
      <w:r w:rsidRPr="006759EA">
        <w:rPr>
          <w:rFonts w:ascii="Times New Roman" w:hAnsi="Times New Roman" w:cs="Times New Roman"/>
        </w:rPr>
        <w:t xml:space="preserve"> sa navrhuje zvýšenie sadzby dane z</w:t>
      </w:r>
      <w:r>
        <w:rPr>
          <w:rFonts w:ascii="Times New Roman" w:hAnsi="Times New Roman" w:cs="Times New Roman"/>
        </w:rPr>
        <w:t> </w:t>
      </w:r>
      <w:r w:rsidRPr="006759EA">
        <w:rPr>
          <w:rFonts w:ascii="Times New Roman" w:hAnsi="Times New Roman" w:cs="Times New Roman"/>
        </w:rPr>
        <w:t>19</w:t>
      </w:r>
      <w:r>
        <w:rPr>
          <w:rFonts w:ascii="Times New Roman" w:hAnsi="Times New Roman" w:cs="Times New Roman"/>
        </w:rPr>
        <w:t xml:space="preserve"> </w:t>
      </w:r>
      <w:r w:rsidRPr="006759EA">
        <w:rPr>
          <w:rFonts w:ascii="Times New Roman" w:hAnsi="Times New Roman" w:cs="Times New Roman"/>
        </w:rPr>
        <w:t>% na 23</w:t>
      </w:r>
      <w:r>
        <w:rPr>
          <w:rFonts w:ascii="Times New Roman" w:hAnsi="Times New Roman" w:cs="Times New Roman"/>
        </w:rPr>
        <w:t> </w:t>
      </w:r>
      <w:r w:rsidRPr="006759EA">
        <w:rPr>
          <w:rFonts w:ascii="Times New Roman" w:hAnsi="Times New Roman" w:cs="Times New Roman"/>
        </w:rPr>
        <w:t xml:space="preserve">% a oslobodenie príjmov </w:t>
      </w:r>
      <w:r w:rsidRPr="00A5501B">
        <w:rPr>
          <w:rFonts w:ascii="Times New Roman" w:hAnsi="Times New Roman" w:cs="Times New Roman"/>
        </w:rPr>
        <w:t>z predaja majetku obcí a VÚC. Zároveň pozitívny vplyv zo zvýšenia sadzby dane bude čiastočne kompenzovaný z dôvodu negatívneho vplyvu na DPPO v prípade niektorých už schválených opatrení. Medzi tieto opatrenia možno zaradiť zvýšenie maximálnych vymeriavacích základov pre platenie odvodov, rozšírenie osobitného odvodu pre vybrané finančné inštitúcie, zavedenie osobitného odvodu z podnikania v regulovaných odvetviach, zmeny v zdaňovaní hazardných hier a zvýšenie poplatku pri registrácii automobilov</w:t>
      </w:r>
      <w:r>
        <w:rPr>
          <w:rFonts w:ascii="Times New Roman" w:hAnsi="Times New Roman" w:cs="Times New Roman"/>
        </w:rPr>
        <w:t>. Zvýšenie zaťaženia</w:t>
      </w:r>
      <w:r w:rsidRPr="00A5501B">
        <w:rPr>
          <w:rFonts w:ascii="Times New Roman" w:hAnsi="Times New Roman" w:cs="Times New Roman"/>
        </w:rPr>
        <w:t xml:space="preserve"> vyplývajúce z uvedených opatrení vstupuje právnickým osobám do základu dane na strane nákladov a negatívne tak vplýva na očakávanú daňovú povinnosť dotknutých subjektov.</w:t>
      </w:r>
      <w:r w:rsidRPr="006759EA">
        <w:rPr>
          <w:rFonts w:ascii="Times New Roman" w:hAnsi="Times New Roman" w:cs="Times New Roman"/>
        </w:rPr>
        <w:t xml:space="preserve"> </w:t>
      </w:r>
    </w:p>
    <w:p w:rsidR="005F4319" w:rsidRPr="006759EA" w:rsidP="005F4319">
      <w:pPr>
        <w:bidi w:val="0"/>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Pri </w:t>
      </w:r>
      <w:r w:rsidRPr="006759EA">
        <w:rPr>
          <w:rFonts w:ascii="Times New Roman" w:hAnsi="Times New Roman" w:cs="Times New Roman"/>
          <w:b/>
        </w:rPr>
        <w:t>zrážkovej dani</w:t>
      </w:r>
      <w:r w:rsidRPr="006759EA">
        <w:rPr>
          <w:rFonts w:ascii="Times New Roman" w:hAnsi="Times New Roman" w:cs="Times New Roman"/>
        </w:rPr>
        <w:t xml:space="preserve"> sa mení spôsob zdanenia štátnych dlhopisov, ktoré sa budú po novom zdaňovať podaním daňového priznania. Rovnako sa zavádza zdanenie nerozdelených ziskov z pred roku 2004 sadzbou dane 15</w:t>
      </w:r>
      <w:r>
        <w:rPr>
          <w:rFonts w:ascii="Times New Roman" w:hAnsi="Times New Roman" w:cs="Times New Roman"/>
        </w:rPr>
        <w:t xml:space="preserve"> </w:t>
      </w:r>
      <w:r w:rsidRPr="006759EA">
        <w:rPr>
          <w:rFonts w:ascii="Times New Roman" w:hAnsi="Times New Roman" w:cs="Times New Roman"/>
        </w:rPr>
        <w:t>%. Opatrenie je jednorazové a bude sa vzťahovať len na zdaňovacie obdobie roka 2013.</w:t>
      </w:r>
    </w:p>
    <w:p w:rsidR="005F4319" w:rsidRPr="006759EA" w:rsidP="005F4319">
      <w:pPr>
        <w:bidi w:val="0"/>
        <w:ind w:firstLine="708"/>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Novelou zákona č. 580/2004 Z. z. o </w:t>
      </w:r>
      <w:r w:rsidRPr="006759EA">
        <w:rPr>
          <w:rFonts w:ascii="Times New Roman" w:hAnsi="Times New Roman" w:cs="Times New Roman"/>
          <w:b/>
        </w:rPr>
        <w:t>zdravotnom poistení</w:t>
      </w:r>
      <w:r>
        <w:rPr>
          <w:rFonts w:ascii="Times New Roman" w:hAnsi="Times New Roman" w:cs="Times New Roman"/>
        </w:rPr>
        <w:t xml:space="preserve"> sa s účinnosťou od 1. januára </w:t>
      </w:r>
      <w:r w:rsidRPr="006759EA">
        <w:rPr>
          <w:rFonts w:ascii="Times New Roman" w:hAnsi="Times New Roman" w:cs="Times New Roman"/>
        </w:rPr>
        <w:t>2013 uvažuje so zavedením nového samostatného spôsobu platenia zdravotných odvodov z dividend. Predložená novela mení súčasnú výšku (10</w:t>
      </w:r>
      <w:r>
        <w:rPr>
          <w:rFonts w:ascii="Times New Roman" w:hAnsi="Times New Roman" w:cs="Times New Roman"/>
        </w:rPr>
        <w:t xml:space="preserve"> </w:t>
      </w:r>
      <w:r w:rsidRPr="006759EA">
        <w:rPr>
          <w:rFonts w:ascii="Times New Roman" w:hAnsi="Times New Roman" w:cs="Times New Roman"/>
        </w:rPr>
        <w:t>%) a spôsob platenia zdravotného poistenia z dividend. Podľa navrhovanej úpravy sa na dividendy bude vzťahovať osobitný režim ročného zúčtovania zdravotného poistenia, pričom sa vynímajú zo súčasného režimu tak, aby iné príjmy neznižovali základ pre výpočet odvodov z dividend. Na zdravotné odvody z dividend sa bude vzťahovať vyšší maximálny vymeriavací základ ako pre ostatné príjmy. Zdravotné odvody budú vyberané formou zrážky vo výške 14</w:t>
      </w:r>
      <w:r>
        <w:rPr>
          <w:rFonts w:ascii="Times New Roman" w:hAnsi="Times New Roman" w:cs="Times New Roman"/>
        </w:rPr>
        <w:t xml:space="preserve"> </w:t>
      </w:r>
      <w:r w:rsidRPr="006759EA">
        <w:rPr>
          <w:rFonts w:ascii="Times New Roman" w:hAnsi="Times New Roman" w:cs="Times New Roman"/>
        </w:rPr>
        <w:t>% pri výplate, bez stanoveného minimálneho vymeriavacieho základu.</w:t>
      </w:r>
    </w:p>
    <w:p w:rsidR="005F4319" w:rsidRPr="006759EA" w:rsidP="005F4319">
      <w:pPr>
        <w:bidi w:val="0"/>
        <w:ind w:firstLine="708"/>
        <w:jc w:val="both"/>
        <w:rPr>
          <w:rFonts w:ascii="Times New Roman" w:hAnsi="Times New Roman" w:cs="Times New Roman"/>
        </w:rPr>
      </w:pPr>
    </w:p>
    <w:p w:rsidR="005F4319" w:rsidP="005F4319">
      <w:pPr>
        <w:bidi w:val="0"/>
        <w:ind w:firstLine="708"/>
        <w:jc w:val="both"/>
        <w:rPr>
          <w:rFonts w:ascii="Times New Roman" w:hAnsi="Times New Roman" w:cs="Times New Roman"/>
        </w:rPr>
      </w:pPr>
      <w:r w:rsidRPr="006759EA">
        <w:rPr>
          <w:rFonts w:ascii="Times New Roman" w:hAnsi="Times New Roman" w:cs="Times New Roman"/>
        </w:rPr>
        <w:t>Novelou zákona č. 212/1995 Z. z. o </w:t>
      </w:r>
      <w:r w:rsidRPr="006759EA">
        <w:rPr>
          <w:rFonts w:ascii="Times New Roman" w:hAnsi="Times New Roman" w:cs="Times New Roman"/>
          <w:b/>
        </w:rPr>
        <w:t>koncesionárskych poplatkoch</w:t>
      </w:r>
      <w:r>
        <w:rPr>
          <w:rFonts w:ascii="Times New Roman" w:hAnsi="Times New Roman" w:cs="Times New Roman"/>
        </w:rPr>
        <w:t xml:space="preserve"> sa s účinnosťou od 1. januára </w:t>
      </w:r>
      <w:r w:rsidRPr="006759EA">
        <w:rPr>
          <w:rFonts w:ascii="Times New Roman" w:hAnsi="Times New Roman" w:cs="Times New Roman"/>
        </w:rPr>
        <w:t>2013 navrhuje ponechanie doterajšie</w:t>
      </w:r>
      <w:r w:rsidR="00070AEC">
        <w:rPr>
          <w:rFonts w:ascii="Times New Roman" w:hAnsi="Times New Roman" w:cs="Times New Roman"/>
        </w:rPr>
        <w:t>ho</w:t>
      </w:r>
      <w:r w:rsidRPr="006759EA">
        <w:rPr>
          <w:rFonts w:ascii="Times New Roman" w:hAnsi="Times New Roman" w:cs="Times New Roman"/>
        </w:rPr>
        <w:t xml:space="preserve"> legislatívneho stavu v oblasti platenia koncesionárskych poplatkov. </w:t>
      </w:r>
    </w:p>
    <w:p w:rsidR="00E86466" w:rsidP="005F4319">
      <w:pPr>
        <w:bidi w:val="0"/>
        <w:ind w:firstLine="708"/>
        <w:jc w:val="both"/>
        <w:rPr>
          <w:rFonts w:ascii="Times New Roman" w:hAnsi="Times New Roman" w:cs="Times New Roman"/>
        </w:rPr>
      </w:pPr>
    </w:p>
    <w:p w:rsidR="00E86466" w:rsidP="005F4319">
      <w:pPr>
        <w:bidi w:val="0"/>
        <w:ind w:firstLine="708"/>
        <w:jc w:val="both"/>
        <w:rPr>
          <w:rFonts w:ascii="Times New Roman" w:hAnsi="Times New Roman" w:cs="Times New Roman"/>
        </w:rPr>
      </w:pPr>
    </w:p>
    <w:p w:rsidR="00E86466" w:rsidP="005F4319">
      <w:pPr>
        <w:bidi w:val="0"/>
        <w:ind w:firstLine="708"/>
        <w:jc w:val="both"/>
        <w:rPr>
          <w:rFonts w:ascii="Times New Roman" w:hAnsi="Times New Roman" w:cs="Times New Roman"/>
        </w:rPr>
      </w:pPr>
    </w:p>
    <w:p w:rsidR="00E86466" w:rsidP="005F4319">
      <w:pPr>
        <w:bidi w:val="0"/>
        <w:ind w:firstLine="708"/>
        <w:jc w:val="both"/>
        <w:rPr>
          <w:rFonts w:ascii="Times New Roman" w:hAnsi="Times New Roman" w:cs="Times New Roman"/>
        </w:rPr>
      </w:pPr>
    </w:p>
    <w:p w:rsidR="00E86466" w:rsidP="005F4319">
      <w:pPr>
        <w:bidi w:val="0"/>
        <w:ind w:firstLine="708"/>
        <w:jc w:val="both"/>
        <w:rPr>
          <w:rFonts w:ascii="Times New Roman" w:hAnsi="Times New Roman" w:cs="Times New Roman"/>
        </w:rPr>
      </w:pPr>
    </w:p>
    <w:p w:rsidR="00E86466" w:rsidP="005F4319">
      <w:pPr>
        <w:bidi w:val="0"/>
        <w:ind w:firstLine="708"/>
        <w:jc w:val="both"/>
        <w:rPr>
          <w:rFonts w:ascii="Times New Roman" w:hAnsi="Times New Roman" w:cs="Times New Roman"/>
        </w:rPr>
      </w:pPr>
    </w:p>
    <w:p w:rsidR="00E86466" w:rsidP="005F4319">
      <w:pPr>
        <w:bidi w:val="0"/>
        <w:ind w:firstLine="708"/>
        <w:jc w:val="both"/>
        <w:rPr>
          <w:rFonts w:ascii="Times New Roman" w:hAnsi="Times New Roman" w:cs="Times New Roman"/>
        </w:rPr>
      </w:pPr>
    </w:p>
    <w:p w:rsidR="00E86466" w:rsidP="005F4319">
      <w:pPr>
        <w:bidi w:val="0"/>
        <w:ind w:firstLine="708"/>
        <w:jc w:val="both"/>
        <w:rPr>
          <w:rFonts w:ascii="Times New Roman" w:hAnsi="Times New Roman" w:cs="Times New Roman"/>
        </w:rPr>
      </w:pPr>
    </w:p>
    <w:p w:rsidR="00E86466" w:rsidP="005F4319">
      <w:pPr>
        <w:bidi w:val="0"/>
        <w:ind w:firstLine="708"/>
        <w:jc w:val="both"/>
        <w:rPr>
          <w:rFonts w:ascii="Times New Roman" w:hAnsi="Times New Roman" w:cs="Times New Roman"/>
        </w:rPr>
      </w:pPr>
    </w:p>
    <w:p w:rsidR="00E86466" w:rsidP="005F4319">
      <w:pPr>
        <w:bidi w:val="0"/>
        <w:ind w:firstLine="708"/>
        <w:jc w:val="both"/>
        <w:rPr>
          <w:rFonts w:ascii="Times New Roman" w:hAnsi="Times New Roman" w:cs="Times New Roman"/>
        </w:rPr>
      </w:pPr>
    </w:p>
    <w:p w:rsidR="00E86466" w:rsidP="005F4319">
      <w:pPr>
        <w:bidi w:val="0"/>
        <w:ind w:firstLine="708"/>
        <w:jc w:val="both"/>
        <w:rPr>
          <w:rFonts w:ascii="Times New Roman" w:hAnsi="Times New Roman" w:cs="Times New Roman"/>
        </w:rPr>
      </w:pPr>
    </w:p>
    <w:tbl>
      <w:tblPr>
        <w:tblStyle w:val="TableNormal"/>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4"/>
        <w:gridCol w:w="578"/>
        <w:gridCol w:w="671"/>
        <w:gridCol w:w="671"/>
        <w:gridCol w:w="671"/>
      </w:tblGrid>
      <w:tr>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3"/>
        </w:trPr>
        <w:tc>
          <w:tcPr>
            <w:tcW w:w="0" w:type="auto"/>
            <w:tcBorders>
              <w:top w:val="single" w:sz="4" w:space="0" w:color="auto"/>
              <w:left w:val="single" w:sz="4" w:space="0" w:color="auto"/>
              <w:bottom w:val="single" w:sz="4" w:space="0" w:color="auto"/>
              <w:right w:val="nil"/>
            </w:tcBorders>
            <w:shd w:val="clear" w:color="auto" w:fill="A6A6A6"/>
            <w:noWrap/>
            <w:textDirection w:val="lrTb"/>
            <w:vAlign w:val="center"/>
            <w:hideMark/>
          </w:tcPr>
          <w:p w:rsidR="005F4319" w:rsidRPr="001B3733" w:rsidP="00DC7838">
            <w:pPr>
              <w:bidi w:val="0"/>
              <w:rPr>
                <w:rFonts w:ascii="Times New Roman" w:hAnsi="Times New Roman" w:cs="Times New Roman"/>
                <w:b/>
                <w:bCs/>
                <w:color w:val="000000" w:themeColor="tx1" w:themeShade="FF"/>
                <w:sz w:val="14"/>
                <w:szCs w:val="14"/>
                <w:lang w:eastAsia="en-US"/>
              </w:rPr>
            </w:pPr>
            <w:r w:rsidRPr="001B3733">
              <w:rPr>
                <w:rFonts w:ascii="Times New Roman" w:hAnsi="Times New Roman" w:cs="Times New Roman"/>
                <w:b/>
                <w:bCs/>
                <w:color w:val="000000" w:themeColor="tx1" w:themeShade="FF"/>
                <w:sz w:val="14"/>
                <w:szCs w:val="14"/>
                <w:lang w:eastAsia="en-US"/>
              </w:rPr>
              <w:t>Konsolidačné opatrenia neschválené v</w:t>
            </w:r>
            <w:r w:rsidR="00070AEC">
              <w:rPr>
                <w:rFonts w:ascii="Times New Roman" w:hAnsi="Times New Roman" w:cs="Times New Roman"/>
                <w:b/>
                <w:bCs/>
                <w:color w:val="000000" w:themeColor="tx1" w:themeShade="FF"/>
                <w:sz w:val="14"/>
                <w:szCs w:val="14"/>
                <w:lang w:eastAsia="en-US"/>
              </w:rPr>
              <w:t> </w:t>
            </w:r>
            <w:r w:rsidRPr="001B3733">
              <w:rPr>
                <w:rFonts w:ascii="Times New Roman" w:hAnsi="Times New Roman" w:cs="Times New Roman"/>
                <w:b/>
                <w:bCs/>
                <w:color w:val="000000" w:themeColor="tx1" w:themeShade="FF"/>
                <w:sz w:val="14"/>
                <w:szCs w:val="14"/>
                <w:lang w:eastAsia="en-US"/>
              </w:rPr>
              <w:t>NR</w:t>
            </w:r>
            <w:r w:rsidR="00070AEC">
              <w:rPr>
                <w:rFonts w:ascii="Times New Roman" w:hAnsi="Times New Roman" w:cs="Times New Roman"/>
                <w:b/>
                <w:bCs/>
                <w:color w:val="000000" w:themeColor="tx1" w:themeShade="FF"/>
                <w:sz w:val="14"/>
                <w:szCs w:val="14"/>
                <w:lang w:eastAsia="en-US"/>
              </w:rPr>
              <w:t xml:space="preserve"> </w:t>
            </w:r>
            <w:r w:rsidRPr="001B3733">
              <w:rPr>
                <w:rFonts w:ascii="Times New Roman" w:hAnsi="Times New Roman" w:cs="Times New Roman"/>
                <w:b/>
                <w:bCs/>
                <w:color w:val="000000" w:themeColor="tx1" w:themeShade="FF"/>
                <w:sz w:val="14"/>
                <w:szCs w:val="14"/>
                <w:lang w:eastAsia="en-US"/>
              </w:rPr>
              <w:t>SR (ESA 95, tis. eur)</w:t>
            </w:r>
          </w:p>
        </w:tc>
        <w:tc>
          <w:tcPr>
            <w:tcW w:w="0" w:type="auto"/>
            <w:tcBorders>
              <w:top w:val="single" w:sz="4" w:space="0" w:color="auto"/>
              <w:left w:val="nil"/>
              <w:bottom w:val="single" w:sz="4" w:space="0" w:color="auto"/>
              <w:right w:val="nil"/>
            </w:tcBorders>
            <w:shd w:val="clear" w:color="auto" w:fill="A6A6A6"/>
            <w:noWrap/>
            <w:textDirection w:val="lrTb"/>
            <w:vAlign w:val="center"/>
            <w:hideMark/>
          </w:tcPr>
          <w:p w:rsidR="005F4319" w:rsidRPr="001B3733" w:rsidP="00DC7838">
            <w:pPr>
              <w:bidi w:val="0"/>
              <w:rPr>
                <w:rFonts w:ascii="Times New Roman" w:hAnsi="Times New Roman" w:cs="Times New Roman"/>
                <w:b/>
                <w:bCs/>
                <w:color w:val="000000" w:themeColor="tx1" w:themeShade="FF"/>
                <w:sz w:val="14"/>
                <w:szCs w:val="14"/>
                <w:lang w:eastAsia="en-US"/>
              </w:rPr>
            </w:pPr>
            <w:r w:rsidRPr="001B3733">
              <w:rPr>
                <w:rFonts w:ascii="Times New Roman" w:hAnsi="Times New Roman" w:cs="Times New Roman"/>
                <w:b/>
                <w:bCs/>
                <w:color w:val="000000" w:themeColor="tx1" w:themeShade="FF"/>
                <w:sz w:val="14"/>
                <w:szCs w:val="14"/>
                <w:lang w:eastAsia="en-US"/>
              </w:rPr>
              <w:t> </w:t>
            </w:r>
          </w:p>
        </w:tc>
        <w:tc>
          <w:tcPr>
            <w:tcW w:w="0" w:type="auto"/>
            <w:tcBorders>
              <w:top w:val="single" w:sz="4" w:space="0" w:color="auto"/>
              <w:left w:val="nil"/>
              <w:bottom w:val="single" w:sz="4" w:space="0" w:color="auto"/>
              <w:right w:val="nil"/>
            </w:tcBorders>
            <w:shd w:val="clear" w:color="auto" w:fill="A6A6A6"/>
            <w:noWrap/>
            <w:textDirection w:val="lrTb"/>
            <w:vAlign w:val="center"/>
            <w:hideMark/>
          </w:tcPr>
          <w:p w:rsidR="005F4319" w:rsidRPr="001B3733" w:rsidP="00DC7838">
            <w:pPr>
              <w:bidi w:val="0"/>
              <w:rPr>
                <w:rFonts w:ascii="Times New Roman" w:hAnsi="Times New Roman" w:cs="Times New Roman"/>
                <w:b/>
                <w:bCs/>
                <w:color w:val="000000" w:themeColor="tx1" w:themeShade="FF"/>
                <w:sz w:val="14"/>
                <w:szCs w:val="14"/>
                <w:lang w:eastAsia="en-US"/>
              </w:rPr>
            </w:pPr>
            <w:r w:rsidRPr="001B3733">
              <w:rPr>
                <w:rFonts w:ascii="Times New Roman" w:hAnsi="Times New Roman" w:cs="Times New Roman"/>
                <w:b/>
                <w:bCs/>
                <w:color w:val="000000" w:themeColor="tx1" w:themeShade="FF"/>
                <w:sz w:val="14"/>
                <w:szCs w:val="14"/>
                <w:lang w:eastAsia="en-US"/>
              </w:rPr>
              <w:t> </w:t>
            </w:r>
          </w:p>
        </w:tc>
        <w:tc>
          <w:tcPr>
            <w:tcW w:w="0" w:type="auto"/>
            <w:tcBorders>
              <w:top w:val="single" w:sz="4" w:space="0" w:color="auto"/>
              <w:left w:val="nil"/>
              <w:bottom w:val="single" w:sz="4" w:space="0" w:color="auto"/>
              <w:right w:val="nil"/>
            </w:tcBorders>
            <w:shd w:val="clear" w:color="auto" w:fill="A6A6A6"/>
            <w:noWrap/>
            <w:textDirection w:val="lrTb"/>
            <w:vAlign w:val="center"/>
            <w:hideMark/>
          </w:tcPr>
          <w:p w:rsidR="005F4319" w:rsidRPr="001B3733" w:rsidP="00DC7838">
            <w:pPr>
              <w:bidi w:val="0"/>
              <w:rPr>
                <w:rFonts w:ascii="Times New Roman" w:hAnsi="Times New Roman" w:cs="Times New Roman"/>
                <w:b/>
                <w:bCs/>
                <w:color w:val="000000" w:themeColor="tx1" w:themeShade="FF"/>
                <w:sz w:val="14"/>
                <w:szCs w:val="14"/>
                <w:lang w:eastAsia="en-US"/>
              </w:rPr>
            </w:pPr>
            <w:r w:rsidRPr="001B3733">
              <w:rPr>
                <w:rFonts w:ascii="Times New Roman" w:hAnsi="Times New Roman" w:cs="Times New Roman"/>
                <w:b/>
                <w:bCs/>
                <w:color w:val="000000" w:themeColor="tx1" w:themeShade="FF"/>
                <w:sz w:val="14"/>
                <w:szCs w:val="14"/>
                <w:lang w:eastAsia="en-US"/>
              </w:rPr>
              <w:t> </w:t>
            </w:r>
          </w:p>
        </w:tc>
        <w:tc>
          <w:tcPr>
            <w:tcW w:w="0" w:type="auto"/>
            <w:tcBorders>
              <w:top w:val="single" w:sz="4" w:space="0" w:color="auto"/>
              <w:left w:val="nil"/>
              <w:bottom w:val="single" w:sz="4" w:space="0" w:color="auto"/>
              <w:right w:val="single" w:sz="4" w:space="0" w:color="auto"/>
            </w:tcBorders>
            <w:shd w:val="clear" w:color="auto" w:fill="A6A6A6"/>
            <w:noWrap/>
            <w:textDirection w:val="lrTb"/>
            <w:vAlign w:val="center"/>
            <w:hideMark/>
          </w:tcPr>
          <w:p w:rsidR="005F4319" w:rsidRPr="001B3733" w:rsidP="00DC7838">
            <w:pPr>
              <w:bidi w:val="0"/>
              <w:rPr>
                <w:rFonts w:ascii="Times New Roman" w:hAnsi="Times New Roman" w:cs="Times New Roman"/>
                <w:b/>
                <w:bCs/>
                <w:color w:val="000000" w:themeColor="tx1" w:themeShade="FF"/>
                <w:sz w:val="14"/>
                <w:szCs w:val="14"/>
                <w:lang w:eastAsia="en-US"/>
              </w:rPr>
            </w:pPr>
            <w:r w:rsidRPr="001B3733">
              <w:rPr>
                <w:rFonts w:ascii="Times New Roman" w:hAnsi="Times New Roman" w:cs="Times New Roman"/>
                <w:b/>
                <w:bCs/>
                <w:color w:val="000000" w:themeColor="tx1" w:themeShade="FF"/>
                <w:sz w:val="14"/>
                <w:szCs w:val="14"/>
                <w:lang w:eastAsia="en-US"/>
              </w:rPr>
              <w:t> </w:t>
            </w:r>
          </w:p>
        </w:tc>
      </w:tr>
      <w:tr>
        <w:tblPrEx>
          <w:tblW w:w="0" w:type="auto"/>
          <w:tblInd w:w="93" w:type="dxa"/>
          <w:tblLook w:val="04A0"/>
        </w:tblPrEx>
        <w:trPr>
          <w:trHeight w:val="283"/>
        </w:trPr>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rPr>
                <w:rFonts w:ascii="Times New Roman" w:hAnsi="Times New Roman" w:cs="Times New Roman"/>
                <w:b/>
                <w:bCs/>
                <w:color w:val="000000"/>
                <w:sz w:val="14"/>
                <w:szCs w:val="14"/>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106F36">
            <w:pPr>
              <w:bidi w:val="0"/>
              <w:jc w:val="center"/>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2012</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106F36">
            <w:pPr>
              <w:bidi w:val="0"/>
              <w:jc w:val="center"/>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2013</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106F36">
            <w:pPr>
              <w:bidi w:val="0"/>
              <w:jc w:val="center"/>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2014</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106F36">
            <w:pPr>
              <w:bidi w:val="0"/>
              <w:jc w:val="center"/>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2015</w:t>
            </w:r>
          </w:p>
        </w:tc>
      </w:tr>
      <w:tr>
        <w:tblPrEx>
          <w:tblW w:w="0" w:type="auto"/>
          <w:tblInd w:w="93" w:type="dxa"/>
          <w:tblLook w:val="04A0"/>
        </w:tblPrEx>
        <w:trPr>
          <w:trHeight w:val="283"/>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DC7838">
            <w:pPr>
              <w:bidi w:val="0"/>
              <w:rPr>
                <w:rFonts w:ascii="Times New Roman" w:hAnsi="Times New Roman" w:cs="Times New Roman"/>
                <w:b/>
                <w:bCs/>
                <w:color w:val="000000"/>
                <w:sz w:val="14"/>
                <w:szCs w:val="14"/>
                <w:lang w:eastAsia="sk-SK"/>
              </w:rPr>
            </w:pPr>
            <w:r w:rsidRPr="001B3733">
              <w:rPr>
                <w:rFonts w:ascii="Times New Roman" w:hAnsi="Times New Roman" w:cs="Times New Roman"/>
                <w:b/>
                <w:bCs/>
                <w:color w:val="000000"/>
                <w:sz w:val="14"/>
                <w:szCs w:val="14"/>
                <w:lang w:eastAsia="en-US"/>
              </w:rPr>
              <w:t>Vplyv legislatívnych opatrení na daňové príjmy spolu*</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-4 476</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444 956</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487 632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521 200</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DC7838">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1. Prechod DPPO z 19 % na 23 % u opatrení schválených NR</w:t>
            </w:r>
            <w:r w:rsidR="00236EF5">
              <w:rPr>
                <w:rFonts w:ascii="Times New Roman" w:hAnsi="Times New Roman" w:cs="Times New Roman"/>
                <w:b/>
                <w:bCs/>
                <w:color w:val="000000"/>
                <w:sz w:val="14"/>
                <w:szCs w:val="14"/>
                <w:lang w:eastAsia="en-US"/>
              </w:rPr>
              <w:t xml:space="preserve"> </w:t>
            </w:r>
            <w:r w:rsidRPr="001B3733">
              <w:rPr>
                <w:rFonts w:ascii="Times New Roman" w:hAnsi="Times New Roman" w:cs="Times New Roman"/>
                <w:b/>
                <w:bCs/>
                <w:color w:val="000000"/>
                <w:sz w:val="14"/>
                <w:szCs w:val="14"/>
                <w:lang w:eastAsia="en-US"/>
              </w:rPr>
              <w:t xml:space="preserve">SR (novela </w:t>
            </w:r>
            <w:r w:rsidR="00236EF5">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595/2003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-4 476</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-13 067</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-9 375</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-5 643</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DPPO*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-4 476</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-13 067</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-9 375</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-5 643</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left="170" w:firstLine="280" w:firstLineChars="200"/>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 xml:space="preserve">z toho: aktualizáciu vplyvu v novele </w:t>
            </w:r>
            <w:r w:rsidR="00236EF5">
              <w:rPr>
                <w:rFonts w:ascii="Times New Roman" w:hAnsi="Times New Roman" w:cs="Times New Roman"/>
                <w:i/>
                <w:color w:val="000000"/>
                <w:sz w:val="14"/>
                <w:szCs w:val="14"/>
                <w:lang w:eastAsia="en-US"/>
              </w:rPr>
              <w:t xml:space="preserve">zákona č. </w:t>
            </w:r>
            <w:r w:rsidRPr="001B3733">
              <w:rPr>
                <w:rFonts w:ascii="Times New Roman" w:hAnsi="Times New Roman" w:cs="Times New Roman"/>
                <w:i/>
                <w:color w:val="000000"/>
                <w:sz w:val="14"/>
                <w:szCs w:val="14"/>
                <w:lang w:eastAsia="en-US"/>
              </w:rPr>
              <w:t>461/2003 Z. z.</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-4 379</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-4 682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-5 056</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left="170" w:firstLine="280" w:firstLineChars="200"/>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 xml:space="preserve">z toho: aktualizáciu vplyvu v novele </w:t>
            </w:r>
            <w:r w:rsidR="00236EF5">
              <w:rPr>
                <w:rFonts w:ascii="Times New Roman" w:hAnsi="Times New Roman" w:cs="Times New Roman"/>
                <w:i/>
                <w:color w:val="000000"/>
                <w:sz w:val="14"/>
                <w:szCs w:val="14"/>
                <w:lang w:eastAsia="en-US"/>
              </w:rPr>
              <w:t xml:space="preserve">zákona č. </w:t>
            </w:r>
            <w:r w:rsidRPr="001B3733">
              <w:rPr>
                <w:rFonts w:ascii="Times New Roman" w:hAnsi="Times New Roman" w:cs="Times New Roman"/>
                <w:i/>
                <w:color w:val="000000"/>
                <w:sz w:val="14"/>
                <w:szCs w:val="14"/>
                <w:lang w:eastAsia="en-US"/>
              </w:rPr>
              <w:t>384/2011 Z. z.</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-3 080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-4 395</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-4 395</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-280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left="170" w:firstLine="280" w:firstLineChars="200"/>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z toho: aktualizáciu vplyvu v zákon</w:t>
            </w:r>
            <w:r w:rsidR="00236EF5">
              <w:rPr>
                <w:rFonts w:ascii="Times New Roman" w:hAnsi="Times New Roman" w:cs="Times New Roman"/>
                <w:i/>
                <w:color w:val="000000"/>
                <w:sz w:val="14"/>
                <w:szCs w:val="14"/>
                <w:lang w:eastAsia="en-US"/>
              </w:rPr>
              <w:t>e</w:t>
            </w:r>
            <w:r w:rsidRPr="001B3733">
              <w:rPr>
                <w:rFonts w:ascii="Times New Roman" w:hAnsi="Times New Roman" w:cs="Times New Roman"/>
                <w:i/>
                <w:color w:val="000000"/>
                <w:sz w:val="14"/>
                <w:szCs w:val="14"/>
                <w:lang w:eastAsia="en-US"/>
              </w:rPr>
              <w:t xml:space="preserve"> </w:t>
            </w:r>
            <w:r w:rsidR="00236EF5">
              <w:rPr>
                <w:rFonts w:ascii="Times New Roman" w:hAnsi="Times New Roman" w:cs="Times New Roman"/>
                <w:i/>
                <w:color w:val="000000"/>
                <w:sz w:val="14"/>
                <w:szCs w:val="14"/>
                <w:lang w:eastAsia="en-US"/>
              </w:rPr>
              <w:t xml:space="preserve">č. </w:t>
            </w:r>
            <w:r w:rsidRPr="001B3733">
              <w:rPr>
                <w:rFonts w:ascii="Times New Roman" w:hAnsi="Times New Roman" w:cs="Times New Roman"/>
                <w:i/>
                <w:color w:val="000000"/>
                <w:sz w:val="14"/>
                <w:szCs w:val="14"/>
                <w:lang w:eastAsia="en-US"/>
              </w:rPr>
              <w:t>235/2012 Z. z.</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-1 333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-4 000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left="170" w:firstLine="280" w:firstLineChars="200"/>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z toho: aktualizáciu vplyvu v</w:t>
            </w:r>
            <w:r w:rsidR="00236EF5">
              <w:rPr>
                <w:rFonts w:ascii="Times New Roman" w:hAnsi="Times New Roman" w:cs="Times New Roman"/>
                <w:i/>
                <w:color w:val="000000"/>
                <w:sz w:val="14"/>
                <w:szCs w:val="14"/>
                <w:lang w:eastAsia="en-US"/>
              </w:rPr>
              <w:t> </w:t>
            </w:r>
            <w:r w:rsidRPr="001B3733">
              <w:rPr>
                <w:rFonts w:ascii="Times New Roman" w:hAnsi="Times New Roman" w:cs="Times New Roman"/>
                <w:i/>
                <w:color w:val="000000"/>
                <w:sz w:val="14"/>
                <w:szCs w:val="14"/>
                <w:lang w:eastAsia="en-US"/>
              </w:rPr>
              <w:t>novele</w:t>
            </w:r>
            <w:r w:rsidR="00236EF5">
              <w:rPr>
                <w:rFonts w:ascii="Times New Roman" w:hAnsi="Times New Roman" w:cs="Times New Roman"/>
                <w:i/>
                <w:color w:val="000000"/>
                <w:sz w:val="14"/>
                <w:szCs w:val="14"/>
                <w:lang w:eastAsia="en-US"/>
              </w:rPr>
              <w:t xml:space="preserve"> zákona č.</w:t>
            </w:r>
            <w:r w:rsidRPr="001B3733">
              <w:rPr>
                <w:rFonts w:ascii="Times New Roman" w:hAnsi="Times New Roman" w:cs="Times New Roman"/>
                <w:i/>
                <w:color w:val="000000"/>
                <w:sz w:val="14"/>
                <w:szCs w:val="14"/>
                <w:lang w:eastAsia="en-US"/>
              </w:rPr>
              <w:t xml:space="preserve"> 145/1994 Z. z.</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-62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-293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-299</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i/>
                <w:color w:val="000000"/>
                <w:sz w:val="14"/>
                <w:szCs w:val="14"/>
                <w:lang w:eastAsia="en-US"/>
              </w:rPr>
            </w:pPr>
            <w:r w:rsidRPr="001B3733">
              <w:rPr>
                <w:rFonts w:ascii="Times New Roman" w:hAnsi="Times New Roman" w:cs="Times New Roman"/>
                <w:i/>
                <w:color w:val="000000"/>
                <w:sz w:val="14"/>
                <w:szCs w:val="14"/>
                <w:lang w:eastAsia="en-US"/>
              </w:rPr>
              <w:t>-306</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236EF5">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 xml:space="preserve">2. Zmeny v sadzbách dani z príjmov - zavedenie druhej sadzby 25 % </w:t>
            </w:r>
            <w:r w:rsidR="00236EF5">
              <w:rPr>
                <w:rFonts w:ascii="Times New Roman" w:hAnsi="Times New Roman" w:cs="Times New Roman"/>
                <w:b/>
                <w:bCs/>
                <w:color w:val="000000"/>
                <w:sz w:val="14"/>
                <w:szCs w:val="14"/>
                <w:lang w:eastAsia="en-US"/>
              </w:rPr>
              <w:t>pri</w:t>
            </w:r>
            <w:r w:rsidRPr="001B3733">
              <w:rPr>
                <w:rFonts w:ascii="Times New Roman" w:hAnsi="Times New Roman" w:cs="Times New Roman"/>
                <w:b/>
                <w:bCs/>
                <w:color w:val="000000"/>
                <w:sz w:val="14"/>
                <w:szCs w:val="14"/>
                <w:lang w:eastAsia="en-US"/>
              </w:rPr>
              <w:t xml:space="preserve"> DPFO a zvýšenie sadzby DPPO na 23 % (novela </w:t>
            </w:r>
            <w:r w:rsidR="00236EF5">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595/2003 Z. z.)</w:t>
            </w:r>
            <w:r w:rsidR="00236EF5">
              <w:rPr>
                <w:rFonts w:ascii="Times New Roman" w:hAnsi="Times New Roman" w:cs="Times New Roman"/>
                <w:b/>
                <w:bCs/>
                <w:color w:val="000000"/>
                <w:sz w:val="14"/>
                <w:szCs w:val="14"/>
                <w:lang w:eastAsia="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351 240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378 415</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405 909</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DPFO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52 948</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55 828</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60 156</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DPPO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298 292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322 587</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345 753</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DC7838">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 xml:space="preserve">3. Zavedenie osobitnej sadzby dane pre vybraných ústavných činiteľov (novela </w:t>
            </w:r>
            <w:r w:rsidR="00236EF5">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595/2003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196</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220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231</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DPFO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196</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220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231</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DC7838">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 xml:space="preserve">4. Obmedzenie paušálnych výdavkov SZČO a zrušenie ich uplatňovania pri príjmoch z prenájmu (novela </w:t>
            </w:r>
            <w:r w:rsidR="0045774A">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595/2003 Z. z.)</w:t>
            </w:r>
            <w:r w:rsidR="0045774A">
              <w:rPr>
                <w:rFonts w:ascii="Times New Roman" w:hAnsi="Times New Roman" w:cs="Times New Roman"/>
                <w:b/>
                <w:bCs/>
                <w:color w:val="000000"/>
                <w:sz w:val="14"/>
                <w:szCs w:val="14"/>
                <w:lang w:eastAsia="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19 543</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24 143</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25 745</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DPFO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6 102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7 013</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sociálne poistenie</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2 911</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3 318</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zdravotné poistenie</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19 543</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15 129</w:t>
            </w:r>
          </w:p>
        </w:tc>
        <w:tc>
          <w:tcPr>
            <w:tcW w:w="0" w:type="auto"/>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15 415</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DC7838">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 xml:space="preserve">5. Obmedzenie nezdaniteľnej časti základu dane na manžela/ku (novela </w:t>
            </w:r>
            <w:r w:rsidR="0045774A">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595/2003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5 670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16 296</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16 602</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DPFO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5 670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16 296</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16 602</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DC7838">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 xml:space="preserve">6. Oslobodenie deputátov, zákonom stanovených nepeňažných plnení a príjmov členov volebných komisií (novela </w:t>
            </w:r>
            <w:r w:rsidR="0045774A">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595/2003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-98</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-93</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-88</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sociálne poistenie</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-55</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-52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-50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zdravotné poistenie</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-43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-41</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-39</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DC7838">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 xml:space="preserve">7. Oslobodenie príjmov z predaja majetku a obcí (novela </w:t>
            </w:r>
            <w:r w:rsidR="0045774A">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595/2003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jc w:val="center"/>
              <w:rPr>
                <w:rFonts w:ascii="Times New Roman" w:hAnsi="Times New Roman" w:cs="Times New Roman"/>
                <w:b/>
                <w:color w:val="000000"/>
                <w:sz w:val="14"/>
                <w:szCs w:val="14"/>
              </w:rPr>
            </w:pPr>
            <w:r w:rsidRPr="001B3733">
              <w:rPr>
                <w:rFonts w:ascii="Times New Roman" w:hAnsi="Times New Roman" w:cs="Times New Roman"/>
                <w:b/>
                <w:color w:val="000000"/>
                <w:sz w:val="14"/>
                <w:szCs w:val="14"/>
              </w:rPr>
              <w:t>-10 260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jc w:val="center"/>
              <w:rPr>
                <w:rFonts w:ascii="Times New Roman" w:hAnsi="Times New Roman" w:cs="Times New Roman"/>
                <w:b/>
                <w:color w:val="000000"/>
                <w:sz w:val="14"/>
                <w:szCs w:val="14"/>
              </w:rPr>
            </w:pPr>
            <w:r w:rsidRPr="001B3733">
              <w:rPr>
                <w:rFonts w:ascii="Times New Roman" w:hAnsi="Times New Roman" w:cs="Times New Roman"/>
                <w:b/>
                <w:color w:val="000000"/>
                <w:sz w:val="14"/>
                <w:szCs w:val="14"/>
              </w:rPr>
              <w:t>-10 352</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jc w:val="center"/>
              <w:rPr>
                <w:rFonts w:ascii="Times New Roman" w:hAnsi="Times New Roman" w:cs="Times New Roman"/>
                <w:b/>
                <w:color w:val="000000"/>
                <w:sz w:val="14"/>
                <w:szCs w:val="14"/>
              </w:rPr>
            </w:pPr>
            <w:r w:rsidRPr="001B3733">
              <w:rPr>
                <w:rFonts w:ascii="Times New Roman" w:hAnsi="Times New Roman" w:cs="Times New Roman"/>
                <w:b/>
                <w:color w:val="000000"/>
                <w:sz w:val="14"/>
                <w:szCs w:val="14"/>
              </w:rPr>
              <w:t>-10 445</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DPPO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center"/>
              <w:rPr>
                <w:rFonts w:ascii="Times New Roman" w:hAnsi="Times New Roman" w:cs="Times New Roman"/>
                <w:color w:val="000000"/>
                <w:sz w:val="14"/>
                <w:szCs w:val="14"/>
              </w:rPr>
            </w:pPr>
            <w:r w:rsidRPr="001B3733">
              <w:rPr>
                <w:rFonts w:ascii="Times New Roman" w:hAnsi="Times New Roman" w:cs="Times New Roman"/>
                <w:color w:val="000000"/>
                <w:sz w:val="14"/>
                <w:szCs w:val="14"/>
              </w:rPr>
              <w:t>-10 260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center"/>
              <w:rPr>
                <w:rFonts w:ascii="Times New Roman" w:hAnsi="Times New Roman" w:cs="Times New Roman"/>
                <w:color w:val="000000"/>
                <w:sz w:val="14"/>
                <w:szCs w:val="14"/>
              </w:rPr>
            </w:pPr>
            <w:r w:rsidRPr="001B3733">
              <w:rPr>
                <w:rFonts w:ascii="Times New Roman" w:hAnsi="Times New Roman" w:cs="Times New Roman"/>
                <w:color w:val="000000"/>
                <w:sz w:val="14"/>
                <w:szCs w:val="14"/>
              </w:rPr>
              <w:t>-10 352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center"/>
              <w:rPr>
                <w:rFonts w:ascii="Times New Roman" w:hAnsi="Times New Roman" w:cs="Times New Roman"/>
                <w:color w:val="000000"/>
                <w:sz w:val="14"/>
                <w:szCs w:val="14"/>
              </w:rPr>
            </w:pPr>
            <w:r w:rsidRPr="001B3733">
              <w:rPr>
                <w:rFonts w:ascii="Times New Roman" w:hAnsi="Times New Roman" w:cs="Times New Roman"/>
                <w:color w:val="000000"/>
                <w:sz w:val="14"/>
                <w:szCs w:val="14"/>
              </w:rPr>
              <w:t>-10 445</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DC7838">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 xml:space="preserve">8. Zmena spôsobu zdaňovania dlhopisov (novela </w:t>
            </w:r>
            <w:r w:rsidR="0045774A">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595/2003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-300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-300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-300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DPFO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1 200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1 200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1 200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DPFO vyberanú zrážkou</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-1 500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-1 500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-1 500</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45774A">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 xml:space="preserve">9. Zvýšenie hranice pre platenie preddavkov SZČO z 1659,70 eur na 2 500 eur </w:t>
            </w:r>
            <w:r w:rsidR="0045774A">
              <w:rPr>
                <w:rFonts w:ascii="Times New Roman" w:hAnsi="Times New Roman" w:cs="Times New Roman"/>
                <w:b/>
                <w:bCs/>
                <w:color w:val="000000"/>
                <w:sz w:val="14"/>
                <w:szCs w:val="14"/>
                <w:lang w:eastAsia="en-US"/>
              </w:rPr>
              <w:br/>
            </w:r>
            <w:r w:rsidRPr="001B3733">
              <w:rPr>
                <w:rFonts w:ascii="Times New Roman" w:hAnsi="Times New Roman" w:cs="Times New Roman"/>
                <w:b/>
                <w:bCs/>
                <w:color w:val="000000"/>
                <w:sz w:val="14"/>
                <w:szCs w:val="14"/>
                <w:lang w:eastAsia="en-US"/>
              </w:rPr>
              <w:t xml:space="preserve">(novela </w:t>
            </w:r>
            <w:r w:rsidR="0045774A">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595/2003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DPFO</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45774A">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 xml:space="preserve">10. Zdanenie nerozdelených ziskov </w:t>
            </w:r>
            <w:r w:rsidR="0045774A">
              <w:rPr>
                <w:rFonts w:ascii="Times New Roman" w:hAnsi="Times New Roman" w:cs="Times New Roman"/>
                <w:b/>
                <w:bCs/>
                <w:color w:val="000000"/>
                <w:sz w:val="14"/>
                <w:szCs w:val="14"/>
                <w:lang w:eastAsia="en-US"/>
              </w:rPr>
              <w:t>s</w:t>
            </w:r>
            <w:r w:rsidRPr="001B3733">
              <w:rPr>
                <w:rFonts w:ascii="Times New Roman" w:hAnsi="Times New Roman" w:cs="Times New Roman"/>
                <w:b/>
                <w:bCs/>
                <w:color w:val="000000"/>
                <w:sz w:val="14"/>
                <w:szCs w:val="14"/>
                <w:lang w:eastAsia="en-US"/>
              </w:rPr>
              <w:t>pred rok</w:t>
            </w:r>
            <w:r w:rsidR="0045774A">
              <w:rPr>
                <w:rFonts w:ascii="Times New Roman" w:hAnsi="Times New Roman" w:cs="Times New Roman"/>
                <w:b/>
                <w:bCs/>
                <w:color w:val="000000"/>
                <w:sz w:val="14"/>
                <w:szCs w:val="14"/>
                <w:lang w:eastAsia="en-US"/>
              </w:rPr>
              <w:t>a</w:t>
            </w:r>
            <w:r w:rsidRPr="001B3733">
              <w:rPr>
                <w:rFonts w:ascii="Times New Roman" w:hAnsi="Times New Roman" w:cs="Times New Roman"/>
                <w:b/>
                <w:bCs/>
                <w:color w:val="000000"/>
                <w:sz w:val="14"/>
                <w:szCs w:val="14"/>
                <w:lang w:eastAsia="en-US"/>
              </w:rPr>
              <w:t xml:space="preserve"> 2004 (novela </w:t>
            </w:r>
            <w:r w:rsidR="0045774A">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595/2003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18 152</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DPFO vyberanú zrážkou</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18 152</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DC7838">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 xml:space="preserve">11. Znovu zavedenie koncesionárskych poplatkov (novela </w:t>
            </w:r>
            <w:r w:rsidR="0045774A">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212/1995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73 881</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73 979</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73 988</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koncesionárske poplatky</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73 881</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73 979</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73 988</w:t>
            </w:r>
          </w:p>
        </w:tc>
      </w:tr>
      <w:tr>
        <w:tblPrEx>
          <w:tblW w:w="0" w:type="auto"/>
          <w:tblInd w:w="93" w:type="dxa"/>
          <w:tblLook w:val="04A0"/>
        </w:tblPrEx>
        <w:trPr>
          <w:trHeight w:val="454"/>
        </w:trPr>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F4319" w:rsidRPr="001B3733" w:rsidP="00DC7838">
            <w:pPr>
              <w:bidi w:val="0"/>
              <w:ind w:left="170" w:hanging="170"/>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 xml:space="preserve">12. Samostatný spôsob platenia zdravotných odvodov z dividend (novela </w:t>
            </w:r>
            <w:r w:rsidR="0045774A">
              <w:rPr>
                <w:rFonts w:ascii="Times New Roman" w:hAnsi="Times New Roman" w:cs="Times New Roman"/>
                <w:b/>
                <w:bCs/>
                <w:color w:val="000000"/>
                <w:sz w:val="14"/>
                <w:szCs w:val="14"/>
                <w:lang w:eastAsia="en-US"/>
              </w:rPr>
              <w:t xml:space="preserve">zákona č. </w:t>
            </w:r>
            <w:r w:rsidRPr="001B3733">
              <w:rPr>
                <w:rFonts w:ascii="Times New Roman" w:hAnsi="Times New Roman" w:cs="Times New Roman"/>
                <w:b/>
                <w:bCs/>
                <w:color w:val="000000"/>
                <w:sz w:val="14"/>
                <w:szCs w:val="14"/>
                <w:lang w:eastAsia="en-US"/>
              </w:rPr>
              <w:t>580/2004 Z. z.)</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14 700</w:t>
            </w:r>
          </w:p>
        </w:tc>
        <w:tc>
          <w:tcPr>
            <w:tcW w:w="0" w:type="auto"/>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1B3733" w:rsidP="00DC7838">
            <w:pPr>
              <w:bidi w:val="0"/>
              <w:ind w:left="170" w:hanging="170"/>
              <w:jc w:val="right"/>
              <w:rPr>
                <w:rFonts w:ascii="Times New Roman" w:hAnsi="Times New Roman" w:cs="Times New Roman"/>
                <w:b/>
                <w:bCs/>
                <w:color w:val="000000"/>
                <w:sz w:val="14"/>
                <w:szCs w:val="14"/>
                <w:lang w:eastAsia="en-US"/>
              </w:rPr>
            </w:pPr>
            <w:r w:rsidRPr="001B3733">
              <w:rPr>
                <w:rFonts w:ascii="Times New Roman" w:hAnsi="Times New Roman" w:cs="Times New Roman"/>
                <w:b/>
                <w:bCs/>
                <w:color w:val="000000"/>
                <w:sz w:val="14"/>
                <w:szCs w:val="14"/>
                <w:lang w:eastAsia="en-US"/>
              </w:rPr>
              <w:t>15 200</w:t>
            </w:r>
          </w:p>
        </w:tc>
      </w:tr>
      <w:tr>
        <w:tblPrEx>
          <w:tblW w:w="0" w:type="auto"/>
          <w:tblInd w:w="93" w:type="dxa"/>
          <w:tblLook w:val="04A0"/>
        </w:tblPrEx>
        <w:trPr>
          <w:trHeigh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5F4319" w:rsidRPr="001B3733" w:rsidP="001B3733">
            <w:pPr>
              <w:bidi w:val="0"/>
              <w:ind w:firstLine="280" w:firstLineChars="200"/>
              <w:rPr>
                <w:rFonts w:ascii="Times New Roman" w:hAnsi="Times New Roman" w:cs="Times New Roman"/>
                <w:color w:val="000000"/>
                <w:sz w:val="14"/>
                <w:szCs w:val="14"/>
                <w:lang w:eastAsia="en-US"/>
              </w:rPr>
            </w:pPr>
            <w:r w:rsidRPr="001B3733">
              <w:rPr>
                <w:rFonts w:ascii="Times New Roman" w:hAnsi="Times New Roman" w:cs="Times New Roman"/>
                <w:color w:val="000000"/>
                <w:sz w:val="14"/>
                <w:szCs w:val="14"/>
                <w:lang w:eastAsia="en-US"/>
              </w:rPr>
              <w:t>z toho: vplyv na zdravotné poistenie</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14 700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r w:rsidRPr="001B3733">
              <w:rPr>
                <w:rFonts w:ascii="Times New Roman" w:hAnsi="Times New Roman" w:cs="Times New Roman"/>
                <w:bCs/>
                <w:color w:val="000000"/>
                <w:sz w:val="14"/>
                <w:szCs w:val="14"/>
                <w:lang w:eastAsia="en-US"/>
              </w:rPr>
              <w:t>15 200</w:t>
            </w:r>
          </w:p>
        </w:tc>
      </w:tr>
      <w:tr>
        <w:tblPrEx>
          <w:tblW w:w="0" w:type="auto"/>
          <w:tblInd w:w="93" w:type="dxa"/>
          <w:tblLook w:val="04A0"/>
        </w:tblPrEx>
        <w:trPr>
          <w:trHeight w:val="255"/>
        </w:trPr>
        <w:tc>
          <w:tcPr>
            <w:tcW w:w="0" w:type="auto"/>
            <w:tcBorders>
              <w:top w:val="single" w:sz="4" w:space="0" w:color="auto"/>
              <w:left w:val="nil"/>
              <w:bottom w:val="nil"/>
              <w:right w:val="nil"/>
            </w:tcBorders>
            <w:textDirection w:val="lrTb"/>
            <w:vAlign w:val="center"/>
            <w:hideMark/>
          </w:tcPr>
          <w:p w:rsidR="005F4319" w:rsidRPr="001B3733" w:rsidP="00DC7838">
            <w:pPr>
              <w:bidi w:val="0"/>
              <w:rPr>
                <w:rFonts w:ascii="Times New Roman" w:hAnsi="Times New Roman" w:cs="Times New Roman"/>
                <w:color w:val="000000"/>
                <w:sz w:val="14"/>
                <w:szCs w:val="14"/>
                <w:lang w:eastAsia="sk-SK"/>
              </w:rPr>
            </w:pPr>
            <w:r w:rsidRPr="001B3733">
              <w:rPr>
                <w:rFonts w:ascii="Times New Roman" w:hAnsi="Times New Roman" w:cs="Times New Roman"/>
                <w:color w:val="000000"/>
                <w:sz w:val="14"/>
                <w:szCs w:val="14"/>
                <w:lang w:eastAsia="en-US"/>
              </w:rPr>
              <w:t>* znamienko (-) znamená zníženie daňových príjmov verejnej správy</w:t>
            </w:r>
            <w:r w:rsidR="0045774A">
              <w:rPr>
                <w:rFonts w:ascii="Times New Roman" w:hAnsi="Times New Roman" w:cs="Times New Roman"/>
                <w:color w:val="000000"/>
                <w:sz w:val="14"/>
                <w:szCs w:val="14"/>
                <w:lang w:eastAsia="en-US"/>
              </w:rPr>
              <w:t xml:space="preserve"> </w:t>
            </w:r>
          </w:p>
        </w:tc>
        <w:tc>
          <w:tcPr>
            <w:tcW w:w="0" w:type="auto"/>
            <w:tcBorders>
              <w:top w:val="single" w:sz="4" w:space="0" w:color="auto"/>
              <w:left w:val="nil"/>
              <w:bottom w:val="nil"/>
              <w:right w:val="nil"/>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p>
        </w:tc>
        <w:tc>
          <w:tcPr>
            <w:tcW w:w="0" w:type="auto"/>
            <w:tcBorders>
              <w:top w:val="single" w:sz="4" w:space="0" w:color="auto"/>
              <w:left w:val="nil"/>
              <w:bottom w:val="nil"/>
              <w:right w:val="nil"/>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p>
        </w:tc>
        <w:tc>
          <w:tcPr>
            <w:tcW w:w="0" w:type="auto"/>
            <w:tcBorders>
              <w:top w:val="single" w:sz="4" w:space="0" w:color="auto"/>
              <w:left w:val="nil"/>
              <w:bottom w:val="nil"/>
              <w:right w:val="nil"/>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p>
        </w:tc>
        <w:tc>
          <w:tcPr>
            <w:tcW w:w="0" w:type="auto"/>
            <w:tcBorders>
              <w:top w:val="single" w:sz="4" w:space="0" w:color="auto"/>
              <w:left w:val="nil"/>
              <w:bottom w:val="nil"/>
              <w:right w:val="nil"/>
            </w:tcBorders>
            <w:noWrap/>
            <w:textDirection w:val="lrTb"/>
            <w:vAlign w:val="center"/>
            <w:hideMark/>
          </w:tcPr>
          <w:p w:rsidR="005F4319" w:rsidRPr="001B3733" w:rsidP="00DC7838">
            <w:pPr>
              <w:bidi w:val="0"/>
              <w:ind w:left="170" w:hanging="170"/>
              <w:jc w:val="right"/>
              <w:rPr>
                <w:rFonts w:ascii="Times New Roman" w:hAnsi="Times New Roman" w:cs="Times New Roman"/>
                <w:bCs/>
                <w:color w:val="000000"/>
                <w:sz w:val="14"/>
                <w:szCs w:val="14"/>
                <w:lang w:eastAsia="en-US"/>
              </w:rPr>
            </w:pPr>
          </w:p>
        </w:tc>
      </w:tr>
    </w:tbl>
    <w:p w:rsidR="005F4319" w:rsidRPr="006759EA" w:rsidP="005F4319">
      <w:pPr>
        <w:bidi w:val="0"/>
        <w:jc w:val="both"/>
        <w:rPr>
          <w:rFonts w:ascii="Times New Roman" w:hAnsi="Times New Roman" w:cs="Times New Roman"/>
        </w:rPr>
      </w:pPr>
    </w:p>
    <w:p w:rsidR="005F4319" w:rsidRPr="006759EA" w:rsidP="005F4319">
      <w:pPr>
        <w:bidi w:val="0"/>
        <w:rPr>
          <w:rFonts w:ascii="Times New Roman" w:hAnsi="Times New Roman" w:cs="Times New Roman"/>
          <w:b/>
          <w:bCs/>
        </w:rPr>
      </w:pPr>
      <w:r w:rsidRPr="006759EA">
        <w:rPr>
          <w:rFonts w:ascii="Times New Roman" w:hAnsi="Times New Roman" w:cs="Times New Roman"/>
          <w:b/>
          <w:bCs/>
        </w:rPr>
        <w:t>Odhad jednotlivých daní</w:t>
      </w:r>
    </w:p>
    <w:p w:rsidR="005F4319" w:rsidRPr="006759EA" w:rsidP="005F4319">
      <w:pPr>
        <w:bidi w:val="0"/>
        <w:rPr>
          <w:rFonts w:ascii="Times New Roman" w:hAnsi="Times New Roman" w:cs="Times New Roman"/>
          <w:b/>
          <w:bCs/>
        </w:rPr>
      </w:pPr>
    </w:p>
    <w:p w:rsidR="005F4319" w:rsidRPr="006759EA" w:rsidP="005F4319">
      <w:pPr>
        <w:bidi w:val="0"/>
        <w:ind w:firstLine="720"/>
        <w:jc w:val="both"/>
        <w:rPr>
          <w:rFonts w:ascii="Times New Roman" w:hAnsi="Times New Roman" w:cs="Times New Roman"/>
        </w:rPr>
      </w:pPr>
      <w:r w:rsidRPr="006759EA">
        <w:rPr>
          <w:rFonts w:ascii="Times New Roman" w:hAnsi="Times New Roman" w:cs="Times New Roman"/>
        </w:rPr>
        <w:t xml:space="preserve">Výnos </w:t>
      </w:r>
      <w:r w:rsidRPr="006759EA">
        <w:rPr>
          <w:rFonts w:ascii="Times New Roman" w:hAnsi="Times New Roman" w:cs="Times New Roman"/>
          <w:b/>
          <w:bCs/>
        </w:rPr>
        <w:t>dane z príjmu fyzických osôb zo závislej činnosti</w:t>
      </w:r>
      <w:r w:rsidRPr="006759EA">
        <w:rPr>
          <w:rFonts w:ascii="Times New Roman" w:hAnsi="Times New Roman" w:cs="Times New Roman"/>
        </w:rPr>
        <w:t xml:space="preserve"> je v porovnaní s rozpočtom verejnej správy na roky 2012 až 2014 negatívne ovplyvnený horším makroekonomickým vývojom než sa pôvodne očakávalo (rast mzdovej bázy v sledovanom období je v priemere menší o 0,9 p.</w:t>
      </w:r>
      <w:r w:rsidR="00201F3A">
        <w:rPr>
          <w:rFonts w:ascii="Times New Roman" w:hAnsi="Times New Roman" w:cs="Times New Roman"/>
        </w:rPr>
        <w:t xml:space="preserve"> </w:t>
      </w:r>
      <w:r w:rsidRPr="006759EA">
        <w:rPr>
          <w:rFonts w:ascii="Times New Roman" w:hAnsi="Times New Roman" w:cs="Times New Roman"/>
        </w:rPr>
        <w:t xml:space="preserve">b.). Nezdaniteľná časť základu dane na daňovníka (NČZD) bude v roku 2013 definovaná </w:t>
      </w:r>
      <w:r w:rsidRPr="006759EA">
        <w:rPr>
          <w:rFonts w:ascii="Times New Roman" w:hAnsi="Times New Roman" w:cs="Times New Roman"/>
          <w:color w:val="000000"/>
        </w:rPr>
        <w:t>ako 19,2-násobok životného minima platného k 1. januáru príslušného roka.</w:t>
      </w:r>
      <w:r w:rsidRPr="006759EA">
        <w:rPr>
          <w:rFonts w:ascii="Times New Roman" w:hAnsi="Times New Roman" w:cs="Times New Roman"/>
          <w:color w:val="FF0000"/>
        </w:rPr>
        <w:t xml:space="preserve"> </w:t>
      </w:r>
      <w:r w:rsidRPr="006759EA">
        <w:rPr>
          <w:rFonts w:ascii="Times New Roman" w:hAnsi="Times New Roman" w:cs="Times New Roman"/>
        </w:rPr>
        <w:t>Vzhľadom</w:t>
      </w:r>
      <w:r>
        <w:rPr>
          <w:rFonts w:ascii="Times New Roman" w:hAnsi="Times New Roman" w:cs="Times New Roman"/>
        </w:rPr>
        <w:t xml:space="preserve"> na životné minimum platné k 1. januáru </w:t>
      </w:r>
      <w:r w:rsidRPr="006759EA">
        <w:rPr>
          <w:rFonts w:ascii="Times New Roman" w:hAnsi="Times New Roman" w:cs="Times New Roman"/>
        </w:rPr>
        <w:t>2013 vo výške 194,58 eur sa NČZD na rok 2013 predpokladá vo výške 3 735,94 eur. Klesajúca NČZD sa v roku 2013 začne uplatňovať pri hrubej mesačnej mzde približne 1 872 eur, od mzdy približne vo výške 3 311</w:t>
      </w:r>
      <w:r>
        <w:rPr>
          <w:rFonts w:ascii="Times New Roman" w:hAnsi="Times New Roman" w:cs="Times New Roman"/>
        </w:rPr>
        <w:t> </w:t>
      </w:r>
      <w:r w:rsidRPr="006759EA">
        <w:rPr>
          <w:rFonts w:ascii="Times New Roman" w:hAnsi="Times New Roman" w:cs="Times New Roman"/>
        </w:rPr>
        <w:t>eur bude NČZD nulová. Od roku 2013 sa zavádza systém s dvoma sadzbami dane, z čoho vyššia sadzba dane na úrovni 25</w:t>
      </w:r>
      <w:r>
        <w:rPr>
          <w:rFonts w:ascii="Times New Roman" w:hAnsi="Times New Roman" w:cs="Times New Roman"/>
        </w:rPr>
        <w:t xml:space="preserve"> </w:t>
      </w:r>
      <w:r w:rsidRPr="006759EA">
        <w:rPr>
          <w:rFonts w:ascii="Times New Roman" w:hAnsi="Times New Roman" w:cs="Times New Roman"/>
        </w:rPr>
        <w:t>% sa začne uplatňovať od hranice, od ktorej bude NČZD nulová (približne od hrubého príjmu 3 311 eur). Na rozdiel od NČZD na daňovníka, ktorá sa mení vždy k 1. januáru príslušného roka, výška daňového bonusu na dieťa sa valorizuje vždy od 1. júla príslušného roka. V roku 2013 sa predpokladá priemerná mesačná výška daňového bonusu na dieťa vo výške 21,2</w:t>
      </w:r>
      <w:r>
        <w:rPr>
          <w:rFonts w:ascii="Times New Roman" w:hAnsi="Times New Roman" w:cs="Times New Roman"/>
        </w:rPr>
        <w:t xml:space="preserve">1 eur. Od 1. januára </w:t>
      </w:r>
      <w:r w:rsidRPr="006759EA">
        <w:rPr>
          <w:rFonts w:ascii="Times New Roman" w:hAnsi="Times New Roman" w:cs="Times New Roman"/>
        </w:rPr>
        <w:t>2009 majú zamestnanci s najnižšími mzdami pri splnení zákonom stanovených podmienok nárok na zamestnaneckú prémiu. Odhadovaná výška maximálnej zamestnaneckej prémie za celé zdaňovacie obdobie roka 2013 dosiahne úroveň približne 48,72 eur (závisí od výšky minimálnej mzdy na rok 2013, ktorá ešte nie je schválená), pričom celá výška zamestnaneckej prémie im bude vyplatená v rámci ročného zúčtovania dane v marci 2014. Nárok na maximálnu výšku zamestnaneckej prémie získajú zamestnanci s príjmom od polovice minimálnej mzdy do úrovne minimálnej mzdy pri splnení ďalších zákonom stanovených podmienok.</w:t>
      </w:r>
    </w:p>
    <w:p w:rsidR="005F4319" w:rsidRPr="006759EA" w:rsidP="005F4319">
      <w:pPr>
        <w:bidi w:val="0"/>
        <w:ind w:firstLine="708"/>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Výnos </w:t>
      </w:r>
      <w:r w:rsidRPr="006759EA">
        <w:rPr>
          <w:rFonts w:ascii="Times New Roman" w:hAnsi="Times New Roman" w:cs="Times New Roman"/>
          <w:b/>
          <w:bCs/>
        </w:rPr>
        <w:t>dane z príjmov fyzických osôb z podnikania</w:t>
      </w:r>
      <w:r w:rsidRPr="006759EA">
        <w:rPr>
          <w:rFonts w:ascii="Times New Roman" w:hAnsi="Times New Roman" w:cs="Times New Roman"/>
        </w:rPr>
        <w:t xml:space="preserve"> bol aktualizáciou makroekonomických prognóz o</w:t>
      </w:r>
      <w:r>
        <w:rPr>
          <w:rFonts w:ascii="Times New Roman" w:hAnsi="Times New Roman" w:cs="Times New Roman"/>
        </w:rPr>
        <w:t>proti rozpočtu verejnej správy na roky 2012 až</w:t>
      </w:r>
      <w:r w:rsidRPr="006759EA">
        <w:rPr>
          <w:rFonts w:ascii="Times New Roman" w:hAnsi="Times New Roman" w:cs="Times New Roman"/>
        </w:rPr>
        <w:t xml:space="preserve"> 2014 mierne negatívne ovplyvnený, čo je spôsobené pomalším r</w:t>
      </w:r>
      <w:r>
        <w:rPr>
          <w:rFonts w:ascii="Times New Roman" w:hAnsi="Times New Roman" w:cs="Times New Roman"/>
        </w:rPr>
        <w:t>astom odhadu HDP v rokoch 2013 až</w:t>
      </w:r>
      <w:r w:rsidRPr="006759EA">
        <w:rPr>
          <w:rFonts w:ascii="Times New Roman" w:hAnsi="Times New Roman" w:cs="Times New Roman"/>
        </w:rPr>
        <w:t xml:space="preserve"> 2015. </w:t>
      </w:r>
    </w:p>
    <w:p w:rsidR="005F4319" w:rsidRPr="006759EA" w:rsidP="005F4319">
      <w:pPr>
        <w:bidi w:val="0"/>
        <w:ind w:firstLine="720"/>
        <w:jc w:val="both"/>
        <w:rPr>
          <w:rFonts w:ascii="Times New Roman" w:hAnsi="Times New Roman" w:cs="Times New Roman"/>
        </w:rPr>
      </w:pPr>
      <w:r w:rsidRPr="006759EA">
        <w:rPr>
          <w:rFonts w:ascii="Times New Roman" w:hAnsi="Times New Roman" w:cs="Times New Roman"/>
        </w:rPr>
        <w:t xml:space="preserve"> </w:t>
      </w:r>
    </w:p>
    <w:p w:rsidR="005F4319" w:rsidRPr="006759EA" w:rsidP="005F4319">
      <w:pPr>
        <w:bidi w:val="0"/>
        <w:ind w:firstLine="708"/>
        <w:jc w:val="both"/>
        <w:rPr>
          <w:rFonts w:ascii="Times New Roman" w:hAnsi="Times New Roman" w:cs="Times New Roman"/>
          <w:color w:val="000000"/>
        </w:rPr>
      </w:pPr>
      <w:r w:rsidRPr="00993297">
        <w:rPr>
          <w:rFonts w:ascii="Times New Roman" w:hAnsi="Times New Roman" w:cs="Times New Roman"/>
          <w:color w:val="000000"/>
        </w:rPr>
        <w:t xml:space="preserve">Aktualizovaný odhad akruálneho výnosu </w:t>
      </w:r>
      <w:r w:rsidRPr="00086FAC">
        <w:rPr>
          <w:rFonts w:ascii="Times New Roman" w:hAnsi="Times New Roman" w:cs="Times New Roman"/>
          <w:b/>
          <w:color w:val="000000"/>
        </w:rPr>
        <w:t>dane z príjmov právnických osôb (DPPO)</w:t>
      </w:r>
      <w:r w:rsidRPr="00993297">
        <w:rPr>
          <w:rFonts w:ascii="Times New Roman" w:hAnsi="Times New Roman" w:cs="Times New Roman"/>
          <w:color w:val="000000"/>
        </w:rPr>
        <w:t xml:space="preserve"> v roku 2011 vysvetľuje zhoršenie prognózy aj v nasledujúcich rokoch. Na znížení očakávaného výnosu dane sa podieľalo viacero faktorov.</w:t>
      </w:r>
      <w:r w:rsidRPr="006759EA">
        <w:rPr>
          <w:rFonts w:ascii="Times New Roman" w:hAnsi="Times New Roman" w:cs="Times New Roman"/>
          <w:color w:val="000000"/>
        </w:rPr>
        <w:t xml:space="preserve"> Existuje nesúlad rastu ziskovosti podľa ŠÚ SR s rastom hospodárskeho výsledku právnických osôb podľa daňových priznaní DPPO v roku 2011. Medziročný rast ziskovosti korporácií v roku 2011 (17,7</w:t>
      </w:r>
      <w:r w:rsidR="00201F3A">
        <w:rPr>
          <w:rFonts w:ascii="Times New Roman" w:hAnsi="Times New Roman" w:cs="Times New Roman"/>
          <w:color w:val="000000"/>
        </w:rPr>
        <w:t xml:space="preserve"> </w:t>
      </w:r>
      <w:r w:rsidRPr="006759EA">
        <w:rPr>
          <w:rFonts w:ascii="Times New Roman" w:hAnsi="Times New Roman" w:cs="Times New Roman"/>
          <w:color w:val="000000"/>
        </w:rPr>
        <w:t>%) sa tak nepremietol do rastu daňovej povinnosti právnických osôb. Na vývoj výnosu dane negatívne vplýva vysoká úroveň umorovania strát za predchádzajúce roky a negatívny medziročný vývoj pripočítateľných a odpočítateľných položiek k základu dane. Štruktúra daňovej povinnosti DPPO naznačuje, že výnos dane</w:t>
      </w:r>
      <w:r w:rsidR="00201F3A">
        <w:rPr>
          <w:rFonts w:ascii="Times New Roman" w:hAnsi="Times New Roman" w:cs="Times New Roman"/>
          <w:color w:val="000000"/>
        </w:rPr>
        <w:t xml:space="preserve"> z veľkých, exportne orientovaných</w:t>
      </w:r>
      <w:r w:rsidRPr="006759EA">
        <w:rPr>
          <w:rFonts w:ascii="Times New Roman" w:hAnsi="Times New Roman" w:cs="Times New Roman"/>
          <w:color w:val="000000"/>
        </w:rPr>
        <w:t xml:space="preserve"> podnikov medziročne rastie v súlade s očakávaniami. Problematicky sa javí vývoj malých a stredných spoločností orientovaných prevažne na domáci trh. Riziko pre budúci vývoj dane predstavuje možné čerpanie investičných stimulov formou daňových úľav u tých subjektov, ktoré v minulosti daň platili. Čerpaná úľava by tak predstavovala výpadok na DPPO.</w:t>
      </w:r>
    </w:p>
    <w:p w:rsidR="005F4319" w:rsidRPr="006759EA" w:rsidP="005F4319">
      <w:pPr>
        <w:bidi w:val="0"/>
        <w:ind w:firstLine="708"/>
        <w:jc w:val="both"/>
        <w:rPr>
          <w:rFonts w:ascii="Times New Roman" w:hAnsi="Times New Roman" w:cs="Times New Roman"/>
        </w:rPr>
      </w:pPr>
    </w:p>
    <w:p w:rsidR="005F4319" w:rsidRPr="006759EA" w:rsidP="005F4319">
      <w:pPr>
        <w:bidi w:val="0"/>
        <w:ind w:firstLine="708"/>
        <w:jc w:val="both"/>
        <w:rPr>
          <w:rFonts w:ascii="Times New Roman" w:hAnsi="Times New Roman" w:cs="Times New Roman"/>
          <w:color w:val="FF0000"/>
        </w:rPr>
      </w:pPr>
      <w:r w:rsidRPr="006759EA">
        <w:rPr>
          <w:rFonts w:ascii="Times New Roman" w:hAnsi="Times New Roman" w:cs="Times New Roman"/>
          <w:color w:val="000000"/>
        </w:rPr>
        <w:t>Neistotou pri prognóze daní z príjmov fyzických a právnických osôb je možnosť daňovníkov poukázať 2 % zo zaplatenej dane na osobitné účely (verejnoprospešné aktivity mimovládnych neziskových organizácií). V roku 2011 dosiahla suma prostriedkov prevedených na verejnoprospešný účel 41 970 tis. eur (z toho FO previedli 16 526 tis. eur a PO previedli 25 444 tis. eur). Predpokladá sa, že suma prostriedkov určených na osobitné účely dosiahne v roku 2012 úroveň 42 563 tis. eur, v roku 2013 objem 43 950 tis. eur a 39 749 v roku 2014.</w:t>
      </w:r>
    </w:p>
    <w:p w:rsidR="005F4319" w:rsidRPr="006759EA" w:rsidP="005F4319">
      <w:pPr>
        <w:bidi w:val="0"/>
        <w:jc w:val="both"/>
        <w:rPr>
          <w:rFonts w:ascii="Times New Roman" w:hAnsi="Times New Roman" w:cs="Times New Roman"/>
          <w:color w:val="FF0000"/>
        </w:rPr>
      </w:pPr>
    </w:p>
    <w:p w:rsidR="005F4319" w:rsidRPr="006759EA" w:rsidP="005F4319">
      <w:pPr>
        <w:bidi w:val="0"/>
        <w:ind w:firstLine="708"/>
        <w:jc w:val="both"/>
        <w:rPr>
          <w:rFonts w:ascii="Times New Roman" w:hAnsi="Times New Roman" w:cs="Times New Roman"/>
          <w:color w:val="000000"/>
        </w:rPr>
      </w:pPr>
      <w:r w:rsidRPr="006759EA">
        <w:rPr>
          <w:rFonts w:ascii="Times New Roman" w:hAnsi="Times New Roman" w:cs="Times New Roman"/>
          <w:color w:val="000000"/>
        </w:rPr>
        <w:t xml:space="preserve">Prognóza </w:t>
      </w:r>
      <w:r w:rsidRPr="006759EA">
        <w:rPr>
          <w:rFonts w:ascii="Times New Roman" w:hAnsi="Times New Roman" w:cs="Times New Roman"/>
          <w:b/>
          <w:bCs/>
          <w:color w:val="000000"/>
        </w:rPr>
        <w:t>dane z príjmov vyberanej zrážkou</w:t>
      </w:r>
      <w:r w:rsidRPr="006759EA">
        <w:rPr>
          <w:rFonts w:ascii="Times New Roman" w:hAnsi="Times New Roman" w:cs="Times New Roman"/>
          <w:color w:val="000000"/>
        </w:rPr>
        <w:t xml:space="preserve"> na roky 2013 až 2015 vychádza z odhadovaného negatívnejšieho vývoja priemernej úrokovej miery a objemu z vkladov. Výnos dane z príjmov vyberanej zrážkou je v značnej miere ovplyvnený aj licenčnými poplatkami, ktorých výška priamo nesúvisí s makroekonomickým vývojom. Je pomerne časté, že dochádza k jednorazovým výkyvom v ich platbe, a to najmä z dôvodu, že časť licenčných poplatkov sa platí jednorazovo v stanovenej výške pri spustení výroby nového produktu. Na výnos dane z príjmov vyberanej zrážkou bude mať mierne negatívny vplyv aj pokles licenčných poplatkov u subjektov, ktoré ich platia v závislosti od veľkosti tržieb.</w:t>
      </w:r>
    </w:p>
    <w:p w:rsidR="005F4319" w:rsidRPr="006759EA" w:rsidP="005F4319">
      <w:pPr>
        <w:bidi w:val="0"/>
        <w:ind w:firstLine="708"/>
        <w:jc w:val="both"/>
        <w:rPr>
          <w:rFonts w:ascii="Times New Roman" w:hAnsi="Times New Roman" w:cs="Times New Roman"/>
          <w:color w:val="000000"/>
        </w:rPr>
      </w:pPr>
    </w:p>
    <w:p w:rsidR="005F4319" w:rsidRPr="006759EA" w:rsidP="005F4319">
      <w:pPr>
        <w:bidi w:val="0"/>
        <w:jc w:val="both"/>
        <w:rPr>
          <w:rFonts w:ascii="Times New Roman" w:hAnsi="Times New Roman" w:cs="Times New Roman"/>
          <w:color w:val="000000"/>
        </w:rPr>
      </w:pPr>
      <w:r w:rsidRPr="006759EA">
        <w:rPr>
          <w:rFonts w:ascii="Times New Roman" w:hAnsi="Times New Roman" w:cs="Times New Roman"/>
        </w:rPr>
        <w:tab/>
        <w:t xml:space="preserve">Výnos </w:t>
      </w:r>
      <w:r w:rsidRPr="006759EA">
        <w:rPr>
          <w:rFonts w:ascii="Times New Roman" w:hAnsi="Times New Roman" w:cs="Times New Roman"/>
          <w:b/>
          <w:bCs/>
        </w:rPr>
        <w:t>dane z pridanej hodnoty</w:t>
      </w:r>
      <w:r w:rsidRPr="006759EA">
        <w:rPr>
          <w:rFonts w:ascii="Times New Roman" w:hAnsi="Times New Roman" w:cs="Times New Roman"/>
        </w:rPr>
        <w:t xml:space="preserve"> </w:t>
      </w:r>
      <w:r w:rsidRPr="006759EA">
        <w:rPr>
          <w:rFonts w:ascii="Times New Roman" w:hAnsi="Times New Roman" w:cs="Times New Roman"/>
          <w:b/>
        </w:rPr>
        <w:t>(DPH)</w:t>
      </w:r>
      <w:r w:rsidRPr="006759EA">
        <w:rPr>
          <w:rFonts w:ascii="Times New Roman" w:hAnsi="Times New Roman" w:cs="Times New Roman"/>
        </w:rPr>
        <w:t xml:space="preserve"> by mal v rokoch 2013 až 2015 rásť pomalšie ako spotrebné výdavky domácností. </w:t>
      </w:r>
      <w:r w:rsidRPr="006759EA">
        <w:rPr>
          <w:rFonts w:ascii="Times New Roman" w:hAnsi="Times New Roman" w:cs="Times New Roman"/>
          <w:color w:val="000000"/>
        </w:rPr>
        <w:t>Odhad výnosu DPH je oproti schválenému rozpočtu na rok 2012 výrazne nižší o 261 mil. eur. Do odhadu boli zapracované najnovšie úda</w:t>
      </w:r>
      <w:r>
        <w:rPr>
          <w:rFonts w:ascii="Times New Roman" w:hAnsi="Times New Roman" w:cs="Times New Roman"/>
          <w:color w:val="000000"/>
        </w:rPr>
        <w:t xml:space="preserve">je získané z daňových priznaní. </w:t>
      </w:r>
      <w:r w:rsidRPr="006759EA">
        <w:rPr>
          <w:rFonts w:ascii="Times New Roman" w:hAnsi="Times New Roman" w:cs="Times New Roman"/>
          <w:color w:val="000000"/>
        </w:rPr>
        <w:t>V roku 2012 medziročne klesá daňová povinnosť, ktorá sa nevyvíja v súlade s makroekonomickým vývojom. Rozdielny vývoj makroekonomických základní a akruálneho výnosu DPH v roku 2012 preto navádza na opatrnosť pri prognóze. Dôvody môžu byť rôzne, najpravdepodobnejším sú však daňové úniky a problémy F</w:t>
      </w:r>
      <w:r w:rsidR="00912EBC">
        <w:rPr>
          <w:rFonts w:ascii="Times New Roman" w:hAnsi="Times New Roman" w:cs="Times New Roman"/>
          <w:color w:val="000000"/>
        </w:rPr>
        <w:t>inančnej správy</w:t>
      </w:r>
      <w:r w:rsidRPr="006759EA">
        <w:rPr>
          <w:rFonts w:ascii="Times New Roman" w:hAnsi="Times New Roman" w:cs="Times New Roman"/>
          <w:color w:val="000000"/>
        </w:rPr>
        <w:t xml:space="preserve"> SR s IT systémom na začiatku roka 2012</w:t>
      </w:r>
      <w:r>
        <w:rPr>
          <w:rFonts w:ascii="Times New Roman" w:hAnsi="Times New Roman" w:cs="Times New Roman"/>
          <w:color w:val="000000"/>
          <w:vertAlign w:val="superscript"/>
          <w:rtl w:val="0"/>
        </w:rPr>
        <w:footnoteReference w:id="7"/>
      </w:r>
      <w:r w:rsidRPr="006759EA">
        <w:rPr>
          <w:rFonts w:ascii="Times New Roman" w:hAnsi="Times New Roman" w:cs="Times New Roman"/>
          <w:color w:val="000000"/>
        </w:rPr>
        <w:t xml:space="preserve">. </w:t>
      </w:r>
      <w:r w:rsidRPr="006759EA">
        <w:rPr>
          <w:rFonts w:ascii="Times New Roman" w:hAnsi="Times New Roman" w:cs="Times New Roman"/>
        </w:rPr>
        <w:t>M</w:t>
      </w:r>
      <w:r w:rsidR="00912EBC">
        <w:rPr>
          <w:rFonts w:ascii="Times New Roman" w:hAnsi="Times New Roman" w:cs="Times New Roman"/>
        </w:rPr>
        <w:t>inisterstvo financií</w:t>
      </w:r>
      <w:r w:rsidRPr="006759EA">
        <w:rPr>
          <w:rFonts w:ascii="Times New Roman" w:hAnsi="Times New Roman" w:cs="Times New Roman"/>
        </w:rPr>
        <w:t xml:space="preserve"> SR z tohto dôvodu pristúpilo k prehodnoteniu predpokladu rastu daňovej povinnosti smerom nadol, čo je hlavným faktorom poklesu prognózy príjmov v porovnaní so schváleným rozpočt</w:t>
      </w:r>
      <w:r>
        <w:rPr>
          <w:rFonts w:ascii="Times New Roman" w:hAnsi="Times New Roman" w:cs="Times New Roman"/>
        </w:rPr>
        <w:t xml:space="preserve">om verejnej správy na roky 2012 až </w:t>
      </w:r>
      <w:r w:rsidRPr="006759EA">
        <w:rPr>
          <w:rFonts w:ascii="Times New Roman" w:hAnsi="Times New Roman" w:cs="Times New Roman"/>
        </w:rPr>
        <w:t xml:space="preserve">2014. </w:t>
      </w:r>
    </w:p>
    <w:p w:rsidR="005F4319" w:rsidRPr="006759EA" w:rsidP="005F4319">
      <w:pPr>
        <w:bidi w:val="0"/>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Výnosy </w:t>
      </w:r>
      <w:r w:rsidRPr="006759EA">
        <w:rPr>
          <w:rFonts w:ascii="Times New Roman" w:hAnsi="Times New Roman" w:cs="Times New Roman"/>
          <w:b/>
          <w:bCs/>
        </w:rPr>
        <w:t>spotrebných daní</w:t>
      </w:r>
      <w:r w:rsidRPr="006759EA">
        <w:rPr>
          <w:rFonts w:ascii="Times New Roman" w:hAnsi="Times New Roman" w:cs="Times New Roman"/>
        </w:rPr>
        <w:t xml:space="preserve"> v metodike </w:t>
      </w:r>
      <w:r>
        <w:rPr>
          <w:rFonts w:ascii="Times New Roman" w:hAnsi="Times New Roman" w:cs="Times New Roman"/>
        </w:rPr>
        <w:t>ESA 95 budú rásť v rokoch 2012 až</w:t>
      </w:r>
      <w:r w:rsidRPr="006759EA">
        <w:rPr>
          <w:rFonts w:ascii="Times New Roman" w:hAnsi="Times New Roman" w:cs="Times New Roman"/>
        </w:rPr>
        <w:t xml:space="preserve"> 2015 v súlade s rastom spotreby domácností a HDP v stálych cenách. V prípade spotrebnej dane </w:t>
      </w:r>
      <w:r w:rsidRPr="006759EA">
        <w:rPr>
          <w:rFonts w:ascii="Times New Roman" w:hAnsi="Times New Roman" w:cs="Times New Roman"/>
          <w:b/>
        </w:rPr>
        <w:t>z tabaku</w:t>
      </w:r>
      <w:r w:rsidRPr="006759EA">
        <w:rPr>
          <w:rFonts w:ascii="Times New Roman" w:hAnsi="Times New Roman" w:cs="Times New Roman"/>
        </w:rPr>
        <w:t xml:space="preserve"> bude výnos dane rásť pomalšie v porovnaní s makroekonomickou základňou z dôvodu stagnácie spotreby tabakových výrobkov, ako aj rastúcim rozsahom cezhraničných nákupov predovšetkým v Maďarsku a Poľsku. Plnenie spotrebnej dane </w:t>
      </w:r>
      <w:r w:rsidRPr="006759EA">
        <w:rPr>
          <w:rFonts w:ascii="Times New Roman" w:hAnsi="Times New Roman" w:cs="Times New Roman"/>
          <w:b/>
        </w:rPr>
        <w:t>z liehu</w:t>
      </w:r>
      <w:r w:rsidRPr="006759EA">
        <w:rPr>
          <w:rFonts w:ascii="Times New Roman" w:hAnsi="Times New Roman" w:cs="Times New Roman"/>
        </w:rPr>
        <w:t xml:space="preserve"> sa </w:t>
      </w:r>
      <w:r w:rsidR="00912EBC">
        <w:rPr>
          <w:rFonts w:ascii="Times New Roman" w:hAnsi="Times New Roman" w:cs="Times New Roman"/>
        </w:rPr>
        <w:t>v</w:t>
      </w:r>
      <w:r w:rsidRPr="006759EA">
        <w:rPr>
          <w:rFonts w:ascii="Times New Roman" w:hAnsi="Times New Roman" w:cs="Times New Roman"/>
        </w:rPr>
        <w:t xml:space="preserve"> obdob</w:t>
      </w:r>
      <w:r w:rsidR="00912EBC">
        <w:rPr>
          <w:rFonts w:ascii="Times New Roman" w:hAnsi="Times New Roman" w:cs="Times New Roman"/>
        </w:rPr>
        <w:t>í</w:t>
      </w:r>
      <w:r w:rsidRPr="006759EA">
        <w:rPr>
          <w:rFonts w:ascii="Times New Roman" w:hAnsi="Times New Roman" w:cs="Times New Roman"/>
        </w:rPr>
        <w:t xml:space="preserve"> rokov 2012</w:t>
      </w:r>
      <w:r>
        <w:rPr>
          <w:rFonts w:ascii="Times New Roman" w:hAnsi="Times New Roman" w:cs="Times New Roman"/>
        </w:rPr>
        <w:t xml:space="preserve"> až</w:t>
      </w:r>
      <w:r w:rsidRPr="006759EA">
        <w:rPr>
          <w:rFonts w:ascii="Times New Roman" w:hAnsi="Times New Roman" w:cs="Times New Roman"/>
        </w:rPr>
        <w:t xml:space="preserve"> 2015 očakáva v súlade s rastom spotreby domácností. Spotrebná daň </w:t>
      </w:r>
      <w:r w:rsidRPr="006759EA">
        <w:rPr>
          <w:rFonts w:ascii="Times New Roman" w:hAnsi="Times New Roman" w:cs="Times New Roman"/>
          <w:b/>
        </w:rPr>
        <w:t>z piva</w:t>
      </w:r>
      <w:r w:rsidRPr="006759EA">
        <w:rPr>
          <w:rFonts w:ascii="Times New Roman" w:hAnsi="Times New Roman" w:cs="Times New Roman"/>
        </w:rPr>
        <w:t xml:space="preserve"> bude rásť približne rovnakým tempom ako spotreba domácností v stálych cenách, pričom mierne riziko predstavuje trend dlhodobo klesajúcej spotreby piva a zmena preferencií spotrebiteľov v prospech iných druhov nápojov. Pri spotrebnej dani </w:t>
      </w:r>
      <w:r w:rsidRPr="006759EA">
        <w:rPr>
          <w:rFonts w:ascii="Times New Roman" w:hAnsi="Times New Roman" w:cs="Times New Roman"/>
          <w:b/>
        </w:rPr>
        <w:t>z minerálnych olejov</w:t>
      </w:r>
      <w:r w:rsidRPr="006759EA">
        <w:rPr>
          <w:rFonts w:ascii="Times New Roman" w:hAnsi="Times New Roman" w:cs="Times New Roman"/>
        </w:rPr>
        <w:t xml:space="preserve"> sa očakáva ras</w:t>
      </w:r>
      <w:r>
        <w:rPr>
          <w:rFonts w:ascii="Times New Roman" w:hAnsi="Times New Roman" w:cs="Times New Roman"/>
        </w:rPr>
        <w:t>t výnosu v rokoch 2012 až</w:t>
      </w:r>
      <w:r w:rsidRPr="006759EA">
        <w:rPr>
          <w:rFonts w:ascii="Times New Roman" w:hAnsi="Times New Roman" w:cs="Times New Roman"/>
        </w:rPr>
        <w:t xml:space="preserve"> 2015 v súlade s tempom rastu spotreby domácnosti a HDP. Pretrvávajúce riziko predstavuje budovanie návyku spotrebiteľov nakupovať pohonné hmoty v zahraničí, ako aj rastúci podiel motoristov preferujúcich naftové motory pred benzínovými.</w:t>
      </w:r>
    </w:p>
    <w:p w:rsidR="005F4319" w:rsidRPr="006759EA" w:rsidP="005F4319">
      <w:pPr>
        <w:bidi w:val="0"/>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Podľa </w:t>
      </w:r>
      <w:r w:rsidRPr="006759EA">
        <w:rPr>
          <w:rFonts w:ascii="Times New Roman" w:hAnsi="Times New Roman" w:cs="Times New Roman"/>
          <w:b/>
          <w:bCs/>
        </w:rPr>
        <w:t>zákona o miestnych daniach</w:t>
      </w:r>
      <w:r w:rsidRPr="006759EA">
        <w:rPr>
          <w:rFonts w:ascii="Times New Roman" w:hAnsi="Times New Roman" w:cs="Times New Roman"/>
        </w:rPr>
        <w:t xml:space="preserve"> a miestnom poplatku za komunálne odpady a drobné stavebné odpady, ktorý upravuje daň z nehnuteľností, dane za špecifické služby a daň z motorových vozidiel, majú stanovenie výšky sadzieb daní v kompetencii jednotlivé obce (daň z nehnuteľností a dane za špecifické služby) a VÚC (daň z motorových vozidiel). Odhad M</w:t>
      </w:r>
      <w:r w:rsidR="00912EBC">
        <w:rPr>
          <w:rFonts w:ascii="Times New Roman" w:hAnsi="Times New Roman" w:cs="Times New Roman"/>
        </w:rPr>
        <w:t>inisterstva financií</w:t>
      </w:r>
      <w:r w:rsidRPr="006759EA">
        <w:rPr>
          <w:rFonts w:ascii="Times New Roman" w:hAnsi="Times New Roman" w:cs="Times New Roman"/>
        </w:rPr>
        <w:t xml:space="preserve"> SR pri týchto daniach je preto len indikatívny, nakoľko subjekty samosprávy si zostavujú vlastné rozpočty.</w:t>
      </w:r>
    </w:p>
    <w:p w:rsidR="005F4319" w:rsidRPr="006759EA" w:rsidP="005F4319">
      <w:pPr>
        <w:bidi w:val="0"/>
        <w:jc w:val="both"/>
        <w:rPr>
          <w:rFonts w:ascii="Times New Roman" w:hAnsi="Times New Roman" w:cs="Times New Roman"/>
          <w:color w:val="FF0000"/>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Odhad výnosu </w:t>
      </w:r>
      <w:r w:rsidRPr="006759EA">
        <w:rPr>
          <w:rFonts w:ascii="Times New Roman" w:hAnsi="Times New Roman" w:cs="Times New Roman"/>
          <w:b/>
          <w:bCs/>
        </w:rPr>
        <w:t>ostatných daní</w:t>
      </w:r>
      <w:r w:rsidRPr="006759EA">
        <w:rPr>
          <w:rFonts w:ascii="Times New Roman" w:hAnsi="Times New Roman" w:cs="Times New Roman"/>
        </w:rPr>
        <w:t xml:space="preserve"> je tvorený odhadom výnosov z podielu na vybratých finančných prostriedkoch EÚ, z úhrad za dobývací priestor, z úhrad za uskladňovanie plynov alebo kvapalín, osobitného odvodu z podnikania v regulovaných odvetviach, osobitného a mimoriadneho odvodu vybraných finančných inštitúcií. Výnos z podielu na vybratých finančných prostriedkoch EÚ je tvorený 25 % zo sumy vlastných tradičných zdrojov EÚ pripadajúcich na dovozné clo a poľnohospodárske poplatky, ostávajúcich 75 % plynie priamo do rozpočtu EÚ. Výnos dane z úhrad za uskladňovanie plynov alebo kvapalín, ktorý je príjmom Environmentálneho fondu, sa očakáva v rokoch 2013 až 2015 na úrovni 1,0 mil. eur. </w:t>
      </w:r>
    </w:p>
    <w:p w:rsidR="005F4319" w:rsidRPr="006759EA" w:rsidP="005F4319">
      <w:pPr>
        <w:bidi w:val="0"/>
        <w:ind w:firstLine="708"/>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b/>
        </w:rPr>
        <w:t>Osobitný odvod vybraných finančných inštitúcií</w:t>
      </w:r>
      <w:r w:rsidRPr="006759EA">
        <w:rPr>
          <w:rFonts w:ascii="Times New Roman" w:hAnsi="Times New Roman" w:cs="Times New Roman"/>
        </w:rPr>
        <w:t xml:space="preserve"> sa v SR zaviedol od roku 2012. </w:t>
      </w:r>
      <w:r w:rsidR="00912EBC">
        <w:rPr>
          <w:rFonts w:ascii="Times New Roman" w:hAnsi="Times New Roman" w:cs="Times New Roman"/>
        </w:rPr>
        <w:br/>
      </w:r>
      <w:r w:rsidRPr="006759EA">
        <w:rPr>
          <w:rFonts w:ascii="Times New Roman" w:hAnsi="Times New Roman" w:cs="Times New Roman"/>
        </w:rPr>
        <w:t>S</w:t>
      </w:r>
      <w:r w:rsidRPr="006759EA">
        <w:rPr>
          <w:rFonts w:ascii="Times New Roman" w:hAnsi="Times New Roman" w:cs="Times New Roman"/>
          <w:b/>
        </w:rPr>
        <w:t xml:space="preserve"> </w:t>
      </w:r>
      <w:r>
        <w:rPr>
          <w:rFonts w:ascii="Times New Roman" w:hAnsi="Times New Roman" w:cs="Times New Roman"/>
        </w:rPr>
        <w:t>účinnosťou od 1. septembra</w:t>
      </w:r>
      <w:r w:rsidRPr="006759EA">
        <w:rPr>
          <w:rFonts w:ascii="Times New Roman" w:hAnsi="Times New Roman" w:cs="Times New Roman"/>
        </w:rPr>
        <w:t xml:space="preserve"> 2012 sa rozširuje základňa pre výpočet osobitného odvodu a súčasne sa zavádza jednorazový mimoriadny odvod vo štvrtom štvrťroku 2012. Predpokladá sa, že základňa pre výpočet odvodu bude v prognózovanom období stabilná. V roku 2015 sa očakáva zníženie sadzby odvodu z 0,4 % na 0,2 %. Dôvodom je predpokladané naplnenie zákono</w:t>
      </w:r>
      <w:r w:rsidR="00754CD0">
        <w:rPr>
          <w:rFonts w:ascii="Times New Roman" w:hAnsi="Times New Roman" w:cs="Times New Roman"/>
        </w:rPr>
        <w:t>m stanovenej hranice</w:t>
      </w:r>
      <w:r>
        <w:rPr>
          <w:rFonts w:ascii="Times New Roman" w:hAnsi="Times New Roman" w:cs="Times New Roman"/>
        </w:rPr>
        <w:t xml:space="preserve"> (500 mil. e</w:t>
      </w:r>
      <w:r w:rsidRPr="006759EA">
        <w:rPr>
          <w:rFonts w:ascii="Times New Roman" w:hAnsi="Times New Roman" w:cs="Times New Roman"/>
        </w:rPr>
        <w:t>ur) celkovej sumy uhradených odvodov. Odvod je súčasťou štátnych finančných aktív a má vytvoriť zdroje na krytie prípadných problémov vo finančnom sektore.</w:t>
      </w:r>
    </w:p>
    <w:p w:rsidR="005F4319" w:rsidRPr="006759EA" w:rsidP="005F4319">
      <w:pPr>
        <w:bidi w:val="0"/>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Súčasťou ostatných daní sú aj </w:t>
      </w:r>
      <w:r w:rsidRPr="006759EA">
        <w:rPr>
          <w:rFonts w:ascii="Times New Roman" w:hAnsi="Times New Roman" w:cs="Times New Roman"/>
          <w:b/>
        </w:rPr>
        <w:t xml:space="preserve">zrušené </w:t>
      </w:r>
      <w:r w:rsidRPr="00CE7D6C">
        <w:rPr>
          <w:rFonts w:ascii="Times New Roman" w:hAnsi="Times New Roman" w:cs="Times New Roman"/>
          <w:b/>
        </w:rPr>
        <w:t>majetkové dane</w:t>
      </w:r>
      <w:r w:rsidRPr="00CE7D6C">
        <w:rPr>
          <w:rFonts w:ascii="Times New Roman" w:hAnsi="Times New Roman" w:cs="Times New Roman"/>
        </w:rPr>
        <w:t>, z ktorých naďalej plynú dobiehajúce platby do štátneho rozpočtu. V roku 2011 dosiah</w:t>
      </w:r>
      <w:r>
        <w:rPr>
          <w:rFonts w:ascii="Times New Roman" w:hAnsi="Times New Roman" w:cs="Times New Roman"/>
        </w:rPr>
        <w:t>ol výnos z týchto daní 346 tis. </w:t>
      </w:r>
      <w:r w:rsidRPr="00CE7D6C">
        <w:rPr>
          <w:rFonts w:ascii="Times New Roman" w:hAnsi="Times New Roman" w:cs="Times New Roman"/>
        </w:rPr>
        <w:t xml:space="preserve">eur a ku koncu septembra 2012 dosiahol 259 tis. eur. </w:t>
      </w:r>
      <w:r w:rsidR="00754CD0">
        <w:rPr>
          <w:rFonts w:ascii="Times New Roman" w:hAnsi="Times New Roman" w:cs="Times New Roman"/>
        </w:rPr>
        <w:t>V</w:t>
      </w:r>
      <w:r w:rsidRPr="006759EA">
        <w:rPr>
          <w:rFonts w:ascii="Times New Roman" w:hAnsi="Times New Roman" w:cs="Times New Roman"/>
        </w:rPr>
        <w:t xml:space="preserve"> nasledujúc</w:t>
      </w:r>
      <w:r w:rsidR="00754CD0">
        <w:rPr>
          <w:rFonts w:ascii="Times New Roman" w:hAnsi="Times New Roman" w:cs="Times New Roman"/>
        </w:rPr>
        <w:t>ich</w:t>
      </w:r>
      <w:r w:rsidRPr="006759EA">
        <w:rPr>
          <w:rFonts w:ascii="Times New Roman" w:hAnsi="Times New Roman" w:cs="Times New Roman"/>
        </w:rPr>
        <w:t xml:space="preserve"> rok</w:t>
      </w:r>
      <w:r w:rsidR="00754CD0">
        <w:rPr>
          <w:rFonts w:ascii="Times New Roman" w:hAnsi="Times New Roman" w:cs="Times New Roman"/>
        </w:rPr>
        <w:t>och</w:t>
      </w:r>
      <w:r w:rsidRPr="006759EA">
        <w:rPr>
          <w:rFonts w:ascii="Times New Roman" w:hAnsi="Times New Roman" w:cs="Times New Roman"/>
        </w:rPr>
        <w:t xml:space="preserve"> sa už tieto dane nerozpočtujú.</w:t>
      </w:r>
    </w:p>
    <w:p w:rsidR="005F4319" w:rsidRPr="006759EA" w:rsidP="005F4319">
      <w:pPr>
        <w:bidi w:val="0"/>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Plnenie </w:t>
      </w:r>
      <w:r w:rsidRPr="006759EA">
        <w:rPr>
          <w:rFonts w:ascii="Times New Roman" w:hAnsi="Times New Roman" w:cs="Times New Roman"/>
          <w:b/>
        </w:rPr>
        <w:t xml:space="preserve">poistného </w:t>
      </w:r>
      <w:r w:rsidRPr="006759EA">
        <w:rPr>
          <w:rFonts w:ascii="Times New Roman" w:hAnsi="Times New Roman" w:cs="Times New Roman"/>
        </w:rPr>
        <w:t>od ekonomicky aktívneho obyvateľstva</w:t>
      </w:r>
      <w:r>
        <w:rPr>
          <w:rFonts w:ascii="Times New Roman" w:hAnsi="Times New Roman" w:cs="Times New Roman"/>
        </w:rPr>
        <w:t xml:space="preserve"> (EAO)</w:t>
      </w:r>
      <w:r w:rsidRPr="006759EA">
        <w:rPr>
          <w:rFonts w:ascii="Times New Roman" w:hAnsi="Times New Roman" w:cs="Times New Roman"/>
        </w:rPr>
        <w:t xml:space="preserve"> do Sociálnej poisťovne v roku 2012 sa vyvíja nad rámec rastu mzdovej bázy, čo viedlo k revízii odhadu príjmov na rok 2012 smerom hore. V prípade zdravotného poistenia takýto vývoj nie je pozorovaný a jeho plnenie je v súlade s vývojom mzdovej bázy. P</w:t>
      </w:r>
      <w:r>
        <w:rPr>
          <w:rFonts w:ascii="Times New Roman" w:hAnsi="Times New Roman" w:cs="Times New Roman"/>
        </w:rPr>
        <w:t xml:space="preserve">rognóza príjmov </w:t>
      </w:r>
      <w:r w:rsidR="00754CD0">
        <w:rPr>
          <w:rFonts w:ascii="Times New Roman" w:hAnsi="Times New Roman" w:cs="Times New Roman"/>
        </w:rPr>
        <w:br/>
      </w:r>
      <w:r>
        <w:rPr>
          <w:rFonts w:ascii="Times New Roman" w:hAnsi="Times New Roman" w:cs="Times New Roman"/>
        </w:rPr>
        <w:t xml:space="preserve">z poistného je </w:t>
      </w:r>
      <w:r w:rsidRPr="006759EA">
        <w:rPr>
          <w:rFonts w:ascii="Times New Roman" w:hAnsi="Times New Roman" w:cs="Times New Roman"/>
        </w:rPr>
        <w:t>významne ovplyvnená legislatívnymi zmenami, medzi ktoré patrí najmä zvýšenie príjmov z dôvodu zníženia príspevkovej sadzby do 2.</w:t>
      </w:r>
      <w:r>
        <w:rPr>
          <w:rFonts w:ascii="Times New Roman" w:hAnsi="Times New Roman" w:cs="Times New Roman"/>
        </w:rPr>
        <w:t xml:space="preserve"> </w:t>
      </w:r>
      <w:r w:rsidRPr="006759EA">
        <w:rPr>
          <w:rFonts w:ascii="Times New Roman" w:hAnsi="Times New Roman" w:cs="Times New Roman"/>
        </w:rPr>
        <w:t>piliera z</w:t>
      </w:r>
      <w:r>
        <w:rPr>
          <w:rFonts w:ascii="Times New Roman" w:hAnsi="Times New Roman" w:cs="Times New Roman"/>
        </w:rPr>
        <w:t> </w:t>
      </w:r>
      <w:r w:rsidRPr="006759EA">
        <w:rPr>
          <w:rFonts w:ascii="Times New Roman" w:hAnsi="Times New Roman" w:cs="Times New Roman"/>
        </w:rPr>
        <w:t>9</w:t>
      </w:r>
      <w:r>
        <w:rPr>
          <w:rFonts w:ascii="Times New Roman" w:hAnsi="Times New Roman" w:cs="Times New Roman"/>
        </w:rPr>
        <w:t xml:space="preserve"> </w:t>
      </w:r>
      <w:r w:rsidRPr="006759EA">
        <w:rPr>
          <w:rFonts w:ascii="Times New Roman" w:hAnsi="Times New Roman" w:cs="Times New Roman"/>
        </w:rPr>
        <w:t>% na 4</w:t>
      </w:r>
      <w:r>
        <w:rPr>
          <w:rFonts w:ascii="Times New Roman" w:hAnsi="Times New Roman" w:cs="Times New Roman"/>
        </w:rPr>
        <w:t xml:space="preserve"> </w:t>
      </w:r>
      <w:r w:rsidRPr="006759EA">
        <w:rPr>
          <w:rFonts w:ascii="Times New Roman" w:hAnsi="Times New Roman" w:cs="Times New Roman"/>
        </w:rPr>
        <w:t xml:space="preserve">% a </w:t>
      </w:r>
      <w:r w:rsidR="00754CD0">
        <w:rPr>
          <w:rFonts w:ascii="Times New Roman" w:hAnsi="Times New Roman" w:cs="Times New Roman"/>
        </w:rPr>
        <w:br/>
      </w:r>
      <w:r w:rsidRPr="006759EA">
        <w:rPr>
          <w:rFonts w:ascii="Times New Roman" w:hAnsi="Times New Roman" w:cs="Times New Roman"/>
        </w:rPr>
        <w:t>z otvorenia 2.</w:t>
      </w:r>
      <w:r>
        <w:rPr>
          <w:rFonts w:ascii="Times New Roman" w:hAnsi="Times New Roman" w:cs="Times New Roman"/>
        </w:rPr>
        <w:t xml:space="preserve"> </w:t>
      </w:r>
      <w:r w:rsidRPr="006759EA">
        <w:rPr>
          <w:rFonts w:ascii="Times New Roman" w:hAnsi="Times New Roman" w:cs="Times New Roman"/>
        </w:rPr>
        <w:t xml:space="preserve">piliera. Okrem toho sa v príjmoch prejavia aj zvýšené maximálne vymeriavacie základy, ktoré sa zjednotili na úrovni 5-násobku priemernej mzdy a úprava poistného pre SZČO a príjmy z dohôd. Vzhľadom na veľkú mieru neistoty ohľadom vplyvu otvorenia </w:t>
      </w:r>
      <w:r w:rsidR="00754CD0">
        <w:rPr>
          <w:rFonts w:ascii="Times New Roman" w:hAnsi="Times New Roman" w:cs="Times New Roman"/>
        </w:rPr>
        <w:br/>
      </w:r>
      <w:r w:rsidRPr="006759EA">
        <w:rPr>
          <w:rFonts w:ascii="Times New Roman" w:hAnsi="Times New Roman" w:cs="Times New Roman"/>
        </w:rPr>
        <w:t>2. piliera je v kapitole V</w:t>
      </w:r>
      <w:r w:rsidR="00754CD0">
        <w:rPr>
          <w:rFonts w:ascii="Times New Roman" w:hAnsi="Times New Roman" w:cs="Times New Roman"/>
        </w:rPr>
        <w:t>šeobecná pokladničná správa</w:t>
      </w:r>
      <w:r w:rsidRPr="006759EA">
        <w:rPr>
          <w:rFonts w:ascii="Times New Roman" w:hAnsi="Times New Roman" w:cs="Times New Roman"/>
        </w:rPr>
        <w:t xml:space="preserve"> rozpočtovaná rezerva na výdavky v rovnakej výške, čo znamená, že toto opatrenie má neutrálny vplyv na saldo verejnej správy.</w:t>
      </w:r>
    </w:p>
    <w:p w:rsidR="005F4319" w:rsidRPr="006759EA" w:rsidP="005F4319">
      <w:pPr>
        <w:tabs>
          <w:tab w:val="left" w:pos="3858"/>
        </w:tabs>
        <w:bidi w:val="0"/>
        <w:ind w:firstLine="708"/>
        <w:jc w:val="both"/>
        <w:rPr>
          <w:rFonts w:ascii="Times New Roman" w:hAnsi="Times New Roman" w:cs="Times New Roman"/>
        </w:rPr>
      </w:pPr>
      <w:r w:rsidRPr="006759EA">
        <w:rPr>
          <w:rFonts w:ascii="Times New Roman" w:hAnsi="Times New Roman" w:cs="Times New Roman"/>
        </w:rPr>
        <w:tab/>
      </w:r>
    </w:p>
    <w:p w:rsidR="005F4319" w:rsidRPr="006759EA" w:rsidP="005F4319">
      <w:pPr>
        <w:bidi w:val="0"/>
        <w:rPr>
          <w:rFonts w:ascii="Times New Roman" w:hAnsi="Times New Roman" w:cs="Times New Roman"/>
          <w:b/>
          <w:bCs/>
        </w:rPr>
      </w:pPr>
      <w:r w:rsidRPr="006759EA">
        <w:rPr>
          <w:rFonts w:ascii="Times New Roman" w:hAnsi="Times New Roman" w:cs="Times New Roman"/>
          <w:b/>
          <w:bCs/>
        </w:rPr>
        <w:t>Kvantifikácia daňových a odvodových príjmov</w:t>
      </w:r>
    </w:p>
    <w:p w:rsidR="005F4319" w:rsidRPr="006759EA" w:rsidP="005F4319">
      <w:pPr>
        <w:bidi w:val="0"/>
        <w:jc w:val="both"/>
        <w:outlineLvl w:val="0"/>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Medzi </w:t>
      </w:r>
      <w:r w:rsidRPr="006759EA">
        <w:rPr>
          <w:rFonts w:ascii="Times New Roman" w:hAnsi="Times New Roman" w:cs="Times New Roman"/>
          <w:b/>
          <w:bCs/>
        </w:rPr>
        <w:t>hlavné riziká prognózy</w:t>
      </w:r>
      <w:r w:rsidRPr="006759EA">
        <w:rPr>
          <w:rFonts w:ascii="Times New Roman" w:hAnsi="Times New Roman" w:cs="Times New Roman"/>
        </w:rPr>
        <w:t xml:space="preserve"> patrí samotný makroekonomický vývoj, za neistý možno označiť aj vývoj DPH v ďalších rokoch a odhad vplyvu legislatívnych zmien. Aktuálna prognóza je založená na predpoklade rastu ekonomiky v roku 2012 na úrovni 2,5 % a v roku 2013 na úrovni 2,1 %, pričom nenaplnenie tohto odhadu by sa pravdepodobne premietlo aj do nižšieho výnosu daňových príjmov. </w:t>
      </w:r>
    </w:p>
    <w:p w:rsidR="005F4319" w:rsidRPr="006759EA" w:rsidP="005F4319">
      <w:pPr>
        <w:bidi w:val="0"/>
        <w:ind w:firstLine="708"/>
        <w:jc w:val="both"/>
        <w:rPr>
          <w:rFonts w:ascii="Times New Roman" w:hAnsi="Times New Roman" w:cs="Times New Roman"/>
          <w:highlight w:val="yellow"/>
        </w:rPr>
      </w:pPr>
      <w:r w:rsidRPr="006759EA">
        <w:rPr>
          <w:rFonts w:ascii="Times New Roman" w:hAnsi="Times New Roman" w:cs="Times New Roman"/>
          <w:highlight w:val="yellow"/>
        </w:rPr>
        <w:t xml:space="preserve"> </w:t>
      </w: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Rozpoč</w:t>
      </w:r>
      <w:r>
        <w:rPr>
          <w:rFonts w:ascii="Times New Roman" w:hAnsi="Times New Roman" w:cs="Times New Roman"/>
        </w:rPr>
        <w:t xml:space="preserve">et verejnej správy na roky 2013 až </w:t>
      </w:r>
      <w:r w:rsidRPr="006759EA">
        <w:rPr>
          <w:rFonts w:ascii="Times New Roman" w:hAnsi="Times New Roman" w:cs="Times New Roman"/>
        </w:rPr>
        <w:t xml:space="preserve">2015 obsahuje veľké množstvo legislatívnych zmien, ktoré sa prijímajú súčasne a môžu sa navzájom ovplyvňovať. Súvisiace možné zmeny správania sa daňových subjektov, ktoré je veľmi zložité odhadnúť, preto predstavujú riziko naplnenia prognózy. </w:t>
      </w:r>
    </w:p>
    <w:p w:rsidR="005F4319" w:rsidRPr="006759EA" w:rsidP="005F4319">
      <w:pPr>
        <w:bidi w:val="0"/>
        <w:ind w:firstLine="708"/>
        <w:jc w:val="both"/>
        <w:rPr>
          <w:rFonts w:ascii="Times New Roman" w:hAnsi="Times New Roman" w:cs="Times New Roman"/>
          <w:highlight w:val="yellow"/>
        </w:rPr>
      </w:pPr>
    </w:p>
    <w:p w:rsidR="005F4319" w:rsidP="005F4319">
      <w:pPr>
        <w:bidi w:val="0"/>
        <w:ind w:firstLine="708"/>
        <w:jc w:val="both"/>
        <w:rPr>
          <w:rFonts w:ascii="Times New Roman" w:hAnsi="Times New Roman" w:cs="Times New Roman"/>
        </w:rPr>
      </w:pPr>
      <w:r w:rsidRPr="006759EA">
        <w:rPr>
          <w:rFonts w:ascii="Times New Roman" w:hAnsi="Times New Roman" w:cs="Times New Roman"/>
          <w:b/>
          <w:bCs/>
        </w:rPr>
        <w:t>Daňové príjmy na hotovostnej báze</w:t>
      </w:r>
      <w:r w:rsidRPr="006759EA">
        <w:rPr>
          <w:rFonts w:ascii="Times New Roman" w:hAnsi="Times New Roman" w:cs="Times New Roman"/>
        </w:rPr>
        <w:t xml:space="preserve"> sú prezentované v nasledovnej tabuľke. Podľa rozpočtovej klasifikácie sa sankčné úroky (ďalej len sankcie) uložené v daňovom konaní k jednotlivým daniam rozpočtujú v rámci samostatnej kategórie. </w:t>
      </w:r>
    </w:p>
    <w:p w:rsidR="00C86D5A" w:rsidP="005F4319">
      <w:pPr>
        <w:bidi w:val="0"/>
        <w:ind w:firstLine="708"/>
        <w:jc w:val="both"/>
        <w:rPr>
          <w:rFonts w:ascii="Times New Roman" w:hAnsi="Times New Roman" w:cs="Times New Roman"/>
        </w:rPr>
      </w:pPr>
    </w:p>
    <w:p w:rsidR="00C86D5A" w:rsidP="005F4319">
      <w:pPr>
        <w:bidi w:val="0"/>
        <w:ind w:firstLine="708"/>
        <w:jc w:val="both"/>
        <w:rPr>
          <w:rFonts w:ascii="Times New Roman" w:hAnsi="Times New Roman" w:cs="Times New Roman"/>
        </w:rPr>
      </w:pPr>
    </w:p>
    <w:p w:rsidR="00C86D5A" w:rsidP="005F4319">
      <w:pPr>
        <w:bidi w:val="0"/>
        <w:ind w:firstLine="708"/>
        <w:jc w:val="both"/>
        <w:rPr>
          <w:rFonts w:ascii="Times New Roman" w:hAnsi="Times New Roman" w:cs="Times New Roman"/>
        </w:rPr>
      </w:pPr>
    </w:p>
    <w:p w:rsidR="00C86D5A" w:rsidP="005F4319">
      <w:pPr>
        <w:bidi w:val="0"/>
        <w:ind w:firstLine="708"/>
        <w:jc w:val="both"/>
        <w:rPr>
          <w:rFonts w:ascii="Times New Roman" w:hAnsi="Times New Roman" w:cs="Times New Roman"/>
        </w:rPr>
      </w:pPr>
    </w:p>
    <w:p w:rsidR="00C86D5A" w:rsidP="005F4319">
      <w:pPr>
        <w:bidi w:val="0"/>
        <w:ind w:firstLine="708"/>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92"/>
        <w:gridCol w:w="770"/>
        <w:gridCol w:w="770"/>
        <w:gridCol w:w="770"/>
        <w:gridCol w:w="770"/>
        <w:gridCol w:w="770"/>
        <w:gridCol w:w="7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198"/>
        </w:trPr>
        <w:tc>
          <w:tcPr>
            <w:tcW w:w="2492"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1B3733" w:rsidP="00DC7838">
            <w:pPr>
              <w:bidi w:val="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Hotovostný princíp, v tis. eur</w:t>
            </w:r>
            <w:r w:rsidRPr="001B3733">
              <w:rPr>
                <w:rFonts w:ascii="Times New Roman" w:hAnsi="Times New Roman" w:cs="Times New Roman"/>
                <w:sz w:val="14"/>
                <w:szCs w:val="14"/>
                <w:lang w:eastAsia="sk-SK"/>
              </w:rPr>
              <w:t> </w:t>
            </w:r>
          </w:p>
        </w:tc>
        <w:tc>
          <w:tcPr>
            <w:tcW w:w="836" w:type="pct"/>
            <w:gridSpan w:val="2"/>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1B3733" w:rsidP="00DC7838">
            <w:pPr>
              <w:bidi w:val="0"/>
              <w:jc w:val="center"/>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Skutočnosť</w:t>
            </w:r>
          </w:p>
        </w:tc>
        <w:tc>
          <w:tcPr>
            <w:tcW w:w="1672" w:type="pct"/>
            <w:gridSpan w:val="4"/>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1B3733" w:rsidP="00DC7838">
            <w:pPr>
              <w:bidi w:val="0"/>
              <w:jc w:val="center"/>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Prognóza</w:t>
            </w:r>
          </w:p>
        </w:tc>
      </w:tr>
      <w:tr>
        <w:tblPrEx>
          <w:tblW w:w="5000" w:type="pct"/>
          <w:tblCellMar>
            <w:left w:w="70" w:type="dxa"/>
            <w:right w:w="70" w:type="dxa"/>
          </w:tblCellMar>
          <w:tblLook w:val="04A0"/>
        </w:tblPrEx>
        <w:trPr>
          <w:trHeight w:hRule="exact" w:val="198"/>
        </w:trPr>
        <w:tc>
          <w:tcPr>
            <w:tcW w:w="2492" w:type="pct"/>
            <w:vMerge/>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1B3733" w:rsidP="00DC7838">
            <w:pPr>
              <w:bidi w:val="0"/>
              <w:jc w:val="center"/>
              <w:rPr>
                <w:rFonts w:ascii="Times New Roman" w:hAnsi="Times New Roman" w:cs="Times New Roman"/>
                <w:sz w:val="14"/>
                <w:szCs w:val="14"/>
                <w:lang w:eastAsia="sk-SK"/>
              </w:rPr>
            </w:pP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1B3733" w:rsidP="00DC7838">
            <w:pPr>
              <w:bidi w:val="0"/>
              <w:jc w:val="center"/>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2010</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1B3733" w:rsidP="00DC7838">
            <w:pPr>
              <w:bidi w:val="0"/>
              <w:jc w:val="center"/>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2011</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1B3733" w:rsidP="00DC7838">
            <w:pPr>
              <w:bidi w:val="0"/>
              <w:jc w:val="center"/>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2012</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1B3733" w:rsidP="00DC7838">
            <w:pPr>
              <w:bidi w:val="0"/>
              <w:jc w:val="center"/>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2013</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1B3733" w:rsidP="00DC7838">
            <w:pPr>
              <w:bidi w:val="0"/>
              <w:jc w:val="center"/>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2014</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1B3733" w:rsidP="00DC7838">
            <w:pPr>
              <w:bidi w:val="0"/>
              <w:jc w:val="center"/>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2015</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Dane z príjmov, ziskov a kapitálového majetku</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2 870 170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3 442 326</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3 795 449</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4 208 485</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4 471 749</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4 886 259</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 z príjmov fyzických osôb</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1 463 042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1 681 507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1 832 948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1 916 625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2 088 655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2 236 768</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DPFO zo závislej činnosti</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1 415 635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1 622 055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1 738 274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1 816 526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1 949 497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2 094 995</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DPFO z podnikania</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47 407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59 452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94 674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100 099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139 158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141 773</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840" w:firstLineChars="6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 xml:space="preserve">do štátneho rozpočtu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134 576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111 788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229 292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242 056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274 129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288 181</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840" w:firstLineChars="6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 xml:space="preserve">do obcí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996 678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1 176 452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1 201 369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1 254 507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1 359 335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1 459 766</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840" w:firstLineChars="6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 xml:space="preserve">do VÚC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331 788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393 266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402 287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420 062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455 191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488 821</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 z príjmov právnických osôb</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1 254 796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1 617 619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1 796 236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2 107 275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2 189 326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2 415 740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 z príjmov vyberaná zrážkou</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152 332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143 200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166 265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184 585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193 768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233 751</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Dane na tovary a služby</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6 365 718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6 741 650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6 576 572</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6 573 289</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6 855 594</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7 208 939</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 z pridanej hodnoty</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4 422 006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4 741 312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4 584 698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4 538 073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4 760 315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5 042 696</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Spotrebné dane</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1 943 712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2 000 338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1 991 874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2 035 216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2 095 279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2 166 243</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Z minerálnych olejov</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1 032 394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1 073 498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1 057 459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1 086 802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1 131 073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1 179 607</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Z liehu</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204 924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203 262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207 840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209 845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217 484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226 872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Z piva</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55 908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57 293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54 663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54 362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56 366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58 823</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Z vína</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4 176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4 004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4 180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4 134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4 289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4 480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Z tabaku a tabakových výrobkov</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609 805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623 227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627 477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640 078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645 640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655 370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Z elektrickej energie</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14 556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16 027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17 597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17 614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18 285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19 107</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Zo zemného plynu</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21 268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22 445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21 689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21 583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21 504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21 492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Z uhlia</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683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582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969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798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638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492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Dane z medzinárodného obchodu a transakcií</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35 368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38 903</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42 567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47 233</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48 187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49 160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Dovozné clo</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Dovozná prirážka</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Podiel na vybratých finančných prostriedkoch</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35 366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38 745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42 567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47 233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48 187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49 160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Ostatné colné príjmy</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155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Miestne dane</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543 818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564 504</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588 837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610 304</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634 667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660 064</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 z nehnuteľností</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266 284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274 564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288 291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302 706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317 841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333 733</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Dane za špecifické služby</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159 875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164 707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169 649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174 738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179 980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185 380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 z motorových vozidiel</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117 659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125 233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130 897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132 860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136 846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140 951</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Ostatné dane</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78 115</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130 395</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355 632</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286 755</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278 520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177 529</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 z emisných kvót</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 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29 438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11 743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Osobitný odvod vybraných fin.</w:t>
            </w:r>
            <w:r w:rsidR="00754CD0">
              <w:rPr>
                <w:rFonts w:ascii="Times New Roman" w:hAnsi="Times New Roman" w:cs="Times New Roman"/>
                <w:sz w:val="14"/>
                <w:szCs w:val="14"/>
                <w:lang w:eastAsia="sk-SK"/>
              </w:rPr>
              <w:t xml:space="preserve"> </w:t>
            </w:r>
            <w:r w:rsidRPr="001B3733">
              <w:rPr>
                <w:rFonts w:ascii="Times New Roman" w:hAnsi="Times New Roman" w:cs="Times New Roman"/>
                <w:sz w:val="14"/>
                <w:szCs w:val="14"/>
                <w:lang w:eastAsia="sk-SK"/>
              </w:rPr>
              <w:t>inštitúcií</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168 773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203 000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203 000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102 000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Osobitný odvod z podnikania v regulovaných odvetviach</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25 000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100 000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8 333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Úhrada za služby verejnosti poskytované STV a SRo</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76 098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73 917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73 584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73 881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73 979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73 988</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 z úhrad za dobývací priestor</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597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522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531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531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531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531</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840" w:firstLineChars="6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 xml:space="preserve">do štátneho rozpočtu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109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104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106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106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106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106</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840" w:firstLineChars="6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 xml:space="preserve">do obcí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489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418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425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425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425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425</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 z úhrad za uskladňovanie plynov alebo kvapalín</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1 183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1 186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1 001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1 010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1 010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1 010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Majetkové dane (do štátneho rozpočtu)</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361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346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Iné dane</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-125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Fondy sociálneho a zdravotného poistenia (FSZP)</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6 464 564</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6 955 401</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7 212 461</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8 383 050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8 605 884</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9 073 791</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ind w:firstLine="280" w:firstLineChars="20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Sociálna poisťovňa</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4 233 941</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4 581 885</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4 793 016</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5 738 038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5 795 287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6 098 799</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Ekonomicky aktívne obyvateľstvo + dlžné</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4 233 918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4 581 885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4 724 707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5 525 794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5 795 287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6 098 799</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 xml:space="preserve"> - EAO</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4 007 322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4 256 265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4 493 681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5 295 736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5 559 287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5 855 747</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 xml:space="preserve"> - dlžné</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226 596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325 620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231 026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230 058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236 000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243 052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0066640C">
              <w:rPr>
                <w:rFonts w:ascii="Times New Roman" w:hAnsi="Times New Roman" w:cs="Times New Roman"/>
                <w:sz w:val="14"/>
                <w:szCs w:val="14"/>
                <w:lang w:eastAsia="sk-SK"/>
              </w:rPr>
              <w:t>T</w:t>
            </w:r>
            <w:r w:rsidRPr="001B3733">
              <w:rPr>
                <w:rFonts w:ascii="Times New Roman" w:hAnsi="Times New Roman" w:cs="Times New Roman"/>
                <w:sz w:val="14"/>
                <w:szCs w:val="14"/>
                <w:lang w:eastAsia="sk-SK"/>
              </w:rPr>
              <w:t>ransfer úspor z DSS do SP</w:t>
            </w:r>
            <w:r w:rsidR="0066640C">
              <w:rPr>
                <w:rFonts w:ascii="Times New Roman" w:hAnsi="Times New Roman" w:cs="Times New Roman"/>
                <w:sz w:val="14"/>
                <w:szCs w:val="14"/>
                <w:lang w:eastAsia="sk-SK"/>
              </w:rPr>
              <w:t xml:space="preserve"> </w:t>
            </w:r>
            <w:r w:rsidRPr="001B3733">
              <w:rPr>
                <w:rFonts w:ascii="Times New Roman" w:hAnsi="Times New Roman" w:cs="Times New Roman"/>
                <w:sz w:val="14"/>
                <w:szCs w:val="14"/>
                <w:lang w:eastAsia="sk-SK"/>
              </w:rPr>
              <w:t>- od vystúpených</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 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68 309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212 244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ind w:firstLine="280" w:firstLineChars="20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Zdravotné poisťovne</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2 230 623</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2 373 516</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2 419 445</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2 645 012</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2 810 597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2 974 992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560" w:firstLineChars="4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Ekonomicky aktívne obyvateľstvo + dlžné</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2 230 623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2 373 516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2 419 445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2 645 012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2 810 597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2 974 992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840" w:firstLineChars="6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z toho: ročné zúčtovanie</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13 127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18 531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18 926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19 584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20 566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21 728</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Daňové príjmy verejnej správy spolu</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9 893 189</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10 917 779</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11 359 057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11 726 066</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12 288 717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12 981 951</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Daňové príjmy štátneho rozpočtu</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7 943 086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8 683 034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8 822 781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9 154 544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9 561 110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10 195 877</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Štátne finančné aktíva</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25 000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268 773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211 333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203 000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102 000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 xml:space="preserve">Daňové príjmy obcí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1 423 374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1 616 141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1 659 734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1 732 376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1 857 581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1 979 304</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Daňové príjmy VÚC</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449 447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518 499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533 184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552 922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592 037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629 772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Daňové príjmy STV</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53 316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Daňové príjmy SRo</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22 782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Daňové príjmy Rozhlasu a televízie Slovenska (RT</w:t>
            </w:r>
            <w:r w:rsidR="0066640C">
              <w:rPr>
                <w:rFonts w:ascii="Times New Roman" w:hAnsi="Times New Roman" w:cs="Times New Roman"/>
                <w:sz w:val="14"/>
                <w:szCs w:val="14"/>
                <w:lang w:eastAsia="sk-SK"/>
              </w:rPr>
              <w:t>V</w:t>
            </w:r>
            <w:r w:rsidRPr="001B3733">
              <w:rPr>
                <w:rFonts w:ascii="Times New Roman" w:hAnsi="Times New Roman" w:cs="Times New Roman"/>
                <w:sz w:val="14"/>
                <w:szCs w:val="14"/>
                <w:lang w:eastAsia="sk-SK"/>
              </w:rPr>
              <w:t>S)</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 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73 917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73 584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73 881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73 979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73 988</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ind w:firstLine="280" w:firstLineChars="200"/>
              <w:rPr>
                <w:rFonts w:ascii="Times New Roman" w:hAnsi="Times New Roman" w:cs="Times New Roman"/>
                <w:sz w:val="14"/>
                <w:szCs w:val="14"/>
                <w:lang w:eastAsia="sk-SK"/>
              </w:rPr>
            </w:pPr>
            <w:r w:rsidRPr="001B3733">
              <w:rPr>
                <w:rFonts w:ascii="Times New Roman" w:hAnsi="Times New Roman" w:cs="Times New Roman"/>
                <w:sz w:val="14"/>
                <w:szCs w:val="14"/>
                <w:lang w:eastAsia="sk-SK"/>
              </w:rPr>
              <w:t>Environmentálny fond</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1 183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1 186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1 001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1 010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1 010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1B3733" w:rsidP="00DC7838">
            <w:pPr>
              <w:bidi w:val="0"/>
              <w:jc w:val="right"/>
              <w:rPr>
                <w:rFonts w:ascii="Times New Roman" w:hAnsi="Times New Roman" w:cs="Times New Roman"/>
                <w:sz w:val="14"/>
                <w:szCs w:val="14"/>
                <w:lang w:eastAsia="sk-SK"/>
              </w:rPr>
            </w:pPr>
            <w:r w:rsidRPr="001B3733">
              <w:rPr>
                <w:rFonts w:ascii="Times New Roman" w:hAnsi="Times New Roman" w:cs="Times New Roman"/>
                <w:sz w:val="14"/>
                <w:szCs w:val="14"/>
                <w:lang w:eastAsia="sk-SK"/>
              </w:rPr>
              <w:t>1 010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F4319" w:rsidRPr="001B3733" w:rsidP="00DC7838">
            <w:pPr>
              <w:bidi w:val="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FSZP spolu</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6 464 564</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6 955 401</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7 212 461</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8 383 050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8 605 885</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9 073 791</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F4319" w:rsidRPr="001B3733" w:rsidP="00DC7838">
            <w:pPr>
              <w:bidi w:val="0"/>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Daňové príjmy a príjmy FSZP spolu</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16 357 753</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17 873 180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18 571 518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20 109 116</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20 894 602</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1B3733" w:rsidP="00DC7838">
            <w:pPr>
              <w:bidi w:val="0"/>
              <w:jc w:val="right"/>
              <w:rPr>
                <w:rFonts w:ascii="Times New Roman" w:hAnsi="Times New Roman" w:cs="Times New Roman"/>
                <w:b/>
                <w:bCs/>
                <w:sz w:val="14"/>
                <w:szCs w:val="14"/>
                <w:lang w:eastAsia="sk-SK"/>
              </w:rPr>
            </w:pPr>
            <w:r w:rsidRPr="001B3733">
              <w:rPr>
                <w:rFonts w:ascii="Times New Roman" w:hAnsi="Times New Roman" w:cs="Times New Roman"/>
                <w:b/>
                <w:bCs/>
                <w:sz w:val="14"/>
                <w:szCs w:val="14"/>
                <w:lang w:eastAsia="sk-SK"/>
              </w:rPr>
              <w:t>22 055 742</w:t>
            </w:r>
          </w:p>
        </w:tc>
      </w:tr>
    </w:tbl>
    <w:p w:rsidR="005F4319" w:rsidRPr="006759EA" w:rsidP="005F4319">
      <w:pPr>
        <w:bidi w:val="0"/>
        <w:jc w:val="both"/>
        <w:rPr>
          <w:rFonts w:ascii="Times New Roman" w:hAnsi="Times New Roman" w:cs="Times New Roman"/>
        </w:rPr>
      </w:pPr>
    </w:p>
    <w:p w:rsidR="00E86466" w:rsidP="00D352DC">
      <w:pPr>
        <w:bidi w:val="0"/>
        <w:ind w:firstLine="708"/>
        <w:jc w:val="both"/>
        <w:rPr>
          <w:rFonts w:ascii="Times New Roman" w:hAnsi="Times New Roman" w:cs="Times New Roman"/>
        </w:rPr>
      </w:pPr>
    </w:p>
    <w:p w:rsidR="00E86466" w:rsidP="00D352DC">
      <w:pPr>
        <w:bidi w:val="0"/>
        <w:ind w:firstLine="708"/>
        <w:jc w:val="both"/>
        <w:rPr>
          <w:rFonts w:ascii="Times New Roman" w:hAnsi="Times New Roman" w:cs="Times New Roman"/>
        </w:rPr>
      </w:pPr>
    </w:p>
    <w:p w:rsidR="00E86466" w:rsidP="00D352DC">
      <w:pPr>
        <w:bidi w:val="0"/>
        <w:ind w:firstLine="708"/>
        <w:jc w:val="both"/>
        <w:rPr>
          <w:rFonts w:ascii="Times New Roman" w:hAnsi="Times New Roman" w:cs="Times New Roman"/>
        </w:rPr>
      </w:pPr>
    </w:p>
    <w:p w:rsidR="00E86466" w:rsidP="00D352DC">
      <w:pPr>
        <w:bidi w:val="0"/>
        <w:ind w:firstLine="708"/>
        <w:jc w:val="both"/>
        <w:rPr>
          <w:rFonts w:ascii="Times New Roman" w:hAnsi="Times New Roman" w:cs="Times New Roman"/>
        </w:rPr>
      </w:pPr>
    </w:p>
    <w:p w:rsidR="00E86466" w:rsidP="00D352DC">
      <w:pPr>
        <w:bidi w:val="0"/>
        <w:ind w:firstLine="708"/>
        <w:jc w:val="both"/>
        <w:rPr>
          <w:rFonts w:ascii="Times New Roman" w:hAnsi="Times New Roman" w:cs="Times New Roman"/>
        </w:rPr>
      </w:pPr>
    </w:p>
    <w:p w:rsidR="005F4319" w:rsidRPr="006759EA" w:rsidP="00D352DC">
      <w:pPr>
        <w:bidi w:val="0"/>
        <w:ind w:firstLine="708"/>
        <w:jc w:val="both"/>
        <w:rPr>
          <w:rFonts w:ascii="Times New Roman" w:hAnsi="Times New Roman" w:cs="Times New Roman"/>
        </w:rPr>
      </w:pPr>
      <w:r w:rsidRPr="006759EA">
        <w:rPr>
          <w:rFonts w:ascii="Times New Roman" w:hAnsi="Times New Roman" w:cs="Times New Roman"/>
        </w:rPr>
        <w:t>Predpokladaná výška sankcií k jednotlivým daniam je uvedená v osobitnej tabuľke.</w:t>
      </w:r>
    </w:p>
    <w:p w:rsidR="005F4319" w:rsidRPr="006759EA" w:rsidP="005F4319">
      <w:pPr>
        <w:bidi w:val="0"/>
        <w:ind w:firstLine="708"/>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01"/>
        <w:gridCol w:w="635"/>
        <w:gridCol w:w="636"/>
        <w:gridCol w:w="636"/>
        <w:gridCol w:w="636"/>
        <w:gridCol w:w="636"/>
        <w:gridCol w:w="63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932"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rPr>
                <w:rFonts w:ascii="Times New Roman" w:hAnsi="Times New Roman" w:cs="Times New Roman"/>
                <w:b/>
                <w:sz w:val="14"/>
                <w:szCs w:val="14"/>
                <w:lang w:eastAsia="sk-SK"/>
              </w:rPr>
            </w:pPr>
            <w:r w:rsidRPr="006871EE">
              <w:rPr>
                <w:rFonts w:ascii="Times New Roman" w:hAnsi="Times New Roman" w:cs="Times New Roman"/>
                <w:b/>
                <w:sz w:val="14"/>
                <w:szCs w:val="14"/>
                <w:lang w:eastAsia="sk-SK"/>
              </w:rPr>
              <w:t>Predpokladaný vývoj sankcií* (v tis. eur)</w:t>
            </w:r>
          </w:p>
        </w:tc>
        <w:tc>
          <w:tcPr>
            <w:tcW w:w="689" w:type="pct"/>
            <w:gridSpan w:val="2"/>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Skutočnosť</w:t>
            </w:r>
          </w:p>
        </w:tc>
        <w:tc>
          <w:tcPr>
            <w:tcW w:w="1379" w:type="pct"/>
            <w:gridSpan w:val="4"/>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Prognóza</w:t>
            </w:r>
          </w:p>
        </w:tc>
      </w:tr>
      <w:tr>
        <w:tblPrEx>
          <w:tblW w:w="5000" w:type="pct"/>
          <w:tblCellMar>
            <w:left w:w="70" w:type="dxa"/>
            <w:right w:w="70" w:type="dxa"/>
          </w:tblCellMar>
          <w:tblLook w:val="04A0"/>
        </w:tblPrEx>
        <w:trPr>
          <w:trHeight w:hRule="exact" w:val="255"/>
        </w:trPr>
        <w:tc>
          <w:tcPr>
            <w:tcW w:w="2932" w:type="pct"/>
            <w:vMerge/>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5F4319" w:rsidRPr="006871EE" w:rsidP="00DC7838">
            <w:pPr>
              <w:bidi w:val="0"/>
              <w:rPr>
                <w:rFonts w:ascii="Times New Roman" w:hAnsi="Times New Roman" w:cs="Times New Roman"/>
                <w:sz w:val="14"/>
                <w:szCs w:val="14"/>
                <w:lang w:eastAsia="sk-SK"/>
              </w:rPr>
            </w:pPr>
          </w:p>
        </w:tc>
        <w:tc>
          <w:tcPr>
            <w:tcW w:w="3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2010</w:t>
            </w:r>
          </w:p>
        </w:tc>
        <w:tc>
          <w:tcPr>
            <w:tcW w:w="3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2011</w:t>
            </w:r>
          </w:p>
        </w:tc>
        <w:tc>
          <w:tcPr>
            <w:tcW w:w="3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2012</w:t>
            </w:r>
          </w:p>
        </w:tc>
        <w:tc>
          <w:tcPr>
            <w:tcW w:w="3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2013</w:t>
            </w:r>
          </w:p>
        </w:tc>
        <w:tc>
          <w:tcPr>
            <w:tcW w:w="3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2014</w:t>
            </w:r>
          </w:p>
        </w:tc>
        <w:tc>
          <w:tcPr>
            <w:tcW w:w="3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2015</w:t>
            </w:r>
          </w:p>
        </w:tc>
      </w:tr>
      <w:tr>
        <w:tblPrEx>
          <w:tblW w:w="5000" w:type="pct"/>
          <w:tblCellMar>
            <w:left w:w="70" w:type="dxa"/>
            <w:right w:w="70" w:type="dxa"/>
          </w:tblCellMar>
          <w:tblLook w:val="04A0"/>
        </w:tblPrEx>
        <w:trPr>
          <w:trHeight w:hRule="exact" w:val="255"/>
        </w:trPr>
        <w:tc>
          <w:tcPr>
            <w:tcW w:w="293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SANKCIE spolu</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b/>
                <w:sz w:val="14"/>
                <w:szCs w:val="14"/>
                <w:lang w:eastAsia="sk-SK"/>
              </w:rPr>
            </w:pPr>
            <w:r w:rsidRPr="006871EE">
              <w:rPr>
                <w:rFonts w:ascii="Times New Roman" w:hAnsi="Times New Roman" w:cs="Times New Roman"/>
                <w:b/>
                <w:sz w:val="14"/>
                <w:szCs w:val="14"/>
                <w:lang w:eastAsia="sk-SK"/>
              </w:rPr>
              <w:t>24 310</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b/>
                <w:sz w:val="14"/>
                <w:szCs w:val="14"/>
                <w:lang w:eastAsia="sk-SK"/>
              </w:rPr>
            </w:pPr>
            <w:r w:rsidRPr="006871EE">
              <w:rPr>
                <w:rFonts w:ascii="Times New Roman" w:hAnsi="Times New Roman" w:cs="Times New Roman"/>
                <w:b/>
                <w:sz w:val="14"/>
                <w:szCs w:val="14"/>
                <w:lang w:eastAsia="sk-SK"/>
              </w:rPr>
              <w:t>23 254</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b/>
                <w:sz w:val="14"/>
                <w:szCs w:val="14"/>
                <w:lang w:eastAsia="sk-SK"/>
              </w:rPr>
            </w:pPr>
            <w:r w:rsidRPr="006871EE">
              <w:rPr>
                <w:rFonts w:ascii="Times New Roman" w:hAnsi="Times New Roman" w:cs="Times New Roman"/>
                <w:b/>
                <w:sz w:val="14"/>
                <w:szCs w:val="14"/>
                <w:lang w:eastAsia="sk-SK"/>
              </w:rPr>
              <w:t>22 477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b/>
                <w:sz w:val="14"/>
                <w:szCs w:val="14"/>
                <w:lang w:eastAsia="sk-SK"/>
              </w:rPr>
            </w:pPr>
            <w:r w:rsidRPr="006871EE">
              <w:rPr>
                <w:rFonts w:ascii="Times New Roman" w:hAnsi="Times New Roman" w:cs="Times New Roman"/>
                <w:b/>
                <w:sz w:val="14"/>
                <w:szCs w:val="14"/>
                <w:lang w:eastAsia="sk-SK"/>
              </w:rPr>
              <w:t>22 912</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b/>
                <w:sz w:val="14"/>
                <w:szCs w:val="14"/>
                <w:lang w:eastAsia="sk-SK"/>
              </w:rPr>
            </w:pPr>
            <w:r w:rsidRPr="006871EE">
              <w:rPr>
                <w:rFonts w:ascii="Times New Roman" w:hAnsi="Times New Roman" w:cs="Times New Roman"/>
                <w:b/>
                <w:sz w:val="14"/>
                <w:szCs w:val="14"/>
                <w:lang w:eastAsia="sk-SK"/>
              </w:rPr>
              <w:t>22 697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b/>
                <w:sz w:val="14"/>
                <w:szCs w:val="14"/>
                <w:lang w:eastAsia="sk-SK"/>
              </w:rPr>
            </w:pPr>
            <w:r w:rsidRPr="006871EE">
              <w:rPr>
                <w:rFonts w:ascii="Times New Roman" w:hAnsi="Times New Roman" w:cs="Times New Roman"/>
                <w:b/>
                <w:sz w:val="14"/>
                <w:szCs w:val="14"/>
                <w:lang w:eastAsia="sk-SK"/>
              </w:rPr>
              <w:t>22 810</w:t>
            </w:r>
          </w:p>
        </w:tc>
      </w:tr>
      <w:tr>
        <w:tblPrEx>
          <w:tblW w:w="5000" w:type="pct"/>
          <w:tblCellMar>
            <w:left w:w="70" w:type="dxa"/>
            <w:right w:w="70" w:type="dxa"/>
          </w:tblCellMar>
          <w:tblLook w:val="04A0"/>
        </w:tblPrEx>
        <w:trPr>
          <w:trHeight w:hRule="exact" w:val="255"/>
        </w:trPr>
        <w:tc>
          <w:tcPr>
            <w:tcW w:w="293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príjmov fyzických osôb</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4 413</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5 339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4 477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4 907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4 692</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4 800</w:t>
            </w:r>
          </w:p>
        </w:tc>
      </w:tr>
      <w:tr>
        <w:tblPrEx>
          <w:tblW w:w="5000" w:type="pct"/>
          <w:tblCellMar>
            <w:left w:w="70" w:type="dxa"/>
            <w:right w:w="70" w:type="dxa"/>
          </w:tblCellMar>
          <w:tblLook w:val="04A0"/>
        </w:tblPrEx>
        <w:trPr>
          <w:trHeight w:hRule="exact" w:val="255"/>
        </w:trPr>
        <w:tc>
          <w:tcPr>
            <w:tcW w:w="293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príjmov právnických osôb</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2 714</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2 842</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3 014</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3 014</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3 014</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3 014</w:t>
            </w:r>
          </w:p>
        </w:tc>
      </w:tr>
      <w:tr>
        <w:tblPrEx>
          <w:tblW w:w="5000" w:type="pct"/>
          <w:tblCellMar>
            <w:left w:w="70" w:type="dxa"/>
            <w:right w:w="70" w:type="dxa"/>
          </w:tblCellMar>
          <w:tblLook w:val="04A0"/>
        </w:tblPrEx>
        <w:trPr>
          <w:trHeight w:hRule="exact" w:val="255"/>
        </w:trPr>
        <w:tc>
          <w:tcPr>
            <w:tcW w:w="293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príjmov vyberaná zrážkou</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54</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22</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32</w:t>
            </w:r>
          </w:p>
        </w:tc>
      </w:tr>
      <w:tr>
        <w:tblPrEx>
          <w:tblW w:w="5000" w:type="pct"/>
          <w:tblCellMar>
            <w:left w:w="70" w:type="dxa"/>
            <w:right w:w="70" w:type="dxa"/>
          </w:tblCellMar>
          <w:tblLook w:val="04A0"/>
        </w:tblPrEx>
        <w:trPr>
          <w:trHeight w:hRule="exact" w:val="255"/>
        </w:trPr>
        <w:tc>
          <w:tcPr>
            <w:tcW w:w="293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pridanej hodnoty</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9 600</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11 907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11 907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11 907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11 907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11 907</w:t>
            </w:r>
          </w:p>
        </w:tc>
      </w:tr>
      <w:tr>
        <w:tblPrEx>
          <w:tblW w:w="5000" w:type="pct"/>
          <w:tblCellMar>
            <w:left w:w="70" w:type="dxa"/>
            <w:right w:w="70" w:type="dxa"/>
          </w:tblCellMar>
          <w:tblLook w:val="04A0"/>
        </w:tblPrEx>
        <w:trPr>
          <w:trHeight w:hRule="exact" w:val="255"/>
        </w:trPr>
        <w:tc>
          <w:tcPr>
            <w:tcW w:w="293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Spotrebné dane</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910</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1 359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1 359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1 359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1 359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1 359</w:t>
            </w:r>
          </w:p>
        </w:tc>
      </w:tr>
      <w:tr>
        <w:tblPrEx>
          <w:tblW w:w="5000" w:type="pct"/>
          <w:tblCellMar>
            <w:left w:w="70" w:type="dxa"/>
            <w:right w:w="70" w:type="dxa"/>
          </w:tblCellMar>
          <w:tblLook w:val="04A0"/>
        </w:tblPrEx>
        <w:trPr>
          <w:trHeight w:hRule="exact" w:val="255"/>
        </w:trPr>
        <w:tc>
          <w:tcPr>
            <w:tcW w:w="293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Miestne dane</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948</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839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839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839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839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839</w:t>
            </w:r>
          </w:p>
        </w:tc>
      </w:tr>
      <w:tr>
        <w:tblPrEx>
          <w:tblW w:w="5000" w:type="pct"/>
          <w:tblCellMar>
            <w:left w:w="70" w:type="dxa"/>
            <w:right w:w="70" w:type="dxa"/>
          </w:tblCellMar>
          <w:tblLook w:val="04A0"/>
        </w:tblPrEx>
        <w:trPr>
          <w:trHeight w:hRule="exact" w:val="255"/>
        </w:trPr>
        <w:tc>
          <w:tcPr>
            <w:tcW w:w="293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Ostatné dane + dane z medzinárodného obchodu a transakcií</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271</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293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Sankcie uložené v daňovom konaní</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5 447</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914</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859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859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859</w:t>
            </w:r>
          </w:p>
        </w:tc>
        <w:tc>
          <w:tcPr>
            <w:tcW w:w="345"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859</w:t>
            </w:r>
          </w:p>
        </w:tc>
      </w:tr>
      <w:tr>
        <w:tblPrEx>
          <w:tblW w:w="5000" w:type="pct"/>
          <w:tblCellMar>
            <w:left w:w="70" w:type="dxa"/>
            <w:right w:w="70" w:type="dxa"/>
          </w:tblCellMar>
          <w:tblLook w:val="04A0"/>
        </w:tblPrEx>
        <w:trPr>
          <w:trHeight w:hRule="exact" w:val="255"/>
        </w:trPr>
        <w:tc>
          <w:tcPr>
            <w:tcW w:w="2932" w:type="pct"/>
            <w:tcBorders>
              <w:top w:val="single" w:sz="4" w:space="0" w:color="auto"/>
              <w:left w:val="nil"/>
              <w:bottom w:val="nil"/>
              <w:right w:val="nil"/>
            </w:tcBorders>
            <w:noWrap/>
            <w:textDirection w:val="lrTb"/>
            <w:vAlign w:val="bottom"/>
            <w:hideMark/>
          </w:tcPr>
          <w:p w:rsidR="005F4319" w:rsidRPr="006871EE" w:rsidP="00DC7838">
            <w:pPr>
              <w:bidi w:val="0"/>
              <w:rPr>
                <w:rFonts w:ascii="Times New Roman" w:hAnsi="Times New Roman" w:cs="Times New Roman"/>
                <w:sz w:val="14"/>
                <w:szCs w:val="14"/>
                <w:lang w:eastAsia="sk-SK"/>
              </w:rPr>
            </w:pPr>
            <w:r w:rsidRPr="006871EE">
              <w:rPr>
                <w:rFonts w:ascii="Times New Roman" w:hAnsi="Times New Roman" w:cs="Times New Roman"/>
                <w:sz w:val="14"/>
                <w:szCs w:val="14"/>
                <w:lang w:eastAsia="sk-SK"/>
              </w:rPr>
              <w:t>* Sankcie sú identické podľa hotovostnej a akruálnej metodiky</w:t>
            </w:r>
          </w:p>
        </w:tc>
        <w:tc>
          <w:tcPr>
            <w:tcW w:w="345" w:type="pct"/>
            <w:tcBorders>
              <w:top w:val="single" w:sz="4" w:space="0" w:color="auto"/>
              <w:left w:val="nil"/>
              <w:bottom w:val="nil"/>
              <w:right w:val="nil"/>
            </w:tcBorders>
            <w:noWrap/>
            <w:textDirection w:val="lrTb"/>
            <w:vAlign w:val="center"/>
            <w:hideMark/>
          </w:tcPr>
          <w:p w:rsidR="005F4319" w:rsidRPr="006871EE" w:rsidP="00DC7838">
            <w:pPr>
              <w:bidi w:val="0"/>
              <w:rPr>
                <w:rFonts w:ascii="Times New Roman" w:hAnsi="Times New Roman" w:cs="Times New Roman"/>
                <w:sz w:val="14"/>
                <w:szCs w:val="14"/>
                <w:lang w:eastAsia="sk-SK"/>
              </w:rPr>
            </w:pPr>
          </w:p>
        </w:tc>
        <w:tc>
          <w:tcPr>
            <w:tcW w:w="345" w:type="pct"/>
            <w:tcBorders>
              <w:top w:val="single" w:sz="4" w:space="0" w:color="auto"/>
              <w:left w:val="nil"/>
              <w:bottom w:val="nil"/>
              <w:right w:val="nil"/>
            </w:tcBorders>
            <w:noWrap/>
            <w:textDirection w:val="lrTb"/>
            <w:vAlign w:val="center"/>
            <w:hideMark/>
          </w:tcPr>
          <w:p w:rsidR="005F4319" w:rsidRPr="006871EE" w:rsidP="00DC7838">
            <w:pPr>
              <w:bidi w:val="0"/>
              <w:rPr>
                <w:rFonts w:ascii="Times New Roman" w:hAnsi="Times New Roman" w:cs="Times New Roman"/>
                <w:sz w:val="14"/>
                <w:szCs w:val="14"/>
                <w:lang w:eastAsia="sk-SK"/>
              </w:rPr>
            </w:pPr>
          </w:p>
        </w:tc>
        <w:tc>
          <w:tcPr>
            <w:tcW w:w="345" w:type="pct"/>
            <w:tcBorders>
              <w:top w:val="single" w:sz="4" w:space="0" w:color="auto"/>
              <w:left w:val="nil"/>
              <w:bottom w:val="nil"/>
              <w:right w:val="nil"/>
            </w:tcBorders>
            <w:noWrap/>
            <w:textDirection w:val="lrTb"/>
            <w:vAlign w:val="center"/>
            <w:hideMark/>
          </w:tcPr>
          <w:p w:rsidR="005F4319" w:rsidRPr="006871EE" w:rsidP="00DC7838">
            <w:pPr>
              <w:bidi w:val="0"/>
              <w:rPr>
                <w:rFonts w:ascii="Times New Roman" w:hAnsi="Times New Roman" w:cs="Times New Roman"/>
                <w:sz w:val="14"/>
                <w:szCs w:val="14"/>
                <w:lang w:eastAsia="sk-SK"/>
              </w:rPr>
            </w:pPr>
          </w:p>
        </w:tc>
        <w:tc>
          <w:tcPr>
            <w:tcW w:w="345" w:type="pct"/>
            <w:tcBorders>
              <w:top w:val="single" w:sz="4" w:space="0" w:color="auto"/>
              <w:left w:val="nil"/>
              <w:bottom w:val="nil"/>
              <w:right w:val="nil"/>
            </w:tcBorders>
            <w:noWrap/>
            <w:textDirection w:val="lrTb"/>
            <w:vAlign w:val="center"/>
            <w:hideMark/>
          </w:tcPr>
          <w:p w:rsidR="005F4319" w:rsidRPr="006871EE" w:rsidP="00DC7838">
            <w:pPr>
              <w:bidi w:val="0"/>
              <w:rPr>
                <w:rFonts w:ascii="Times New Roman" w:hAnsi="Times New Roman" w:cs="Times New Roman"/>
                <w:sz w:val="14"/>
                <w:szCs w:val="14"/>
                <w:lang w:eastAsia="sk-SK"/>
              </w:rPr>
            </w:pPr>
          </w:p>
        </w:tc>
        <w:tc>
          <w:tcPr>
            <w:tcW w:w="345" w:type="pct"/>
            <w:tcBorders>
              <w:top w:val="single" w:sz="4" w:space="0" w:color="auto"/>
              <w:left w:val="nil"/>
              <w:bottom w:val="nil"/>
              <w:right w:val="nil"/>
            </w:tcBorders>
            <w:noWrap/>
            <w:textDirection w:val="lrTb"/>
            <w:vAlign w:val="center"/>
            <w:hideMark/>
          </w:tcPr>
          <w:p w:rsidR="005F4319" w:rsidRPr="006871EE" w:rsidP="00DC7838">
            <w:pPr>
              <w:bidi w:val="0"/>
              <w:rPr>
                <w:rFonts w:ascii="Times New Roman" w:hAnsi="Times New Roman" w:cs="Times New Roman"/>
                <w:sz w:val="14"/>
                <w:szCs w:val="14"/>
                <w:lang w:eastAsia="sk-SK"/>
              </w:rPr>
            </w:pPr>
          </w:p>
        </w:tc>
        <w:tc>
          <w:tcPr>
            <w:tcW w:w="345" w:type="pct"/>
            <w:tcBorders>
              <w:top w:val="single" w:sz="4" w:space="0" w:color="auto"/>
              <w:left w:val="nil"/>
              <w:bottom w:val="nil"/>
              <w:right w:val="nil"/>
            </w:tcBorders>
            <w:noWrap/>
            <w:textDirection w:val="lrTb"/>
            <w:vAlign w:val="center"/>
            <w:hideMark/>
          </w:tcPr>
          <w:p w:rsidR="005F4319" w:rsidRPr="006871EE" w:rsidP="00DC7838">
            <w:pPr>
              <w:bidi w:val="0"/>
              <w:rPr>
                <w:rFonts w:ascii="Times New Roman" w:hAnsi="Times New Roman" w:cs="Times New Roman"/>
                <w:sz w:val="14"/>
                <w:szCs w:val="14"/>
                <w:lang w:eastAsia="sk-SK"/>
              </w:rPr>
            </w:pPr>
          </w:p>
        </w:tc>
      </w:tr>
    </w:tbl>
    <w:p w:rsidR="005F4319" w:rsidP="005F4319">
      <w:pPr>
        <w:bidi w:val="0"/>
        <w:jc w:val="both"/>
        <w:rPr>
          <w:rFonts w:ascii="Times New Roman" w:hAnsi="Times New Roman" w:cs="Times New Roman"/>
        </w:rPr>
      </w:pPr>
    </w:p>
    <w:p w:rsidR="007044C8" w:rsidRPr="003F31E1" w:rsidP="00D352DC">
      <w:pPr>
        <w:pStyle w:val="Heading2"/>
        <w:bidi w:val="0"/>
        <w:spacing w:before="0" w:after="0"/>
        <w:rPr>
          <w:rFonts w:ascii="Times New Roman" w:hAnsi="Times New Roman"/>
          <w:i w:val="0"/>
          <w:iCs w:val="0"/>
          <w:sz w:val="24"/>
          <w:szCs w:val="24"/>
        </w:rPr>
      </w:pPr>
      <w:bookmarkStart w:id="32" w:name="_Toc273148232"/>
      <w:bookmarkStart w:id="33" w:name="_Toc273950833"/>
      <w:bookmarkStart w:id="34" w:name="_Toc337237750"/>
      <w:r w:rsidRPr="003F31E1">
        <w:rPr>
          <w:rFonts w:ascii="Times New Roman" w:hAnsi="Times New Roman"/>
          <w:i w:val="0"/>
          <w:iCs w:val="0"/>
          <w:sz w:val="24"/>
          <w:szCs w:val="24"/>
        </w:rPr>
        <w:t>3.2. Akruálne dane pre návrh rozpočtu verejnej správy na roky 2013 až 201</w:t>
      </w:r>
      <w:bookmarkEnd w:id="32"/>
      <w:bookmarkEnd w:id="33"/>
      <w:r w:rsidRPr="003F31E1">
        <w:rPr>
          <w:rFonts w:ascii="Times New Roman" w:hAnsi="Times New Roman"/>
          <w:i w:val="0"/>
          <w:iCs w:val="0"/>
          <w:sz w:val="24"/>
          <w:szCs w:val="24"/>
        </w:rPr>
        <w:t>5</w:t>
      </w:r>
      <w:bookmarkEnd w:id="34"/>
    </w:p>
    <w:p w:rsidR="006B7281" w:rsidRPr="00A847E2" w:rsidP="006B7281">
      <w:pPr>
        <w:bidi w:val="0"/>
        <w:rPr>
          <w:rFonts w:ascii="Times New Roman" w:hAnsi="Times New Roman" w:cs="Times New Roman"/>
          <w:color w:val="0070C0"/>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V nasledujúcej tabuľke sú uvedené rozdiely medzi akruálnymi a hotovostnými odhadmi daní. V celom prognózovanom období sa očakáva výnos daní na akruálnej báze vyšší ako na hotovostnom princípe, čo je aj v súlade s očakávaniami</w:t>
      </w:r>
      <w:r>
        <w:rPr>
          <w:rStyle w:val="FootnoteReference"/>
          <w:rFonts w:ascii="Times New Roman" w:hAnsi="Times New Roman"/>
          <w:rtl w:val="0"/>
        </w:rPr>
        <w:footnoteReference w:id="8"/>
      </w:r>
      <w:r w:rsidRPr="006759EA">
        <w:rPr>
          <w:rFonts w:ascii="Times New Roman" w:hAnsi="Times New Roman" w:cs="Times New Roman"/>
        </w:rPr>
        <w:t>.</w:t>
      </w:r>
    </w:p>
    <w:p w:rsidR="005F4319" w:rsidRPr="006759EA" w:rsidP="005F4319">
      <w:pPr>
        <w:bidi w:val="0"/>
        <w:ind w:firstLine="708"/>
        <w:jc w:val="both"/>
        <w:rPr>
          <w:rFonts w:ascii="Times New Roman" w:hAnsi="Times New Roman" w:cs="Times New Roman"/>
          <w:sz w:val="16"/>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088"/>
        <w:gridCol w:w="1032"/>
        <w:gridCol w:w="1032"/>
        <w:gridCol w:w="1032"/>
        <w:gridCol w:w="102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454"/>
        </w:trPr>
        <w:tc>
          <w:tcPr>
            <w:tcW w:w="2762"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rPr>
                <w:rFonts w:ascii="Times New Roman" w:hAnsi="Times New Roman" w:cs="Times New Roman"/>
                <w:b/>
                <w:bCs/>
                <w:color w:val="000000" w:themeColor="tx1" w:themeShade="FF"/>
                <w:sz w:val="14"/>
                <w:szCs w:val="14"/>
                <w:lang w:eastAsia="sk-SK"/>
              </w:rPr>
            </w:pPr>
            <w:r w:rsidRPr="006871EE">
              <w:rPr>
                <w:rFonts w:ascii="Times New Roman" w:hAnsi="Times New Roman" w:cs="Times New Roman"/>
                <w:b/>
                <w:bCs/>
                <w:color w:val="000000" w:themeColor="tx1" w:themeShade="FF"/>
                <w:sz w:val="14"/>
                <w:szCs w:val="14"/>
                <w:lang w:eastAsia="sk-SK"/>
              </w:rPr>
              <w:t>Odhad rozdielu medzi akruálnymi a hotovostnými prognózami v rokoch 2012 až 2015 (v tis. eur)</w:t>
            </w:r>
          </w:p>
        </w:tc>
        <w:tc>
          <w:tcPr>
            <w:tcW w:w="560"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2012 OS</w:t>
            </w:r>
          </w:p>
        </w:tc>
        <w:tc>
          <w:tcPr>
            <w:tcW w:w="560"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66640C">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 xml:space="preserve">2013 </w:t>
            </w:r>
            <w:r w:rsidR="0066640C">
              <w:rPr>
                <w:rFonts w:ascii="Times New Roman" w:hAnsi="Times New Roman" w:cs="Times New Roman"/>
                <w:b/>
                <w:bCs/>
                <w:color w:val="000000"/>
                <w:sz w:val="14"/>
                <w:szCs w:val="14"/>
                <w:lang w:eastAsia="sk-SK"/>
              </w:rPr>
              <w:t>N</w:t>
            </w:r>
          </w:p>
        </w:tc>
        <w:tc>
          <w:tcPr>
            <w:tcW w:w="560"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2014 N</w:t>
            </w:r>
          </w:p>
        </w:tc>
        <w:tc>
          <w:tcPr>
            <w:tcW w:w="558"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hRule="exact" w:val="255"/>
        </w:trPr>
        <w:tc>
          <w:tcPr>
            <w:tcW w:w="276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Daňové príjmy verejnej správy</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-143 406</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242 611</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211 186</w:t>
            </w:r>
          </w:p>
        </w:tc>
        <w:tc>
          <w:tcPr>
            <w:tcW w:w="558"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170 528</w:t>
            </w:r>
          </w:p>
        </w:tc>
      </w:tr>
      <w:tr>
        <w:tblPrEx>
          <w:tblW w:w="5000" w:type="pct"/>
          <w:tblCellMar>
            <w:left w:w="70" w:type="dxa"/>
            <w:right w:w="70" w:type="dxa"/>
          </w:tblCellMar>
          <w:tblLook w:val="04A0"/>
        </w:tblPrEx>
        <w:trPr>
          <w:trHeight w:hRule="exact" w:val="255"/>
        </w:trPr>
        <w:tc>
          <w:tcPr>
            <w:tcW w:w="276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6871EE">
            <w:pPr>
              <w:bidi w:val="0"/>
              <w:ind w:firstLine="280" w:firstLineChars="2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štátny rozpočet</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-160 239</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99 015</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171 934</w:t>
            </w:r>
          </w:p>
        </w:tc>
        <w:tc>
          <w:tcPr>
            <w:tcW w:w="558"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126 109</w:t>
            </w:r>
          </w:p>
        </w:tc>
      </w:tr>
      <w:tr>
        <w:tblPrEx>
          <w:tblW w:w="5000" w:type="pct"/>
          <w:tblCellMar>
            <w:left w:w="70" w:type="dxa"/>
            <w:right w:w="70" w:type="dxa"/>
          </w:tblCellMar>
          <w:tblLook w:val="04A0"/>
        </w:tblPrEx>
        <w:trPr>
          <w:trHeight w:hRule="exact" w:val="255"/>
        </w:trPr>
        <w:tc>
          <w:tcPr>
            <w:tcW w:w="276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6871EE">
            <w:pPr>
              <w:bidi w:val="0"/>
              <w:ind w:firstLine="280" w:firstLineChars="2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Štátne finančné aktíva</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-66 667</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91 667</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0</w:t>
            </w:r>
          </w:p>
        </w:tc>
        <w:tc>
          <w:tcPr>
            <w:tcW w:w="558"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276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6871EE">
            <w:pPr>
              <w:bidi w:val="0"/>
              <w:ind w:firstLine="280" w:firstLineChars="2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obce</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0</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0</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w:t>
            </w:r>
          </w:p>
        </w:tc>
        <w:tc>
          <w:tcPr>
            <w:tcW w:w="558"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276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6871EE">
            <w:pPr>
              <w:bidi w:val="0"/>
              <w:ind w:firstLine="280" w:firstLineChars="2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VÚC</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2 118</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2 918</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3 007</w:t>
            </w:r>
          </w:p>
        </w:tc>
        <w:tc>
          <w:tcPr>
            <w:tcW w:w="558"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3 098</w:t>
            </w:r>
          </w:p>
        </w:tc>
      </w:tr>
      <w:tr>
        <w:tblPrEx>
          <w:tblW w:w="5000" w:type="pct"/>
          <w:tblCellMar>
            <w:left w:w="70" w:type="dxa"/>
            <w:right w:w="70" w:type="dxa"/>
          </w:tblCellMar>
          <w:tblLook w:val="04A0"/>
        </w:tblPrEx>
        <w:trPr>
          <w:trHeight w:hRule="exact" w:val="255"/>
        </w:trPr>
        <w:tc>
          <w:tcPr>
            <w:tcW w:w="276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6871EE">
            <w:pPr>
              <w:bidi w:val="0"/>
              <w:ind w:firstLine="280" w:firstLineChars="2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Sociálna poisťovňa</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76 412</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32 762</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24 059</w:t>
            </w:r>
          </w:p>
        </w:tc>
        <w:tc>
          <w:tcPr>
            <w:tcW w:w="558"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27 626</w:t>
            </w:r>
          </w:p>
        </w:tc>
      </w:tr>
      <w:tr>
        <w:tblPrEx>
          <w:tblW w:w="5000" w:type="pct"/>
          <w:tblCellMar>
            <w:left w:w="70" w:type="dxa"/>
            <w:right w:w="70" w:type="dxa"/>
          </w:tblCellMar>
          <w:tblLook w:val="04A0"/>
        </w:tblPrEx>
        <w:trPr>
          <w:trHeight w:hRule="exact" w:val="255"/>
        </w:trPr>
        <w:tc>
          <w:tcPr>
            <w:tcW w:w="2762"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6871EE">
            <w:pPr>
              <w:bidi w:val="0"/>
              <w:ind w:firstLine="280" w:firstLineChars="2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Zdravotné poisťovne</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4 970</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16 249</w:t>
            </w:r>
          </w:p>
        </w:tc>
        <w:tc>
          <w:tcPr>
            <w:tcW w:w="560"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12 187</w:t>
            </w:r>
          </w:p>
        </w:tc>
        <w:tc>
          <w:tcPr>
            <w:tcW w:w="558" w:type="pct"/>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13 695</w:t>
            </w:r>
          </w:p>
        </w:tc>
      </w:tr>
      <w:tr>
        <w:tblPrEx>
          <w:tblW w:w="5000" w:type="pct"/>
          <w:tblCellMar>
            <w:left w:w="70" w:type="dxa"/>
            <w:right w:w="70" w:type="dxa"/>
          </w:tblCellMar>
          <w:tblLook w:val="04A0"/>
        </w:tblPrEx>
        <w:trPr>
          <w:trHeight w:hRule="exact" w:val="255"/>
        </w:trPr>
        <w:tc>
          <w:tcPr>
            <w:tcW w:w="5000" w:type="pct"/>
            <w:gridSpan w:val="5"/>
            <w:tcBorders>
              <w:top w:val="single" w:sz="4" w:space="0" w:color="auto"/>
              <w:left w:val="nil"/>
              <w:bottom w:val="nil"/>
              <w:right w:val="nil"/>
            </w:tcBorders>
            <w:noWrap/>
            <w:textDirection w:val="lrTb"/>
            <w:vAlign w:val="center"/>
            <w:hideMark/>
          </w:tcPr>
          <w:p w:rsidR="005F4319" w:rsidRPr="006871EE" w:rsidP="00DC7838">
            <w:pPr>
              <w:bidi w:val="0"/>
              <w:rPr>
                <w:rFonts w:ascii="Times New Roman" w:hAnsi="Times New Roman" w:cs="Times New Roman"/>
                <w:i/>
                <w:color w:val="000000"/>
                <w:sz w:val="14"/>
                <w:szCs w:val="14"/>
                <w:lang w:eastAsia="sk-SK"/>
              </w:rPr>
            </w:pPr>
            <w:r w:rsidRPr="006871EE">
              <w:rPr>
                <w:rFonts w:ascii="Times New Roman" w:hAnsi="Times New Roman" w:cs="Times New Roman"/>
                <w:i/>
                <w:color w:val="000000"/>
                <w:sz w:val="14"/>
                <w:szCs w:val="14"/>
                <w:lang w:eastAsia="sk-SK"/>
              </w:rPr>
              <w:t>(+) znamená, že výnos daní v metodike ESA</w:t>
            </w:r>
            <w:r w:rsidR="00D352DC">
              <w:rPr>
                <w:rFonts w:ascii="Times New Roman" w:hAnsi="Times New Roman" w:cs="Times New Roman"/>
                <w:i/>
                <w:color w:val="000000"/>
                <w:sz w:val="14"/>
                <w:szCs w:val="14"/>
                <w:lang w:eastAsia="sk-SK"/>
              </w:rPr>
              <w:t xml:space="preserve"> </w:t>
            </w:r>
            <w:r w:rsidRPr="006871EE">
              <w:rPr>
                <w:rFonts w:ascii="Times New Roman" w:hAnsi="Times New Roman" w:cs="Times New Roman"/>
                <w:i/>
                <w:color w:val="000000"/>
                <w:sz w:val="14"/>
                <w:szCs w:val="14"/>
                <w:lang w:eastAsia="sk-SK"/>
              </w:rPr>
              <w:t>95 je vyšší ako na hotovostnej báze; (-) znamená, že výnos daní v metodike ESA</w:t>
            </w:r>
            <w:r w:rsidR="00D352DC">
              <w:rPr>
                <w:rFonts w:ascii="Times New Roman" w:hAnsi="Times New Roman" w:cs="Times New Roman"/>
                <w:i/>
                <w:color w:val="000000"/>
                <w:sz w:val="14"/>
                <w:szCs w:val="14"/>
                <w:lang w:eastAsia="sk-SK"/>
              </w:rPr>
              <w:t xml:space="preserve"> </w:t>
            </w:r>
            <w:r w:rsidRPr="006871EE">
              <w:rPr>
                <w:rFonts w:ascii="Times New Roman" w:hAnsi="Times New Roman" w:cs="Times New Roman"/>
                <w:i/>
                <w:color w:val="000000"/>
                <w:sz w:val="14"/>
                <w:szCs w:val="14"/>
                <w:lang w:eastAsia="sk-SK"/>
              </w:rPr>
              <w:t>95 je nižší ako na hotovostnej báze</w:t>
            </w:r>
          </w:p>
        </w:tc>
      </w:tr>
    </w:tbl>
    <w:p w:rsidR="005F4319" w:rsidRPr="006759EA" w:rsidP="005F4319">
      <w:pPr>
        <w:bidi w:val="0"/>
        <w:ind w:firstLine="708"/>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 xml:space="preserve">Rozdiel medzi akruálnym výnosom daní a hotovostným výnosom daní je spôsobený najmä samotným spôsobom výberu daní. Väčšina daňových príjmov sa platí až po ukončení obdobia, napr. daň z príjmov fyzických osôb a odvody sa platia až v nasledujúcom mesiaci. Daňové priznanie </w:t>
      </w:r>
      <w:r w:rsidR="00D352DC">
        <w:rPr>
          <w:rFonts w:ascii="Times New Roman" w:hAnsi="Times New Roman" w:cs="Times New Roman"/>
        </w:rPr>
        <w:t>pri</w:t>
      </w:r>
      <w:r w:rsidRPr="006759EA">
        <w:rPr>
          <w:rFonts w:ascii="Times New Roman" w:hAnsi="Times New Roman" w:cs="Times New Roman"/>
        </w:rPr>
        <w:t> DPH a spotrebných dan</w:t>
      </w:r>
      <w:r w:rsidR="00D352DC">
        <w:rPr>
          <w:rFonts w:ascii="Times New Roman" w:hAnsi="Times New Roman" w:cs="Times New Roman"/>
        </w:rPr>
        <w:t>iach</w:t>
      </w:r>
      <w:r w:rsidRPr="006759EA">
        <w:rPr>
          <w:rFonts w:ascii="Times New Roman" w:hAnsi="Times New Roman" w:cs="Times New Roman"/>
        </w:rPr>
        <w:t xml:space="preserve"> až v nasledujúcom mesiaci alebo kvartáli. V prípade DPPO a DPFO z podnikania sa počas roka platia preddavky na základe posledného zdaňovacieho obdobia a až v nasledujúcom roku sa zúčtovávajú. Keďže v súčasnosti sa očakáva nárast ziskovosti, kladné vyrovnanie dane bude príjmom rozpočtu až v nasledujúcom kalendárnom roku. </w:t>
      </w:r>
    </w:p>
    <w:p w:rsidR="005F4319" w:rsidRPr="006759EA" w:rsidP="005F4319">
      <w:pPr>
        <w:bidi w:val="0"/>
        <w:ind w:firstLine="708"/>
        <w:jc w:val="both"/>
        <w:rPr>
          <w:rFonts w:ascii="Times New Roman" w:hAnsi="Times New Roman" w:cs="Times New Roman"/>
        </w:rPr>
      </w:pPr>
    </w:p>
    <w:p w:rsidR="005F4319" w:rsidRPr="006759EA" w:rsidP="005F4319">
      <w:pPr>
        <w:bidi w:val="0"/>
        <w:ind w:firstLine="708"/>
        <w:jc w:val="both"/>
        <w:rPr>
          <w:rFonts w:ascii="Times New Roman" w:hAnsi="Times New Roman" w:cs="Times New Roman"/>
        </w:rPr>
      </w:pPr>
      <w:r w:rsidRPr="006759EA">
        <w:rPr>
          <w:rFonts w:ascii="Times New Roman" w:hAnsi="Times New Roman" w:cs="Times New Roman"/>
        </w:rPr>
        <w:t>Zároveň na rozdiel medzi akruálnym a hotovostným výnosom pozitívne vplýva najmä odlišné zaznamenávanie sumy 2 % poukazovaných na osobitný účel z daní z príjmov fyzických a právnických osôb. Kým pri hotovostnom princípe suma poukázaná na osobitný účel ovplyvňuje výšku výnosu dane znížením príjmov verejnej správy, akruálne dane nie sú týmto prevodom ovplyvnené. Vyplýva to z ekonomickej podstaty transakcie, ktorá neznižuje výšku daňovej povinnosti voči verejným financiám (akruálnu daň), ale na základe zákona schváleného NR SR, sa časť peňazí použije na financovanie tretieho sektora. Uvedená suma teda neznižuje príjmy, ale zvyšuje verejné výdavky a týmto spôsobom negatívne ovplyvňuje hospodárenie v metodike ESA</w:t>
      </w:r>
      <w:r w:rsidR="00D352DC">
        <w:rPr>
          <w:rFonts w:ascii="Times New Roman" w:hAnsi="Times New Roman" w:cs="Times New Roman"/>
        </w:rPr>
        <w:t xml:space="preserve"> </w:t>
      </w:r>
      <w:r w:rsidRPr="006759EA">
        <w:rPr>
          <w:rFonts w:ascii="Times New Roman" w:hAnsi="Times New Roman" w:cs="Times New Roman"/>
        </w:rPr>
        <w:t>95.</w:t>
      </w:r>
    </w:p>
    <w:p w:rsidR="005F4319" w:rsidRPr="006759EA" w:rsidP="005F4319">
      <w:pPr>
        <w:bidi w:val="0"/>
        <w:ind w:firstLine="708"/>
        <w:jc w:val="both"/>
        <w:rPr>
          <w:rFonts w:ascii="Times New Roman" w:hAnsi="Times New Roman" w:cs="Times New Roman"/>
          <w:highlight w:val="yellow"/>
        </w:rPr>
      </w:pPr>
    </w:p>
    <w:p w:rsidR="005F4319" w:rsidRPr="006759EA" w:rsidP="005F4319">
      <w:pPr>
        <w:pStyle w:val="Default"/>
        <w:bidi w:val="0"/>
        <w:spacing w:before="3"/>
        <w:ind w:firstLine="708"/>
        <w:jc w:val="both"/>
        <w:rPr>
          <w:rFonts w:ascii="Times New Roman" w:hAnsi="Times New Roman" w:cs="Times New Roman"/>
        </w:rPr>
      </w:pPr>
      <w:r>
        <w:rPr>
          <w:rFonts w:ascii="Times New Roman" w:hAnsi="Times New Roman" w:cs="Times New Roman"/>
        </w:rPr>
        <w:t xml:space="preserve">S účinnosťou od 1. januára </w:t>
      </w:r>
      <w:r w:rsidRPr="006759EA">
        <w:rPr>
          <w:rFonts w:ascii="Times New Roman" w:hAnsi="Times New Roman" w:cs="Times New Roman"/>
        </w:rPr>
        <w:t>2012 boli prijaté zmeny v asignácii 2</w:t>
      </w:r>
      <w:r>
        <w:rPr>
          <w:rFonts w:ascii="Times New Roman" w:hAnsi="Times New Roman" w:cs="Times New Roman"/>
        </w:rPr>
        <w:t xml:space="preserve"> </w:t>
      </w:r>
      <w:r w:rsidRPr="006759EA">
        <w:rPr>
          <w:rFonts w:ascii="Times New Roman" w:hAnsi="Times New Roman" w:cs="Times New Roman"/>
        </w:rPr>
        <w:t>% dane z príjmov právnických osôb. Postupné znižovanie prevodu 2</w:t>
      </w:r>
      <w:r>
        <w:rPr>
          <w:rFonts w:ascii="Times New Roman" w:hAnsi="Times New Roman" w:cs="Times New Roman"/>
        </w:rPr>
        <w:t xml:space="preserve"> </w:t>
      </w:r>
      <w:r w:rsidRPr="006759EA">
        <w:rPr>
          <w:rFonts w:ascii="Times New Roman" w:hAnsi="Times New Roman" w:cs="Times New Roman"/>
        </w:rPr>
        <w:t xml:space="preserve">% na verejnoprospešný účel sa posúva o jeden rok. Pravidlá platné v roku 2011 tak platia </w:t>
      </w:r>
      <w:r>
        <w:rPr>
          <w:rFonts w:ascii="Times New Roman" w:hAnsi="Times New Roman" w:cs="Times New Roman"/>
        </w:rPr>
        <w:t>aj pre zdaňovacie obdobie 2012 (p</w:t>
      </w:r>
      <w:r w:rsidRPr="006759EA">
        <w:rPr>
          <w:rFonts w:ascii="Times New Roman" w:hAnsi="Times New Roman" w:cs="Times New Roman"/>
        </w:rPr>
        <w:t>odiel zaplatenej dane 2</w:t>
      </w:r>
      <w:r>
        <w:rPr>
          <w:rFonts w:ascii="Times New Roman" w:hAnsi="Times New Roman" w:cs="Times New Roman"/>
        </w:rPr>
        <w:t xml:space="preserve"> </w:t>
      </w:r>
      <w:r w:rsidRPr="006759EA">
        <w:rPr>
          <w:rFonts w:ascii="Times New Roman" w:hAnsi="Times New Roman" w:cs="Times New Roman"/>
        </w:rPr>
        <w:t>% sa znižuje na 1,5</w:t>
      </w:r>
      <w:r>
        <w:rPr>
          <w:rFonts w:ascii="Times New Roman" w:hAnsi="Times New Roman" w:cs="Times New Roman"/>
        </w:rPr>
        <w:t xml:space="preserve"> </w:t>
      </w:r>
      <w:r w:rsidRPr="006759EA">
        <w:rPr>
          <w:rFonts w:ascii="Times New Roman" w:hAnsi="Times New Roman" w:cs="Times New Roman"/>
        </w:rPr>
        <w:t>% ak právnická osoba neposkytla v danom roku dar vo výške 0,5</w:t>
      </w:r>
      <w:r w:rsidR="00D352DC">
        <w:rPr>
          <w:rFonts w:ascii="Times New Roman" w:hAnsi="Times New Roman" w:cs="Times New Roman"/>
        </w:rPr>
        <w:t xml:space="preserve"> </w:t>
      </w:r>
      <w:r w:rsidRPr="006759EA">
        <w:rPr>
          <w:rFonts w:ascii="Times New Roman" w:hAnsi="Times New Roman" w:cs="Times New Roman"/>
        </w:rPr>
        <w:t>% zapl</w:t>
      </w:r>
      <w:r>
        <w:rPr>
          <w:rFonts w:ascii="Times New Roman" w:hAnsi="Times New Roman" w:cs="Times New Roman"/>
        </w:rPr>
        <w:t>atenej dane</w:t>
      </w:r>
      <w:r w:rsidRPr="006759EA">
        <w:rPr>
          <w:rFonts w:ascii="Times New Roman" w:hAnsi="Times New Roman" w:cs="Times New Roman"/>
        </w:rPr>
        <w:t>)</w:t>
      </w:r>
      <w:r>
        <w:rPr>
          <w:rFonts w:ascii="Times New Roman" w:hAnsi="Times New Roman" w:cs="Times New Roman"/>
        </w:rPr>
        <w:t>.</w:t>
      </w:r>
      <w:r w:rsidRPr="006759EA">
        <w:rPr>
          <w:rFonts w:ascii="Times New Roman" w:hAnsi="Times New Roman" w:cs="Times New Roman"/>
        </w:rPr>
        <w:t xml:space="preserve"> </w:t>
      </w:r>
      <w:r w:rsidRPr="006759EA">
        <w:rPr>
          <w:rFonts w:ascii="Times New Roman" w:hAnsi="Times New Roman" w:cs="Times New Roman"/>
          <w:color w:val="auto"/>
        </w:rPr>
        <w:t xml:space="preserve">Prevod prostriedkov na osobitný účel sa v porovnaní s rokom 2012 mierne zvýši, čo je v súlade s makroekonomickými predpokladmi. </w:t>
      </w:r>
      <w:r w:rsidR="00D352DC">
        <w:rPr>
          <w:rFonts w:ascii="Times New Roman" w:hAnsi="Times New Roman" w:cs="Times New Roman"/>
          <w:color w:val="auto"/>
        </w:rPr>
        <w:t>V</w:t>
      </w:r>
      <w:r w:rsidR="00D352DC">
        <w:rPr>
          <w:rFonts w:ascii="Times New Roman" w:hAnsi="Times New Roman" w:cs="Times New Roman"/>
        </w:rPr>
        <w:t> </w:t>
      </w:r>
      <w:r w:rsidRPr="006759EA">
        <w:rPr>
          <w:rFonts w:ascii="Times New Roman" w:hAnsi="Times New Roman" w:cs="Times New Roman"/>
        </w:rPr>
        <w:t>rok</w:t>
      </w:r>
      <w:r w:rsidR="00D352DC">
        <w:rPr>
          <w:rFonts w:ascii="Times New Roman" w:hAnsi="Times New Roman" w:cs="Times New Roman"/>
        </w:rPr>
        <w:t xml:space="preserve">och </w:t>
      </w:r>
      <w:r w:rsidRPr="006759EA">
        <w:rPr>
          <w:rFonts w:ascii="Times New Roman" w:hAnsi="Times New Roman" w:cs="Times New Roman"/>
        </w:rPr>
        <w:t>2014 a 2015 sa očakáva pokles objemu pros</w:t>
      </w:r>
      <w:r>
        <w:rPr>
          <w:rFonts w:ascii="Times New Roman" w:hAnsi="Times New Roman" w:cs="Times New Roman"/>
        </w:rPr>
        <w:t>triedkov prevedených na verejno</w:t>
      </w:r>
      <w:r w:rsidRPr="006759EA">
        <w:rPr>
          <w:rFonts w:ascii="Times New Roman" w:hAnsi="Times New Roman" w:cs="Times New Roman"/>
        </w:rPr>
        <w:t>prospešný účel v dôsledku postupného znižovania poukazovaného podielu zaplatenej dane z</w:t>
      </w:r>
      <w:r>
        <w:rPr>
          <w:rFonts w:ascii="Times New Roman" w:hAnsi="Times New Roman" w:cs="Times New Roman"/>
        </w:rPr>
        <w:t> </w:t>
      </w:r>
      <w:r w:rsidRPr="006759EA">
        <w:rPr>
          <w:rFonts w:ascii="Times New Roman" w:hAnsi="Times New Roman" w:cs="Times New Roman"/>
        </w:rPr>
        <w:t>2</w:t>
      </w:r>
      <w:r>
        <w:rPr>
          <w:rFonts w:ascii="Times New Roman" w:hAnsi="Times New Roman" w:cs="Times New Roman"/>
        </w:rPr>
        <w:t xml:space="preserve"> </w:t>
      </w:r>
      <w:r w:rsidRPr="006759EA">
        <w:rPr>
          <w:rFonts w:ascii="Times New Roman" w:hAnsi="Times New Roman" w:cs="Times New Roman"/>
        </w:rPr>
        <w:t>% na 0,5</w:t>
      </w:r>
      <w:r>
        <w:rPr>
          <w:rFonts w:ascii="Times New Roman" w:hAnsi="Times New Roman" w:cs="Times New Roman"/>
        </w:rPr>
        <w:t xml:space="preserve"> </w:t>
      </w:r>
      <w:r w:rsidRPr="006759EA">
        <w:rPr>
          <w:rFonts w:ascii="Times New Roman" w:hAnsi="Times New Roman" w:cs="Times New Roman"/>
        </w:rPr>
        <w:t xml:space="preserve">% v roku 2020. </w:t>
      </w:r>
    </w:p>
    <w:p w:rsidR="005F4319" w:rsidRPr="006759EA" w:rsidP="005F4319">
      <w:pPr>
        <w:pStyle w:val="Default"/>
        <w:bidi w:val="0"/>
        <w:spacing w:before="3"/>
        <w:ind w:firstLine="708"/>
        <w:jc w:val="both"/>
        <w:rPr>
          <w:rFonts w:ascii="Times New Roman" w:hAnsi="Times New Roman" w:cs="Times New Roman"/>
        </w:rPr>
      </w:pPr>
    </w:p>
    <w:tbl>
      <w:tblPr>
        <w:tblStyle w:val="TableNormal"/>
        <w:tblW w:w="915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37"/>
        <w:gridCol w:w="937"/>
        <w:gridCol w:w="937"/>
        <w:gridCol w:w="937"/>
        <w:gridCol w:w="937"/>
        <w:gridCol w:w="937"/>
        <w:gridCol w:w="937"/>
      </w:tblGrid>
      <w:tr>
        <w:tblPrEx>
          <w:tblW w:w="915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454"/>
        </w:trPr>
        <w:tc>
          <w:tcPr>
            <w:tcW w:w="353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rPr>
                <w:rFonts w:ascii="Times New Roman" w:hAnsi="Times New Roman" w:cs="Times New Roman"/>
                <w:b/>
                <w:bCs/>
                <w:color w:val="000000" w:themeColor="tx1" w:themeShade="FF"/>
                <w:sz w:val="14"/>
                <w:szCs w:val="14"/>
                <w:lang w:eastAsia="sk-SK"/>
              </w:rPr>
            </w:pPr>
            <w:r w:rsidRPr="006871EE">
              <w:rPr>
                <w:rFonts w:ascii="Times New Roman" w:hAnsi="Times New Roman" w:cs="Times New Roman"/>
                <w:b/>
                <w:bCs/>
                <w:color w:val="000000" w:themeColor="tx1" w:themeShade="FF"/>
                <w:sz w:val="14"/>
                <w:szCs w:val="14"/>
                <w:lang w:eastAsia="sk-SK"/>
              </w:rPr>
              <w:t>Vplyv prevodu prostriedkov na verejnoprospešný účel na rozpočet (ESA 95, v tis. eur)</w:t>
            </w:r>
            <w:r w:rsidRPr="006871EE">
              <w:rPr>
                <w:rFonts w:ascii="Times New Roman" w:hAnsi="Times New Roman" w:cs="Times New Roman"/>
                <w:color w:val="000000" w:themeColor="tx1" w:themeShade="FF"/>
                <w:sz w:val="14"/>
                <w:szCs w:val="14"/>
                <w:lang w:eastAsia="sk-SK"/>
              </w:rPr>
              <w:t> </w:t>
            </w:r>
          </w:p>
        </w:tc>
        <w:tc>
          <w:tcPr>
            <w:tcW w:w="93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2010 S</w:t>
            </w:r>
          </w:p>
        </w:tc>
        <w:tc>
          <w:tcPr>
            <w:tcW w:w="93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2011 S</w:t>
            </w:r>
          </w:p>
        </w:tc>
        <w:tc>
          <w:tcPr>
            <w:tcW w:w="93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2012 OS</w:t>
            </w:r>
          </w:p>
        </w:tc>
        <w:tc>
          <w:tcPr>
            <w:tcW w:w="93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2013 N</w:t>
            </w:r>
          </w:p>
        </w:tc>
        <w:tc>
          <w:tcPr>
            <w:tcW w:w="93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2014 N</w:t>
            </w:r>
          </w:p>
        </w:tc>
        <w:tc>
          <w:tcPr>
            <w:tcW w:w="93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2015 N</w:t>
            </w:r>
          </w:p>
        </w:tc>
      </w:tr>
      <w:tr>
        <w:tblPrEx>
          <w:tblW w:w="9159" w:type="dxa"/>
          <w:tblInd w:w="55" w:type="dxa"/>
          <w:tblCellMar>
            <w:left w:w="70" w:type="dxa"/>
            <w:right w:w="70" w:type="dxa"/>
          </w:tblCellMar>
          <w:tblLook w:val="04A0"/>
        </w:tblPrEx>
        <w:trPr>
          <w:trHeight w:hRule="exact" w:val="260"/>
        </w:trPr>
        <w:tc>
          <w:tcPr>
            <w:tcW w:w="35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 xml:space="preserve">Prevod na VPÚ spolu </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44 145</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41 970</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42 563</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43 950</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39 749</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42 670</w:t>
            </w:r>
          </w:p>
        </w:tc>
      </w:tr>
      <w:tr>
        <w:tblPrEx>
          <w:tblW w:w="9159" w:type="dxa"/>
          <w:tblInd w:w="55" w:type="dxa"/>
          <w:tblCellMar>
            <w:left w:w="70" w:type="dxa"/>
            <w:right w:w="70" w:type="dxa"/>
          </w:tblCellMar>
          <w:tblLook w:val="04A0"/>
        </w:tblPrEx>
        <w:trPr>
          <w:trHeight w:hRule="exact" w:val="260"/>
        </w:trPr>
        <w:tc>
          <w:tcPr>
            <w:tcW w:w="35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 xml:space="preserve">     z toho prevod na VPÚ z DPFO</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15 553</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16 526</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18 500</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19 912</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21 162</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22 693</w:t>
            </w:r>
          </w:p>
        </w:tc>
      </w:tr>
      <w:tr>
        <w:tblPrEx>
          <w:tblW w:w="9159" w:type="dxa"/>
          <w:tblInd w:w="55" w:type="dxa"/>
          <w:tblCellMar>
            <w:left w:w="70" w:type="dxa"/>
            <w:right w:w="70" w:type="dxa"/>
          </w:tblCellMar>
          <w:tblLook w:val="04A0"/>
        </w:tblPrEx>
        <w:trPr>
          <w:trHeight w:hRule="exact" w:val="260"/>
        </w:trPr>
        <w:tc>
          <w:tcPr>
            <w:tcW w:w="35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 xml:space="preserve">     z toho prevod na VPÚ z DPPO</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28 592</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25 444</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24 063</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24 038</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18 587</w:t>
            </w:r>
          </w:p>
        </w:tc>
        <w:tc>
          <w:tcPr>
            <w:tcW w:w="937" w:type="dxa"/>
            <w:tcBorders>
              <w:top w:val="single" w:sz="4" w:space="0" w:color="auto"/>
              <w:left w:val="single" w:sz="4" w:space="0" w:color="auto"/>
              <w:bottom w:val="single" w:sz="4" w:space="0" w:color="auto"/>
              <w:right w:val="single" w:sz="4" w:space="0" w:color="auto"/>
            </w:tcBorders>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19 977</w:t>
            </w:r>
          </w:p>
        </w:tc>
      </w:tr>
    </w:tbl>
    <w:p w:rsidR="005F4319" w:rsidRPr="006759EA" w:rsidP="005F4319">
      <w:pPr>
        <w:pStyle w:val="Default"/>
        <w:bidi w:val="0"/>
        <w:spacing w:before="3"/>
        <w:ind w:firstLine="708"/>
        <w:jc w:val="both"/>
        <w:rPr>
          <w:rFonts w:ascii="Times New Roman" w:hAnsi="Times New Roman" w:cs="Times New Roman"/>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E86466" w:rsidP="00D352DC">
      <w:pPr>
        <w:bidi w:val="0"/>
        <w:ind w:firstLine="708"/>
        <w:jc w:val="both"/>
        <w:rPr>
          <w:rFonts w:ascii="Times New Roman" w:hAnsi="Times New Roman" w:cs="Times New Roman"/>
          <w:bCs/>
        </w:rPr>
      </w:pPr>
    </w:p>
    <w:p w:rsidR="005F4319" w:rsidRPr="006759EA" w:rsidP="00D352DC">
      <w:pPr>
        <w:bidi w:val="0"/>
        <w:ind w:firstLine="708"/>
        <w:jc w:val="both"/>
        <w:rPr>
          <w:rFonts w:ascii="Times New Roman" w:hAnsi="Times New Roman" w:cs="Times New Roman"/>
        </w:rPr>
      </w:pPr>
      <w:r w:rsidRPr="006759EA">
        <w:rPr>
          <w:rFonts w:ascii="Times New Roman" w:hAnsi="Times New Roman" w:cs="Times New Roman"/>
          <w:bCs/>
        </w:rPr>
        <w:t xml:space="preserve">Nižšie sú prezentované </w:t>
      </w:r>
      <w:r w:rsidRPr="006759EA">
        <w:rPr>
          <w:rFonts w:ascii="Times New Roman" w:hAnsi="Times New Roman" w:cs="Times New Roman"/>
          <w:b/>
          <w:bCs/>
        </w:rPr>
        <w:t>daňové a odvodové príjmy na akruálnej báze</w:t>
      </w:r>
      <w:r w:rsidRPr="006759EA">
        <w:rPr>
          <w:rFonts w:ascii="Times New Roman" w:hAnsi="Times New Roman" w:cs="Times New Roman"/>
        </w:rPr>
        <w:t xml:space="preserve"> (metodika ESA 95) </w:t>
      </w:r>
      <w:r w:rsidRPr="006759EA">
        <w:rPr>
          <w:rFonts w:ascii="Times New Roman" w:hAnsi="Times New Roman" w:cs="Times New Roman"/>
          <w:bCs/>
        </w:rPr>
        <w:t>bez sankcií</w:t>
      </w:r>
      <w:r w:rsidRPr="006759EA">
        <w:rPr>
          <w:rFonts w:ascii="Times New Roman" w:hAnsi="Times New Roman" w:cs="Times New Roman"/>
        </w:rPr>
        <w:t>.</w:t>
      </w:r>
      <w:r w:rsidR="00D352DC">
        <w:rPr>
          <w:rFonts w:ascii="Times New Roman" w:hAnsi="Times New Roman" w:cs="Times New Roman"/>
        </w:rPr>
        <w:t xml:space="preserve"> </w:t>
      </w:r>
    </w:p>
    <w:p w:rsidR="005F4319" w:rsidRPr="006759EA" w:rsidP="005F4319">
      <w:pPr>
        <w:bidi w:val="0"/>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92"/>
        <w:gridCol w:w="770"/>
        <w:gridCol w:w="770"/>
        <w:gridCol w:w="770"/>
        <w:gridCol w:w="770"/>
        <w:gridCol w:w="770"/>
        <w:gridCol w:w="7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198"/>
        </w:trPr>
        <w:tc>
          <w:tcPr>
            <w:tcW w:w="2492" w:type="pct"/>
            <w:vMerge w:val="restar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Akruálny princíp (ESA</w:t>
            </w:r>
            <w:r w:rsidR="00D352DC">
              <w:rPr>
                <w:rFonts w:ascii="Times New Roman" w:hAnsi="Times New Roman" w:cs="Times New Roman"/>
                <w:b/>
                <w:bCs/>
                <w:sz w:val="14"/>
                <w:szCs w:val="14"/>
                <w:lang w:eastAsia="sk-SK"/>
              </w:rPr>
              <w:t xml:space="preserve"> </w:t>
            </w:r>
            <w:r w:rsidRPr="006871EE">
              <w:rPr>
                <w:rFonts w:ascii="Times New Roman" w:hAnsi="Times New Roman" w:cs="Times New Roman"/>
                <w:b/>
                <w:bCs/>
                <w:sz w:val="14"/>
                <w:szCs w:val="14"/>
                <w:lang w:eastAsia="sk-SK"/>
              </w:rPr>
              <w:t>95), v tis. eur</w:t>
            </w:r>
            <w:r w:rsidRPr="006871EE">
              <w:rPr>
                <w:rFonts w:ascii="Times New Roman" w:hAnsi="Times New Roman" w:cs="Times New Roman"/>
                <w:sz w:val="14"/>
                <w:szCs w:val="14"/>
                <w:lang w:eastAsia="sk-SK"/>
              </w:rPr>
              <w:t> </w:t>
            </w:r>
            <w:r w:rsidRPr="006871EE">
              <w:rPr>
                <w:rFonts w:ascii="Times New Roman" w:hAnsi="Times New Roman" w:cs="Times New Roman"/>
                <w:b/>
                <w:bCs/>
                <w:sz w:val="14"/>
                <w:szCs w:val="14"/>
                <w:lang w:eastAsia="sk-SK"/>
              </w:rPr>
              <w:t> </w:t>
            </w:r>
          </w:p>
        </w:tc>
        <w:tc>
          <w:tcPr>
            <w:tcW w:w="836" w:type="pct"/>
            <w:gridSpan w:val="2"/>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Skutočnosť</w:t>
            </w:r>
          </w:p>
        </w:tc>
        <w:tc>
          <w:tcPr>
            <w:tcW w:w="1672" w:type="pct"/>
            <w:gridSpan w:val="4"/>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Prognóza</w:t>
            </w:r>
          </w:p>
        </w:tc>
      </w:tr>
      <w:tr>
        <w:tblPrEx>
          <w:tblW w:w="5000" w:type="pct"/>
          <w:tblCellMar>
            <w:left w:w="70" w:type="dxa"/>
            <w:right w:w="70" w:type="dxa"/>
          </w:tblCellMar>
          <w:tblLook w:val="04A0"/>
        </w:tblPrEx>
        <w:trPr>
          <w:trHeight w:hRule="exact" w:val="198"/>
        </w:trPr>
        <w:tc>
          <w:tcPr>
            <w:tcW w:w="2492" w:type="pct"/>
            <w:vMerge/>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2010</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2011</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2012</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2013</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2014</w:t>
            </w:r>
          </w:p>
        </w:tc>
        <w:tc>
          <w:tcPr>
            <w:tcW w:w="4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jc w:val="center"/>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2015</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Dane z príjmov, ziskov a kapitálového majetku</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3 325 463</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3 542 199</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3 774 179</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4 262 698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4 581 399</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4 946 194</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príjmov fyzických osôb</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1 513 901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1 733 049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1 869 804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1 984 719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2 118 258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2 275 066</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DPFO zo závislej činnosti</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1 447 257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1 641 483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1 761 484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1 847 425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1 978 999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2 126 879</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DPFO z podnikania (2011 je odhad)</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66 644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91 566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108 320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137 294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139 259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148 187</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840" w:firstLineChars="6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 xml:space="preserve">do štátneho rozpočtu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185 435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163 331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266 148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310 150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303 733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326 479</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840" w:firstLineChars="6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 xml:space="preserve">do obcí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996 678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1 176 452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1 201 369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1 254 507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1 359 334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1 459 766</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840" w:firstLineChars="6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 xml:space="preserve">do VÚC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331 788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393 266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402 287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420 062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455 191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488 821</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príjmov právnických osôb (2011 je odhad)</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1 659 230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1 665 950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1 738 110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2 093 394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2 269 373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2 437 377</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príjmov vyberaná zrážkou</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152 332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143 200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166 265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184 585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193 768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233 751</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Dane na tovary a služby</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6 112 906</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6 708 913</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6 449 346</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6 618 091</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6 917 877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7 275 113</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pridanej hodnoty</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4 182 101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4 710 913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4 450 474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4 570 040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4 808 702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5 093 977</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Spotrebné dane</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1 930 805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1 998 000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1 998 872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2 048 051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2 109 175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2 181 136</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Z minerálnych olejov</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1 032 132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1 071 124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1 058 574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1 090 894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1 137 328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1 186 408</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Z liehu</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196 881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204 704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209 594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211 628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219 352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228 844</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Z piva</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55 832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57 297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54 679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54 377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56 382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58 840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Z vína</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4 300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4 024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4 499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4 456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4 622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4 826</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Z tabaku a tabakových výrobkov</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601 873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622 956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629 629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644 666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648 323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657 704</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Z elektrickej energie</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15 541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15 933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18 263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18 285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18 978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19 825</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Zo zemného plynu</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23 508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21 376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22 630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22 886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23 460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24 077</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Z uhlia</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586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1 004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859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612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Dane z medzinárodného obchodu a transakcií</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35 368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38 903</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42 567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47 233</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48 187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49 160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Dovozné clo</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Dovozná prirážka</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Podiel na vybratých finančných prostriedkoch</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35 366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38 745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42 567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47 233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48 187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49 160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Ostatné colné príjmy</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155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Miestne dane</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547 490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568 803</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590 955</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613 222</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637 674</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663 162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nehnuteľností</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266 284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274 564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288 291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302 706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317 841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333 733</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Dane za špecifické služby</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159 875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164 707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169 649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174 738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179 980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185 380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motorových vozidiel</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121 331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129 532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133 015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135 778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139 853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144 049</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Ostatné dane</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78 115</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117 138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277 222</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378 422</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278 520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177 529</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emisných kvót</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41 181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Osobitný a mimoriadny odvod vybraných fin.</w:t>
            </w:r>
            <w:r w:rsidR="00D352DC">
              <w:rPr>
                <w:rFonts w:ascii="Times New Roman" w:hAnsi="Times New Roman" w:cs="Times New Roman"/>
                <w:sz w:val="14"/>
                <w:szCs w:val="14"/>
                <w:lang w:eastAsia="sk-SK"/>
              </w:rPr>
              <w:t xml:space="preserve"> </w:t>
            </w:r>
            <w:r w:rsidRPr="006871EE">
              <w:rPr>
                <w:rFonts w:ascii="Times New Roman" w:hAnsi="Times New Roman" w:cs="Times New Roman"/>
                <w:sz w:val="14"/>
                <w:szCs w:val="14"/>
                <w:lang w:eastAsia="sk-SK"/>
              </w:rPr>
              <w:t>inštitúcií</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168 773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203 000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203 000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102 000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Osobitný odvod z podnikania v regulovaných odvetviach</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33 333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100 000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Úhrada za služby verejnosti poskytované STV a SRO</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76 098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73 917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73 584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73 881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73 979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73 988</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úhrad za dobývací priestor</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597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522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531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531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531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531</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840" w:firstLineChars="6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 xml:space="preserve">do štátneho rozpočtu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109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104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106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106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106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106</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840" w:firstLineChars="6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 xml:space="preserve">do obcí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489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418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425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425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425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425</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 z úhrad za uskladňovanie plynov alebo kvapalín</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1 183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1 186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1 001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1 010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1 010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1 010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Majetkové dane (do štátneho rozpočtu)</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361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346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Iné dane</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-125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Fondy sociálneho a zdravotného poistenia (FSZP)</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6 490 538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6 992 028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7 293 843</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8 432 061</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8 642 130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9 115 112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ind w:firstLine="280" w:firstLineChars="20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Sociálna poisťovňa</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4 247 290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4 606 760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4 869 428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5 770 800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5 819 346</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6 126 425</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Ekonomicky aktívne obyvateľstvo + dlžné</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4 247 267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4 606 760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4 801 119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5 558 556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5 819 346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6 126 425</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 xml:space="preserve"> - EAO</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4 020 671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4 281 140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4 570 093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5 328 498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5 583 346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5 883 373</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 xml:space="preserve"> - dlžné</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226 596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325 620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231 026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230 058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236 000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243 052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00D352DC">
              <w:rPr>
                <w:rFonts w:ascii="Times New Roman" w:hAnsi="Times New Roman" w:cs="Times New Roman"/>
                <w:sz w:val="14"/>
                <w:szCs w:val="14"/>
                <w:lang w:eastAsia="sk-SK"/>
              </w:rPr>
              <w:t>T</w:t>
            </w:r>
            <w:r w:rsidRPr="006871EE">
              <w:rPr>
                <w:rFonts w:ascii="Times New Roman" w:hAnsi="Times New Roman" w:cs="Times New Roman"/>
                <w:sz w:val="14"/>
                <w:szCs w:val="14"/>
                <w:lang w:eastAsia="sk-SK"/>
              </w:rPr>
              <w:t>ransfer úspor z DSS do SP</w:t>
            </w:r>
            <w:r w:rsidR="00D352DC">
              <w:rPr>
                <w:rFonts w:ascii="Times New Roman" w:hAnsi="Times New Roman" w:cs="Times New Roman"/>
                <w:sz w:val="14"/>
                <w:szCs w:val="14"/>
                <w:lang w:eastAsia="sk-SK"/>
              </w:rPr>
              <w:t xml:space="preserve"> </w:t>
            </w:r>
            <w:r w:rsidRPr="006871EE">
              <w:rPr>
                <w:rFonts w:ascii="Times New Roman" w:hAnsi="Times New Roman" w:cs="Times New Roman"/>
                <w:sz w:val="14"/>
                <w:szCs w:val="14"/>
                <w:lang w:eastAsia="sk-SK"/>
              </w:rPr>
              <w:t>- od vystúpených</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68 309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212 244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ind w:firstLine="280" w:firstLineChars="20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Zdravotné poisťovne</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2 243 248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2 385 268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2 424 415</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2 661 261</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2 822 784</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2 988 687</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560" w:firstLineChars="4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Ekonomicky aktívne obyvateľstvo + dlžné</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2 243 248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2 385 268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2 424 415</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2 661 261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2 822 784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2 988 687</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840" w:firstLineChars="6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z toho: ročné zúčtovanie</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13 127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18 526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18 921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19 578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20 560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21 722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Daňové príjmy verejnej správy spolu</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10 099 342</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10 975 956</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11 134 269</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11 919 666</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12 463 657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13 111 158</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Daňové príjmy štátneho rozpočtu</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8 145 567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8 761 914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8 662 542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9 253 559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9 733 044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10 321 986</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Štátne finančné aktíva</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202 106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303 000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203 000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102 000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 xml:space="preserve">Daňové príjmy obcí </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1 423 374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1 616 141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1 659 734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1 732 376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1 857 580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1 979 304</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Daňové príjmy VÚC</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453 119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522 798</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535 302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555 840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595 044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632 870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Daňové príjmy STV</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53 316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Daňové príjmy SRo</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22 782</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Daňové príjmy Rozhlasu a televízie Slovenska (RTS)</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 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73 917</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73 584</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73 881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73 979</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73 988</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ind w:firstLine="280" w:firstLineChars="200"/>
              <w:rPr>
                <w:rFonts w:ascii="Times New Roman" w:hAnsi="Times New Roman" w:cs="Times New Roman"/>
                <w:sz w:val="14"/>
                <w:szCs w:val="14"/>
                <w:lang w:eastAsia="sk-SK"/>
              </w:rPr>
            </w:pPr>
            <w:r w:rsidRPr="006871EE">
              <w:rPr>
                <w:rFonts w:ascii="Times New Roman" w:hAnsi="Times New Roman" w:cs="Times New Roman"/>
                <w:sz w:val="14"/>
                <w:szCs w:val="14"/>
                <w:lang w:eastAsia="sk-SK"/>
              </w:rPr>
              <w:t>Environmentálny fond</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1 183</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1 186</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1 001</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1 010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1 010</w:t>
            </w:r>
          </w:p>
        </w:tc>
        <w:tc>
          <w:tcPr>
            <w:tcW w:w="418"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sz w:val="14"/>
                <w:szCs w:val="14"/>
                <w:lang w:eastAsia="sk-SK"/>
              </w:rPr>
            </w:pPr>
            <w:r w:rsidRPr="006871EE">
              <w:rPr>
                <w:rFonts w:ascii="Times New Roman" w:hAnsi="Times New Roman" w:cs="Times New Roman"/>
                <w:sz w:val="14"/>
                <w:szCs w:val="14"/>
                <w:lang w:eastAsia="sk-SK"/>
              </w:rPr>
              <w:t>1 010</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F4319" w:rsidRPr="006871EE" w:rsidP="00DC7838">
            <w:pPr>
              <w:bidi w:val="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FSZP spolu</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6 490 538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6 992 028</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7 293 843</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8 432 061</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8 642 130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9 115 112</w:t>
            </w:r>
          </w:p>
        </w:tc>
      </w:tr>
      <w:tr>
        <w:tblPrEx>
          <w:tblW w:w="5000" w:type="pct"/>
          <w:tblCellMar>
            <w:left w:w="70" w:type="dxa"/>
            <w:right w:w="70" w:type="dxa"/>
          </w:tblCellMar>
          <w:tblLook w:val="04A0"/>
        </w:tblPrEx>
        <w:trPr>
          <w:trHeight w:hRule="exact" w:val="198"/>
        </w:trPr>
        <w:tc>
          <w:tcPr>
            <w:tcW w:w="249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F4319" w:rsidRPr="006871EE" w:rsidP="00DC7838">
            <w:pPr>
              <w:bidi w:val="0"/>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Daňové príjmy a príjmy FSZP spolu</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16 589 880</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17 967 984</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18 428 112</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20 351 727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21 105 787</w:t>
            </w:r>
          </w:p>
        </w:tc>
        <w:tc>
          <w:tcPr>
            <w:tcW w:w="418"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sz w:val="14"/>
                <w:szCs w:val="14"/>
                <w:lang w:eastAsia="sk-SK"/>
              </w:rPr>
            </w:pPr>
            <w:r w:rsidRPr="006871EE">
              <w:rPr>
                <w:rFonts w:ascii="Times New Roman" w:hAnsi="Times New Roman" w:cs="Times New Roman"/>
                <w:b/>
                <w:bCs/>
                <w:sz w:val="14"/>
                <w:szCs w:val="14"/>
                <w:lang w:eastAsia="sk-SK"/>
              </w:rPr>
              <w:t>22 226 270</w:t>
            </w:r>
          </w:p>
        </w:tc>
      </w:tr>
    </w:tbl>
    <w:p w:rsidR="005F4319" w:rsidRPr="006759EA" w:rsidP="005F4319">
      <w:pPr>
        <w:bidi w:val="0"/>
        <w:jc w:val="both"/>
        <w:rPr>
          <w:rFonts w:ascii="Times New Roman" w:hAnsi="Times New Roman" w:cs="Times New Roman"/>
        </w:rPr>
      </w:pPr>
    </w:p>
    <w:p w:rsidR="007044C8" w:rsidP="007044C8">
      <w:pPr>
        <w:pStyle w:val="Heading2"/>
        <w:bidi w:val="0"/>
        <w:ind w:left="426" w:hanging="426"/>
        <w:jc w:val="both"/>
        <w:rPr>
          <w:rFonts w:ascii="Times New Roman" w:hAnsi="Times New Roman"/>
          <w:i w:val="0"/>
          <w:iCs w:val="0"/>
          <w:sz w:val="24"/>
          <w:szCs w:val="24"/>
        </w:rPr>
      </w:pPr>
      <w:bookmarkStart w:id="35" w:name="_Toc273148233"/>
      <w:bookmarkStart w:id="36" w:name="_Toc273950834"/>
      <w:bookmarkStart w:id="37" w:name="_Toc337237751"/>
      <w:r w:rsidRPr="003F31E1">
        <w:rPr>
          <w:rFonts w:ascii="Times New Roman" w:hAnsi="Times New Roman"/>
          <w:i w:val="0"/>
          <w:iCs w:val="0"/>
          <w:sz w:val="24"/>
          <w:szCs w:val="24"/>
        </w:rPr>
        <w:t>3.3. Porovnanie aktuálneho odhadu daní s rozpočtom verejnej správy na roky 2012 až  201</w:t>
      </w:r>
      <w:bookmarkEnd w:id="35"/>
      <w:bookmarkEnd w:id="36"/>
      <w:r w:rsidRPr="003F31E1">
        <w:rPr>
          <w:rFonts w:ascii="Times New Roman" w:hAnsi="Times New Roman"/>
          <w:i w:val="0"/>
          <w:iCs w:val="0"/>
          <w:sz w:val="24"/>
          <w:szCs w:val="24"/>
        </w:rPr>
        <w:t>4</w:t>
      </w:r>
      <w:bookmarkEnd w:id="37"/>
    </w:p>
    <w:p w:rsidR="00D352DC" w:rsidRPr="00D352DC" w:rsidP="00D352DC">
      <w:pPr>
        <w:bidi w:val="0"/>
        <w:rPr>
          <w:rFonts w:ascii="Times New Roman" w:hAnsi="Times New Roman" w:cs="Times New Roman"/>
        </w:rPr>
      </w:pPr>
    </w:p>
    <w:p w:rsidR="005F4319" w:rsidRPr="00D352DC" w:rsidP="005F4319">
      <w:pPr>
        <w:bidi w:val="0"/>
        <w:ind w:firstLine="708"/>
        <w:jc w:val="both"/>
        <w:rPr>
          <w:rFonts w:ascii="Times New Roman" w:hAnsi="Times New Roman" w:cs="Times New Roman"/>
        </w:rPr>
      </w:pPr>
      <w:r w:rsidRPr="006759EA">
        <w:rPr>
          <w:rFonts w:ascii="Times New Roman" w:hAnsi="Times New Roman" w:cs="Times New Roman"/>
        </w:rPr>
        <w:t>Nižšie uvedená tabuľka prezentuje rozdiely aktuálnej prognózy daní a odvodov v metodike ESA</w:t>
      </w:r>
      <w:r w:rsidR="00D352DC">
        <w:rPr>
          <w:rFonts w:ascii="Times New Roman" w:hAnsi="Times New Roman" w:cs="Times New Roman"/>
        </w:rPr>
        <w:t xml:space="preserve"> </w:t>
      </w:r>
      <w:r w:rsidRPr="006759EA">
        <w:rPr>
          <w:rFonts w:ascii="Times New Roman" w:hAnsi="Times New Roman" w:cs="Times New Roman"/>
        </w:rPr>
        <w:t xml:space="preserve">95 oproti schválenému rozpočtu verejnej správy na roky 2012 </w:t>
      </w:r>
      <w:r>
        <w:rPr>
          <w:rFonts w:ascii="Times New Roman" w:hAnsi="Times New Roman" w:cs="Times New Roman"/>
        </w:rPr>
        <w:t>až</w:t>
      </w:r>
      <w:r w:rsidRPr="006759EA">
        <w:rPr>
          <w:rFonts w:ascii="Times New Roman" w:hAnsi="Times New Roman" w:cs="Times New Roman"/>
        </w:rPr>
        <w:t xml:space="preserve"> 2014. Aktuálna prognóza je v porovnaní so schváleným rozpočtom v roku 2012 nižšia </w:t>
      </w:r>
      <w:r w:rsidR="00D352DC">
        <w:rPr>
          <w:rFonts w:ascii="Times New Roman" w:hAnsi="Times New Roman" w:cs="Times New Roman"/>
        </w:rPr>
        <w:br/>
      </w:r>
      <w:r w:rsidRPr="006759EA">
        <w:rPr>
          <w:rFonts w:ascii="Times New Roman" w:hAnsi="Times New Roman" w:cs="Times New Roman"/>
        </w:rPr>
        <w:t xml:space="preserve">o 475,1 mil. </w:t>
      </w:r>
      <w:r w:rsidRPr="00D352DC">
        <w:rPr>
          <w:rFonts w:ascii="Times New Roman" w:hAnsi="Times New Roman" w:cs="Times New Roman"/>
        </w:rPr>
        <w:t>eur, v roku 2013 o 110,1 mil. eur a v roku 2014 o 318,9 mil. eur. Zníženie prognózy daňových príjmov 2012 je spôsobené najmä:</w:t>
      </w:r>
    </w:p>
    <w:p w:rsidR="005F4319" w:rsidRPr="00D352DC" w:rsidP="005F4319">
      <w:pPr>
        <w:bidi w:val="0"/>
        <w:ind w:firstLine="708"/>
        <w:jc w:val="both"/>
        <w:rPr>
          <w:rFonts w:ascii="Times New Roman" w:hAnsi="Times New Roman" w:cs="Times New Roman"/>
          <w:sz w:val="12"/>
        </w:rPr>
      </w:pPr>
    </w:p>
    <w:p w:rsidR="005F4319" w:rsidRPr="00D352DC" w:rsidP="00782B39">
      <w:pPr>
        <w:pStyle w:val="ListParagraph"/>
        <w:numPr>
          <w:numId w:val="16"/>
        </w:numPr>
        <w:bidi w:val="0"/>
        <w:ind w:left="851" w:hanging="425"/>
        <w:contextualSpacing w:val="0"/>
        <w:jc w:val="both"/>
        <w:rPr>
          <w:rFonts w:ascii="Times New Roman" w:hAnsi="Times New Roman" w:cs="Times New Roman"/>
        </w:rPr>
      </w:pPr>
      <w:r w:rsidRPr="00D352DC">
        <w:rPr>
          <w:rFonts w:ascii="Times New Roman" w:hAnsi="Times New Roman" w:cs="Times New Roman"/>
        </w:rPr>
        <w:t xml:space="preserve">spresnením skutočného akruálneho výnosu za rok 2011 </w:t>
      </w:r>
      <w:r w:rsidR="00D352DC">
        <w:rPr>
          <w:rFonts w:ascii="Times New Roman" w:hAnsi="Times New Roman" w:cs="Times New Roman"/>
        </w:rPr>
        <w:t>pri</w:t>
      </w:r>
      <w:r w:rsidRPr="00D352DC">
        <w:rPr>
          <w:rFonts w:ascii="Times New Roman" w:hAnsi="Times New Roman" w:cs="Times New Roman"/>
        </w:rPr>
        <w:t xml:space="preserve"> DPPO</w:t>
      </w:r>
      <w:r w:rsidR="00D352DC">
        <w:rPr>
          <w:rFonts w:ascii="Times New Roman" w:hAnsi="Times New Roman" w:cs="Times New Roman"/>
        </w:rPr>
        <w:t>;</w:t>
      </w:r>
      <w:r w:rsidRPr="00D352DC">
        <w:rPr>
          <w:rFonts w:ascii="Times New Roman" w:hAnsi="Times New Roman" w:cs="Times New Roman"/>
        </w:rPr>
        <w:t xml:space="preserve"> </w:t>
      </w:r>
    </w:p>
    <w:p w:rsidR="005F4319" w:rsidRPr="00D352DC" w:rsidP="00782B39">
      <w:pPr>
        <w:pStyle w:val="ListParagraph"/>
        <w:numPr>
          <w:numId w:val="16"/>
        </w:numPr>
        <w:bidi w:val="0"/>
        <w:ind w:left="851" w:hanging="425"/>
        <w:contextualSpacing w:val="0"/>
        <w:jc w:val="both"/>
        <w:rPr>
          <w:rFonts w:ascii="Times New Roman" w:hAnsi="Times New Roman" w:cs="Times New Roman"/>
        </w:rPr>
      </w:pPr>
      <w:r w:rsidRPr="00D352DC">
        <w:rPr>
          <w:rFonts w:ascii="Times New Roman" w:hAnsi="Times New Roman" w:cs="Times New Roman"/>
        </w:rPr>
        <w:t>zohľadnením skutočného plnenia daní v priebehu roka</w:t>
      </w:r>
      <w:r w:rsidR="00D352DC">
        <w:rPr>
          <w:rFonts w:ascii="Times New Roman" w:hAnsi="Times New Roman" w:cs="Times New Roman"/>
        </w:rPr>
        <w:t>;</w:t>
      </w:r>
      <w:r w:rsidRPr="00D352DC">
        <w:rPr>
          <w:rFonts w:ascii="Times New Roman" w:hAnsi="Times New Roman" w:cs="Times New Roman"/>
        </w:rPr>
        <w:t xml:space="preserve"> </w:t>
      </w:r>
    </w:p>
    <w:p w:rsidR="005F4319" w:rsidRPr="00D352DC" w:rsidP="00782B39">
      <w:pPr>
        <w:pStyle w:val="ListParagraph"/>
        <w:numPr>
          <w:numId w:val="16"/>
        </w:numPr>
        <w:bidi w:val="0"/>
        <w:ind w:left="851" w:hanging="425"/>
        <w:contextualSpacing w:val="0"/>
        <w:jc w:val="both"/>
        <w:rPr>
          <w:rFonts w:ascii="Times New Roman" w:hAnsi="Times New Roman" w:cs="Times New Roman"/>
        </w:rPr>
      </w:pPr>
      <w:r w:rsidRPr="00D352DC">
        <w:rPr>
          <w:rFonts w:ascii="Times New Roman" w:hAnsi="Times New Roman" w:cs="Times New Roman"/>
        </w:rPr>
        <w:t>prehodnotením efektívnej daňovej sadzby pri DPH</w:t>
      </w:r>
      <w:r w:rsidR="00D352DC">
        <w:rPr>
          <w:rFonts w:ascii="Times New Roman" w:hAnsi="Times New Roman" w:cs="Times New Roman"/>
        </w:rPr>
        <w:t>.</w:t>
      </w:r>
    </w:p>
    <w:p w:rsidR="005F4319" w:rsidRPr="006759EA" w:rsidP="005F4319">
      <w:pPr>
        <w:bidi w:val="0"/>
        <w:ind w:firstLine="708"/>
        <w:jc w:val="both"/>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920"/>
        <w:gridCol w:w="1094"/>
        <w:gridCol w:w="1094"/>
        <w:gridCol w:w="110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454"/>
        </w:trPr>
        <w:tc>
          <w:tcPr>
            <w:tcW w:w="321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 xml:space="preserve"> Rozdiely aktuálneho odhadu daní s rozpočtom verejnej správy na roky </w:t>
            </w:r>
          </w:p>
          <w:p w:rsidR="005F4319" w:rsidRPr="006871EE" w:rsidP="00DC7838">
            <w:pPr>
              <w:bidi w:val="0"/>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 xml:space="preserve"> 2012 až 2014 (ESA</w:t>
            </w:r>
            <w:r w:rsidR="00D352DC">
              <w:rPr>
                <w:rFonts w:ascii="Times New Roman" w:hAnsi="Times New Roman" w:cs="Times New Roman"/>
                <w:b/>
                <w:bCs/>
                <w:color w:val="000000"/>
                <w:sz w:val="14"/>
                <w:szCs w:val="14"/>
                <w:lang w:eastAsia="sk-SK"/>
              </w:rPr>
              <w:t xml:space="preserve"> </w:t>
            </w:r>
            <w:r w:rsidRPr="006871EE">
              <w:rPr>
                <w:rFonts w:ascii="Times New Roman" w:hAnsi="Times New Roman" w:cs="Times New Roman"/>
                <w:b/>
                <w:bCs/>
                <w:color w:val="000000"/>
                <w:sz w:val="14"/>
                <w:szCs w:val="14"/>
                <w:lang w:eastAsia="sk-SK"/>
              </w:rPr>
              <w:t xml:space="preserve">95, tis. eur) </w:t>
            </w:r>
          </w:p>
        </w:tc>
        <w:tc>
          <w:tcPr>
            <w:tcW w:w="59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352DC">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2 012</w:t>
            </w:r>
          </w:p>
        </w:tc>
        <w:tc>
          <w:tcPr>
            <w:tcW w:w="59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352DC">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2 013</w:t>
            </w:r>
          </w:p>
        </w:tc>
        <w:tc>
          <w:tcPr>
            <w:tcW w:w="59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352DC">
            <w:pPr>
              <w:bidi w:val="0"/>
              <w:jc w:val="center"/>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2 014</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5F4319" w:rsidRPr="006871EE" w:rsidP="00DC7838">
            <w:pPr>
              <w:bidi w:val="0"/>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Daňové príjmy verejnej správy spolu</w:t>
            </w:r>
          </w:p>
        </w:tc>
        <w:tc>
          <w:tcPr>
            <w:tcW w:w="59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-475 086</w:t>
            </w:r>
          </w:p>
        </w:tc>
        <w:tc>
          <w:tcPr>
            <w:tcW w:w="59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-110 135</w:t>
            </w:r>
          </w:p>
        </w:tc>
        <w:tc>
          <w:tcPr>
            <w:tcW w:w="59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-318 915</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5F4319" w:rsidRPr="006871EE" w:rsidP="006871EE">
            <w:pPr>
              <w:bidi w:val="0"/>
              <w:ind w:firstLine="140" w:firstLineChars="100"/>
              <w:rPr>
                <w:rFonts w:ascii="Times New Roman" w:hAnsi="Times New Roman" w:cs="Times New Roman"/>
                <w:b/>
                <w:bCs/>
                <w:i/>
                <w:iCs/>
                <w:color w:val="000000"/>
                <w:sz w:val="14"/>
                <w:szCs w:val="14"/>
                <w:lang w:eastAsia="sk-SK"/>
              </w:rPr>
            </w:pPr>
            <w:r w:rsidRPr="006871EE">
              <w:rPr>
                <w:rFonts w:ascii="Times New Roman" w:hAnsi="Times New Roman" w:cs="Times New Roman"/>
                <w:b/>
                <w:bCs/>
                <w:i/>
                <w:iCs/>
                <w:color w:val="000000"/>
                <w:sz w:val="14"/>
                <w:szCs w:val="14"/>
                <w:lang w:eastAsia="sk-SK"/>
              </w:rPr>
              <w:t>v % HDP</w:t>
            </w:r>
          </w:p>
        </w:tc>
        <w:tc>
          <w:tcPr>
            <w:tcW w:w="59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5F4319" w:rsidRPr="006871EE" w:rsidP="00DC7838">
            <w:pPr>
              <w:bidi w:val="0"/>
              <w:jc w:val="right"/>
              <w:rPr>
                <w:rFonts w:ascii="Times New Roman" w:hAnsi="Times New Roman" w:cs="Times New Roman"/>
                <w:b/>
                <w:bCs/>
                <w:i/>
                <w:iCs/>
                <w:color w:val="000000"/>
                <w:sz w:val="14"/>
                <w:szCs w:val="14"/>
                <w:lang w:eastAsia="sk-SK"/>
              </w:rPr>
            </w:pPr>
            <w:r w:rsidRPr="006871EE">
              <w:rPr>
                <w:rFonts w:ascii="Times New Roman" w:hAnsi="Times New Roman" w:cs="Times New Roman"/>
                <w:b/>
                <w:bCs/>
                <w:i/>
                <w:iCs/>
                <w:color w:val="000000"/>
                <w:sz w:val="14"/>
                <w:szCs w:val="14"/>
                <w:lang w:eastAsia="sk-SK"/>
              </w:rPr>
              <w:t>-0,7</w:t>
            </w:r>
          </w:p>
        </w:tc>
        <w:tc>
          <w:tcPr>
            <w:tcW w:w="59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5F4319" w:rsidRPr="006871EE" w:rsidP="00DC7838">
            <w:pPr>
              <w:bidi w:val="0"/>
              <w:jc w:val="right"/>
              <w:rPr>
                <w:rFonts w:ascii="Times New Roman" w:hAnsi="Times New Roman" w:cs="Times New Roman"/>
                <w:b/>
                <w:bCs/>
                <w:i/>
                <w:iCs/>
                <w:color w:val="000000"/>
                <w:sz w:val="14"/>
                <w:szCs w:val="14"/>
                <w:lang w:eastAsia="sk-SK"/>
              </w:rPr>
            </w:pPr>
            <w:r w:rsidRPr="006871EE">
              <w:rPr>
                <w:rFonts w:ascii="Times New Roman" w:hAnsi="Times New Roman" w:cs="Times New Roman"/>
                <w:b/>
                <w:bCs/>
                <w:i/>
                <w:iCs/>
                <w:color w:val="000000"/>
                <w:sz w:val="14"/>
                <w:szCs w:val="14"/>
                <w:lang w:eastAsia="sk-SK"/>
              </w:rPr>
              <w:t>-0,1</w:t>
            </w:r>
          </w:p>
        </w:tc>
        <w:tc>
          <w:tcPr>
            <w:tcW w:w="59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bottom"/>
            <w:hideMark/>
          </w:tcPr>
          <w:p w:rsidR="005F4319" w:rsidRPr="006871EE" w:rsidP="00DC7838">
            <w:pPr>
              <w:bidi w:val="0"/>
              <w:jc w:val="right"/>
              <w:rPr>
                <w:rFonts w:ascii="Times New Roman" w:hAnsi="Times New Roman" w:cs="Times New Roman"/>
                <w:b/>
                <w:bCs/>
                <w:i/>
                <w:iCs/>
                <w:color w:val="000000"/>
                <w:sz w:val="14"/>
                <w:szCs w:val="14"/>
                <w:lang w:eastAsia="sk-SK"/>
              </w:rPr>
            </w:pPr>
            <w:r w:rsidRPr="006871EE">
              <w:rPr>
                <w:rFonts w:ascii="Times New Roman" w:hAnsi="Times New Roman" w:cs="Times New Roman"/>
                <w:b/>
                <w:bCs/>
                <w:i/>
                <w:iCs/>
                <w:color w:val="000000"/>
                <w:sz w:val="14"/>
                <w:szCs w:val="14"/>
                <w:lang w:eastAsia="sk-SK"/>
              </w:rPr>
              <w:t>-0,4</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Dane z príjmov, ziskov a kapitálového majetku</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-184 382</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8 283</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-30 322</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280" w:firstLineChars="2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Daň z príjmov fyzických osôb</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-46 453</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-51 418</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-58 930</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280" w:firstLineChars="2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Daň z príjmov právnických osôb</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-136 947</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71 475</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81 769</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280" w:firstLineChars="2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Daň z príjmov vyberaná zrážkou</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-982</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-11 774</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-53 161</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Daň z pridanej hodnoty</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-260 702</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-313 529</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-381 173</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Spotrebné dane</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-73 307</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-65 678</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-63 847</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Dane z medzinárodného obchodu a transakcií</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1 900</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5 744</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5 859</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Miestne dane</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-14 281</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-19 731</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-24 306</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Ostatné dane</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55 686</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274 776</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174 874</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Sociálna poisťovňa (EAO + dlžné)</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247 656</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837 450</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898 722</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Zdravotné poisťovne (EAO + dlžné)</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-54 706</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60 998</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74 175</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Daňové príjmy a príjmy FSZP spolu</w:t>
            </w:r>
          </w:p>
        </w:tc>
        <w:tc>
          <w:tcPr>
            <w:tcW w:w="59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-282 136</w:t>
            </w:r>
          </w:p>
        </w:tc>
        <w:tc>
          <w:tcPr>
            <w:tcW w:w="59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788 313</w:t>
            </w:r>
          </w:p>
        </w:tc>
        <w:tc>
          <w:tcPr>
            <w:tcW w:w="59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653 982</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Sankcie</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-8 779</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-8 521</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-8 647</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Daňové príjmy a príjmy FSZP vrátane sankcií</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-290 915</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779 792</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645 335</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Výdavky na verejnoprospešný účel (VPÚ)</w:t>
            </w:r>
          </w:p>
        </w:tc>
        <w:tc>
          <w:tcPr>
            <w:tcW w:w="59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1 005</w:t>
            </w:r>
          </w:p>
        </w:tc>
        <w:tc>
          <w:tcPr>
            <w:tcW w:w="59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6 111</w:t>
            </w:r>
          </w:p>
        </w:tc>
        <w:tc>
          <w:tcPr>
            <w:tcW w:w="59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F4319" w:rsidRPr="006871EE" w:rsidP="00DC7838">
            <w:pPr>
              <w:bidi w:val="0"/>
              <w:jc w:val="right"/>
              <w:rPr>
                <w:rFonts w:ascii="Times New Roman" w:hAnsi="Times New Roman" w:cs="Times New Roman"/>
                <w:b/>
                <w:bCs/>
                <w:color w:val="000000"/>
                <w:sz w:val="14"/>
                <w:szCs w:val="14"/>
                <w:lang w:eastAsia="sk-SK"/>
              </w:rPr>
            </w:pPr>
            <w:r w:rsidRPr="006871EE">
              <w:rPr>
                <w:rFonts w:ascii="Times New Roman" w:hAnsi="Times New Roman" w:cs="Times New Roman"/>
                <w:b/>
                <w:bCs/>
                <w:color w:val="000000"/>
                <w:sz w:val="14"/>
                <w:szCs w:val="14"/>
                <w:lang w:eastAsia="sk-SK"/>
              </w:rPr>
              <w:t>-1 615</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Daň z príjmov fyzických osôb</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509</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-458</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-918</w:t>
            </w:r>
          </w:p>
        </w:tc>
      </w:tr>
      <w:tr>
        <w:tblPrEx>
          <w:tblW w:w="5000" w:type="pct"/>
          <w:tblCellMar>
            <w:left w:w="70" w:type="dxa"/>
            <w:right w:w="70" w:type="dxa"/>
          </w:tblCellMar>
          <w:tblLook w:val="04A0"/>
        </w:tblPrEx>
        <w:trPr>
          <w:trHeight w:hRule="exact" w:val="255"/>
        </w:trPr>
        <w:tc>
          <w:tcPr>
            <w:tcW w:w="3213"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140" w:firstLineChars="100"/>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Daň z príjmov právnických osôb</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496</w:t>
            </w:r>
          </w:p>
        </w:tc>
        <w:tc>
          <w:tcPr>
            <w:tcW w:w="594"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6 569</w:t>
            </w:r>
          </w:p>
        </w:tc>
        <w:tc>
          <w:tcPr>
            <w:tcW w:w="599" w:type="pct"/>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right"/>
              <w:rPr>
                <w:rFonts w:ascii="Times New Roman" w:hAnsi="Times New Roman" w:cs="Times New Roman"/>
                <w:color w:val="000000"/>
                <w:sz w:val="14"/>
                <w:szCs w:val="14"/>
                <w:lang w:eastAsia="sk-SK"/>
              </w:rPr>
            </w:pPr>
            <w:r w:rsidRPr="006871EE">
              <w:rPr>
                <w:rFonts w:ascii="Times New Roman" w:hAnsi="Times New Roman" w:cs="Times New Roman"/>
                <w:color w:val="000000"/>
                <w:sz w:val="14"/>
                <w:szCs w:val="14"/>
                <w:lang w:eastAsia="sk-SK"/>
              </w:rPr>
              <w:t>-697</w:t>
            </w:r>
          </w:p>
        </w:tc>
      </w:tr>
      <w:tr>
        <w:tblPrEx>
          <w:tblW w:w="5000" w:type="pct"/>
          <w:tblCellMar>
            <w:left w:w="70" w:type="dxa"/>
            <w:right w:w="70" w:type="dxa"/>
          </w:tblCellMar>
          <w:tblLook w:val="04A0"/>
        </w:tblPrEx>
        <w:trPr>
          <w:trHeight w:hRule="exact" w:val="255"/>
        </w:trPr>
        <w:tc>
          <w:tcPr>
            <w:tcW w:w="5000" w:type="pct"/>
            <w:gridSpan w:val="4"/>
            <w:tcBorders>
              <w:top w:val="single" w:sz="4" w:space="0" w:color="auto"/>
              <w:left w:val="nil"/>
              <w:bottom w:val="nil"/>
              <w:right w:val="nil"/>
            </w:tcBorders>
            <w:noWrap/>
            <w:textDirection w:val="lrTb"/>
            <w:vAlign w:val="bottom"/>
            <w:hideMark/>
          </w:tcPr>
          <w:p w:rsidR="005F4319" w:rsidRPr="006871EE" w:rsidP="00DC7838">
            <w:pPr>
              <w:bidi w:val="0"/>
              <w:rPr>
                <w:rFonts w:ascii="Times New Roman" w:hAnsi="Times New Roman" w:cs="Times New Roman"/>
                <w:i/>
                <w:iCs/>
                <w:color w:val="000000"/>
                <w:sz w:val="14"/>
                <w:szCs w:val="14"/>
                <w:lang w:eastAsia="sk-SK"/>
              </w:rPr>
            </w:pPr>
            <w:r w:rsidRPr="006871EE">
              <w:rPr>
                <w:rFonts w:ascii="Times New Roman" w:hAnsi="Times New Roman" w:cs="Times New Roman"/>
                <w:i/>
                <w:iCs/>
                <w:color w:val="000000"/>
                <w:sz w:val="14"/>
                <w:szCs w:val="14"/>
                <w:lang w:eastAsia="sk-SK"/>
              </w:rPr>
              <w:t>* (+) indikuje aktuálny odhad vyšší ako rozpočet, (-) indikuje aktuálny odhad nižší ako rozpočet</w:t>
            </w:r>
          </w:p>
        </w:tc>
      </w:tr>
      <w:tr>
        <w:tblPrEx>
          <w:tblW w:w="5000" w:type="pct"/>
          <w:tblCellMar>
            <w:left w:w="70" w:type="dxa"/>
            <w:right w:w="70" w:type="dxa"/>
          </w:tblCellMar>
          <w:tblLook w:val="04A0"/>
        </w:tblPrEx>
        <w:trPr>
          <w:trHeight w:hRule="exact" w:val="152"/>
        </w:trPr>
        <w:tc>
          <w:tcPr>
            <w:tcW w:w="5000" w:type="pct"/>
            <w:gridSpan w:val="4"/>
            <w:tcBorders>
              <w:top w:val="nil"/>
              <w:left w:val="nil"/>
              <w:bottom w:val="nil"/>
              <w:right w:val="nil"/>
            </w:tcBorders>
            <w:noWrap/>
            <w:textDirection w:val="lrTb"/>
            <w:vAlign w:val="bottom"/>
            <w:hideMark/>
          </w:tcPr>
          <w:p w:rsidR="005F4319" w:rsidRPr="006871EE" w:rsidP="00D430BF">
            <w:pPr>
              <w:bidi w:val="0"/>
              <w:rPr>
                <w:rFonts w:ascii="Times New Roman" w:hAnsi="Times New Roman" w:cs="Times New Roman"/>
                <w:color w:val="000000"/>
                <w:sz w:val="14"/>
                <w:szCs w:val="14"/>
                <w:lang w:eastAsia="sk-SK"/>
              </w:rPr>
            </w:pPr>
            <w:r w:rsidR="00D430BF">
              <w:rPr>
                <w:rFonts w:ascii="Times New Roman" w:hAnsi="Times New Roman" w:cs="Times New Roman"/>
                <w:i/>
                <w:iCs/>
                <w:color w:val="000000"/>
                <w:sz w:val="14"/>
                <w:szCs w:val="14"/>
                <w:lang w:eastAsia="sk-SK"/>
              </w:rPr>
              <w:t>Pozn.:</w:t>
            </w:r>
            <w:r w:rsidRPr="006871EE">
              <w:rPr>
                <w:rFonts w:ascii="Times New Roman" w:hAnsi="Times New Roman" w:cs="Times New Roman"/>
                <w:i/>
                <w:iCs/>
                <w:color w:val="000000"/>
                <w:sz w:val="14"/>
                <w:szCs w:val="14"/>
                <w:lang w:eastAsia="sk-SK"/>
              </w:rPr>
              <w:t xml:space="preserve"> vrátane konsolidačných opatrení, ktoré sú predložené do Národnej rady SR</w:t>
            </w:r>
          </w:p>
        </w:tc>
      </w:tr>
    </w:tbl>
    <w:p w:rsidR="005F4319" w:rsidRPr="006759EA" w:rsidP="005F4319">
      <w:pPr>
        <w:bidi w:val="0"/>
        <w:rPr>
          <w:rFonts w:ascii="Times New Roman" w:hAnsi="Times New Roman" w:cs="Times New Roman"/>
        </w:rPr>
      </w:pPr>
    </w:p>
    <w:p w:rsidR="005F4319" w:rsidP="00D352DC">
      <w:pPr>
        <w:bidi w:val="0"/>
        <w:rPr>
          <w:rFonts w:ascii="Times New Roman" w:hAnsi="Times New Roman" w:cs="Times New Roman"/>
        </w:rPr>
      </w:pPr>
      <w:r w:rsidRPr="006759EA">
        <w:rPr>
          <w:rFonts w:ascii="Times New Roman" w:hAnsi="Times New Roman" w:cs="Times New Roman"/>
          <w:b/>
        </w:rPr>
        <w:t>Jednorazové daňové a odvodové príjmy</w:t>
      </w:r>
      <w:r w:rsidRPr="006759EA">
        <w:rPr>
          <w:rFonts w:ascii="Times New Roman" w:hAnsi="Times New Roman" w:cs="Times New Roman"/>
        </w:rPr>
        <w:t xml:space="preserve"> </w:t>
      </w:r>
    </w:p>
    <w:p w:rsidR="008C71C2" w:rsidP="00D352DC">
      <w:pPr>
        <w:bidi w:val="0"/>
        <w:rPr>
          <w:rFonts w:ascii="Times New Roman" w:hAnsi="Times New Roman" w:cs="Times New Roman"/>
        </w:rPr>
      </w:pPr>
    </w:p>
    <w:p w:rsidR="005F4319" w:rsidRPr="006759EA" w:rsidP="00D352DC">
      <w:pPr>
        <w:bidi w:val="0"/>
        <w:ind w:firstLine="708"/>
        <w:contextualSpacing/>
        <w:jc w:val="both"/>
        <w:rPr>
          <w:rFonts w:ascii="Times New Roman" w:hAnsi="Times New Roman" w:cs="Times New Roman"/>
        </w:rPr>
      </w:pPr>
      <w:r w:rsidRPr="006759EA">
        <w:rPr>
          <w:rFonts w:ascii="Times New Roman" w:hAnsi="Times New Roman" w:cs="Times New Roman"/>
        </w:rPr>
        <w:t>V oblasti daňových a odvodových príjmov na roky 2010 až 2015 boli identifikované na</w:t>
      </w:r>
      <w:r w:rsidR="008C71C2">
        <w:rPr>
          <w:rFonts w:ascii="Times New Roman" w:hAnsi="Times New Roman" w:cs="Times New Roman"/>
        </w:rPr>
        <w:t>sledujúce jednorazové opatrenia, t. j. príjmy alebo výdavky, ktorých objem v príslušnom rozpočtovom roku prevyšuje 0,05 % HDP, nemá trvalý alebo opakujúci sa charakter a má časovo obmedzený vplyv na saldo rozpočtu verejnej správy, podnikov štátnej správy, podnikov územnej samosprávy alebo Národnej banky Slovenska:</w:t>
      </w:r>
    </w:p>
    <w:p w:rsidR="005F4319" w:rsidRPr="006759EA" w:rsidP="005F4319">
      <w:pPr>
        <w:bidi w:val="0"/>
        <w:contextualSpacing/>
        <w:jc w:val="both"/>
        <w:rPr>
          <w:rFonts w:ascii="Times New Roman" w:hAnsi="Times New Roman" w:cs="Times New Roman"/>
          <w:highlight w:val="yellow"/>
        </w:rPr>
      </w:pPr>
    </w:p>
    <w:p w:rsidR="005F4319" w:rsidRPr="006759EA" w:rsidP="005F4319">
      <w:pPr>
        <w:pStyle w:val="NormalList"/>
        <w:numPr>
          <w:numId w:val="4"/>
        </w:numPr>
        <w:bidi w:val="0"/>
        <w:spacing w:after="240"/>
        <w:rPr>
          <w:rFonts w:ascii="Times New Roman" w:hAnsi="Times New Roman" w:cs="Times New Roman"/>
          <w:sz w:val="24"/>
          <w:szCs w:val="24"/>
        </w:rPr>
      </w:pPr>
      <w:r w:rsidRPr="006759EA">
        <w:rPr>
          <w:rFonts w:ascii="Times New Roman" w:hAnsi="Times New Roman" w:cs="Times New Roman"/>
          <w:sz w:val="24"/>
          <w:szCs w:val="24"/>
        </w:rPr>
        <w:t>Zvýšenie nezdaniteľnej časti základu dane týkajúce sa dane z príjmov fyzických osôb. Toto opatrenie bolo zavedené v rámci protikrízových opatrení vlády s vopred ohraničenou účinnosťou na roky 2009 a 2010. V oboch uvedených rokoch došlo k výpadku daňových príjmov zhodne vo výške 0,3 % HDP.</w:t>
      </w:r>
    </w:p>
    <w:p w:rsidR="005F4319" w:rsidRPr="006759EA" w:rsidP="005F4319">
      <w:pPr>
        <w:pStyle w:val="NormalList"/>
        <w:numPr>
          <w:numId w:val="4"/>
        </w:numPr>
        <w:bidi w:val="0"/>
        <w:spacing w:after="240"/>
        <w:rPr>
          <w:rFonts w:ascii="Times New Roman" w:hAnsi="Times New Roman" w:cs="Times New Roman"/>
          <w:sz w:val="24"/>
          <w:szCs w:val="24"/>
        </w:rPr>
      </w:pPr>
      <w:r w:rsidRPr="006759EA">
        <w:rPr>
          <w:rFonts w:ascii="Times New Roman" w:hAnsi="Times New Roman" w:cs="Times New Roman"/>
          <w:sz w:val="24"/>
          <w:szCs w:val="24"/>
        </w:rPr>
        <w:t>P</w:t>
      </w:r>
      <w:r>
        <w:rPr>
          <w:rFonts w:ascii="Times New Roman" w:hAnsi="Times New Roman" w:cs="Times New Roman"/>
          <w:sz w:val="24"/>
          <w:szCs w:val="24"/>
        </w:rPr>
        <w:t>ríjmy Sociálnej poisťovne z oddl</w:t>
      </w:r>
      <w:r w:rsidRPr="006759EA">
        <w:rPr>
          <w:rFonts w:ascii="Times New Roman" w:hAnsi="Times New Roman" w:cs="Times New Roman"/>
          <w:sz w:val="24"/>
          <w:szCs w:val="24"/>
        </w:rPr>
        <w:t>ženia zdravotníctva, ktoré sa uskutočnilo v priebehu roku 2011. Zdravotnícke zariadenia uhradili Sociálnej poisťovni dlžné poistné za predchádzajúce obdobie v celkovej výške 0,09</w:t>
      </w:r>
      <w:r>
        <w:rPr>
          <w:rFonts w:ascii="Times New Roman" w:hAnsi="Times New Roman" w:cs="Times New Roman"/>
          <w:sz w:val="24"/>
          <w:szCs w:val="24"/>
        </w:rPr>
        <w:t xml:space="preserve"> </w:t>
      </w:r>
      <w:r w:rsidRPr="006759EA">
        <w:rPr>
          <w:rFonts w:ascii="Times New Roman" w:hAnsi="Times New Roman" w:cs="Times New Roman"/>
          <w:sz w:val="24"/>
          <w:szCs w:val="24"/>
        </w:rPr>
        <w:t>% HDP.</w:t>
      </w:r>
    </w:p>
    <w:p w:rsidR="005F4319" w:rsidRPr="006759EA" w:rsidP="005F4319">
      <w:pPr>
        <w:pStyle w:val="NormalList"/>
        <w:numPr>
          <w:numId w:val="4"/>
        </w:numPr>
        <w:bidi w:val="0"/>
        <w:spacing w:after="240"/>
        <w:rPr>
          <w:rFonts w:ascii="Times New Roman" w:hAnsi="Times New Roman" w:cs="Times New Roman"/>
          <w:sz w:val="24"/>
          <w:szCs w:val="24"/>
        </w:rPr>
      </w:pPr>
      <w:r w:rsidRPr="006759EA">
        <w:rPr>
          <w:rFonts w:ascii="Times New Roman" w:hAnsi="Times New Roman" w:cs="Times New Roman"/>
          <w:sz w:val="24"/>
          <w:szCs w:val="24"/>
        </w:rPr>
        <w:t xml:space="preserve">Príjmy dane z pridanej hodnoty z odovzdania dokončených úsekov rýchlostnej cesty R1 stavanej prostredníctvom PPP projektu. V čase odovzdania jednotlivých úsekov (v rokoch 2011 a 2012) došlo k zaplateniu DPH zo strany investora, čo sa prejavilo v daňových príjmoch verejnej správy. Vzhľadom </w:t>
      </w:r>
      <w:r w:rsidR="00D352DC">
        <w:rPr>
          <w:rFonts w:ascii="Times New Roman" w:hAnsi="Times New Roman" w:cs="Times New Roman"/>
          <w:sz w:val="24"/>
          <w:szCs w:val="24"/>
        </w:rPr>
        <w:t>na</w:t>
      </w:r>
      <w:r>
        <w:rPr>
          <w:rFonts w:ascii="Times New Roman" w:hAnsi="Times New Roman" w:cs="Times New Roman"/>
          <w:sz w:val="24"/>
          <w:szCs w:val="24"/>
        </w:rPr>
        <w:t xml:space="preserve"> to</w:t>
      </w:r>
      <w:r w:rsidRPr="006759EA">
        <w:rPr>
          <w:rFonts w:ascii="Times New Roman" w:hAnsi="Times New Roman" w:cs="Times New Roman"/>
          <w:sz w:val="24"/>
          <w:szCs w:val="24"/>
        </w:rPr>
        <w:t xml:space="preserve">, že uvedený projekt je zaznamenaný mimo bilancie verejnej správy, zaplatená DPH zo strany štátu sa rovnomerne zaznamená počas celého obdobia trvania koncesie (30 rokov) spolu s platbami štátu za dostupnosť. </w:t>
      </w:r>
    </w:p>
    <w:p w:rsidR="005F4319" w:rsidRPr="006759EA" w:rsidP="005F4319">
      <w:pPr>
        <w:pStyle w:val="NormalList"/>
        <w:numPr>
          <w:numId w:val="4"/>
        </w:numPr>
        <w:bidi w:val="0"/>
        <w:spacing w:after="240"/>
        <w:rPr>
          <w:rFonts w:ascii="Times New Roman" w:hAnsi="Times New Roman" w:cs="Times New Roman"/>
          <w:sz w:val="24"/>
          <w:szCs w:val="24"/>
        </w:rPr>
      </w:pPr>
      <w:r w:rsidRPr="006759EA">
        <w:rPr>
          <w:rFonts w:ascii="Times New Roman" w:hAnsi="Times New Roman" w:cs="Times New Roman"/>
          <w:sz w:val="24"/>
          <w:szCs w:val="24"/>
        </w:rPr>
        <w:t>Mimoriadny odvod v bankovom sektore predstavuje dodatočné jednorazové opatrenie pre finančné inštitúcie v štvrtom štvrťroku 2012 vo výške 0,05 %.</w:t>
      </w:r>
    </w:p>
    <w:p w:rsidR="005F4319" w:rsidRPr="006759EA" w:rsidP="005F4319">
      <w:pPr>
        <w:pStyle w:val="NormalList"/>
        <w:numPr>
          <w:numId w:val="4"/>
        </w:numPr>
        <w:bidi w:val="0"/>
        <w:spacing w:after="240"/>
        <w:rPr>
          <w:rFonts w:ascii="Times New Roman" w:hAnsi="Times New Roman" w:cs="Times New Roman"/>
          <w:sz w:val="24"/>
          <w:szCs w:val="24"/>
        </w:rPr>
      </w:pPr>
      <w:r w:rsidRPr="006759EA">
        <w:rPr>
          <w:rFonts w:ascii="Times New Roman" w:hAnsi="Times New Roman" w:cs="Times New Roman"/>
          <w:sz w:val="24"/>
          <w:szCs w:val="24"/>
        </w:rPr>
        <w:t>Dočasný odvod z podnikania v regulovaných odvetviach predstavuje konsolidačné opatrenie na roky 2012 a 2013. Celkový vplyv v roku 2012 je na úrovni 25,7 mil. eur, čo je menej ako 0,05 % HDP, preto sa v tabuľke jednorazových efektov neuvádza.</w:t>
      </w:r>
    </w:p>
    <w:p w:rsidR="005F4319" w:rsidP="005F4319">
      <w:pPr>
        <w:pStyle w:val="NormalList"/>
        <w:numPr>
          <w:numId w:val="4"/>
        </w:numPr>
        <w:bidi w:val="0"/>
        <w:spacing w:after="240"/>
        <w:rPr>
          <w:rFonts w:ascii="Times New Roman" w:hAnsi="Times New Roman" w:cs="Times New Roman"/>
          <w:sz w:val="24"/>
          <w:szCs w:val="24"/>
        </w:rPr>
      </w:pPr>
      <w:r w:rsidRPr="006759EA">
        <w:rPr>
          <w:rFonts w:ascii="Times New Roman" w:hAnsi="Times New Roman" w:cs="Times New Roman"/>
          <w:sz w:val="24"/>
          <w:szCs w:val="24"/>
        </w:rPr>
        <w:t xml:space="preserve">Možnosť výstupu z </w:t>
      </w:r>
      <w:r>
        <w:rPr>
          <w:rFonts w:ascii="Times New Roman" w:hAnsi="Times New Roman" w:cs="Times New Roman"/>
          <w:sz w:val="24"/>
          <w:szCs w:val="24"/>
        </w:rPr>
        <w:t>2</w:t>
      </w:r>
      <w:r w:rsidR="00D352DC">
        <w:rPr>
          <w:rFonts w:ascii="Times New Roman" w:hAnsi="Times New Roman" w:cs="Times New Roman"/>
          <w:sz w:val="24"/>
          <w:szCs w:val="24"/>
        </w:rPr>
        <w:t>. piliera. Ak by sa sporiteľ</w:t>
      </w:r>
      <w:r w:rsidRPr="006759EA">
        <w:rPr>
          <w:rFonts w:ascii="Times New Roman" w:hAnsi="Times New Roman" w:cs="Times New Roman"/>
          <w:sz w:val="24"/>
          <w:szCs w:val="24"/>
        </w:rPr>
        <w:t xml:space="preserve"> rozhodol vystúpiť z </w:t>
      </w:r>
      <w:r>
        <w:rPr>
          <w:rFonts w:ascii="Times New Roman" w:hAnsi="Times New Roman" w:cs="Times New Roman"/>
          <w:sz w:val="24"/>
          <w:szCs w:val="24"/>
        </w:rPr>
        <w:t>2</w:t>
      </w:r>
      <w:r w:rsidRPr="006759EA">
        <w:rPr>
          <w:rFonts w:ascii="Times New Roman" w:hAnsi="Times New Roman" w:cs="Times New Roman"/>
          <w:sz w:val="24"/>
          <w:szCs w:val="24"/>
        </w:rPr>
        <w:t>. piliera</w:t>
      </w:r>
      <w:r>
        <w:rPr>
          <w:rFonts w:ascii="Times New Roman" w:hAnsi="Times New Roman" w:cs="Times New Roman"/>
          <w:sz w:val="24"/>
          <w:szCs w:val="24"/>
        </w:rPr>
        <w:t xml:space="preserve">, jeho nasporené </w:t>
      </w:r>
      <w:r w:rsidRPr="006759EA">
        <w:rPr>
          <w:rFonts w:ascii="Times New Roman" w:hAnsi="Times New Roman" w:cs="Times New Roman"/>
          <w:sz w:val="24"/>
          <w:szCs w:val="24"/>
        </w:rPr>
        <w:t>prostriedky</w:t>
      </w:r>
      <w:r>
        <w:rPr>
          <w:rFonts w:ascii="Times New Roman" w:hAnsi="Times New Roman" w:cs="Times New Roman"/>
          <w:sz w:val="24"/>
          <w:szCs w:val="24"/>
        </w:rPr>
        <w:t xml:space="preserve"> </w:t>
      </w:r>
      <w:r w:rsidRPr="006759EA">
        <w:rPr>
          <w:rFonts w:ascii="Times New Roman" w:hAnsi="Times New Roman" w:cs="Times New Roman"/>
          <w:sz w:val="24"/>
          <w:szCs w:val="24"/>
        </w:rPr>
        <w:t>sa presun</w:t>
      </w:r>
      <w:r>
        <w:rPr>
          <w:rFonts w:ascii="Times New Roman" w:hAnsi="Times New Roman" w:cs="Times New Roman"/>
          <w:sz w:val="24"/>
          <w:szCs w:val="24"/>
        </w:rPr>
        <w:t>ú</w:t>
      </w:r>
      <w:r w:rsidRPr="006759EA">
        <w:rPr>
          <w:rFonts w:ascii="Times New Roman" w:hAnsi="Times New Roman" w:cs="Times New Roman"/>
          <w:sz w:val="24"/>
          <w:szCs w:val="24"/>
        </w:rPr>
        <w:t xml:space="preserve"> do priebežného systému. Presun by sa dotkol celých aktív naakumulovaných od jeho zapojenia sa do </w:t>
      </w:r>
      <w:r w:rsidR="00D352DC">
        <w:rPr>
          <w:rFonts w:ascii="Times New Roman" w:hAnsi="Times New Roman" w:cs="Times New Roman"/>
          <w:sz w:val="24"/>
          <w:szCs w:val="24"/>
        </w:rPr>
        <w:t>2.</w:t>
      </w:r>
      <w:r w:rsidRPr="006759EA">
        <w:rPr>
          <w:rFonts w:ascii="Times New Roman" w:hAnsi="Times New Roman" w:cs="Times New Roman"/>
          <w:sz w:val="24"/>
          <w:szCs w:val="24"/>
        </w:rPr>
        <w:t xml:space="preserve"> piliera, z ktorých časť pripadajúca na predchádzajúce roky spĺňa definíciu jednorazovej zložky. </w:t>
      </w:r>
    </w:p>
    <w:tbl>
      <w:tblPr>
        <w:tblStyle w:val="TableNormal"/>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0"/>
        <w:gridCol w:w="797"/>
        <w:gridCol w:w="798"/>
        <w:gridCol w:w="797"/>
        <w:gridCol w:w="798"/>
        <w:gridCol w:w="797"/>
        <w:gridCol w:w="798"/>
      </w:tblGrid>
      <w:tr>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3"/>
        </w:trPr>
        <w:tc>
          <w:tcPr>
            <w:tcW w:w="441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5F4319" w:rsidRPr="006871EE" w:rsidP="00DC7838">
            <w:pPr>
              <w:bidi w:val="0"/>
              <w:rPr>
                <w:rFonts w:ascii="Times New Roman" w:hAnsi="Times New Roman" w:cs="Times New Roman"/>
                <w:b/>
                <w:bCs/>
                <w:color w:val="000000" w:themeColor="tx1" w:themeShade="FF"/>
                <w:sz w:val="14"/>
                <w:szCs w:val="14"/>
                <w:lang w:eastAsia="en-US"/>
              </w:rPr>
            </w:pPr>
            <w:r w:rsidRPr="006871EE">
              <w:rPr>
                <w:rFonts w:ascii="Times New Roman" w:hAnsi="Times New Roman" w:cs="Times New Roman"/>
                <w:b/>
                <w:bCs/>
                <w:color w:val="000000" w:themeColor="tx1" w:themeShade="FF"/>
                <w:sz w:val="14"/>
                <w:szCs w:val="14"/>
                <w:lang w:eastAsia="en-US"/>
              </w:rPr>
              <w:t>Jednorazové a dočasné opatrenia (ESA</w:t>
            </w:r>
            <w:r w:rsidR="00D352DC">
              <w:rPr>
                <w:rFonts w:ascii="Times New Roman" w:hAnsi="Times New Roman" w:cs="Times New Roman"/>
                <w:b/>
                <w:bCs/>
                <w:color w:val="000000" w:themeColor="tx1" w:themeShade="FF"/>
                <w:sz w:val="14"/>
                <w:szCs w:val="14"/>
                <w:lang w:eastAsia="en-US"/>
              </w:rPr>
              <w:t xml:space="preserve"> </w:t>
            </w:r>
            <w:r w:rsidRPr="006871EE">
              <w:rPr>
                <w:rFonts w:ascii="Times New Roman" w:hAnsi="Times New Roman" w:cs="Times New Roman"/>
                <w:b/>
                <w:bCs/>
                <w:color w:val="000000" w:themeColor="tx1" w:themeShade="FF"/>
                <w:sz w:val="14"/>
                <w:szCs w:val="14"/>
                <w:lang w:eastAsia="en-US"/>
              </w:rPr>
              <w:t>95, tis. eur)</w:t>
            </w:r>
          </w:p>
        </w:tc>
        <w:tc>
          <w:tcPr>
            <w:tcW w:w="79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right"/>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2010</w:t>
            </w:r>
          </w:p>
        </w:tc>
        <w:tc>
          <w:tcPr>
            <w:tcW w:w="798"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right"/>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2011</w:t>
            </w:r>
          </w:p>
        </w:tc>
        <w:tc>
          <w:tcPr>
            <w:tcW w:w="79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right"/>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2012</w:t>
            </w:r>
          </w:p>
        </w:tc>
        <w:tc>
          <w:tcPr>
            <w:tcW w:w="798"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right"/>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2013</w:t>
            </w:r>
          </w:p>
        </w:tc>
        <w:tc>
          <w:tcPr>
            <w:tcW w:w="79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right"/>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2014</w:t>
            </w:r>
          </w:p>
        </w:tc>
        <w:tc>
          <w:tcPr>
            <w:tcW w:w="798"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F4319" w:rsidRPr="006871EE" w:rsidP="00DC7838">
            <w:pPr>
              <w:bidi w:val="0"/>
              <w:jc w:val="right"/>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2015</w:t>
            </w:r>
          </w:p>
        </w:tc>
      </w:tr>
      <w:tr>
        <w:tblPrEx>
          <w:tblW w:w="0" w:type="auto"/>
          <w:tblInd w:w="93" w:type="dxa"/>
          <w:tblLayout w:type="fixed"/>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352DC">
            <w:pPr>
              <w:bidi w:val="0"/>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 xml:space="preserve">1. Dočasné zvýšenie NČZD </w:t>
            </w:r>
            <w:r w:rsidR="00D352DC">
              <w:rPr>
                <w:rFonts w:ascii="Times New Roman" w:hAnsi="Times New Roman" w:cs="Times New Roman"/>
                <w:b/>
                <w:bCs/>
                <w:sz w:val="14"/>
                <w:szCs w:val="14"/>
                <w:lang w:eastAsia="en-US"/>
              </w:rPr>
              <w:t>pri</w:t>
            </w:r>
            <w:r w:rsidRPr="006871EE">
              <w:rPr>
                <w:rFonts w:ascii="Times New Roman" w:hAnsi="Times New Roman" w:cs="Times New Roman"/>
                <w:b/>
                <w:bCs/>
                <w:sz w:val="14"/>
                <w:szCs w:val="14"/>
                <w:lang w:eastAsia="en-US"/>
              </w:rPr>
              <w:t xml:space="preserve"> DPFO</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-211 011</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r>
      <w:tr>
        <w:tblPrEx>
          <w:tblW w:w="0" w:type="auto"/>
          <w:tblInd w:w="93" w:type="dxa"/>
          <w:tblLayout w:type="fixed"/>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rPr>
                <w:rFonts w:ascii="Times New Roman" w:hAnsi="Times New Roman" w:cs="Times New Roman"/>
                <w:b/>
                <w:bCs/>
                <w:sz w:val="14"/>
                <w:szCs w:val="14"/>
              </w:rPr>
            </w:pPr>
            <w:r w:rsidRPr="006871EE">
              <w:rPr>
                <w:rFonts w:ascii="Times New Roman" w:hAnsi="Times New Roman" w:cs="Times New Roman"/>
                <w:b/>
                <w:bCs/>
                <w:sz w:val="14"/>
                <w:szCs w:val="14"/>
              </w:rPr>
              <w:t>2. Príjmy Sociálnej poisťovne z oddlženia zdravotníctva</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59 068</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r>
      <w:tr>
        <w:tblPrEx>
          <w:tblW w:w="0" w:type="auto"/>
          <w:tblInd w:w="93" w:type="dxa"/>
          <w:tblLayout w:type="fixed"/>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rPr>
                <w:rFonts w:ascii="Times New Roman" w:hAnsi="Times New Roman" w:cs="Times New Roman"/>
                <w:b/>
                <w:bCs/>
                <w:sz w:val="14"/>
                <w:szCs w:val="14"/>
              </w:rPr>
            </w:pPr>
            <w:r w:rsidRPr="006871EE">
              <w:rPr>
                <w:rFonts w:ascii="Times New Roman" w:hAnsi="Times New Roman" w:cs="Times New Roman"/>
                <w:b/>
                <w:bCs/>
                <w:sz w:val="14"/>
                <w:szCs w:val="14"/>
              </w:rPr>
              <w:t>3. Príjem DPH z PPP projektu</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
                <w:sz w:val="14"/>
                <w:szCs w:val="14"/>
                <w:lang w:eastAsia="en-US"/>
              </w:rPr>
            </w:pPr>
            <w:r w:rsidRPr="006871EE">
              <w:rPr>
                <w:rFonts w:ascii="Times New Roman" w:hAnsi="Times New Roman" w:cs="Times New Roman"/>
                <w:b/>
                <w:sz w:val="14"/>
                <w:szCs w:val="14"/>
                <w:lang w:eastAsia="en-US"/>
              </w:rPr>
              <w:t>170 085</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
                <w:sz w:val="14"/>
                <w:szCs w:val="14"/>
                <w:lang w:eastAsia="en-US"/>
              </w:rPr>
            </w:pPr>
            <w:r w:rsidRPr="006871EE">
              <w:rPr>
                <w:rFonts w:ascii="Times New Roman" w:hAnsi="Times New Roman" w:cs="Times New Roman"/>
                <w:b/>
                <w:sz w:val="14"/>
                <w:szCs w:val="14"/>
                <w:lang w:eastAsia="en-US"/>
              </w:rPr>
              <w:t>42 817</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r>
      <w:tr>
        <w:tblPrEx>
          <w:tblW w:w="0" w:type="auto"/>
          <w:tblInd w:w="93" w:type="dxa"/>
          <w:tblLayout w:type="fixed"/>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rPr>
                <w:rFonts w:ascii="Times New Roman" w:hAnsi="Times New Roman" w:cs="Times New Roman"/>
                <w:b/>
                <w:bCs/>
                <w:sz w:val="14"/>
                <w:szCs w:val="14"/>
              </w:rPr>
            </w:pPr>
            <w:r w:rsidRPr="006871EE">
              <w:rPr>
                <w:rFonts w:ascii="Times New Roman" w:hAnsi="Times New Roman" w:cs="Times New Roman"/>
                <w:b/>
                <w:bCs/>
                <w:sz w:val="14"/>
                <w:szCs w:val="14"/>
              </w:rPr>
              <w:t>4. Mimoriadne odvody (bankový odvod a odvod z podnikania v reg. odvetviach)</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
                <w:sz w:val="14"/>
                <w:szCs w:val="14"/>
                <w:lang w:eastAsia="en-US"/>
              </w:rPr>
            </w:pPr>
            <w:r w:rsidRPr="006871EE">
              <w:rPr>
                <w:rFonts w:ascii="Times New Roman" w:hAnsi="Times New Roman" w:cs="Times New Roman"/>
                <w:b/>
                <w:sz w:val="14"/>
                <w:szCs w:val="14"/>
                <w:lang w:eastAsia="en-US"/>
              </w:rPr>
              <w:t>38 139</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r>
      <w:tr>
        <w:tblPrEx>
          <w:tblW w:w="0" w:type="auto"/>
          <w:tblInd w:w="93" w:type="dxa"/>
          <w:tblLayout w:type="fixed"/>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280" w:firstLineChars="200"/>
              <w:rPr>
                <w:rFonts w:ascii="Times New Roman" w:hAnsi="Times New Roman" w:cs="Times New Roman"/>
                <w:i/>
                <w:iCs/>
                <w:sz w:val="14"/>
                <w:szCs w:val="14"/>
              </w:rPr>
            </w:pPr>
            <w:r w:rsidRPr="006871EE">
              <w:rPr>
                <w:rFonts w:ascii="Times New Roman" w:hAnsi="Times New Roman" w:cs="Times New Roman"/>
                <w:i/>
                <w:iCs/>
                <w:sz w:val="14"/>
                <w:szCs w:val="14"/>
              </w:rPr>
              <w:t>Vplyv na DPPO</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-11 392</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r>
      <w:tr>
        <w:tblPrEx>
          <w:tblW w:w="0" w:type="auto"/>
          <w:tblInd w:w="93" w:type="dxa"/>
          <w:tblLayout w:type="fixed"/>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280" w:firstLineChars="200"/>
              <w:rPr>
                <w:rFonts w:ascii="Times New Roman" w:hAnsi="Times New Roman" w:cs="Times New Roman"/>
                <w:i/>
                <w:iCs/>
                <w:sz w:val="14"/>
                <w:szCs w:val="14"/>
              </w:rPr>
            </w:pPr>
            <w:r w:rsidRPr="006871EE">
              <w:rPr>
                <w:rFonts w:ascii="Times New Roman" w:hAnsi="Times New Roman" w:cs="Times New Roman"/>
                <w:i/>
                <w:iCs/>
                <w:sz w:val="14"/>
                <w:szCs w:val="14"/>
              </w:rPr>
              <w:t>Príjmy osobitných odvodov</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Cs/>
                <w:sz w:val="14"/>
                <w:szCs w:val="14"/>
                <w:lang w:eastAsia="en-US"/>
              </w:rPr>
            </w:pPr>
            <w:r w:rsidRPr="006871EE">
              <w:rPr>
                <w:rFonts w:ascii="Times New Roman" w:hAnsi="Times New Roman" w:cs="Times New Roman"/>
                <w:bCs/>
                <w:sz w:val="14"/>
                <w:szCs w:val="14"/>
                <w:lang w:eastAsia="en-US"/>
              </w:rPr>
              <w:t>49 531</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r>
      <w:tr>
        <w:tblPrEx>
          <w:tblW w:w="0" w:type="auto"/>
          <w:tblInd w:w="93" w:type="dxa"/>
          <w:tblLayout w:type="fixed"/>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rPr>
                <w:rFonts w:ascii="Times New Roman" w:hAnsi="Times New Roman" w:cs="Times New Roman"/>
                <w:b/>
                <w:bCs/>
                <w:sz w:val="14"/>
                <w:szCs w:val="14"/>
              </w:rPr>
            </w:pPr>
            <w:r w:rsidRPr="006871EE">
              <w:rPr>
                <w:rFonts w:ascii="Times New Roman" w:hAnsi="Times New Roman" w:cs="Times New Roman"/>
                <w:b/>
                <w:bCs/>
                <w:sz w:val="14"/>
                <w:szCs w:val="14"/>
              </w:rPr>
              <w:t>5. Osobitný odvod z podnikania v regulovaných odvetviach</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77 000</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r>
      <w:tr>
        <w:tblPrEx>
          <w:tblW w:w="0" w:type="auto"/>
          <w:tblInd w:w="93" w:type="dxa"/>
          <w:tblLayout w:type="fixed"/>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280" w:firstLineChars="200"/>
              <w:rPr>
                <w:rFonts w:ascii="Times New Roman" w:hAnsi="Times New Roman" w:cs="Times New Roman"/>
                <w:i/>
                <w:iCs/>
                <w:sz w:val="14"/>
                <w:szCs w:val="14"/>
              </w:rPr>
            </w:pPr>
            <w:r w:rsidRPr="006871EE">
              <w:rPr>
                <w:rFonts w:ascii="Times New Roman" w:hAnsi="Times New Roman" w:cs="Times New Roman"/>
                <w:i/>
                <w:iCs/>
                <w:sz w:val="14"/>
                <w:szCs w:val="14"/>
              </w:rPr>
              <w:t>Vplyv na DPPO</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-23 000</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r>
      <w:tr>
        <w:tblPrEx>
          <w:tblW w:w="0" w:type="auto"/>
          <w:tblInd w:w="93" w:type="dxa"/>
          <w:tblLayout w:type="fixed"/>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6871EE">
            <w:pPr>
              <w:bidi w:val="0"/>
              <w:ind w:firstLine="280" w:firstLineChars="200"/>
              <w:rPr>
                <w:rFonts w:ascii="Times New Roman" w:hAnsi="Times New Roman" w:cs="Times New Roman"/>
                <w:i/>
                <w:iCs/>
                <w:sz w:val="14"/>
                <w:szCs w:val="14"/>
              </w:rPr>
            </w:pPr>
            <w:r w:rsidRPr="006871EE">
              <w:rPr>
                <w:rFonts w:ascii="Times New Roman" w:hAnsi="Times New Roman" w:cs="Times New Roman"/>
                <w:i/>
                <w:iCs/>
                <w:sz w:val="14"/>
                <w:szCs w:val="14"/>
              </w:rPr>
              <w:t>Príjmy osobitných odvodov</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100 000</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r>
      <w:tr>
        <w:tblPrEx>
          <w:tblW w:w="0" w:type="auto"/>
          <w:tblInd w:w="93" w:type="dxa"/>
          <w:tblLayout w:type="fixed"/>
          <w:tblLook w:val="04A0"/>
        </w:tblPrEx>
        <w:trPr>
          <w:trHeight w:val="255"/>
        </w:trPr>
        <w:tc>
          <w:tcPr>
            <w:tcW w:w="4410"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352DC">
            <w:pPr>
              <w:bidi w:val="0"/>
              <w:rPr>
                <w:rFonts w:ascii="Times New Roman" w:hAnsi="Times New Roman" w:cs="Times New Roman"/>
                <w:b/>
                <w:bCs/>
                <w:sz w:val="14"/>
                <w:szCs w:val="14"/>
              </w:rPr>
            </w:pPr>
            <w:r w:rsidRPr="006871EE">
              <w:rPr>
                <w:rFonts w:ascii="Times New Roman" w:hAnsi="Times New Roman" w:cs="Times New Roman"/>
                <w:b/>
                <w:bCs/>
                <w:sz w:val="14"/>
                <w:szCs w:val="14"/>
              </w:rPr>
              <w:t xml:space="preserve">6. Možnosť výstupu z </w:t>
            </w:r>
            <w:r w:rsidR="00D352DC">
              <w:rPr>
                <w:rFonts w:ascii="Times New Roman" w:hAnsi="Times New Roman" w:cs="Times New Roman"/>
                <w:b/>
                <w:bCs/>
                <w:sz w:val="14"/>
                <w:szCs w:val="14"/>
              </w:rPr>
              <w:t>2</w:t>
            </w:r>
            <w:r w:rsidRPr="006871EE">
              <w:rPr>
                <w:rFonts w:ascii="Times New Roman" w:hAnsi="Times New Roman" w:cs="Times New Roman"/>
                <w:b/>
                <w:bCs/>
                <w:sz w:val="14"/>
                <w:szCs w:val="14"/>
              </w:rPr>
              <w:t>. piliera</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68 309</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212 244</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c>
          <w:tcPr>
            <w:tcW w:w="798" w:type="dxa"/>
            <w:tcBorders>
              <w:top w:val="single" w:sz="4" w:space="0" w:color="auto"/>
              <w:left w:val="single" w:sz="4" w:space="0" w:color="auto"/>
              <w:bottom w:val="single" w:sz="4" w:space="0" w:color="auto"/>
              <w:right w:val="single" w:sz="4" w:space="0" w:color="auto"/>
            </w:tcBorders>
            <w:noWrap/>
            <w:textDirection w:val="lrTb"/>
            <w:vAlign w:val="center"/>
            <w:hideMark/>
          </w:tcPr>
          <w:p w:rsidR="005F4319" w:rsidRPr="006871EE" w:rsidP="00DC7838">
            <w:pPr>
              <w:bidi w:val="0"/>
              <w:jc w:val="center"/>
              <w:rPr>
                <w:rFonts w:ascii="Times New Roman" w:hAnsi="Times New Roman" w:cs="Times New Roman"/>
                <w:sz w:val="14"/>
                <w:szCs w:val="14"/>
                <w:lang w:eastAsia="en-US"/>
              </w:rPr>
            </w:pPr>
            <w:r w:rsidRPr="006871EE">
              <w:rPr>
                <w:rFonts w:ascii="Times New Roman" w:hAnsi="Times New Roman" w:cs="Times New Roman"/>
                <w:sz w:val="14"/>
                <w:szCs w:val="14"/>
                <w:lang w:eastAsia="en-US"/>
              </w:rPr>
              <w:t>-</w:t>
            </w:r>
          </w:p>
        </w:tc>
      </w:tr>
      <w:tr>
        <w:tblPrEx>
          <w:tblW w:w="0" w:type="auto"/>
          <w:tblInd w:w="93" w:type="dxa"/>
          <w:tblLayout w:type="fixed"/>
          <w:tblLook w:val="04A0"/>
        </w:tblPrEx>
        <w:trPr>
          <w:trHeight w:val="255"/>
        </w:trPr>
        <w:tc>
          <w:tcPr>
            <w:tcW w:w="441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6871EE" w:rsidP="00DC7838">
            <w:pPr>
              <w:bidi w:val="0"/>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SPOLU (1+2+3+4+5+6+7)</w:t>
            </w:r>
          </w:p>
        </w:tc>
        <w:tc>
          <w:tcPr>
            <w:tcW w:w="79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-211 011</w:t>
            </w:r>
          </w:p>
        </w:tc>
        <w:tc>
          <w:tcPr>
            <w:tcW w:w="79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229 153</w:t>
            </w:r>
          </w:p>
        </w:tc>
        <w:tc>
          <w:tcPr>
            <w:tcW w:w="79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149 265</w:t>
            </w:r>
          </w:p>
        </w:tc>
        <w:tc>
          <w:tcPr>
            <w:tcW w:w="79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289 244</w:t>
            </w:r>
          </w:p>
        </w:tc>
        <w:tc>
          <w:tcPr>
            <w:tcW w:w="79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0</w:t>
            </w:r>
          </w:p>
        </w:tc>
        <w:tc>
          <w:tcPr>
            <w:tcW w:w="79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5F4319" w:rsidRPr="006871EE" w:rsidP="00DC7838">
            <w:pPr>
              <w:bidi w:val="0"/>
              <w:jc w:val="center"/>
              <w:rPr>
                <w:rFonts w:ascii="Times New Roman" w:hAnsi="Times New Roman" w:cs="Times New Roman"/>
                <w:b/>
                <w:bCs/>
                <w:sz w:val="14"/>
                <w:szCs w:val="14"/>
                <w:lang w:eastAsia="en-US"/>
              </w:rPr>
            </w:pPr>
            <w:r w:rsidRPr="006871EE">
              <w:rPr>
                <w:rFonts w:ascii="Times New Roman" w:hAnsi="Times New Roman" w:cs="Times New Roman"/>
                <w:b/>
                <w:bCs/>
                <w:sz w:val="14"/>
                <w:szCs w:val="14"/>
                <w:lang w:eastAsia="en-US"/>
              </w:rPr>
              <w:t>0</w:t>
            </w:r>
          </w:p>
        </w:tc>
      </w:tr>
      <w:tr>
        <w:tblPrEx>
          <w:tblW w:w="0" w:type="auto"/>
          <w:tblInd w:w="93" w:type="dxa"/>
          <w:tblLayout w:type="fixed"/>
          <w:tblLook w:val="04A0"/>
        </w:tblPrEx>
        <w:trPr>
          <w:trHeight w:val="170"/>
        </w:trPr>
        <w:tc>
          <w:tcPr>
            <w:tcW w:w="9195" w:type="dxa"/>
            <w:gridSpan w:val="7"/>
            <w:tcBorders>
              <w:top w:val="single" w:sz="4" w:space="0" w:color="auto"/>
              <w:left w:val="nil"/>
              <w:bottom w:val="nil"/>
              <w:right w:val="nil"/>
            </w:tcBorders>
            <w:noWrap/>
            <w:textDirection w:val="lrTb"/>
            <w:vAlign w:val="top"/>
            <w:hideMark/>
          </w:tcPr>
          <w:p w:rsidR="005F4319" w:rsidRPr="006871EE" w:rsidP="00DC7838">
            <w:pPr>
              <w:bidi w:val="0"/>
              <w:rPr>
                <w:rFonts w:ascii="Times New Roman" w:hAnsi="Times New Roman" w:cs="Times New Roman"/>
                <w:b/>
                <w:bCs/>
                <w:sz w:val="14"/>
                <w:szCs w:val="14"/>
                <w:lang w:eastAsia="en-US"/>
              </w:rPr>
            </w:pPr>
            <w:r w:rsidRPr="006871EE">
              <w:rPr>
                <w:rFonts w:ascii="Times New Roman" w:hAnsi="Times New Roman" w:cs="Times New Roman"/>
                <w:i/>
                <w:iCs/>
                <w:sz w:val="14"/>
                <w:szCs w:val="14"/>
                <w:lang w:eastAsia="en-US"/>
              </w:rPr>
              <w:t>* V roku 2012 je vplyv osobitného odvodu v regulovaných odvetviach 25,7 mil. eur (0,036</w:t>
            </w:r>
            <w:r w:rsidR="002026C0">
              <w:rPr>
                <w:rFonts w:ascii="Times New Roman" w:hAnsi="Times New Roman" w:cs="Times New Roman"/>
                <w:i/>
                <w:iCs/>
                <w:sz w:val="14"/>
                <w:szCs w:val="14"/>
                <w:lang w:eastAsia="en-US"/>
              </w:rPr>
              <w:t xml:space="preserve"> </w:t>
            </w:r>
            <w:r w:rsidRPr="006871EE">
              <w:rPr>
                <w:rFonts w:ascii="Times New Roman" w:hAnsi="Times New Roman" w:cs="Times New Roman"/>
                <w:i/>
                <w:iCs/>
                <w:sz w:val="14"/>
                <w:szCs w:val="14"/>
                <w:lang w:eastAsia="en-US"/>
              </w:rPr>
              <w:t xml:space="preserve"> % HDP), a teda nespĺňa definíciu jednorazových opatrení v minimálnej výške 0,05 % HD</w:t>
            </w:r>
            <w:r w:rsidR="002026C0">
              <w:rPr>
                <w:rFonts w:ascii="Times New Roman" w:hAnsi="Times New Roman" w:cs="Times New Roman"/>
                <w:i/>
                <w:iCs/>
                <w:sz w:val="14"/>
                <w:szCs w:val="14"/>
                <w:lang w:eastAsia="en-US"/>
              </w:rPr>
              <w:t>P.</w:t>
            </w:r>
          </w:p>
        </w:tc>
      </w:tr>
      <w:tr>
        <w:tblPrEx>
          <w:tblW w:w="0" w:type="auto"/>
          <w:tblInd w:w="93" w:type="dxa"/>
          <w:tblLayout w:type="fixed"/>
          <w:tblLook w:val="04A0"/>
        </w:tblPrEx>
        <w:trPr>
          <w:trHeight w:val="170"/>
        </w:trPr>
        <w:tc>
          <w:tcPr>
            <w:tcW w:w="9195" w:type="dxa"/>
            <w:gridSpan w:val="7"/>
            <w:tcBorders>
              <w:top w:val="nil"/>
              <w:left w:val="nil"/>
              <w:bottom w:val="nil"/>
              <w:right w:val="nil"/>
            </w:tcBorders>
            <w:noWrap/>
            <w:textDirection w:val="lrTb"/>
            <w:vAlign w:val="top"/>
            <w:hideMark/>
          </w:tcPr>
          <w:p w:rsidR="005F4319" w:rsidRPr="006871EE" w:rsidP="00DC7838">
            <w:pPr>
              <w:bidi w:val="0"/>
              <w:rPr>
                <w:rFonts w:ascii="Times New Roman" w:hAnsi="Times New Roman" w:cs="Times New Roman"/>
                <w:b/>
                <w:bCs/>
                <w:sz w:val="14"/>
                <w:szCs w:val="14"/>
                <w:lang w:eastAsia="en-US"/>
              </w:rPr>
            </w:pPr>
            <w:r w:rsidRPr="006871EE">
              <w:rPr>
                <w:rFonts w:ascii="Times New Roman" w:hAnsi="Times New Roman" w:cs="Times New Roman"/>
                <w:i/>
                <w:iCs/>
                <w:sz w:val="14"/>
                <w:szCs w:val="14"/>
                <w:lang w:eastAsia="en-US"/>
              </w:rPr>
              <w:t>Pozn</w:t>
            </w:r>
            <w:r w:rsidR="005C76BA">
              <w:rPr>
                <w:rFonts w:ascii="Times New Roman" w:hAnsi="Times New Roman" w:cs="Times New Roman"/>
                <w:i/>
                <w:iCs/>
                <w:sz w:val="14"/>
                <w:szCs w:val="14"/>
                <w:lang w:eastAsia="en-US"/>
              </w:rPr>
              <w:t>.</w:t>
            </w:r>
            <w:r w:rsidRPr="006871EE">
              <w:rPr>
                <w:rFonts w:ascii="Times New Roman" w:hAnsi="Times New Roman" w:cs="Times New Roman"/>
                <w:i/>
                <w:iCs/>
                <w:sz w:val="14"/>
                <w:szCs w:val="14"/>
                <w:lang w:eastAsia="en-US"/>
              </w:rPr>
              <w:t>: (+) zlepšenie salda, (-) zhoršenie salda</w:t>
            </w:r>
          </w:p>
        </w:tc>
      </w:tr>
    </w:tbl>
    <w:p w:rsidR="00AA0F70" w:rsidRPr="00A847E2" w:rsidP="00044D70">
      <w:pPr>
        <w:bidi w:val="0"/>
        <w:ind w:firstLine="708"/>
        <w:jc w:val="both"/>
        <w:rPr>
          <w:rFonts w:ascii="Times New Roman" w:hAnsi="Times New Roman" w:cs="Times New Roman"/>
          <w:color w:val="0070C0"/>
        </w:rPr>
      </w:pPr>
    </w:p>
    <w:p w:rsidR="00DD719C" w:rsidRPr="00AA0F70" w:rsidP="00DD719C">
      <w:pPr>
        <w:pStyle w:val="Heading2"/>
        <w:bidi w:val="0"/>
        <w:spacing w:before="0" w:after="0"/>
        <w:rPr>
          <w:rFonts w:ascii="Times New Roman" w:hAnsi="Times New Roman"/>
          <w:i w:val="0"/>
          <w:sz w:val="24"/>
          <w:szCs w:val="24"/>
        </w:rPr>
      </w:pPr>
      <w:bookmarkStart w:id="38" w:name="_Toc210700501"/>
      <w:bookmarkStart w:id="39" w:name="_Toc314471177"/>
      <w:bookmarkStart w:id="40" w:name="_Toc337237752"/>
      <w:r w:rsidRPr="00AA0F70" w:rsidR="00FA4300">
        <w:rPr>
          <w:rFonts w:ascii="Times New Roman" w:hAnsi="Times New Roman"/>
          <w:i w:val="0"/>
          <w:sz w:val="24"/>
          <w:szCs w:val="24"/>
        </w:rPr>
        <w:t>3</w:t>
      </w:r>
      <w:r w:rsidRPr="00AA0F70">
        <w:rPr>
          <w:rFonts w:ascii="Times New Roman" w:hAnsi="Times New Roman"/>
          <w:i w:val="0"/>
          <w:sz w:val="24"/>
          <w:szCs w:val="24"/>
        </w:rPr>
        <w:t>.</w:t>
      </w:r>
      <w:r w:rsidRPr="00AA0F70" w:rsidR="004E44EF">
        <w:rPr>
          <w:rFonts w:ascii="Times New Roman" w:hAnsi="Times New Roman"/>
          <w:i w:val="0"/>
          <w:sz w:val="24"/>
          <w:szCs w:val="24"/>
        </w:rPr>
        <w:t>4</w:t>
      </w:r>
      <w:r w:rsidRPr="00AA0F70">
        <w:rPr>
          <w:rFonts w:ascii="Times New Roman" w:hAnsi="Times New Roman"/>
          <w:i w:val="0"/>
          <w:sz w:val="24"/>
          <w:szCs w:val="24"/>
        </w:rPr>
        <w:t>. Rozpočtovanie iných ako daňových príjmov</w:t>
      </w:r>
      <w:bookmarkEnd w:id="38"/>
      <w:r w:rsidRPr="00AA0F70">
        <w:rPr>
          <w:rFonts w:ascii="Times New Roman" w:hAnsi="Times New Roman"/>
          <w:i w:val="0"/>
          <w:sz w:val="24"/>
          <w:szCs w:val="24"/>
        </w:rPr>
        <w:t xml:space="preserve"> štátneho rozpočtu</w:t>
      </w:r>
      <w:bookmarkEnd w:id="39"/>
      <w:bookmarkEnd w:id="40"/>
    </w:p>
    <w:p w:rsidR="00AA0F70" w:rsidP="00AA0F70">
      <w:pPr>
        <w:bidi w:val="0"/>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0F70" w:rsidRPr="00502053" w:rsidP="00F26615">
            <w:pPr>
              <w:bidi w:val="0"/>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02053" w:rsidP="00F26615">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2010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02053" w:rsidP="00F26615">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2011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02053" w:rsidP="00F26615">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2012 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02053" w:rsidP="00F26615">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2012 OS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02053" w:rsidP="00F26615">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2013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02053" w:rsidP="00F26615">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2014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02053" w:rsidP="00F26615">
            <w:pPr>
              <w:bidi w:val="0"/>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502053" w:rsidP="00F26615">
            <w:pPr>
              <w:bidi w:val="0"/>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Spolu</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C2485" w:rsidP="00F26615">
            <w:pPr>
              <w:bidi w:val="0"/>
              <w:jc w:val="right"/>
              <w:rPr>
                <w:rFonts w:ascii="Times New Roman" w:hAnsi="Times New Roman" w:cs="Times New Roman"/>
                <w:b/>
                <w:bCs/>
                <w:color w:val="000000"/>
                <w:sz w:val="14"/>
                <w:szCs w:val="14"/>
              </w:rPr>
            </w:pPr>
            <w:r w:rsidRPr="006C2485">
              <w:rPr>
                <w:rFonts w:ascii="Times New Roman" w:hAnsi="Times New Roman" w:cs="Times New Roman"/>
                <w:b/>
                <w:bCs/>
                <w:color w:val="000000"/>
                <w:sz w:val="14"/>
                <w:szCs w:val="14"/>
              </w:rPr>
              <w:t>2 781 496</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C2485" w:rsidP="00A80395">
            <w:pPr>
              <w:bidi w:val="0"/>
              <w:jc w:val="right"/>
              <w:rPr>
                <w:rFonts w:ascii="Times New Roman" w:hAnsi="Times New Roman" w:cs="Times New Roman"/>
                <w:b/>
                <w:bCs/>
                <w:sz w:val="14"/>
                <w:szCs w:val="14"/>
              </w:rPr>
            </w:pPr>
            <w:r w:rsidR="00D64D01">
              <w:rPr>
                <w:rFonts w:ascii="Times New Roman" w:hAnsi="Times New Roman" w:cs="Times New Roman"/>
                <w:b/>
                <w:bCs/>
                <w:sz w:val="14"/>
                <w:szCs w:val="14"/>
              </w:rPr>
              <w:t xml:space="preserve">3 </w:t>
            </w:r>
            <w:r w:rsidR="00A80395">
              <w:rPr>
                <w:rFonts w:ascii="Times New Roman" w:hAnsi="Times New Roman" w:cs="Times New Roman"/>
                <w:b/>
                <w:bCs/>
                <w:sz w:val="14"/>
                <w:szCs w:val="14"/>
              </w:rPr>
              <w:t>302</w:t>
            </w:r>
            <w:r w:rsidRPr="006C2485">
              <w:rPr>
                <w:rFonts w:ascii="Times New Roman" w:hAnsi="Times New Roman" w:cs="Times New Roman"/>
                <w:b/>
                <w:bCs/>
                <w:sz w:val="14"/>
                <w:szCs w:val="14"/>
              </w:rPr>
              <w:t xml:space="preserve"> </w:t>
            </w:r>
            <w:r w:rsidR="00A80395">
              <w:rPr>
                <w:rFonts w:ascii="Times New Roman" w:hAnsi="Times New Roman" w:cs="Times New Roman"/>
                <w:b/>
                <w:bCs/>
                <w:sz w:val="14"/>
                <w:szCs w:val="14"/>
              </w:rPr>
              <w:t>229</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C2485" w:rsidP="00F26615">
            <w:pPr>
              <w:bidi w:val="0"/>
              <w:jc w:val="right"/>
              <w:rPr>
                <w:rFonts w:ascii="Times New Roman" w:hAnsi="Times New Roman" w:cs="Times New Roman"/>
                <w:b/>
                <w:bCs/>
                <w:color w:val="000000"/>
                <w:sz w:val="14"/>
                <w:szCs w:val="14"/>
              </w:rPr>
            </w:pPr>
            <w:r w:rsidRPr="006C2485">
              <w:rPr>
                <w:rFonts w:ascii="Times New Roman" w:hAnsi="Times New Roman" w:cs="Times New Roman"/>
                <w:b/>
                <w:bCs/>
                <w:color w:val="000000"/>
                <w:sz w:val="14"/>
                <w:szCs w:val="14"/>
              </w:rPr>
              <w:t>4 396 761</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C2485" w:rsidP="00F26615">
            <w:pPr>
              <w:bidi w:val="0"/>
              <w:jc w:val="right"/>
              <w:rPr>
                <w:rFonts w:ascii="Times New Roman" w:hAnsi="Times New Roman" w:cs="Times New Roman"/>
                <w:b/>
                <w:bCs/>
                <w:color w:val="000000"/>
                <w:sz w:val="14"/>
                <w:szCs w:val="14"/>
              </w:rPr>
            </w:pPr>
            <w:r w:rsidRPr="006C2485">
              <w:rPr>
                <w:rFonts w:ascii="Times New Roman" w:hAnsi="Times New Roman" w:cs="Times New Roman"/>
                <w:b/>
                <w:bCs/>
                <w:color w:val="000000"/>
                <w:sz w:val="14"/>
                <w:szCs w:val="14"/>
              </w:rPr>
              <w:t>4 114 761</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C2485" w:rsidP="00F26615">
            <w:pPr>
              <w:bidi w:val="0"/>
              <w:jc w:val="right"/>
              <w:rPr>
                <w:rFonts w:ascii="Times New Roman" w:hAnsi="Times New Roman" w:cs="Times New Roman"/>
                <w:b/>
                <w:bCs/>
                <w:sz w:val="14"/>
                <w:szCs w:val="14"/>
              </w:rPr>
            </w:pPr>
            <w:r>
              <w:rPr>
                <w:rFonts w:ascii="Times New Roman" w:hAnsi="Times New Roman" w:cs="Times New Roman"/>
                <w:b/>
                <w:bCs/>
                <w:sz w:val="14"/>
                <w:szCs w:val="14"/>
              </w:rPr>
              <w:t>5 004 160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C2485" w:rsidP="00F26615">
            <w:pPr>
              <w:bidi w:val="0"/>
              <w:jc w:val="right"/>
              <w:rPr>
                <w:rFonts w:ascii="Times New Roman" w:hAnsi="Times New Roman" w:cs="Times New Roman"/>
                <w:b/>
                <w:bCs/>
                <w:sz w:val="14"/>
                <w:szCs w:val="14"/>
              </w:rPr>
            </w:pPr>
            <w:r w:rsidRPr="006C2485">
              <w:rPr>
                <w:rFonts w:ascii="Times New Roman" w:hAnsi="Times New Roman" w:cs="Times New Roman"/>
                <w:b/>
                <w:bCs/>
                <w:sz w:val="14"/>
                <w:szCs w:val="14"/>
              </w:rPr>
              <w:t>4 198 716</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C2485" w:rsidP="00F26615">
            <w:pPr>
              <w:bidi w:val="0"/>
              <w:jc w:val="right"/>
              <w:rPr>
                <w:rFonts w:ascii="Times New Roman" w:hAnsi="Times New Roman" w:cs="Times New Roman"/>
                <w:b/>
                <w:bCs/>
                <w:sz w:val="14"/>
                <w:szCs w:val="14"/>
              </w:rPr>
            </w:pPr>
            <w:r w:rsidRPr="006C2485">
              <w:rPr>
                <w:rFonts w:ascii="Times New Roman" w:hAnsi="Times New Roman" w:cs="Times New Roman"/>
                <w:b/>
                <w:bCs/>
                <w:sz w:val="14"/>
                <w:szCs w:val="14"/>
              </w:rPr>
              <w:t>3 512 545</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502053" w:rsidP="00F26615">
            <w:pPr>
              <w:bidi w:val="0"/>
              <w:rPr>
                <w:rFonts w:ascii="Times New Roman" w:hAnsi="Times New Roman" w:cs="Times New Roman"/>
                <w:color w:val="000000"/>
                <w:sz w:val="14"/>
                <w:szCs w:val="14"/>
                <w:lang w:eastAsia="sk-SK"/>
              </w:rPr>
            </w:pPr>
            <w:r w:rsidRPr="00502053">
              <w:rPr>
                <w:rFonts w:ascii="Times New Roman" w:hAnsi="Times New Roman" w:cs="Times New Roman"/>
                <w:color w:val="000000"/>
                <w:sz w:val="14"/>
                <w:szCs w:val="14"/>
                <w:lang w:eastAsia="sk-SK"/>
              </w:rPr>
              <w:t>Zahraničné transfery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color w:val="000000"/>
                <w:sz w:val="14"/>
                <w:szCs w:val="14"/>
              </w:rPr>
            </w:pPr>
            <w:r w:rsidRPr="006C2485">
              <w:rPr>
                <w:rFonts w:ascii="Times New Roman" w:hAnsi="Times New Roman" w:cs="Times New Roman"/>
                <w:color w:val="000000"/>
                <w:sz w:val="14"/>
                <w:szCs w:val="14"/>
              </w:rPr>
              <w:t>1 650 565</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2 031 346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color w:val="000000"/>
                <w:sz w:val="14"/>
                <w:szCs w:val="14"/>
              </w:rPr>
            </w:pPr>
            <w:r w:rsidRPr="006C2485">
              <w:rPr>
                <w:rFonts w:ascii="Times New Roman" w:hAnsi="Times New Roman" w:cs="Times New Roman"/>
                <w:color w:val="000000"/>
                <w:sz w:val="14"/>
                <w:szCs w:val="14"/>
              </w:rPr>
              <w:t>3 082 986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color w:val="000000"/>
                <w:sz w:val="14"/>
                <w:szCs w:val="14"/>
              </w:rPr>
            </w:pPr>
            <w:r w:rsidRPr="006C2485">
              <w:rPr>
                <w:rFonts w:ascii="Times New Roman" w:hAnsi="Times New Roman" w:cs="Times New Roman"/>
                <w:color w:val="000000"/>
                <w:sz w:val="14"/>
                <w:szCs w:val="14"/>
              </w:rPr>
              <w:t>2 914 201</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3 563 656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2 887 970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2 176 438</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502053" w:rsidP="00F26615">
            <w:pPr>
              <w:bidi w:val="0"/>
              <w:rPr>
                <w:rFonts w:ascii="Times New Roman" w:hAnsi="Times New Roman" w:cs="Times New Roman"/>
                <w:color w:val="000000"/>
                <w:sz w:val="14"/>
                <w:szCs w:val="14"/>
                <w:lang w:eastAsia="sk-SK"/>
              </w:rPr>
            </w:pPr>
            <w:r w:rsidRPr="00502053">
              <w:rPr>
                <w:rFonts w:ascii="Times New Roman" w:hAnsi="Times New Roman" w:cs="Times New Roman"/>
                <w:color w:val="000000"/>
                <w:sz w:val="14"/>
                <w:szCs w:val="14"/>
                <w:lang w:eastAsia="sk-SK"/>
              </w:rPr>
              <w:t>Dividendy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color w:val="000000"/>
                <w:sz w:val="14"/>
                <w:szCs w:val="14"/>
              </w:rPr>
            </w:pPr>
            <w:r w:rsidRPr="006C2485">
              <w:rPr>
                <w:rFonts w:ascii="Times New Roman" w:hAnsi="Times New Roman" w:cs="Times New Roman"/>
                <w:color w:val="000000"/>
                <w:sz w:val="14"/>
                <w:szCs w:val="14"/>
              </w:rPr>
              <w:t>487 652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A80395">
            <w:pPr>
              <w:bidi w:val="0"/>
              <w:jc w:val="right"/>
              <w:rPr>
                <w:rFonts w:ascii="Times New Roman" w:hAnsi="Times New Roman" w:cs="Times New Roman"/>
                <w:sz w:val="14"/>
                <w:szCs w:val="14"/>
              </w:rPr>
            </w:pPr>
            <w:r w:rsidR="00D64D01">
              <w:rPr>
                <w:rFonts w:ascii="Times New Roman" w:hAnsi="Times New Roman" w:cs="Times New Roman"/>
                <w:sz w:val="14"/>
                <w:szCs w:val="14"/>
              </w:rPr>
              <w:t xml:space="preserve">475 </w:t>
            </w:r>
            <w:r w:rsidR="00A80395">
              <w:rPr>
                <w:rFonts w:ascii="Times New Roman" w:hAnsi="Times New Roman" w:cs="Times New Roman"/>
                <w:sz w:val="14"/>
                <w:szCs w:val="14"/>
              </w:rPr>
              <w:t>7</w:t>
            </w:r>
            <w:r w:rsidR="00D64D01">
              <w:rPr>
                <w:rFonts w:ascii="Times New Roman" w:hAnsi="Times New Roman" w:cs="Times New Roman"/>
                <w:sz w:val="14"/>
                <w:szCs w:val="14"/>
              </w:rPr>
              <w:t>80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color w:val="000000"/>
                <w:sz w:val="14"/>
                <w:szCs w:val="14"/>
              </w:rPr>
            </w:pPr>
            <w:r w:rsidRPr="006C2485">
              <w:rPr>
                <w:rFonts w:ascii="Times New Roman" w:hAnsi="Times New Roman" w:cs="Times New Roman"/>
                <w:color w:val="000000"/>
                <w:sz w:val="14"/>
                <w:szCs w:val="14"/>
              </w:rPr>
              <w:t>597 847</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color w:val="000000"/>
                <w:sz w:val="14"/>
                <w:szCs w:val="14"/>
              </w:rPr>
            </w:pPr>
            <w:r w:rsidRPr="006C2485">
              <w:rPr>
                <w:rFonts w:ascii="Times New Roman" w:hAnsi="Times New Roman" w:cs="Times New Roman"/>
                <w:color w:val="000000"/>
                <w:sz w:val="14"/>
                <w:szCs w:val="14"/>
              </w:rPr>
              <w:t>595 102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5</w:t>
            </w:r>
            <w:r>
              <w:rPr>
                <w:rFonts w:ascii="Times New Roman" w:hAnsi="Times New Roman" w:cs="Times New Roman"/>
                <w:sz w:val="14"/>
                <w:szCs w:val="14"/>
              </w:rPr>
              <w:t>30 306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510 053</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516 975</w:t>
            </w:r>
          </w:p>
        </w:tc>
      </w:tr>
      <w:tr>
        <w:tblPrEx>
          <w:tblW w:w="5000" w:type="pct"/>
          <w:tblCellMar>
            <w:left w:w="70" w:type="dxa"/>
            <w:right w:w="70" w:type="dxa"/>
          </w:tblCellMar>
          <w:tblLook w:val="04A0"/>
        </w:tblPrEx>
        <w:trPr>
          <w:trHeight w:val="435"/>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502053" w:rsidP="00F26615">
            <w:pPr>
              <w:bidi w:val="0"/>
              <w:rPr>
                <w:rFonts w:ascii="Times New Roman" w:hAnsi="Times New Roman" w:cs="Times New Roman"/>
                <w:color w:val="000000"/>
                <w:sz w:val="14"/>
                <w:szCs w:val="14"/>
                <w:lang w:eastAsia="sk-SK"/>
              </w:rPr>
            </w:pPr>
            <w:r w:rsidRPr="00502053">
              <w:rPr>
                <w:rFonts w:ascii="Times New Roman" w:hAnsi="Times New Roman" w:cs="Times New Roman"/>
                <w:color w:val="000000"/>
                <w:sz w:val="14"/>
                <w:szCs w:val="14"/>
                <w:lang w:eastAsia="sk-SK"/>
              </w:rPr>
              <w:t>Ostatné nedaňové príjmy a tuzemské transfery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color w:val="000000"/>
                <w:sz w:val="14"/>
                <w:szCs w:val="14"/>
              </w:rPr>
            </w:pPr>
            <w:r w:rsidRPr="006C2485">
              <w:rPr>
                <w:rFonts w:ascii="Times New Roman" w:hAnsi="Times New Roman" w:cs="Times New Roman"/>
                <w:color w:val="000000"/>
                <w:sz w:val="14"/>
                <w:szCs w:val="14"/>
              </w:rPr>
              <w:t>643 279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A80395">
            <w:pPr>
              <w:bidi w:val="0"/>
              <w:jc w:val="right"/>
              <w:rPr>
                <w:rFonts w:ascii="Times New Roman" w:hAnsi="Times New Roman" w:cs="Times New Roman"/>
                <w:sz w:val="14"/>
                <w:szCs w:val="14"/>
              </w:rPr>
            </w:pPr>
            <w:r w:rsidRPr="006C2485">
              <w:rPr>
                <w:rFonts w:ascii="Times New Roman" w:hAnsi="Times New Roman" w:cs="Times New Roman"/>
                <w:sz w:val="14"/>
                <w:szCs w:val="14"/>
              </w:rPr>
              <w:t>7</w:t>
            </w:r>
            <w:r w:rsidR="00A80395">
              <w:rPr>
                <w:rFonts w:ascii="Times New Roman" w:hAnsi="Times New Roman" w:cs="Times New Roman"/>
                <w:sz w:val="14"/>
                <w:szCs w:val="14"/>
              </w:rPr>
              <w:t>95</w:t>
            </w:r>
            <w:r w:rsidRPr="006C2485">
              <w:rPr>
                <w:rFonts w:ascii="Times New Roman" w:hAnsi="Times New Roman" w:cs="Times New Roman"/>
                <w:sz w:val="14"/>
                <w:szCs w:val="14"/>
              </w:rPr>
              <w:t xml:space="preserve"> 10</w:t>
            </w:r>
            <w:r w:rsidR="00A80395">
              <w:rPr>
                <w:rFonts w:ascii="Times New Roman" w:hAnsi="Times New Roman" w:cs="Times New Roman"/>
                <w:sz w:val="14"/>
                <w:szCs w:val="14"/>
              </w:rPr>
              <w:t>3</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color w:val="000000"/>
                <w:sz w:val="14"/>
                <w:szCs w:val="14"/>
              </w:rPr>
            </w:pPr>
            <w:r w:rsidRPr="006C2485">
              <w:rPr>
                <w:rFonts w:ascii="Times New Roman" w:hAnsi="Times New Roman" w:cs="Times New Roman"/>
                <w:color w:val="000000"/>
                <w:sz w:val="14"/>
                <w:szCs w:val="14"/>
              </w:rPr>
              <w:t>715 928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color w:val="000000"/>
                <w:sz w:val="14"/>
                <w:szCs w:val="14"/>
              </w:rPr>
            </w:pPr>
            <w:r w:rsidRPr="006C2485">
              <w:rPr>
                <w:rFonts w:ascii="Times New Roman" w:hAnsi="Times New Roman" w:cs="Times New Roman"/>
                <w:color w:val="000000"/>
                <w:sz w:val="14"/>
                <w:szCs w:val="14"/>
              </w:rPr>
              <w:t>605 458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sz w:val="14"/>
                <w:szCs w:val="14"/>
              </w:rPr>
            </w:pPr>
            <w:r>
              <w:rPr>
                <w:rFonts w:ascii="Times New Roman" w:hAnsi="Times New Roman" w:cs="Times New Roman"/>
                <w:sz w:val="14"/>
                <w:szCs w:val="14"/>
              </w:rPr>
              <w:t>910 198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800 693</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819 132</w:t>
            </w:r>
          </w:p>
        </w:tc>
      </w:tr>
    </w:tbl>
    <w:p w:rsidR="00AA0F70" w:rsidP="00AA0F70">
      <w:pPr>
        <w:autoSpaceDE w:val="0"/>
        <w:autoSpaceDN w:val="0"/>
        <w:bidi w:val="0"/>
        <w:adjustRightInd w:val="0"/>
        <w:spacing w:line="240" w:lineRule="atLeast"/>
        <w:jc w:val="both"/>
        <w:rPr>
          <w:rFonts w:ascii="Times New Roman" w:hAnsi="Times New Roman"/>
          <w:color w:val="000000"/>
          <w:sz w:val="22"/>
          <w:szCs w:val="22"/>
        </w:rPr>
      </w:pPr>
    </w:p>
    <w:p w:rsidR="00AA0F70" w:rsidRPr="0060281F" w:rsidP="00AA0F70">
      <w:pPr>
        <w:bidi w:val="0"/>
        <w:jc w:val="both"/>
        <w:rPr>
          <w:rFonts w:ascii="Times New Roman" w:hAnsi="Times New Roman"/>
          <w:b/>
        </w:rPr>
      </w:pPr>
      <w:r>
        <w:rPr>
          <w:rFonts w:ascii="Times New Roman" w:hAnsi="Times New Roman"/>
          <w:b/>
        </w:rPr>
        <w:t>3</w:t>
      </w:r>
      <w:r w:rsidRPr="0060281F">
        <w:rPr>
          <w:rFonts w:ascii="Times New Roman" w:hAnsi="Times New Roman"/>
          <w:b/>
        </w:rPr>
        <w:t>.</w:t>
      </w:r>
      <w:r>
        <w:rPr>
          <w:rFonts w:ascii="Times New Roman" w:hAnsi="Times New Roman"/>
          <w:b/>
        </w:rPr>
        <w:t>4</w:t>
      </w:r>
      <w:r w:rsidRPr="0060281F">
        <w:rPr>
          <w:rFonts w:ascii="Times New Roman" w:hAnsi="Times New Roman"/>
          <w:b/>
        </w:rPr>
        <w:t>.1.  Zahraničné transfery</w:t>
      </w:r>
    </w:p>
    <w:p w:rsidR="00AA0F70" w:rsidRPr="0060281F" w:rsidP="00AA0F70">
      <w:pPr>
        <w:bidi w:val="0"/>
        <w:ind w:firstLine="708"/>
        <w:jc w:val="both"/>
        <w:rPr>
          <w:rFonts w:ascii="Times New Roman" w:hAnsi="Times New Roman"/>
        </w:rPr>
      </w:pPr>
    </w:p>
    <w:p w:rsidR="00AA0F70" w:rsidRPr="0060281F" w:rsidP="00AA0F70">
      <w:pPr>
        <w:bidi w:val="0"/>
        <w:ind w:firstLine="708"/>
        <w:jc w:val="both"/>
        <w:rPr>
          <w:rFonts w:ascii="Times New Roman" w:hAnsi="Times New Roman"/>
        </w:rPr>
      </w:pPr>
      <w:r>
        <w:rPr>
          <w:rFonts w:ascii="Times New Roman" w:hAnsi="Times New Roman"/>
        </w:rPr>
        <w:t xml:space="preserve">Zahraničné transfery predstavujú </w:t>
      </w:r>
      <w:r w:rsidRPr="0060281F">
        <w:rPr>
          <w:rFonts w:ascii="Times New Roman" w:hAnsi="Times New Roman"/>
        </w:rPr>
        <w:t>prostriedky</w:t>
      </w:r>
      <w:r w:rsidRPr="0060281F">
        <w:rPr>
          <w:rFonts w:ascii="Times New Roman" w:hAnsi="Times New Roman"/>
          <w:b/>
        </w:rPr>
        <w:t xml:space="preserve"> </w:t>
      </w:r>
      <w:r w:rsidRPr="0060281F">
        <w:rPr>
          <w:rFonts w:ascii="Times New Roman" w:hAnsi="Times New Roman"/>
        </w:rPr>
        <w:t>zo všeobecného rozpočtu Európskej únie v rámci druhého a od roku 2014 aj tretieho programového obdobia. V rokoch 201</w:t>
      </w:r>
      <w:r>
        <w:rPr>
          <w:rFonts w:ascii="Times New Roman" w:hAnsi="Times New Roman"/>
        </w:rPr>
        <w:t>3</w:t>
      </w:r>
      <w:r w:rsidRPr="0060281F">
        <w:rPr>
          <w:rFonts w:ascii="Times New Roman" w:hAnsi="Times New Roman"/>
        </w:rPr>
        <w:t xml:space="preserve"> až 201</w:t>
      </w:r>
      <w:r>
        <w:rPr>
          <w:rFonts w:ascii="Times New Roman" w:hAnsi="Times New Roman"/>
        </w:rPr>
        <w:t>5</w:t>
      </w:r>
      <w:r w:rsidRPr="0060281F">
        <w:rPr>
          <w:rFonts w:ascii="Times New Roman" w:hAnsi="Times New Roman"/>
        </w:rPr>
        <w:t xml:space="preserve"> sa rozpočtujú prostriedky EÚ pre programy Národného strategického referenčného rámca a poľnohospodárske fondy na roky 201</w:t>
      </w:r>
      <w:r>
        <w:rPr>
          <w:rFonts w:ascii="Times New Roman" w:hAnsi="Times New Roman"/>
        </w:rPr>
        <w:t>3</w:t>
      </w:r>
      <w:r w:rsidRPr="0060281F">
        <w:rPr>
          <w:rFonts w:ascii="Times New Roman" w:hAnsi="Times New Roman"/>
        </w:rPr>
        <w:t xml:space="preserve"> až 201</w:t>
      </w:r>
      <w:r>
        <w:rPr>
          <w:rFonts w:ascii="Times New Roman" w:hAnsi="Times New Roman"/>
        </w:rPr>
        <w:t>5</w:t>
      </w:r>
      <w:r w:rsidRPr="0060281F">
        <w:rPr>
          <w:rFonts w:ascii="Times New Roman" w:hAnsi="Times New Roman"/>
        </w:rPr>
        <w:t xml:space="preserve"> na základe odhadov čerpania výdavkov v jednotlivých rokoch, ktoré boli predložené príslušnými rezortmi, plniacimi funkcie riadiacich orgánov. Alokácie zodpovedajú sumám očakávaného čerpania v príslušných rokoch. Bližšia špecifikácia týchto prostriedkov je uvedená v prílohe č. 2 materiálu.</w:t>
      </w:r>
    </w:p>
    <w:p w:rsidR="00AA0F70" w:rsidRPr="0060281F" w:rsidP="00AA0F70">
      <w:pPr>
        <w:bidi w:val="0"/>
        <w:ind w:firstLine="708"/>
        <w:jc w:val="both"/>
        <w:rPr>
          <w:rFonts w:ascii="Times New Roman" w:hAnsi="Times New Roman"/>
        </w:rPr>
      </w:pPr>
      <w:r w:rsidRPr="0060281F">
        <w:rPr>
          <w:rFonts w:ascii="Times New Roman" w:hAnsi="Times New Roman"/>
        </w:rPr>
        <w:t xml:space="preserve"> </w:t>
      </w:r>
    </w:p>
    <w:p w:rsidR="00AA0F70" w:rsidP="00AA0F70">
      <w:pPr>
        <w:bidi w:val="0"/>
        <w:ind w:firstLine="708"/>
        <w:jc w:val="both"/>
        <w:rPr>
          <w:rFonts w:ascii="Times New Roman" w:hAnsi="Times New Roman"/>
        </w:rPr>
      </w:pPr>
      <w:r w:rsidRPr="0060281F">
        <w:rPr>
          <w:rFonts w:ascii="Times New Roman" w:hAnsi="Times New Roman"/>
        </w:rPr>
        <w:t>Vývoj plnenia týchto príjmov je nasledovný</w:t>
      </w:r>
      <w:r>
        <w:rPr>
          <w:rFonts w:ascii="Times New Roman" w:hAnsi="Times New Roman"/>
        </w:rPr>
        <w:t>:</w:t>
      </w:r>
    </w:p>
    <w:p w:rsidR="00AA0F70" w:rsidP="00AA0F70">
      <w:pPr>
        <w:bidi w:val="0"/>
        <w:ind w:firstLine="708"/>
        <w:jc w:val="both"/>
        <w:rPr>
          <w:rFonts w:ascii="Times New Roman" w:hAnsi="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283F45" w:rsidP="00F26615">
            <w:pPr>
              <w:bidi w:val="0"/>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A0F70" w:rsidRPr="00283F45" w:rsidP="00F26615">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2010 S</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A0F70" w:rsidRPr="00283F45" w:rsidP="00F26615">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2011 S</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A0F70" w:rsidRPr="00283F45" w:rsidP="00F26615">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2012 R</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A0F70" w:rsidRPr="00283F45" w:rsidP="00F26615">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2012 OS</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A0F70" w:rsidRPr="00283F45" w:rsidP="00F26615">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2013 N</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A0F70" w:rsidRPr="00283F45" w:rsidP="00F26615">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2014 N</w:t>
            </w:r>
          </w:p>
        </w:tc>
        <w:tc>
          <w:tcPr>
            <w:tcW w:w="58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AA0F70" w:rsidRPr="00283F45" w:rsidP="00F26615">
            <w:pPr>
              <w:bidi w:val="0"/>
              <w:jc w:val="cente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45F47" w:rsidP="00F26615">
            <w:pPr>
              <w:bidi w:val="0"/>
              <w:rPr>
                <w:rFonts w:ascii="Times New Roman" w:hAnsi="Times New Roman" w:cs="Times New Roman"/>
                <w:bCs/>
                <w:color w:val="000000"/>
                <w:sz w:val="14"/>
                <w:szCs w:val="14"/>
                <w:lang w:eastAsia="sk-SK"/>
              </w:rPr>
            </w:pPr>
            <w:r w:rsidRPr="00D45F47">
              <w:rPr>
                <w:rFonts w:ascii="Times New Roman" w:hAnsi="Times New Roman" w:cs="Times New Roman"/>
                <w:bCs/>
                <w:color w:val="000000"/>
                <w:sz w:val="14"/>
                <w:szCs w:val="14"/>
                <w:lang w:eastAsia="sk-SK"/>
              </w:rPr>
              <w:t>Zahraničné transfery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45F47" w:rsidP="00F26615">
            <w:pPr>
              <w:bidi w:val="0"/>
              <w:jc w:val="right"/>
              <w:rPr>
                <w:rFonts w:ascii="Times New Roman" w:hAnsi="Times New Roman" w:cs="Times New Roman"/>
                <w:bCs/>
                <w:color w:val="000000"/>
                <w:sz w:val="14"/>
                <w:szCs w:val="14"/>
                <w:lang w:eastAsia="sk-SK"/>
              </w:rPr>
            </w:pPr>
            <w:r w:rsidRPr="00D45F47">
              <w:rPr>
                <w:rFonts w:ascii="Times New Roman" w:hAnsi="Times New Roman" w:cs="Times New Roman"/>
                <w:bCs/>
                <w:color w:val="000000"/>
                <w:sz w:val="14"/>
                <w:szCs w:val="14"/>
                <w:lang w:eastAsia="sk-SK"/>
              </w:rPr>
              <w:t>1 650 565</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45F47" w:rsidP="00F26615">
            <w:pPr>
              <w:bidi w:val="0"/>
              <w:jc w:val="right"/>
              <w:rPr>
                <w:rFonts w:ascii="Times New Roman" w:hAnsi="Times New Roman" w:cs="Times New Roman"/>
                <w:bCs/>
                <w:color w:val="000000"/>
                <w:sz w:val="14"/>
                <w:szCs w:val="14"/>
                <w:lang w:eastAsia="sk-SK"/>
              </w:rPr>
            </w:pPr>
            <w:r w:rsidRPr="00D45F47">
              <w:rPr>
                <w:rFonts w:ascii="Times New Roman" w:hAnsi="Times New Roman" w:cs="Times New Roman"/>
                <w:bCs/>
                <w:color w:val="000000"/>
                <w:sz w:val="14"/>
                <w:szCs w:val="14"/>
                <w:lang w:eastAsia="sk-SK"/>
              </w:rPr>
              <w:t>2 031 346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45F47" w:rsidP="00F26615">
            <w:pPr>
              <w:bidi w:val="0"/>
              <w:jc w:val="right"/>
              <w:rPr>
                <w:rFonts w:ascii="Times New Roman" w:hAnsi="Times New Roman" w:cs="Times New Roman"/>
                <w:bCs/>
                <w:sz w:val="14"/>
                <w:szCs w:val="14"/>
                <w:lang w:eastAsia="sk-SK"/>
              </w:rPr>
            </w:pPr>
            <w:r w:rsidRPr="00D45F47">
              <w:rPr>
                <w:rFonts w:ascii="Times New Roman" w:hAnsi="Times New Roman" w:cs="Times New Roman"/>
                <w:bCs/>
                <w:sz w:val="14"/>
                <w:szCs w:val="14"/>
                <w:lang w:eastAsia="sk-SK"/>
              </w:rPr>
              <w:t>3 082 986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45F47" w:rsidP="00F26615">
            <w:pPr>
              <w:bidi w:val="0"/>
              <w:jc w:val="right"/>
              <w:rPr>
                <w:rFonts w:ascii="Times New Roman" w:hAnsi="Times New Roman" w:cs="Times New Roman"/>
                <w:bCs/>
                <w:sz w:val="14"/>
                <w:szCs w:val="14"/>
                <w:lang w:eastAsia="sk-SK"/>
              </w:rPr>
            </w:pPr>
            <w:r w:rsidRPr="00D45F47">
              <w:rPr>
                <w:rFonts w:ascii="Times New Roman" w:hAnsi="Times New Roman" w:cs="Times New Roman"/>
                <w:bCs/>
                <w:sz w:val="14"/>
                <w:szCs w:val="14"/>
                <w:lang w:eastAsia="sk-SK"/>
              </w:rPr>
              <w:t>2 914 201</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45F47" w:rsidP="00F26615">
            <w:pPr>
              <w:bidi w:val="0"/>
              <w:jc w:val="right"/>
              <w:rPr>
                <w:rFonts w:ascii="Times New Roman" w:hAnsi="Times New Roman" w:cs="Times New Roman"/>
                <w:bCs/>
                <w:sz w:val="14"/>
                <w:szCs w:val="14"/>
                <w:lang w:eastAsia="sk-SK"/>
              </w:rPr>
            </w:pPr>
            <w:r w:rsidRPr="00D45F47">
              <w:rPr>
                <w:rFonts w:ascii="Times New Roman" w:hAnsi="Times New Roman" w:cs="Times New Roman"/>
                <w:bCs/>
                <w:sz w:val="14"/>
                <w:szCs w:val="14"/>
                <w:lang w:eastAsia="sk-SK"/>
              </w:rPr>
              <w:t>3 563 656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D45F47" w:rsidP="00F26615">
            <w:pPr>
              <w:bidi w:val="0"/>
              <w:jc w:val="right"/>
              <w:rPr>
                <w:rFonts w:ascii="Times New Roman" w:hAnsi="Times New Roman" w:cs="Times New Roman"/>
                <w:bCs/>
                <w:sz w:val="14"/>
                <w:szCs w:val="14"/>
                <w:lang w:eastAsia="sk-SK"/>
              </w:rPr>
            </w:pPr>
            <w:r w:rsidRPr="00D45F47">
              <w:rPr>
                <w:rFonts w:ascii="Times New Roman" w:hAnsi="Times New Roman" w:cs="Times New Roman"/>
                <w:bCs/>
                <w:sz w:val="14"/>
                <w:szCs w:val="14"/>
                <w:lang w:eastAsia="sk-SK"/>
              </w:rPr>
              <w:t>2 887 970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D45F47" w:rsidP="00F26615">
            <w:pPr>
              <w:bidi w:val="0"/>
              <w:jc w:val="right"/>
              <w:rPr>
                <w:rFonts w:ascii="Times New Roman" w:hAnsi="Times New Roman" w:cs="Times New Roman"/>
                <w:bCs/>
                <w:sz w:val="14"/>
                <w:szCs w:val="14"/>
                <w:lang w:eastAsia="sk-SK"/>
              </w:rPr>
            </w:pPr>
            <w:r w:rsidRPr="00D45F47">
              <w:rPr>
                <w:rFonts w:ascii="Times New Roman" w:hAnsi="Times New Roman" w:cs="Times New Roman"/>
                <w:bCs/>
                <w:sz w:val="14"/>
                <w:szCs w:val="14"/>
                <w:lang w:eastAsia="sk-SK"/>
              </w:rPr>
              <w:t>2 176 438</w:t>
            </w:r>
          </w:p>
        </w:tc>
      </w:tr>
    </w:tbl>
    <w:p w:rsidR="00AA0F70" w:rsidP="00AA0F70">
      <w:pPr>
        <w:bidi w:val="0"/>
        <w:jc w:val="both"/>
        <w:rPr>
          <w:rFonts w:ascii="Times New Roman" w:hAnsi="Times New Roman"/>
          <w:b/>
          <w:szCs w:val="22"/>
        </w:rPr>
      </w:pPr>
    </w:p>
    <w:p w:rsidR="00AA0F70" w:rsidRPr="006353C5" w:rsidP="00AA0F70">
      <w:pPr>
        <w:bidi w:val="0"/>
        <w:jc w:val="both"/>
        <w:rPr>
          <w:rFonts w:ascii="Times New Roman" w:hAnsi="Times New Roman"/>
          <w:b/>
          <w:szCs w:val="22"/>
        </w:rPr>
      </w:pPr>
      <w:r>
        <w:rPr>
          <w:rFonts w:ascii="Times New Roman" w:hAnsi="Times New Roman"/>
          <w:b/>
          <w:szCs w:val="22"/>
        </w:rPr>
        <w:t>3</w:t>
      </w:r>
      <w:r w:rsidRPr="006353C5">
        <w:rPr>
          <w:rFonts w:ascii="Times New Roman" w:hAnsi="Times New Roman"/>
          <w:b/>
          <w:szCs w:val="22"/>
        </w:rPr>
        <w:t>.</w:t>
      </w:r>
      <w:r>
        <w:rPr>
          <w:rFonts w:ascii="Times New Roman" w:hAnsi="Times New Roman"/>
          <w:b/>
          <w:szCs w:val="22"/>
        </w:rPr>
        <w:t>4</w:t>
      </w:r>
      <w:r w:rsidRPr="006353C5">
        <w:rPr>
          <w:rFonts w:ascii="Times New Roman" w:hAnsi="Times New Roman"/>
          <w:b/>
          <w:szCs w:val="22"/>
        </w:rPr>
        <w:t>.2.</w:t>
        <w:tab/>
        <w:t>Dividendy</w:t>
      </w:r>
    </w:p>
    <w:p w:rsidR="00AA0F70" w:rsidRPr="006353C5" w:rsidP="00AA0F70">
      <w:pPr>
        <w:bidi w:val="0"/>
        <w:jc w:val="both"/>
        <w:rPr>
          <w:rFonts w:ascii="Times New Roman" w:hAnsi="Times New Roman"/>
          <w:b/>
          <w:szCs w:val="22"/>
        </w:rPr>
      </w:pPr>
    </w:p>
    <w:p w:rsidR="00AA0F70" w:rsidP="00AA0F70">
      <w:pPr>
        <w:bidi w:val="0"/>
        <w:jc w:val="both"/>
        <w:rPr>
          <w:rFonts w:ascii="Times New Roman" w:hAnsi="Times New Roman"/>
          <w:szCs w:val="22"/>
        </w:rPr>
      </w:pPr>
      <w:r w:rsidRPr="006353C5">
        <w:rPr>
          <w:rFonts w:ascii="Times New Roman" w:hAnsi="Times New Roman"/>
          <w:szCs w:val="22"/>
        </w:rPr>
        <w:tab/>
        <w:t xml:space="preserve">Dividendy tvoria príjmy z dividend podnikov s majetkovou účasťou Fondu národného majetku SR a príjmy z podnikania z vlastníckeho podielu štátu, ktorý je zastúpený príslušnými </w:t>
      </w:r>
      <w:r w:rsidRPr="00F9102A">
        <w:rPr>
          <w:rFonts w:ascii="Times New Roman" w:hAnsi="Times New Roman"/>
          <w:szCs w:val="22"/>
        </w:rPr>
        <w:t>rezortnými  ministerstvami</w:t>
      </w:r>
      <w:r w:rsidRPr="006353C5">
        <w:rPr>
          <w:rFonts w:ascii="Times New Roman" w:hAnsi="Times New Roman"/>
          <w:szCs w:val="22"/>
        </w:rPr>
        <w:t xml:space="preserve"> v akciových spoločnostiach s majetkovou účasťou štátu. Ich vývoj je nasledovný</w:t>
      </w:r>
      <w:r>
        <w:rPr>
          <w:rFonts w:ascii="Times New Roman" w:hAnsi="Times New Roman"/>
          <w:szCs w:val="22"/>
        </w:rPr>
        <w:t>:</w:t>
      </w:r>
    </w:p>
    <w:p w:rsidR="00AA0F70" w:rsidP="00AA0F70">
      <w:pPr>
        <w:bidi w:val="0"/>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0F70" w:rsidRPr="005C66DA" w:rsidP="00F26615">
            <w:pPr>
              <w:bidi w:val="0"/>
              <w:jc w:val="both"/>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C66DA" w:rsidP="00F26615">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2010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C66DA" w:rsidP="00F26615">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2011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C66DA" w:rsidP="00F26615">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2012 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C66DA" w:rsidP="00F26615">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2012 OS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C66DA" w:rsidP="00F26615">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2013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C66DA" w:rsidP="00F26615">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2014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5C66DA" w:rsidP="00F26615">
            <w:pPr>
              <w:bidi w:val="0"/>
              <w:jc w:val="center"/>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5C66DA" w:rsidP="00F26615">
            <w:pPr>
              <w:bidi w:val="0"/>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Dividendy</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5C66DA" w:rsidP="00F26615">
            <w:pPr>
              <w:bidi w:val="0"/>
              <w:jc w:val="right"/>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487 652</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5C66DA" w:rsidP="00A80395">
            <w:pPr>
              <w:bidi w:val="0"/>
              <w:jc w:val="right"/>
              <w:rPr>
                <w:rFonts w:ascii="Times New Roman" w:hAnsi="Times New Roman" w:cs="Times New Roman"/>
                <w:b/>
                <w:bCs/>
                <w:sz w:val="14"/>
                <w:szCs w:val="14"/>
                <w:lang w:eastAsia="sk-SK"/>
              </w:rPr>
            </w:pPr>
            <w:r w:rsidRPr="005C66DA">
              <w:rPr>
                <w:rFonts w:ascii="Times New Roman" w:hAnsi="Times New Roman" w:cs="Times New Roman"/>
                <w:b/>
                <w:bCs/>
                <w:sz w:val="14"/>
                <w:szCs w:val="14"/>
                <w:lang w:eastAsia="sk-SK"/>
              </w:rPr>
              <w:t xml:space="preserve">475 </w:t>
            </w:r>
            <w:r w:rsidR="00A80395">
              <w:rPr>
                <w:rFonts w:ascii="Times New Roman" w:hAnsi="Times New Roman" w:cs="Times New Roman"/>
                <w:b/>
                <w:bCs/>
                <w:sz w:val="14"/>
                <w:szCs w:val="14"/>
                <w:lang w:eastAsia="sk-SK"/>
              </w:rPr>
              <w:t>7</w:t>
            </w:r>
            <w:r w:rsidR="00D64D01">
              <w:rPr>
                <w:rFonts w:ascii="Times New Roman" w:hAnsi="Times New Roman" w:cs="Times New Roman"/>
                <w:b/>
                <w:bCs/>
                <w:sz w:val="14"/>
                <w:szCs w:val="14"/>
                <w:lang w:eastAsia="sk-SK"/>
              </w:rPr>
              <w:t>80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5C66DA" w:rsidP="00F26615">
            <w:pPr>
              <w:bidi w:val="0"/>
              <w:jc w:val="right"/>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597 847</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5C66DA" w:rsidP="00F26615">
            <w:pPr>
              <w:bidi w:val="0"/>
              <w:jc w:val="right"/>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595 102</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C2485" w:rsidP="00F26615">
            <w:pPr>
              <w:bidi w:val="0"/>
              <w:jc w:val="right"/>
              <w:rPr>
                <w:rFonts w:ascii="Times New Roman" w:hAnsi="Times New Roman" w:cs="Times New Roman"/>
                <w:b/>
                <w:bCs/>
                <w:sz w:val="14"/>
                <w:szCs w:val="14"/>
              </w:rPr>
            </w:pPr>
            <w:r>
              <w:rPr>
                <w:rFonts w:ascii="Times New Roman" w:hAnsi="Times New Roman" w:cs="Times New Roman"/>
                <w:b/>
                <w:bCs/>
                <w:sz w:val="14"/>
                <w:szCs w:val="14"/>
              </w:rPr>
              <w:t>530</w:t>
            </w:r>
            <w:r w:rsidRPr="006C2485">
              <w:rPr>
                <w:rFonts w:ascii="Times New Roman" w:hAnsi="Times New Roman" w:cs="Times New Roman"/>
                <w:b/>
                <w:bCs/>
                <w:sz w:val="14"/>
                <w:szCs w:val="14"/>
              </w:rPr>
              <w:t xml:space="preserve"> 306</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C2485" w:rsidP="00F26615">
            <w:pPr>
              <w:bidi w:val="0"/>
              <w:jc w:val="right"/>
              <w:rPr>
                <w:rFonts w:ascii="Times New Roman" w:hAnsi="Times New Roman" w:cs="Times New Roman"/>
                <w:b/>
                <w:bCs/>
                <w:sz w:val="14"/>
                <w:szCs w:val="14"/>
              </w:rPr>
            </w:pPr>
            <w:r w:rsidRPr="006C2485">
              <w:rPr>
                <w:rFonts w:ascii="Times New Roman" w:hAnsi="Times New Roman" w:cs="Times New Roman"/>
                <w:b/>
                <w:bCs/>
                <w:sz w:val="14"/>
                <w:szCs w:val="14"/>
              </w:rPr>
              <w:t>510 053</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C2485" w:rsidP="00F26615">
            <w:pPr>
              <w:bidi w:val="0"/>
              <w:jc w:val="right"/>
              <w:rPr>
                <w:rFonts w:ascii="Times New Roman" w:hAnsi="Times New Roman" w:cs="Times New Roman"/>
                <w:b/>
                <w:bCs/>
                <w:sz w:val="14"/>
                <w:szCs w:val="14"/>
              </w:rPr>
            </w:pPr>
            <w:r w:rsidRPr="006C2485">
              <w:rPr>
                <w:rFonts w:ascii="Times New Roman" w:hAnsi="Times New Roman" w:cs="Times New Roman"/>
                <w:b/>
                <w:bCs/>
                <w:sz w:val="14"/>
                <w:szCs w:val="14"/>
              </w:rPr>
              <w:t>516 975</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5C66DA" w:rsidP="00F26615">
            <w:pPr>
              <w:bidi w:val="0"/>
              <w:rPr>
                <w:rFonts w:ascii="Times New Roman" w:hAnsi="Times New Roman" w:cs="Times New Roman"/>
                <w:color w:val="000000"/>
                <w:sz w:val="14"/>
                <w:szCs w:val="14"/>
                <w:lang w:eastAsia="sk-SK"/>
              </w:rPr>
            </w:pPr>
            <w:r w:rsidRPr="005C66DA">
              <w:rPr>
                <w:rFonts w:ascii="Times New Roman" w:hAnsi="Times New Roman" w:cs="Times New Roman"/>
                <w:color w:val="000000"/>
                <w:sz w:val="14"/>
                <w:szCs w:val="14"/>
                <w:lang w:eastAsia="sk-SK"/>
              </w:rPr>
              <w:t>Fond národného majetku</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E16238" w:rsidP="00BC175F">
            <w:pPr>
              <w:bidi w:val="0"/>
              <w:jc w:val="right"/>
              <w:rPr>
                <w:rFonts w:ascii="Times New Roman" w:hAnsi="Times New Roman" w:cs="Times New Roman"/>
                <w:bCs/>
                <w:color w:val="000000"/>
                <w:sz w:val="14"/>
                <w:szCs w:val="14"/>
                <w:lang w:eastAsia="sk-SK"/>
              </w:rPr>
            </w:pPr>
            <w:r w:rsidRPr="00E16238">
              <w:rPr>
                <w:rFonts w:ascii="Times New Roman" w:hAnsi="Times New Roman" w:cs="Times New Roman"/>
                <w:bCs/>
                <w:color w:val="000000"/>
                <w:sz w:val="14"/>
                <w:szCs w:val="14"/>
                <w:lang w:eastAsia="sk-SK"/>
              </w:rPr>
              <w:t>414 50</w:t>
            </w:r>
            <w:r w:rsidR="00BC175F">
              <w:rPr>
                <w:rFonts w:ascii="Times New Roman" w:hAnsi="Times New Roman" w:cs="Times New Roman"/>
                <w:bCs/>
                <w:color w:val="000000"/>
                <w:sz w:val="14"/>
                <w:szCs w:val="14"/>
                <w:lang w:eastAsia="sk-SK"/>
              </w:rPr>
              <w:t>4</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E16238" w:rsidP="00BC175F">
            <w:pPr>
              <w:bidi w:val="0"/>
              <w:jc w:val="right"/>
              <w:rPr>
                <w:rFonts w:ascii="Times New Roman" w:hAnsi="Times New Roman" w:cs="Times New Roman"/>
                <w:bCs/>
                <w:sz w:val="14"/>
                <w:szCs w:val="14"/>
                <w:lang w:eastAsia="sk-SK"/>
              </w:rPr>
            </w:pPr>
            <w:r w:rsidRPr="00E16238">
              <w:rPr>
                <w:rFonts w:ascii="Times New Roman" w:hAnsi="Times New Roman" w:cs="Times New Roman"/>
                <w:bCs/>
                <w:sz w:val="14"/>
                <w:szCs w:val="14"/>
                <w:lang w:eastAsia="sk-SK"/>
              </w:rPr>
              <w:t>364 018</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E16238" w:rsidP="00BC175F">
            <w:pPr>
              <w:bidi w:val="0"/>
              <w:jc w:val="right"/>
              <w:rPr>
                <w:rFonts w:ascii="Times New Roman" w:hAnsi="Times New Roman" w:cs="Times New Roman"/>
                <w:bCs/>
                <w:sz w:val="14"/>
                <w:szCs w:val="14"/>
                <w:lang w:eastAsia="sk-SK"/>
              </w:rPr>
            </w:pPr>
            <w:r w:rsidRPr="00E16238">
              <w:rPr>
                <w:rFonts w:ascii="Times New Roman" w:hAnsi="Times New Roman" w:cs="Times New Roman"/>
                <w:bCs/>
                <w:sz w:val="14"/>
                <w:szCs w:val="14"/>
                <w:lang w:eastAsia="sk-SK"/>
              </w:rPr>
              <w:t>496 864</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5C66DA" w:rsidP="00F26615">
            <w:pPr>
              <w:bidi w:val="0"/>
              <w:jc w:val="right"/>
              <w:rPr>
                <w:rFonts w:ascii="Times New Roman" w:hAnsi="Times New Roman" w:cs="Times New Roman"/>
                <w:color w:val="000000"/>
                <w:sz w:val="14"/>
                <w:szCs w:val="14"/>
                <w:lang w:eastAsia="sk-SK"/>
              </w:rPr>
            </w:pPr>
            <w:r w:rsidRPr="005C66DA">
              <w:rPr>
                <w:rFonts w:ascii="Times New Roman" w:hAnsi="Times New Roman" w:cs="Times New Roman"/>
                <w:color w:val="000000"/>
                <w:sz w:val="14"/>
                <w:szCs w:val="14"/>
                <w:lang w:eastAsia="sk-SK"/>
              </w:rPr>
              <w:t>505 864</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441 171</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437 510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6C2485" w:rsidP="00F26615">
            <w:pPr>
              <w:bidi w:val="0"/>
              <w:jc w:val="right"/>
              <w:rPr>
                <w:rFonts w:ascii="Times New Roman" w:hAnsi="Times New Roman" w:cs="Times New Roman"/>
                <w:sz w:val="14"/>
                <w:szCs w:val="14"/>
              </w:rPr>
            </w:pPr>
            <w:r w:rsidRPr="006C2485">
              <w:rPr>
                <w:rFonts w:ascii="Times New Roman" w:hAnsi="Times New Roman" w:cs="Times New Roman"/>
                <w:sz w:val="14"/>
                <w:szCs w:val="14"/>
              </w:rPr>
              <w:t>437 615</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5C66DA" w:rsidP="00F26615">
            <w:pPr>
              <w:bidi w:val="0"/>
              <w:rPr>
                <w:rFonts w:ascii="Times New Roman" w:hAnsi="Times New Roman" w:cs="Times New Roman"/>
                <w:color w:val="000000"/>
                <w:sz w:val="14"/>
                <w:szCs w:val="14"/>
                <w:lang w:eastAsia="sk-SK"/>
              </w:rPr>
            </w:pPr>
            <w:r w:rsidRPr="005C66DA">
              <w:rPr>
                <w:rFonts w:ascii="Times New Roman" w:hAnsi="Times New Roman" w:cs="Times New Roman"/>
                <w:color w:val="000000"/>
                <w:sz w:val="14"/>
                <w:szCs w:val="14"/>
                <w:lang w:eastAsia="sk-SK"/>
              </w:rPr>
              <w:t>Kapitoly štátneho rozpočtu</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E16238" w:rsidP="00BC175F">
            <w:pPr>
              <w:bidi w:val="0"/>
              <w:jc w:val="right"/>
              <w:rPr>
                <w:rFonts w:ascii="Times New Roman" w:hAnsi="Times New Roman" w:cs="Times New Roman"/>
                <w:bCs/>
                <w:color w:val="000000"/>
                <w:sz w:val="14"/>
                <w:szCs w:val="14"/>
                <w:lang w:eastAsia="sk-SK"/>
              </w:rPr>
            </w:pPr>
            <w:r w:rsidRPr="00E16238">
              <w:rPr>
                <w:rFonts w:ascii="Times New Roman" w:hAnsi="Times New Roman" w:cs="Times New Roman"/>
                <w:bCs/>
                <w:color w:val="000000"/>
                <w:sz w:val="14"/>
                <w:szCs w:val="14"/>
                <w:lang w:eastAsia="sk-SK"/>
              </w:rPr>
              <w:t>73 148</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E16238" w:rsidP="00A80395">
            <w:pPr>
              <w:bidi w:val="0"/>
              <w:jc w:val="right"/>
              <w:rPr>
                <w:rFonts w:ascii="Times New Roman" w:hAnsi="Times New Roman" w:cs="Times New Roman"/>
                <w:bCs/>
                <w:color w:val="000000"/>
                <w:sz w:val="14"/>
                <w:szCs w:val="14"/>
                <w:lang w:eastAsia="sk-SK"/>
              </w:rPr>
            </w:pPr>
            <w:r w:rsidRPr="00E16238">
              <w:rPr>
                <w:rFonts w:ascii="Times New Roman" w:hAnsi="Times New Roman" w:cs="Times New Roman"/>
                <w:bCs/>
                <w:color w:val="000000"/>
                <w:sz w:val="14"/>
                <w:szCs w:val="14"/>
                <w:lang w:eastAsia="sk-SK"/>
              </w:rPr>
              <w:t xml:space="preserve">111 </w:t>
            </w:r>
            <w:r w:rsidR="00A80395">
              <w:rPr>
                <w:rFonts w:ascii="Times New Roman" w:hAnsi="Times New Roman" w:cs="Times New Roman"/>
                <w:bCs/>
                <w:color w:val="000000"/>
                <w:sz w:val="14"/>
                <w:szCs w:val="14"/>
                <w:lang w:eastAsia="sk-SK"/>
              </w:rPr>
              <w:t>7</w:t>
            </w:r>
            <w:r w:rsidRPr="00E16238">
              <w:rPr>
                <w:rFonts w:ascii="Times New Roman" w:hAnsi="Times New Roman" w:cs="Times New Roman"/>
                <w:bCs/>
                <w:color w:val="000000"/>
                <w:sz w:val="14"/>
                <w:szCs w:val="14"/>
                <w:lang w:eastAsia="sk-SK"/>
              </w:rPr>
              <w:t>62</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E16238" w:rsidP="00BC175F">
            <w:pPr>
              <w:bidi w:val="0"/>
              <w:jc w:val="right"/>
              <w:rPr>
                <w:rFonts w:ascii="Times New Roman" w:hAnsi="Times New Roman" w:cs="Times New Roman"/>
                <w:bCs/>
                <w:color w:val="000000"/>
                <w:sz w:val="14"/>
                <w:szCs w:val="14"/>
                <w:lang w:eastAsia="sk-SK"/>
              </w:rPr>
            </w:pPr>
            <w:r w:rsidRPr="00E16238">
              <w:rPr>
                <w:rFonts w:ascii="Times New Roman" w:hAnsi="Times New Roman" w:cs="Times New Roman"/>
                <w:bCs/>
                <w:color w:val="000000"/>
                <w:sz w:val="14"/>
                <w:szCs w:val="14"/>
                <w:lang w:eastAsia="sk-SK"/>
              </w:rPr>
              <w:t>120 983</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E16238" w:rsidP="00BC175F">
            <w:pPr>
              <w:bidi w:val="0"/>
              <w:jc w:val="right"/>
              <w:rPr>
                <w:rFonts w:ascii="Times New Roman" w:hAnsi="Times New Roman" w:cs="Times New Roman"/>
                <w:bCs/>
                <w:color w:val="000000"/>
                <w:sz w:val="14"/>
                <w:szCs w:val="14"/>
                <w:lang w:eastAsia="sk-SK"/>
              </w:rPr>
            </w:pPr>
            <w:r w:rsidRPr="00E16238">
              <w:rPr>
                <w:rFonts w:ascii="Times New Roman" w:hAnsi="Times New Roman" w:cs="Times New Roman"/>
                <w:bCs/>
                <w:color w:val="000000"/>
                <w:sz w:val="14"/>
                <w:szCs w:val="14"/>
                <w:lang w:eastAsia="sk-SK"/>
              </w:rPr>
              <w:t>99 693</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E16238" w:rsidP="00BC175F">
            <w:pPr>
              <w:bidi w:val="0"/>
              <w:jc w:val="right"/>
              <w:rPr>
                <w:rFonts w:ascii="Times New Roman" w:hAnsi="Times New Roman" w:cs="Times New Roman"/>
                <w:bCs/>
                <w:color w:val="000000"/>
                <w:sz w:val="14"/>
                <w:szCs w:val="14"/>
              </w:rPr>
            </w:pPr>
            <w:r w:rsidRPr="00E16238">
              <w:rPr>
                <w:rFonts w:ascii="Times New Roman" w:hAnsi="Times New Roman" w:cs="Times New Roman"/>
                <w:bCs/>
                <w:color w:val="000000"/>
                <w:sz w:val="14"/>
                <w:szCs w:val="14"/>
              </w:rPr>
              <w:t>89 135</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E16238" w:rsidP="00BC175F">
            <w:pPr>
              <w:bidi w:val="0"/>
              <w:jc w:val="right"/>
              <w:rPr>
                <w:rFonts w:ascii="Times New Roman" w:hAnsi="Times New Roman" w:cs="Times New Roman"/>
                <w:bCs/>
                <w:color w:val="000000"/>
                <w:sz w:val="14"/>
                <w:szCs w:val="14"/>
              </w:rPr>
            </w:pPr>
            <w:r w:rsidRPr="00E16238">
              <w:rPr>
                <w:rFonts w:ascii="Times New Roman" w:hAnsi="Times New Roman" w:cs="Times New Roman"/>
                <w:bCs/>
                <w:color w:val="000000"/>
                <w:sz w:val="14"/>
                <w:szCs w:val="14"/>
              </w:rPr>
              <w:t>72 543</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E16238" w:rsidRPr="00E16238" w:rsidP="00BC175F">
            <w:pPr>
              <w:bidi w:val="0"/>
              <w:jc w:val="right"/>
              <w:rPr>
                <w:rFonts w:ascii="Times New Roman" w:hAnsi="Times New Roman" w:cs="Times New Roman"/>
                <w:bCs/>
                <w:color w:val="000000"/>
                <w:sz w:val="14"/>
                <w:szCs w:val="14"/>
              </w:rPr>
            </w:pPr>
            <w:r w:rsidRPr="00E16238">
              <w:rPr>
                <w:rFonts w:ascii="Times New Roman" w:hAnsi="Times New Roman" w:cs="Times New Roman"/>
                <w:bCs/>
                <w:color w:val="000000"/>
                <w:sz w:val="14"/>
                <w:szCs w:val="14"/>
              </w:rPr>
              <w:t>79 360</w:t>
            </w:r>
          </w:p>
        </w:tc>
      </w:tr>
    </w:tbl>
    <w:p w:rsidR="00AA0F70" w:rsidRPr="006353C5" w:rsidP="00AA0F70">
      <w:pPr>
        <w:bidi w:val="0"/>
        <w:jc w:val="both"/>
        <w:rPr>
          <w:rFonts w:ascii="Times New Roman" w:hAnsi="Times New Roman"/>
          <w:szCs w:val="22"/>
        </w:rPr>
      </w:pPr>
    </w:p>
    <w:p w:rsidR="00AA0F70" w:rsidRPr="002C2CE9" w:rsidP="00AA0F70">
      <w:pPr>
        <w:bidi w:val="0"/>
        <w:jc w:val="both"/>
        <w:rPr>
          <w:rFonts w:ascii="Times New Roman" w:hAnsi="Times New Roman"/>
          <w:b/>
          <w:i/>
          <w:szCs w:val="22"/>
        </w:rPr>
      </w:pPr>
      <w:r w:rsidRPr="002C2CE9">
        <w:rPr>
          <w:rFonts w:ascii="Times New Roman" w:hAnsi="Times New Roman"/>
          <w:b/>
          <w:i/>
          <w:sz w:val="22"/>
          <w:szCs w:val="22"/>
        </w:rPr>
        <w:tab/>
      </w:r>
      <w:r w:rsidRPr="002C2CE9">
        <w:rPr>
          <w:rFonts w:ascii="Times New Roman" w:hAnsi="Times New Roman"/>
          <w:b/>
          <w:i/>
          <w:szCs w:val="22"/>
        </w:rPr>
        <w:t>Fond národného majetku</w:t>
      </w:r>
      <w:r>
        <w:rPr>
          <w:rFonts w:ascii="Times New Roman" w:hAnsi="Times New Roman"/>
          <w:b/>
          <w:i/>
          <w:szCs w:val="22"/>
        </w:rPr>
        <w:t xml:space="preserve"> Slovenskej republiky</w:t>
      </w:r>
    </w:p>
    <w:p w:rsidR="00AA0F70" w:rsidRPr="00F9102A" w:rsidP="00AA0F70">
      <w:pPr>
        <w:bidi w:val="0"/>
        <w:jc w:val="both"/>
        <w:rPr>
          <w:rFonts w:ascii="Times New Roman" w:hAnsi="Times New Roman"/>
          <w:szCs w:val="22"/>
        </w:rPr>
      </w:pPr>
      <w:r w:rsidRPr="002C2CE9">
        <w:rPr>
          <w:rFonts w:ascii="Times New Roman" w:hAnsi="Times New Roman"/>
          <w:b/>
          <w:szCs w:val="22"/>
        </w:rPr>
        <w:tab/>
      </w:r>
    </w:p>
    <w:p w:rsidR="00AA0F70" w:rsidP="00AA0F70">
      <w:pPr>
        <w:bidi w:val="0"/>
        <w:ind w:firstLine="708"/>
        <w:jc w:val="both"/>
        <w:rPr>
          <w:rFonts w:ascii="Times New Roman" w:hAnsi="Times New Roman"/>
          <w:szCs w:val="22"/>
        </w:rPr>
      </w:pPr>
      <w:r w:rsidRPr="00F9102A">
        <w:rPr>
          <w:rFonts w:ascii="Times New Roman" w:hAnsi="Times New Roman"/>
          <w:szCs w:val="22"/>
        </w:rPr>
        <w:t xml:space="preserve">V roku 2013 sa navrhujú prostredníctvom FNM </w:t>
      </w:r>
      <w:r>
        <w:rPr>
          <w:rFonts w:ascii="Times New Roman" w:hAnsi="Times New Roman"/>
          <w:szCs w:val="22"/>
        </w:rPr>
        <w:t xml:space="preserve">SR </w:t>
      </w:r>
      <w:r w:rsidRPr="00F9102A">
        <w:rPr>
          <w:rFonts w:ascii="Times New Roman" w:hAnsi="Times New Roman"/>
          <w:szCs w:val="22"/>
        </w:rPr>
        <w:t>dividendy v</w:t>
      </w:r>
      <w:r>
        <w:rPr>
          <w:rFonts w:ascii="Times New Roman" w:hAnsi="Times New Roman"/>
          <w:szCs w:val="22"/>
        </w:rPr>
        <w:t xml:space="preserve"> </w:t>
      </w:r>
      <w:r w:rsidRPr="00F9102A">
        <w:rPr>
          <w:rFonts w:ascii="Times New Roman" w:hAnsi="Times New Roman"/>
          <w:szCs w:val="22"/>
        </w:rPr>
        <w:t>objeme</w:t>
      </w:r>
      <w:r>
        <w:rPr>
          <w:rFonts w:ascii="Times New Roman" w:hAnsi="Times New Roman"/>
          <w:szCs w:val="22"/>
        </w:rPr>
        <w:t xml:space="preserve"> </w:t>
        <w:br/>
        <w:t>441</w:t>
      </w:r>
      <w:r w:rsidRPr="00F9102A">
        <w:rPr>
          <w:rFonts w:ascii="Times New Roman" w:hAnsi="Times New Roman"/>
          <w:szCs w:val="22"/>
        </w:rPr>
        <w:t>,</w:t>
      </w:r>
      <w:r>
        <w:rPr>
          <w:rFonts w:ascii="Times New Roman" w:hAnsi="Times New Roman"/>
          <w:szCs w:val="22"/>
        </w:rPr>
        <w:t>2</w:t>
      </w:r>
      <w:r w:rsidRPr="00F9102A">
        <w:rPr>
          <w:rFonts w:ascii="Times New Roman" w:hAnsi="Times New Roman"/>
          <w:szCs w:val="22"/>
        </w:rPr>
        <w:t xml:space="preserve"> mil. eur, čo predstavuje oproti </w:t>
      </w:r>
      <w:r>
        <w:rPr>
          <w:rFonts w:ascii="Times New Roman" w:hAnsi="Times New Roman"/>
          <w:szCs w:val="22"/>
        </w:rPr>
        <w:t xml:space="preserve">schválenému </w:t>
      </w:r>
      <w:r w:rsidRPr="00F9102A">
        <w:rPr>
          <w:rFonts w:ascii="Times New Roman" w:hAnsi="Times New Roman"/>
          <w:szCs w:val="22"/>
        </w:rPr>
        <w:t xml:space="preserve">rozpočtu roku 2012 pokles </w:t>
      </w:r>
      <w:r>
        <w:rPr>
          <w:rFonts w:ascii="Times New Roman" w:hAnsi="Times New Roman"/>
          <w:szCs w:val="22"/>
        </w:rPr>
        <w:br/>
        <w:t>o 64</w:t>
      </w:r>
      <w:r w:rsidRPr="00F9102A">
        <w:rPr>
          <w:rFonts w:ascii="Times New Roman" w:hAnsi="Times New Roman"/>
          <w:szCs w:val="22"/>
        </w:rPr>
        <w:t>,</w:t>
      </w:r>
      <w:r>
        <w:rPr>
          <w:rFonts w:ascii="Times New Roman" w:hAnsi="Times New Roman"/>
          <w:szCs w:val="22"/>
        </w:rPr>
        <w:t xml:space="preserve">7 </w:t>
      </w:r>
      <w:r w:rsidRPr="00F9102A">
        <w:rPr>
          <w:rFonts w:ascii="Times New Roman" w:hAnsi="Times New Roman"/>
          <w:szCs w:val="22"/>
        </w:rPr>
        <w:t>mil.</w:t>
      </w:r>
      <w:r>
        <w:rPr>
          <w:rFonts w:ascii="Times New Roman" w:hAnsi="Times New Roman"/>
          <w:szCs w:val="22"/>
        </w:rPr>
        <w:t xml:space="preserve"> </w:t>
      </w:r>
      <w:r w:rsidRPr="00F9102A">
        <w:rPr>
          <w:rFonts w:ascii="Times New Roman" w:hAnsi="Times New Roman"/>
          <w:szCs w:val="22"/>
        </w:rPr>
        <w:t>eur,</w:t>
      </w:r>
      <w:r>
        <w:rPr>
          <w:rFonts w:ascii="Times New Roman" w:hAnsi="Times New Roman"/>
          <w:szCs w:val="22"/>
        </w:rPr>
        <w:t xml:space="preserve"> </w:t>
      </w:r>
      <w:r w:rsidRPr="00F9102A">
        <w:rPr>
          <w:rFonts w:ascii="Times New Roman" w:hAnsi="Times New Roman"/>
          <w:szCs w:val="22"/>
        </w:rPr>
        <w:t>t. j. o</w:t>
      </w:r>
      <w:r>
        <w:rPr>
          <w:rFonts w:ascii="Times New Roman" w:hAnsi="Times New Roman"/>
          <w:szCs w:val="22"/>
        </w:rPr>
        <w:t xml:space="preserve"> 12</w:t>
      </w:r>
      <w:r w:rsidRPr="00F9102A">
        <w:rPr>
          <w:rFonts w:ascii="Times New Roman" w:hAnsi="Times New Roman"/>
          <w:szCs w:val="22"/>
        </w:rPr>
        <w:t>,</w:t>
      </w:r>
      <w:r>
        <w:rPr>
          <w:rFonts w:ascii="Times New Roman" w:hAnsi="Times New Roman"/>
          <w:szCs w:val="22"/>
        </w:rPr>
        <w:t>8</w:t>
      </w:r>
      <w:r w:rsidRPr="00F9102A">
        <w:rPr>
          <w:rFonts w:ascii="Times New Roman" w:hAnsi="Times New Roman"/>
          <w:szCs w:val="22"/>
        </w:rPr>
        <w:t xml:space="preserve"> %. Najväčšie zníženie objemu sa očakáva pri S</w:t>
      </w:r>
      <w:r>
        <w:rPr>
          <w:rFonts w:ascii="Times New Roman" w:hAnsi="Times New Roman"/>
          <w:szCs w:val="22"/>
        </w:rPr>
        <w:t>lovenskom plynárenskom priemysle, a. s. v sume 46</w:t>
      </w:r>
      <w:r w:rsidRPr="00F9102A">
        <w:rPr>
          <w:rFonts w:ascii="Times New Roman" w:hAnsi="Times New Roman"/>
          <w:szCs w:val="22"/>
        </w:rPr>
        <w:t xml:space="preserve"> mil</w:t>
      </w:r>
      <w:r>
        <w:rPr>
          <w:rFonts w:ascii="Times New Roman" w:hAnsi="Times New Roman"/>
          <w:szCs w:val="22"/>
        </w:rPr>
        <w:t xml:space="preserve">. eur, t. j. o 13,3 %. </w:t>
      </w:r>
    </w:p>
    <w:p w:rsidR="00AA0F70" w:rsidP="00AA0F70">
      <w:pPr>
        <w:bidi w:val="0"/>
        <w:jc w:val="both"/>
        <w:rPr>
          <w:rFonts w:ascii="Times New Roman" w:hAnsi="Times New Roman"/>
          <w:szCs w:val="22"/>
        </w:rPr>
      </w:pPr>
      <w:r>
        <w:rPr>
          <w:rFonts w:ascii="Times New Roman" w:hAnsi="Times New Roman"/>
          <w:szCs w:val="22"/>
        </w:rPr>
        <w:t xml:space="preserve"> </w:t>
      </w:r>
    </w:p>
    <w:p w:rsidR="00AA0F70" w:rsidP="00AA0F70">
      <w:pPr>
        <w:bidi w:val="0"/>
        <w:ind w:firstLine="708"/>
        <w:jc w:val="both"/>
        <w:rPr>
          <w:rFonts w:ascii="Times New Roman" w:hAnsi="Times New Roman"/>
          <w:szCs w:val="22"/>
        </w:rPr>
      </w:pPr>
      <w:r>
        <w:rPr>
          <w:rFonts w:ascii="Times New Roman" w:hAnsi="Times New Roman"/>
          <w:szCs w:val="22"/>
        </w:rPr>
        <w:t>Vývoj a aktuálny návrh dividend vybraných spoločností zobrazuje nasledovná tabuľka:</w:t>
      </w:r>
    </w:p>
    <w:p w:rsidR="00AA0F70" w:rsidP="00AA0F70">
      <w:pPr>
        <w:bidi w:val="0"/>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39"/>
        <w:gridCol w:w="925"/>
        <w:gridCol w:w="925"/>
        <w:gridCol w:w="925"/>
        <w:gridCol w:w="925"/>
        <w:gridCol w:w="925"/>
        <w:gridCol w:w="925"/>
        <w:gridCol w:w="92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487"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0F70" w:rsidRPr="00BE1A60" w:rsidP="00F26615">
            <w:pPr>
              <w:bidi w:val="0"/>
              <w:jc w:val="both"/>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v tis. eur</w:t>
            </w:r>
          </w:p>
        </w:tc>
        <w:tc>
          <w:tcPr>
            <w:tcW w:w="50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BE1A60" w:rsidP="00F26615">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2010 S</w:t>
            </w:r>
          </w:p>
        </w:tc>
        <w:tc>
          <w:tcPr>
            <w:tcW w:w="50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BE1A60" w:rsidP="00F26615">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2011 S</w:t>
            </w:r>
          </w:p>
        </w:tc>
        <w:tc>
          <w:tcPr>
            <w:tcW w:w="50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BE1A60" w:rsidP="00F26615">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2012 R</w:t>
            </w:r>
          </w:p>
        </w:tc>
        <w:tc>
          <w:tcPr>
            <w:tcW w:w="50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BE1A60" w:rsidP="00F26615">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2012 OS</w:t>
            </w:r>
          </w:p>
        </w:tc>
        <w:tc>
          <w:tcPr>
            <w:tcW w:w="50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BE1A60" w:rsidP="00F26615">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2013 N</w:t>
            </w:r>
          </w:p>
        </w:tc>
        <w:tc>
          <w:tcPr>
            <w:tcW w:w="50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BE1A60" w:rsidP="00F26615">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2014 N</w:t>
            </w:r>
          </w:p>
        </w:tc>
        <w:tc>
          <w:tcPr>
            <w:tcW w:w="50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BE1A60" w:rsidP="00F26615">
            <w:pPr>
              <w:bidi w:val="0"/>
              <w:jc w:val="center"/>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345"/>
        </w:trPr>
        <w:tc>
          <w:tcPr>
            <w:tcW w:w="1487"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E1A60" w:rsidP="00F26615">
            <w:pPr>
              <w:bidi w:val="0"/>
              <w:rPr>
                <w:rFonts w:ascii="Times New Roman" w:hAnsi="Times New Roman" w:cs="Times New Roman"/>
                <w:b/>
                <w:bCs/>
                <w:color w:val="000000"/>
                <w:sz w:val="14"/>
                <w:szCs w:val="14"/>
                <w:lang w:eastAsia="sk-SK"/>
              </w:rPr>
            </w:pPr>
            <w:r w:rsidRPr="00BE1A60">
              <w:rPr>
                <w:rFonts w:ascii="Times New Roman" w:hAnsi="Times New Roman" w:cs="Times New Roman"/>
                <w:b/>
                <w:bCs/>
                <w:color w:val="000000"/>
                <w:sz w:val="14"/>
                <w:szCs w:val="14"/>
                <w:lang w:eastAsia="sk-SK"/>
              </w:rPr>
              <w:t xml:space="preserve">Dividendy </w:t>
            </w:r>
          </w:p>
        </w:tc>
        <w:tc>
          <w:tcPr>
            <w:tcW w:w="50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E1A60" w:rsidP="00E16238">
            <w:pPr>
              <w:bidi w:val="0"/>
              <w:jc w:val="right"/>
              <w:rPr>
                <w:rFonts w:ascii="Times New Roman" w:hAnsi="Times New Roman" w:cs="Times New Roman"/>
                <w:b/>
                <w:bCs/>
                <w:color w:val="000000"/>
                <w:sz w:val="14"/>
                <w:szCs w:val="14"/>
                <w:lang w:eastAsia="sk-SK"/>
              </w:rPr>
            </w:pPr>
            <w:r w:rsidR="00E16238">
              <w:rPr>
                <w:rFonts w:ascii="Times New Roman" w:hAnsi="Times New Roman" w:cs="Times New Roman"/>
                <w:b/>
                <w:bCs/>
                <w:color w:val="000000"/>
                <w:sz w:val="14"/>
                <w:szCs w:val="14"/>
                <w:lang w:eastAsia="sk-SK"/>
              </w:rPr>
              <w:t>414 504</w:t>
            </w:r>
          </w:p>
        </w:tc>
        <w:tc>
          <w:tcPr>
            <w:tcW w:w="50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E1A60" w:rsidP="00E16238">
            <w:pPr>
              <w:bidi w:val="0"/>
              <w:jc w:val="right"/>
              <w:rPr>
                <w:rFonts w:ascii="Times New Roman" w:hAnsi="Times New Roman" w:cs="Times New Roman"/>
                <w:b/>
                <w:bCs/>
                <w:sz w:val="14"/>
                <w:szCs w:val="14"/>
                <w:lang w:eastAsia="sk-SK"/>
              </w:rPr>
            </w:pPr>
            <w:r w:rsidRPr="00BE1A60">
              <w:rPr>
                <w:rFonts w:ascii="Times New Roman" w:hAnsi="Times New Roman" w:cs="Times New Roman"/>
                <w:b/>
                <w:bCs/>
                <w:sz w:val="14"/>
                <w:szCs w:val="14"/>
                <w:lang w:eastAsia="sk-SK"/>
              </w:rPr>
              <w:t>3</w:t>
            </w:r>
            <w:r w:rsidR="00E16238">
              <w:rPr>
                <w:rFonts w:ascii="Times New Roman" w:hAnsi="Times New Roman" w:cs="Times New Roman"/>
                <w:b/>
                <w:bCs/>
                <w:sz w:val="14"/>
                <w:szCs w:val="14"/>
                <w:lang w:eastAsia="sk-SK"/>
              </w:rPr>
              <w:t>64</w:t>
            </w:r>
            <w:r w:rsidRPr="00BE1A60">
              <w:rPr>
                <w:rFonts w:ascii="Times New Roman" w:hAnsi="Times New Roman" w:cs="Times New Roman"/>
                <w:b/>
                <w:bCs/>
                <w:sz w:val="14"/>
                <w:szCs w:val="14"/>
                <w:lang w:eastAsia="sk-SK"/>
              </w:rPr>
              <w:t xml:space="preserve"> </w:t>
            </w:r>
            <w:r w:rsidR="00E16238">
              <w:rPr>
                <w:rFonts w:ascii="Times New Roman" w:hAnsi="Times New Roman" w:cs="Times New Roman"/>
                <w:b/>
                <w:bCs/>
                <w:sz w:val="14"/>
                <w:szCs w:val="14"/>
                <w:lang w:eastAsia="sk-SK"/>
              </w:rPr>
              <w:t>018</w:t>
            </w:r>
          </w:p>
        </w:tc>
        <w:tc>
          <w:tcPr>
            <w:tcW w:w="50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E1A60" w:rsidP="00F26615">
            <w:pPr>
              <w:bidi w:val="0"/>
              <w:jc w:val="right"/>
              <w:rPr>
                <w:rFonts w:ascii="Times New Roman" w:hAnsi="Times New Roman" w:cs="Times New Roman"/>
                <w:b/>
                <w:bCs/>
                <w:sz w:val="14"/>
                <w:szCs w:val="14"/>
                <w:lang w:eastAsia="sk-SK"/>
              </w:rPr>
            </w:pPr>
            <w:r w:rsidR="00E16238">
              <w:rPr>
                <w:rFonts w:ascii="Times New Roman" w:hAnsi="Times New Roman" w:cs="Times New Roman"/>
                <w:b/>
                <w:bCs/>
                <w:sz w:val="14"/>
                <w:szCs w:val="14"/>
                <w:lang w:eastAsia="sk-SK"/>
              </w:rPr>
              <w:t>496</w:t>
            </w:r>
            <w:r w:rsidRPr="00BE1A60">
              <w:rPr>
                <w:rFonts w:ascii="Times New Roman" w:hAnsi="Times New Roman" w:cs="Times New Roman"/>
                <w:b/>
                <w:bCs/>
                <w:sz w:val="14"/>
                <w:szCs w:val="14"/>
                <w:lang w:eastAsia="sk-SK"/>
              </w:rPr>
              <w:t xml:space="preserve"> 864</w:t>
            </w:r>
          </w:p>
        </w:tc>
        <w:tc>
          <w:tcPr>
            <w:tcW w:w="50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E1A60" w:rsidP="00F26615">
            <w:pPr>
              <w:bidi w:val="0"/>
              <w:jc w:val="right"/>
              <w:rPr>
                <w:rFonts w:ascii="Times New Roman" w:hAnsi="Times New Roman" w:cs="Times New Roman"/>
                <w:b/>
                <w:bCs/>
                <w:sz w:val="14"/>
                <w:szCs w:val="14"/>
                <w:lang w:eastAsia="sk-SK"/>
              </w:rPr>
            </w:pPr>
            <w:r w:rsidRPr="00BE1A60">
              <w:rPr>
                <w:rFonts w:ascii="Times New Roman" w:hAnsi="Times New Roman" w:cs="Times New Roman"/>
                <w:b/>
                <w:bCs/>
                <w:sz w:val="14"/>
                <w:szCs w:val="14"/>
                <w:lang w:eastAsia="sk-SK"/>
              </w:rPr>
              <w:t>505 864</w:t>
            </w:r>
          </w:p>
        </w:tc>
        <w:tc>
          <w:tcPr>
            <w:tcW w:w="50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E1A60" w:rsidP="00F2661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441 171</w:t>
            </w:r>
          </w:p>
        </w:tc>
        <w:tc>
          <w:tcPr>
            <w:tcW w:w="50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AA0F70" w:rsidRPr="00BE1A60" w:rsidP="00F2661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437 510</w:t>
            </w:r>
          </w:p>
        </w:tc>
        <w:tc>
          <w:tcPr>
            <w:tcW w:w="50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AA0F70" w:rsidRPr="00BE1A60" w:rsidP="00F26615">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437 615</w:t>
            </w:r>
          </w:p>
        </w:tc>
      </w:tr>
      <w:tr>
        <w:tblPrEx>
          <w:tblW w:w="5000" w:type="pct"/>
          <w:tblCellMar>
            <w:left w:w="70" w:type="dxa"/>
            <w:right w:w="70" w:type="dxa"/>
          </w:tblCellMar>
          <w:tblLook w:val="04A0"/>
        </w:tblPrEx>
        <w:trPr>
          <w:trHeight w:val="546"/>
        </w:trPr>
        <w:tc>
          <w:tcPr>
            <w:tcW w:w="1487"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v tom: Slovenský plynárenský priemysel, a.s.</w:t>
            </w:r>
          </w:p>
          <w:p w:rsidR="00AA0F70" w:rsidRPr="005F0D50" w:rsidP="00F26615">
            <w:pPr>
              <w:bidi w:val="0"/>
              <w:ind w:firstLine="420" w:firstLineChars="300"/>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Bratislava</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290 379</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225 926</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345 926</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327 834</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300 000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300 000</w:t>
            </w:r>
          </w:p>
        </w:tc>
        <w:tc>
          <w:tcPr>
            <w:tcW w:w="501"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300 000</w:t>
            </w:r>
          </w:p>
        </w:tc>
      </w:tr>
      <w:tr>
        <w:tblPrEx>
          <w:tblW w:w="5000" w:type="pct"/>
          <w:tblCellMar>
            <w:left w:w="70" w:type="dxa"/>
            <w:right w:w="70" w:type="dxa"/>
          </w:tblCellMar>
          <w:tblLook w:val="04A0"/>
        </w:tblPrEx>
        <w:trPr>
          <w:trHeight w:val="345"/>
        </w:trPr>
        <w:tc>
          <w:tcPr>
            <w:tcW w:w="1487"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ind w:firstLine="420" w:firstLineChars="300"/>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Západoslovenská energetika, a.s.</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54 265</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48 154</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47 456</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81 779</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51 395</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 xml:space="preserve">46 437 </w:t>
            </w:r>
          </w:p>
        </w:tc>
        <w:tc>
          <w:tcPr>
            <w:tcW w:w="501"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46 697</w:t>
            </w:r>
          </w:p>
        </w:tc>
      </w:tr>
      <w:tr>
        <w:tblPrEx>
          <w:tblW w:w="5000" w:type="pct"/>
          <w:tblCellMar>
            <w:left w:w="70" w:type="dxa"/>
            <w:right w:w="70" w:type="dxa"/>
          </w:tblCellMar>
          <w:tblLook w:val="04A0"/>
        </w:tblPrEx>
        <w:trPr>
          <w:trHeight w:val="345"/>
        </w:trPr>
        <w:tc>
          <w:tcPr>
            <w:tcW w:w="1487"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ind w:firstLine="420" w:firstLineChars="300"/>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Stredoslovenská energetika, a.s.</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21 403</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37 356</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37 357</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33 519</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37 357</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37 357</w:t>
            </w:r>
          </w:p>
        </w:tc>
        <w:tc>
          <w:tcPr>
            <w:tcW w:w="501"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37 357</w:t>
            </w:r>
          </w:p>
        </w:tc>
      </w:tr>
      <w:tr>
        <w:tblPrEx>
          <w:tblW w:w="5000" w:type="pct"/>
          <w:tblCellMar>
            <w:left w:w="70" w:type="dxa"/>
            <w:right w:w="70" w:type="dxa"/>
          </w:tblCellMar>
          <w:tblLook w:val="04A0"/>
        </w:tblPrEx>
        <w:trPr>
          <w:trHeight w:val="345"/>
        </w:trPr>
        <w:tc>
          <w:tcPr>
            <w:tcW w:w="1487"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ind w:firstLine="420" w:firstLineChars="300"/>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Východoslovenská energetika, a.s.</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27 339</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32 907</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37 700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48 932</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35 700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33 500</w:t>
            </w:r>
          </w:p>
        </w:tc>
        <w:tc>
          <w:tcPr>
            <w:tcW w:w="501"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32 600</w:t>
            </w:r>
          </w:p>
        </w:tc>
      </w:tr>
      <w:tr>
        <w:tblPrEx>
          <w:tblW w:w="5000" w:type="pct"/>
          <w:tblCellMar>
            <w:left w:w="70" w:type="dxa"/>
            <w:right w:w="70" w:type="dxa"/>
          </w:tblCellMar>
          <w:tblLook w:val="04A0"/>
        </w:tblPrEx>
        <w:trPr>
          <w:trHeight w:val="345"/>
        </w:trPr>
        <w:tc>
          <w:tcPr>
            <w:tcW w:w="1487"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ind w:firstLine="420" w:firstLineChars="300"/>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Slovak Telecom, a.s.</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19 940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19 500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18 369</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13 800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16 610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20 033</w:t>
            </w:r>
          </w:p>
        </w:tc>
        <w:tc>
          <w:tcPr>
            <w:tcW w:w="501"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20 804</w:t>
            </w:r>
          </w:p>
        </w:tc>
      </w:tr>
      <w:tr>
        <w:tblPrEx>
          <w:tblW w:w="5000" w:type="pct"/>
          <w:tblCellMar>
            <w:left w:w="70" w:type="dxa"/>
            <w:right w:w="70" w:type="dxa"/>
          </w:tblCellMar>
          <w:tblLook w:val="04A0"/>
        </w:tblPrEx>
        <w:trPr>
          <w:trHeight w:val="345"/>
        </w:trPr>
        <w:tc>
          <w:tcPr>
            <w:tcW w:w="1487"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ind w:firstLine="420" w:firstLineChars="300"/>
              <w:rPr>
                <w:rFonts w:ascii="Times New Roman" w:hAnsi="Times New Roman" w:cs="Times New Roman"/>
                <w:bCs/>
                <w:color w:val="000000"/>
                <w:sz w:val="14"/>
                <w:szCs w:val="14"/>
                <w:lang w:eastAsia="sk-SK"/>
              </w:rPr>
            </w:pPr>
            <w:r w:rsidRPr="005F0D50">
              <w:rPr>
                <w:rFonts w:ascii="Times New Roman" w:hAnsi="Times New Roman" w:cs="Times New Roman"/>
                <w:bCs/>
                <w:color w:val="000000"/>
                <w:sz w:val="14"/>
                <w:szCs w:val="14"/>
                <w:lang w:eastAsia="sk-SK"/>
              </w:rPr>
              <w:t>Iné spolu</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E16238">
            <w:pPr>
              <w:bidi w:val="0"/>
              <w:jc w:val="right"/>
              <w:rPr>
                <w:rFonts w:ascii="Times New Roman" w:hAnsi="Times New Roman" w:cs="Times New Roman"/>
                <w:bCs/>
                <w:color w:val="000000"/>
                <w:sz w:val="14"/>
                <w:szCs w:val="14"/>
                <w:lang w:eastAsia="sk-SK"/>
              </w:rPr>
            </w:pPr>
            <w:r w:rsidR="00E16238">
              <w:rPr>
                <w:rFonts w:ascii="Times New Roman" w:hAnsi="Times New Roman" w:cs="Times New Roman"/>
                <w:bCs/>
                <w:color w:val="000000"/>
                <w:sz w:val="14"/>
                <w:szCs w:val="14"/>
                <w:lang w:eastAsia="sk-SK"/>
              </w:rPr>
              <w:t>1 178</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00E16238">
              <w:rPr>
                <w:rFonts w:ascii="Times New Roman" w:hAnsi="Times New Roman" w:cs="Times New Roman"/>
                <w:bCs/>
                <w:sz w:val="14"/>
                <w:szCs w:val="14"/>
                <w:lang w:eastAsia="sk-SK"/>
              </w:rPr>
              <w:t>175</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E16238">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1</w:t>
            </w:r>
            <w:r w:rsidR="00E16238">
              <w:rPr>
                <w:rFonts w:ascii="Times New Roman" w:hAnsi="Times New Roman" w:cs="Times New Roman"/>
                <w:bCs/>
                <w:sz w:val="14"/>
                <w:szCs w:val="14"/>
                <w:lang w:eastAsia="sk-SK"/>
              </w:rPr>
              <w:t>0</w:t>
            </w:r>
            <w:r w:rsidRPr="005F0D50">
              <w:rPr>
                <w:rFonts w:ascii="Times New Roman" w:hAnsi="Times New Roman" w:cs="Times New Roman"/>
                <w:bCs/>
                <w:sz w:val="14"/>
                <w:szCs w:val="14"/>
                <w:lang w:eastAsia="sk-SK"/>
              </w:rPr>
              <w:t xml:space="preserve"> 056</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sidRPr="005F0D50">
              <w:rPr>
                <w:rFonts w:ascii="Times New Roman" w:hAnsi="Times New Roman" w:cs="Times New Roman"/>
                <w:bCs/>
                <w:sz w:val="14"/>
                <w:szCs w:val="14"/>
                <w:lang w:eastAsia="sk-SK"/>
              </w:rPr>
              <w:t>0</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109</w:t>
            </w:r>
          </w:p>
        </w:tc>
        <w:tc>
          <w:tcPr>
            <w:tcW w:w="502"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183</w:t>
            </w:r>
          </w:p>
        </w:tc>
        <w:tc>
          <w:tcPr>
            <w:tcW w:w="501" w:type="pct"/>
            <w:tcBorders>
              <w:top w:val="single" w:sz="4" w:space="0" w:color="auto"/>
              <w:left w:val="single" w:sz="4" w:space="0" w:color="auto"/>
              <w:bottom w:val="single" w:sz="4" w:space="0" w:color="auto"/>
              <w:right w:val="single" w:sz="4" w:space="0" w:color="auto"/>
            </w:tcBorders>
            <w:noWrap/>
            <w:textDirection w:val="lrTb"/>
            <w:vAlign w:val="center"/>
          </w:tcPr>
          <w:p w:rsidR="00AA0F70" w:rsidRPr="005F0D50" w:rsidP="00F26615">
            <w:pPr>
              <w:bidi w:val="0"/>
              <w:jc w:val="right"/>
              <w:rPr>
                <w:rFonts w:ascii="Times New Roman" w:hAnsi="Times New Roman" w:cs="Times New Roman"/>
                <w:bCs/>
                <w:sz w:val="14"/>
                <w:szCs w:val="14"/>
                <w:lang w:eastAsia="sk-SK"/>
              </w:rPr>
            </w:pPr>
            <w:r>
              <w:rPr>
                <w:rFonts w:ascii="Times New Roman" w:hAnsi="Times New Roman" w:cs="Times New Roman"/>
                <w:bCs/>
                <w:sz w:val="14"/>
                <w:szCs w:val="14"/>
                <w:lang w:eastAsia="sk-SK"/>
              </w:rPr>
              <w:t>157</w:t>
            </w:r>
          </w:p>
        </w:tc>
      </w:tr>
    </w:tbl>
    <w:p w:rsidR="00E16238" w:rsidP="00AA0F70">
      <w:pPr>
        <w:bidi w:val="0"/>
        <w:ind w:firstLine="708"/>
        <w:jc w:val="both"/>
        <w:rPr>
          <w:rFonts w:ascii="Times New Roman" w:hAnsi="Times New Roman"/>
          <w:b/>
          <w:i/>
          <w:szCs w:val="22"/>
        </w:rPr>
      </w:pPr>
    </w:p>
    <w:p w:rsidR="00AA0F70" w:rsidRPr="002C2CE9" w:rsidP="00AA0F70">
      <w:pPr>
        <w:bidi w:val="0"/>
        <w:ind w:firstLine="708"/>
        <w:jc w:val="both"/>
        <w:rPr>
          <w:rFonts w:ascii="Times New Roman" w:hAnsi="Times New Roman"/>
          <w:b/>
          <w:i/>
          <w:szCs w:val="22"/>
        </w:rPr>
      </w:pPr>
      <w:r w:rsidRPr="002C2CE9">
        <w:rPr>
          <w:rFonts w:ascii="Times New Roman" w:hAnsi="Times New Roman"/>
          <w:b/>
          <w:i/>
          <w:szCs w:val="22"/>
        </w:rPr>
        <w:t>Kapitoly štátneho rozpočtu</w:t>
      </w:r>
    </w:p>
    <w:p w:rsidR="00AA0F70" w:rsidRPr="001F5089" w:rsidP="00AA0F70">
      <w:pPr>
        <w:bidi w:val="0"/>
        <w:ind w:left="1065"/>
        <w:jc w:val="both"/>
        <w:rPr>
          <w:rFonts w:ascii="Times New Roman" w:hAnsi="Times New Roman"/>
          <w:szCs w:val="22"/>
        </w:rPr>
      </w:pPr>
    </w:p>
    <w:p w:rsidR="00AA0F70" w:rsidP="00AA0F70">
      <w:pPr>
        <w:bidi w:val="0"/>
        <w:ind w:firstLine="708"/>
        <w:jc w:val="both"/>
        <w:rPr>
          <w:rFonts w:ascii="Times New Roman" w:hAnsi="Times New Roman"/>
          <w:szCs w:val="22"/>
        </w:rPr>
      </w:pPr>
      <w:r>
        <w:rPr>
          <w:rFonts w:ascii="Times New Roman" w:hAnsi="Times New Roman"/>
          <w:szCs w:val="22"/>
        </w:rPr>
        <w:t>Objem dividend od spoločností, v ktorých je vlastnícky podiel štátu zastúpený príslušným ministerstvom sa v roku 2013 navrhuje vo výške 89,1 mil. eur, čo je v porovnaní so schváleným rozpočtom na rok 2012 menej o </w:t>
      </w:r>
      <w:r w:rsidR="000B3AF8">
        <w:rPr>
          <w:rFonts w:ascii="Times New Roman" w:hAnsi="Times New Roman"/>
          <w:szCs w:val="22"/>
        </w:rPr>
        <w:t>32</w:t>
      </w:r>
      <w:r>
        <w:rPr>
          <w:rFonts w:ascii="Times New Roman" w:hAnsi="Times New Roman"/>
          <w:szCs w:val="22"/>
        </w:rPr>
        <w:t xml:space="preserve"> mil. eur. Nenavrhujú sa príjmy z dividend od Jadrovej a vyraďovacej spoločnosti, a. s. (v roku 2012 v sume 25 mil. eur) a odvod zo zisku štátneho podniku Lesy, š. p. sa rozpočtuje vo výške 5 mil. eur (v roku 2012 vo výške </w:t>
      </w:r>
      <w:r w:rsidR="000B3AF8">
        <w:rPr>
          <w:rFonts w:ascii="Times New Roman" w:hAnsi="Times New Roman"/>
          <w:szCs w:val="22"/>
        </w:rPr>
        <w:br/>
      </w:r>
      <w:r>
        <w:rPr>
          <w:rFonts w:ascii="Times New Roman" w:hAnsi="Times New Roman"/>
          <w:szCs w:val="22"/>
        </w:rPr>
        <w:t>20 mil. eur). Zároveň v kapitole Ministerstva financií SR sa rozpočtujú dividendy Slovenskej elektrizačnej a prenosovej sústavy, a. s. z dôvodu prevodu majetkovej účasti Fondu národného majetku SR na štát, v mene ktorého koná Ministerstvo financií SR. V roku 2013 dochádza k nárastu dividend Slovenskej elektrizačnej a prenosovej sústavy, a. s. v porovnaní s rozpočtom roku 2012.</w:t>
      </w:r>
    </w:p>
    <w:p w:rsidR="00AA0F70" w:rsidP="00AA0F70">
      <w:pPr>
        <w:bidi w:val="0"/>
        <w:ind w:firstLine="708"/>
        <w:jc w:val="both"/>
        <w:rPr>
          <w:rFonts w:ascii="Times New Roman" w:hAnsi="Times New Roman"/>
          <w:szCs w:val="22"/>
        </w:rPr>
      </w:pPr>
    </w:p>
    <w:p w:rsidR="00AA0F70" w:rsidP="00AA0F70">
      <w:pPr>
        <w:bidi w:val="0"/>
        <w:ind w:firstLine="708"/>
        <w:jc w:val="both"/>
        <w:rPr>
          <w:rFonts w:ascii="Times New Roman" w:hAnsi="Times New Roman"/>
          <w:szCs w:val="22"/>
        </w:rPr>
      </w:pPr>
      <w:r w:rsidRPr="006353C5">
        <w:rPr>
          <w:rFonts w:ascii="Times New Roman" w:hAnsi="Times New Roman"/>
          <w:szCs w:val="22"/>
        </w:rPr>
        <w:t>Vývoj týchto príjmov zobrazuje nasledovná tabuľka</w:t>
      </w:r>
      <w:r>
        <w:rPr>
          <w:rFonts w:ascii="Times New Roman" w:hAnsi="Times New Roman"/>
          <w:szCs w:val="22"/>
        </w:rPr>
        <w:t>:</w:t>
      </w:r>
      <w:r w:rsidRPr="006353C5">
        <w:rPr>
          <w:rFonts w:ascii="Times New Roman" w:hAnsi="Times New Roman"/>
          <w:szCs w:val="22"/>
        </w:rPr>
        <w:t xml:space="preserve">  </w:t>
      </w:r>
    </w:p>
    <w:p w:rsidR="00AA0F70" w:rsidP="00AA0F70">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0F70" w:rsidRPr="009A1030" w:rsidP="00F26615">
            <w:pPr>
              <w:bidi w:val="0"/>
              <w:jc w:val="both"/>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1030" w:rsidP="00F26615">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2010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1030" w:rsidP="00F26615">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2011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1030" w:rsidP="00F26615">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2012 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1030" w:rsidP="00F26615">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2012 OS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1030" w:rsidP="00F26615">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2013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1030" w:rsidP="00F26615">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2014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1030" w:rsidP="00F26615">
            <w:pPr>
              <w:bidi w:val="0"/>
              <w:jc w:val="center"/>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9A1030" w:rsidP="00F26615">
            <w:pPr>
              <w:bidi w:val="0"/>
              <w:jc w:val="both"/>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Príjmy z podnikania - dividendy</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14B71" w:rsidP="00B050CD">
            <w:pPr>
              <w:bidi w:val="0"/>
              <w:jc w:val="right"/>
              <w:rPr>
                <w:rFonts w:ascii="Times New Roman" w:hAnsi="Times New Roman" w:cs="Times New Roman"/>
                <w:b/>
                <w:bCs/>
                <w:color w:val="000000"/>
                <w:sz w:val="14"/>
                <w:szCs w:val="14"/>
                <w:lang w:eastAsia="sk-SK"/>
              </w:rPr>
            </w:pPr>
            <w:r w:rsidR="0000714F">
              <w:rPr>
                <w:rFonts w:ascii="Times New Roman" w:hAnsi="Times New Roman" w:cs="Times New Roman"/>
                <w:b/>
                <w:bCs/>
                <w:color w:val="000000"/>
                <w:sz w:val="14"/>
                <w:szCs w:val="14"/>
                <w:lang w:eastAsia="sk-SK"/>
              </w:rPr>
              <w:t>73 14</w:t>
            </w:r>
            <w:r w:rsidR="00B050CD">
              <w:rPr>
                <w:rFonts w:ascii="Times New Roman" w:hAnsi="Times New Roman" w:cs="Times New Roman"/>
                <w:b/>
                <w:bCs/>
                <w:color w:val="000000"/>
                <w:sz w:val="14"/>
                <w:szCs w:val="14"/>
                <w:lang w:eastAsia="sk-SK"/>
              </w:rPr>
              <w:t>8</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14B71" w:rsidP="00A80395">
            <w:pPr>
              <w:bidi w:val="0"/>
              <w:jc w:val="right"/>
              <w:rPr>
                <w:rFonts w:ascii="Times New Roman" w:hAnsi="Times New Roman" w:cs="Times New Roman"/>
                <w:b/>
                <w:bCs/>
                <w:color w:val="000000"/>
                <w:sz w:val="14"/>
                <w:szCs w:val="14"/>
                <w:lang w:eastAsia="sk-SK"/>
              </w:rPr>
            </w:pPr>
            <w:r w:rsidR="0000714F">
              <w:rPr>
                <w:rFonts w:ascii="Times New Roman" w:hAnsi="Times New Roman" w:cs="Times New Roman"/>
                <w:b/>
                <w:bCs/>
                <w:color w:val="000000"/>
                <w:sz w:val="14"/>
                <w:szCs w:val="14"/>
                <w:lang w:eastAsia="sk-SK"/>
              </w:rPr>
              <w:t xml:space="preserve">111 </w:t>
            </w:r>
            <w:r w:rsidR="00A80395">
              <w:rPr>
                <w:rFonts w:ascii="Times New Roman" w:hAnsi="Times New Roman" w:cs="Times New Roman"/>
                <w:b/>
                <w:bCs/>
                <w:color w:val="000000"/>
                <w:sz w:val="14"/>
                <w:szCs w:val="14"/>
                <w:lang w:eastAsia="sk-SK"/>
              </w:rPr>
              <w:t>7</w:t>
            </w:r>
            <w:r w:rsidR="0000714F">
              <w:rPr>
                <w:rFonts w:ascii="Times New Roman" w:hAnsi="Times New Roman" w:cs="Times New Roman"/>
                <w:b/>
                <w:bCs/>
                <w:color w:val="000000"/>
                <w:sz w:val="14"/>
                <w:szCs w:val="14"/>
                <w:lang w:eastAsia="sk-SK"/>
              </w:rPr>
              <w:t>6</w:t>
            </w:r>
            <w:r w:rsidR="00B050CD">
              <w:rPr>
                <w:rFonts w:ascii="Times New Roman" w:hAnsi="Times New Roman" w:cs="Times New Roman"/>
                <w:b/>
                <w:bCs/>
                <w:color w:val="000000"/>
                <w:sz w:val="14"/>
                <w:szCs w:val="14"/>
                <w:lang w:eastAsia="sk-SK"/>
              </w:rPr>
              <w:t>2</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003357C8">
              <w:rPr>
                <w:rFonts w:ascii="Times New Roman" w:hAnsi="Times New Roman" w:cs="Times New Roman"/>
                <w:b/>
                <w:bCs/>
                <w:color w:val="000000"/>
                <w:sz w:val="14"/>
                <w:szCs w:val="14"/>
                <w:lang w:eastAsia="sk-SK"/>
              </w:rPr>
              <w:t>120 983</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00463FC3">
              <w:rPr>
                <w:rFonts w:ascii="Times New Roman" w:hAnsi="Times New Roman" w:cs="Times New Roman"/>
                <w:b/>
                <w:bCs/>
                <w:color w:val="000000"/>
                <w:sz w:val="14"/>
                <w:szCs w:val="14"/>
                <w:lang w:eastAsia="sk-SK"/>
              </w:rPr>
              <w:t>99 693</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14B71" w:rsidP="00F26615">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89 135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14B71" w:rsidP="00F26615">
            <w:pPr>
              <w:bidi w:val="0"/>
              <w:jc w:val="right"/>
              <w:rPr>
                <w:rFonts w:ascii="Times New Roman" w:hAnsi="Times New Roman" w:cs="Times New Roman"/>
                <w:b/>
                <w:bCs/>
                <w:color w:val="000000"/>
                <w:sz w:val="14"/>
                <w:szCs w:val="14"/>
              </w:rPr>
            </w:pPr>
            <w:r w:rsidRPr="00714B71">
              <w:rPr>
                <w:rFonts w:ascii="Times New Roman" w:hAnsi="Times New Roman" w:cs="Times New Roman"/>
                <w:b/>
                <w:bCs/>
                <w:color w:val="000000"/>
                <w:sz w:val="14"/>
                <w:szCs w:val="14"/>
              </w:rPr>
              <w:t>72 543</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14B71" w:rsidP="00F26615">
            <w:pPr>
              <w:bidi w:val="0"/>
              <w:jc w:val="right"/>
              <w:rPr>
                <w:rFonts w:ascii="Times New Roman" w:hAnsi="Times New Roman" w:cs="Times New Roman"/>
                <w:b/>
                <w:bCs/>
                <w:color w:val="000000"/>
                <w:sz w:val="14"/>
                <w:szCs w:val="14"/>
              </w:rPr>
            </w:pPr>
            <w:r w:rsidRPr="00714B71">
              <w:rPr>
                <w:rFonts w:ascii="Times New Roman" w:hAnsi="Times New Roman" w:cs="Times New Roman"/>
                <w:b/>
                <w:bCs/>
                <w:color w:val="000000"/>
                <w:sz w:val="14"/>
                <w:szCs w:val="14"/>
              </w:rPr>
              <w:t>79 360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financií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0000714F">
              <w:rPr>
                <w:rFonts w:ascii="Times New Roman" w:hAnsi="Times New Roman" w:cs="Times New Roman"/>
                <w:b/>
                <w:bCs/>
                <w:color w:val="000000"/>
                <w:sz w:val="14"/>
                <w:szCs w:val="14"/>
                <w:lang w:eastAsia="sk-SK"/>
              </w:rPr>
              <w:t>18 453</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B050CD">
            <w:pPr>
              <w:bidi w:val="0"/>
              <w:jc w:val="right"/>
              <w:rPr>
                <w:rFonts w:ascii="Times New Roman" w:hAnsi="Times New Roman" w:cs="Times New Roman"/>
                <w:b/>
                <w:bCs/>
                <w:sz w:val="14"/>
                <w:szCs w:val="14"/>
                <w:lang w:eastAsia="sk-SK"/>
              </w:rPr>
            </w:pPr>
            <w:r w:rsidR="00D56A34">
              <w:rPr>
                <w:rFonts w:ascii="Times New Roman" w:hAnsi="Times New Roman" w:cs="Times New Roman"/>
                <w:b/>
                <w:bCs/>
                <w:sz w:val="14"/>
                <w:szCs w:val="14"/>
                <w:lang w:eastAsia="sk-SK"/>
              </w:rPr>
              <w:t>2</w:t>
            </w:r>
            <w:r w:rsidRPr="00714B71">
              <w:rPr>
                <w:rFonts w:ascii="Times New Roman" w:hAnsi="Times New Roman" w:cs="Times New Roman"/>
                <w:b/>
                <w:bCs/>
                <w:sz w:val="14"/>
                <w:szCs w:val="14"/>
                <w:lang w:eastAsia="sk-SK"/>
              </w:rPr>
              <w:t xml:space="preserve">3 </w:t>
            </w:r>
            <w:r w:rsidR="00D56A34">
              <w:rPr>
                <w:rFonts w:ascii="Times New Roman" w:hAnsi="Times New Roman" w:cs="Times New Roman"/>
                <w:b/>
                <w:bCs/>
                <w:sz w:val="14"/>
                <w:szCs w:val="14"/>
                <w:lang w:eastAsia="sk-SK"/>
              </w:rPr>
              <w:t>36</w:t>
            </w:r>
            <w:r w:rsidR="00B050CD">
              <w:rPr>
                <w:rFonts w:ascii="Times New Roman" w:hAnsi="Times New Roman" w:cs="Times New Roman"/>
                <w:b/>
                <w:bCs/>
                <w:sz w:val="14"/>
                <w:szCs w:val="14"/>
                <w:lang w:eastAsia="sk-SK"/>
              </w:rPr>
              <w:t>4</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D56A34">
            <w:pPr>
              <w:bidi w:val="0"/>
              <w:jc w:val="right"/>
              <w:rPr>
                <w:rFonts w:ascii="Times New Roman" w:hAnsi="Times New Roman" w:cs="Times New Roman"/>
                <w:b/>
                <w:bCs/>
                <w:sz w:val="14"/>
                <w:szCs w:val="14"/>
                <w:lang w:eastAsia="sk-SK"/>
              </w:rPr>
            </w:pPr>
            <w:r w:rsidR="00D56A34">
              <w:rPr>
                <w:rFonts w:ascii="Times New Roman" w:hAnsi="Times New Roman" w:cs="Times New Roman"/>
                <w:b/>
                <w:bCs/>
                <w:sz w:val="14"/>
                <w:szCs w:val="14"/>
                <w:lang w:eastAsia="sk-SK"/>
              </w:rPr>
              <w:t>21</w:t>
            </w:r>
            <w:r w:rsidRPr="00714B71">
              <w:rPr>
                <w:rFonts w:ascii="Times New Roman" w:hAnsi="Times New Roman" w:cs="Times New Roman"/>
                <w:b/>
                <w:bCs/>
                <w:sz w:val="14"/>
                <w:szCs w:val="14"/>
                <w:lang w:eastAsia="sk-SK"/>
              </w:rPr>
              <w:t xml:space="preserve"> 880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00463FC3">
              <w:rPr>
                <w:rFonts w:ascii="Times New Roman" w:hAnsi="Times New Roman" w:cs="Times New Roman"/>
                <w:b/>
                <w:bCs/>
                <w:color w:val="000000"/>
                <w:sz w:val="14"/>
                <w:szCs w:val="14"/>
                <w:lang w:eastAsia="sk-SK"/>
              </w:rPr>
              <w:t>37 879</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37 834</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26 284</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26 284</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Slovenská konsolidačná,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13 273</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00D56A34">
              <w:rPr>
                <w:rFonts w:ascii="Times New Roman" w:hAnsi="Times New Roman" w:cs="Times New Roman"/>
                <w:sz w:val="14"/>
                <w:szCs w:val="14"/>
                <w:lang w:eastAsia="sk-SK"/>
              </w:rPr>
              <w:t>13 403</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11 880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14 842</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2 632</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1 108</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1 030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Tipos</w:t>
            </w:r>
            <w:r>
              <w:rPr>
                <w:rFonts w:ascii="Times New Roman" w:hAnsi="Times New Roman" w:cs="Times New Roman"/>
                <w:color w:val="000000"/>
                <w:sz w:val="14"/>
                <w:szCs w:val="14"/>
                <w:lang w:eastAsia="sk-SK"/>
              </w:rPr>
              <w:t>,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 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0 </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 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tcPr>
          <w:p w:rsidR="00AA0F70" w:rsidRPr="009A1030" w:rsidP="00F26615">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SEPS, a.s.</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w:t>
            </w:r>
            <w:r w:rsidR="00844A09">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314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B050CD">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w:t>
            </w:r>
            <w:r w:rsidR="00844A09">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96</w:t>
            </w:r>
            <w:r w:rsidR="00B050CD">
              <w:rPr>
                <w:rFonts w:ascii="Times New Roman" w:hAnsi="Times New Roman" w:cs="Times New Roman"/>
                <w:sz w:val="14"/>
                <w:szCs w:val="14"/>
                <w:lang w:eastAsia="sk-SK"/>
              </w:rPr>
              <w:t>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9</w:t>
            </w:r>
            <w:r w:rsidR="00844A09">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color w:val="000000"/>
                <w:sz w:val="14"/>
                <w:szCs w:val="14"/>
                <w:lang w:eastAsia="sk-SK"/>
              </w:rPr>
            </w:pPr>
            <w:r w:rsidR="00463FC3">
              <w:rPr>
                <w:rFonts w:ascii="Times New Roman" w:hAnsi="Times New Roman" w:cs="Times New Roman"/>
                <w:color w:val="000000"/>
                <w:sz w:val="14"/>
                <w:szCs w:val="14"/>
                <w:lang w:eastAsia="sk-SK"/>
              </w:rPr>
              <w:t>21 374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26 000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15 000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15 000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SZRB,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1 700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1 000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1 663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9 202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10 176</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10 254</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EXIMBANKA</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166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0 </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zahraničných vecí</w:t>
            </w:r>
            <w:r>
              <w:rPr>
                <w:rFonts w:ascii="Times New Roman" w:hAnsi="Times New Roman" w:cs="Times New Roman"/>
                <w:b/>
                <w:bCs/>
                <w:color w:val="000000"/>
                <w:sz w:val="14"/>
                <w:szCs w:val="14"/>
                <w:lang w:eastAsia="sk-SK"/>
              </w:rPr>
              <w:t xml:space="preserve"> a európskych zál.</w:t>
            </w:r>
            <w:r w:rsidRPr="009A1030">
              <w:rPr>
                <w:rFonts w:ascii="Times New Roman" w:hAnsi="Times New Roman" w:cs="Times New Roman"/>
                <w:b/>
                <w:bCs/>
                <w:color w:val="000000"/>
                <w:sz w:val="14"/>
                <w:szCs w:val="14"/>
                <w:lang w:eastAsia="sk-SK"/>
              </w:rPr>
              <w:t xml:space="preserve">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Pr="00714B71">
              <w:rPr>
                <w:rFonts w:ascii="Times New Roman" w:hAnsi="Times New Roman" w:cs="Times New Roman"/>
                <w:b/>
                <w:bCs/>
                <w:color w:val="000000"/>
                <w:sz w:val="14"/>
                <w:szCs w:val="14"/>
                <w:lang w:eastAsia="sk-SK"/>
              </w:rPr>
              <w:t>345</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105</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1 548</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Pr="00714B71">
              <w:rPr>
                <w:rFonts w:ascii="Times New Roman" w:hAnsi="Times New Roman" w:cs="Times New Roman"/>
                <w:b/>
                <w:bCs/>
                <w:color w:val="000000"/>
                <w:sz w:val="14"/>
                <w:szCs w:val="14"/>
                <w:lang w:eastAsia="sk-SK"/>
              </w:rPr>
              <w:t>151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178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194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209</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Správa služieb diplomatickému zboru</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345</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105</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1 548</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151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178</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194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209</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hospodárstva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Pr="00714B71">
              <w:rPr>
                <w:rFonts w:ascii="Times New Roman" w:hAnsi="Times New Roman" w:cs="Times New Roman"/>
                <w:b/>
                <w:bCs/>
                <w:color w:val="000000"/>
                <w:sz w:val="14"/>
                <w:szCs w:val="14"/>
                <w:lang w:eastAsia="sk-SK"/>
              </w:rPr>
              <w:t>53 239</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87 044</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76 849</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002F497B">
              <w:rPr>
                <w:rFonts w:ascii="Times New Roman" w:hAnsi="Times New Roman" w:cs="Times New Roman"/>
                <w:b/>
                <w:bCs/>
                <w:color w:val="000000"/>
                <w:sz w:val="14"/>
                <w:szCs w:val="14"/>
                <w:lang w:eastAsia="sk-SK"/>
              </w:rPr>
              <w:t>46 280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Pr>
                <w:rFonts w:ascii="Times New Roman" w:hAnsi="Times New Roman" w:cs="Times New Roman"/>
                <w:b/>
                <w:bCs/>
                <w:sz w:val="14"/>
                <w:szCs w:val="14"/>
              </w:rPr>
              <w:t>45 461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45 400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52 200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Jadrová a vyraďovacia spoločnosť,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8 036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32 506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25 000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5 000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Slovak Telecom,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45 197</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44 200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41 849</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0089083C">
              <w:rPr>
                <w:rFonts w:ascii="Times New Roman" w:hAnsi="Times New Roman" w:cs="Times New Roman"/>
                <w:color w:val="000000"/>
                <w:sz w:val="14"/>
                <w:szCs w:val="14"/>
                <w:lang w:eastAsia="sk-SK"/>
              </w:rPr>
              <w:t>31 280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37 600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45 400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47 200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Transpetrol,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10 338</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10 000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10 000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7 861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5 000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práce, sociálnych vecí a rodiny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Pr="00714B71">
              <w:rPr>
                <w:rFonts w:ascii="Times New Roman" w:hAnsi="Times New Roman" w:cs="Times New Roman"/>
                <w:b/>
                <w:bCs/>
                <w:color w:val="000000"/>
                <w:sz w:val="14"/>
                <w:szCs w:val="14"/>
                <w:lang w:eastAsia="sk-SK"/>
              </w:rPr>
              <w:t>7</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23</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Pr="00714B71">
              <w:rPr>
                <w:rFonts w:ascii="Times New Roman" w:hAnsi="Times New Roman" w:cs="Times New Roman"/>
                <w:b/>
                <w:bCs/>
                <w:color w:val="000000"/>
                <w:sz w:val="14"/>
                <w:szCs w:val="14"/>
                <w:lang w:eastAsia="sk-SK"/>
              </w:rPr>
              <w:t>33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12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14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16</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Technická inšpekcia,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7</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23</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33</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12</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14</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16</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dopravy, výstavby a regionálneho rozvoja SR</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Pr="00714B71">
              <w:rPr>
                <w:rFonts w:ascii="Times New Roman" w:hAnsi="Times New Roman" w:cs="Times New Roman"/>
                <w:b/>
                <w:bCs/>
                <w:color w:val="000000"/>
                <w:sz w:val="14"/>
                <w:szCs w:val="14"/>
                <w:lang w:eastAsia="sk-SK"/>
              </w:rPr>
              <w:t>1 033</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B050CD">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92</w:t>
            </w:r>
            <w:r w:rsidR="00B050CD">
              <w:rPr>
                <w:rFonts w:ascii="Times New Roman" w:hAnsi="Times New Roman" w:cs="Times New Roman"/>
                <w:b/>
                <w:bCs/>
                <w:sz w:val="14"/>
                <w:szCs w:val="14"/>
                <w:lang w:eastAsia="sk-SK"/>
              </w:rPr>
              <w:t>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700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002F497B">
              <w:rPr>
                <w:rFonts w:ascii="Times New Roman" w:hAnsi="Times New Roman" w:cs="Times New Roman"/>
                <w:b/>
                <w:bCs/>
                <w:color w:val="000000"/>
                <w:sz w:val="14"/>
                <w:szCs w:val="14"/>
                <w:lang w:eastAsia="sk-SK"/>
              </w:rPr>
              <w:t>350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650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651</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651</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Verejné prístavy,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444</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575</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350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350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350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350</w:t>
            </w:r>
          </w:p>
        </w:tc>
        <w:tc>
          <w:tcPr>
            <w:tcW w:w="582" w:type="pct"/>
            <w:tcBorders>
              <w:top w:val="single" w:sz="4" w:space="0" w:color="auto"/>
              <w:left w:val="single" w:sz="4" w:space="0" w:color="auto"/>
              <w:bottom w:val="single" w:sz="4" w:space="0" w:color="auto"/>
              <w:right w:val="single" w:sz="4" w:space="0" w:color="auto"/>
            </w:tcBorders>
            <w:textDirection w:val="lrTb"/>
            <w:vAlign w:val="center"/>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350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Letisko Košice - Airport Košice,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589</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B050CD">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35</w:t>
            </w:r>
            <w:r w:rsidR="00B050CD">
              <w:rPr>
                <w:rFonts w:ascii="Times New Roman" w:hAnsi="Times New Roman" w:cs="Times New Roman"/>
                <w:sz w:val="14"/>
                <w:szCs w:val="14"/>
                <w:lang w:eastAsia="sk-SK"/>
              </w:rPr>
              <w:t>1</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350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300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300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300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Technická ochrana a obnova železníc, a.s.</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bCs/>
                <w:sz w:val="14"/>
                <w:szCs w:val="14"/>
                <w:lang w:eastAsia="sk-SK"/>
              </w:rPr>
            </w:pPr>
            <w:r w:rsidRPr="00714B71">
              <w:rPr>
                <w:rFonts w:ascii="Times New Roman" w:hAnsi="Times New Roman" w:cs="Times New Roman"/>
                <w:bCs/>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1</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b/>
                <w:bCs/>
                <w:color w:val="000000"/>
                <w:sz w:val="14"/>
                <w:szCs w:val="14"/>
                <w:lang w:eastAsia="sk-SK"/>
              </w:rPr>
            </w:pPr>
            <w:r w:rsidRPr="009A1030">
              <w:rPr>
                <w:rFonts w:ascii="Times New Roman" w:hAnsi="Times New Roman" w:cs="Times New Roman"/>
                <w:b/>
                <w:bCs/>
                <w:color w:val="000000"/>
                <w:sz w:val="14"/>
                <w:szCs w:val="14"/>
                <w:lang w:eastAsia="sk-SK"/>
              </w:rPr>
              <w:t>Ministerstvo pôdohospodárstva a rozvoja vidieka SR</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Pr="00714B71">
              <w:rPr>
                <w:rFonts w:ascii="Times New Roman" w:hAnsi="Times New Roman" w:cs="Times New Roman"/>
                <w:b/>
                <w:bCs/>
                <w:color w:val="000000"/>
                <w:sz w:val="14"/>
                <w:szCs w:val="14"/>
                <w:lang w:eastAsia="sk-SK"/>
              </w:rPr>
              <w:t>71</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b/>
                <w:sz w:val="14"/>
                <w:szCs w:val="14"/>
                <w:lang w:eastAsia="sk-SK"/>
              </w:rPr>
            </w:pPr>
            <w:r w:rsidRPr="00714B71">
              <w:rPr>
                <w:rFonts w:ascii="Times New Roman" w:hAnsi="Times New Roman" w:cs="Times New Roman"/>
                <w:b/>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b/>
                <w:bCs/>
                <w:sz w:val="14"/>
                <w:szCs w:val="14"/>
                <w:lang w:eastAsia="sk-SK"/>
              </w:rPr>
            </w:pPr>
            <w:r w:rsidRPr="00714B71">
              <w:rPr>
                <w:rFonts w:ascii="Times New Roman" w:hAnsi="Times New Roman" w:cs="Times New Roman"/>
                <w:b/>
                <w:bCs/>
                <w:sz w:val="14"/>
                <w:szCs w:val="14"/>
                <w:lang w:eastAsia="sk-SK"/>
              </w:rPr>
              <w:t>20 000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b/>
                <w:bCs/>
                <w:color w:val="000000"/>
                <w:sz w:val="14"/>
                <w:szCs w:val="14"/>
                <w:lang w:eastAsia="sk-SK"/>
              </w:rPr>
            </w:pPr>
            <w:r w:rsidRPr="00714B71">
              <w:rPr>
                <w:rFonts w:ascii="Times New Roman" w:hAnsi="Times New Roman" w:cs="Times New Roman"/>
                <w:b/>
                <w:bCs/>
                <w:color w:val="000000"/>
                <w:sz w:val="14"/>
                <w:szCs w:val="14"/>
                <w:lang w:eastAsia="sk-SK"/>
              </w:rPr>
              <w:t>15 000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b/>
                <w:bCs/>
                <w:sz w:val="14"/>
                <w:szCs w:val="14"/>
              </w:rPr>
            </w:pPr>
            <w:r>
              <w:rPr>
                <w:rFonts w:ascii="Times New Roman" w:hAnsi="Times New Roman" w:cs="Times New Roman"/>
                <w:b/>
                <w:bCs/>
                <w:sz w:val="14"/>
                <w:szCs w:val="14"/>
              </w:rPr>
              <w:t>5 000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b/>
                <w:bCs/>
                <w:sz w:val="14"/>
                <w:szCs w:val="14"/>
              </w:rPr>
            </w:pPr>
            <w:r w:rsidRPr="00714B71">
              <w:rPr>
                <w:rFonts w:ascii="Times New Roman" w:hAnsi="Times New Roman" w:cs="Times New Roman"/>
                <w:b/>
                <w:bCs/>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UniCreditbank Slovakia, a.s.</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71</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1030" w:rsidP="00F26615">
            <w:pPr>
              <w:bidi w:val="0"/>
              <w:rPr>
                <w:rFonts w:ascii="Times New Roman" w:hAnsi="Times New Roman" w:cs="Times New Roman"/>
                <w:color w:val="000000"/>
                <w:sz w:val="14"/>
                <w:szCs w:val="14"/>
                <w:lang w:eastAsia="sk-SK"/>
              </w:rPr>
            </w:pPr>
            <w:r w:rsidRPr="009A1030">
              <w:rPr>
                <w:rFonts w:ascii="Times New Roman" w:hAnsi="Times New Roman" w:cs="Times New Roman"/>
                <w:color w:val="000000"/>
                <w:sz w:val="14"/>
                <w:szCs w:val="14"/>
                <w:lang w:eastAsia="sk-SK"/>
              </w:rPr>
              <w:t>Lesy, š.p.</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0 </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sz w:val="14"/>
                <w:szCs w:val="14"/>
                <w:lang w:eastAsia="sk-SK"/>
              </w:rPr>
            </w:pPr>
            <w:r w:rsidRPr="00714B71">
              <w:rPr>
                <w:rFonts w:ascii="Times New Roman" w:hAnsi="Times New Roman" w:cs="Times New Roman"/>
                <w:sz w:val="14"/>
                <w:szCs w:val="14"/>
                <w:lang w:eastAsia="sk-SK"/>
              </w:rPr>
              <w:t>20 000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color w:val="000000"/>
                <w:sz w:val="14"/>
                <w:szCs w:val="14"/>
                <w:lang w:eastAsia="sk-SK"/>
              </w:rPr>
            </w:pPr>
            <w:r w:rsidRPr="00714B71">
              <w:rPr>
                <w:rFonts w:ascii="Times New Roman" w:hAnsi="Times New Roman" w:cs="Times New Roman"/>
                <w:color w:val="000000"/>
                <w:sz w:val="14"/>
                <w:szCs w:val="14"/>
                <w:lang w:eastAsia="sk-SK"/>
              </w:rPr>
              <w:t>15 000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5 000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noWrap/>
            <w:textDirection w:val="lrTb"/>
            <w:vAlign w:val="center"/>
            <w:hideMark/>
          </w:tcPr>
          <w:p w:rsidR="00AA0F70" w:rsidRPr="00714B71" w:rsidP="00F26615">
            <w:pPr>
              <w:bidi w:val="0"/>
              <w:jc w:val="right"/>
              <w:rPr>
                <w:rFonts w:ascii="Times New Roman" w:hAnsi="Times New Roman" w:cs="Times New Roman"/>
                <w:sz w:val="14"/>
                <w:szCs w:val="14"/>
              </w:rPr>
            </w:pPr>
            <w:r w:rsidRPr="00714B71">
              <w:rPr>
                <w:rFonts w:ascii="Times New Roman" w:hAnsi="Times New Roman" w:cs="Times New Roman"/>
                <w:sz w:val="14"/>
                <w:szCs w:val="14"/>
              </w:rPr>
              <w:t>0</w:t>
            </w:r>
          </w:p>
        </w:tc>
      </w:tr>
    </w:tbl>
    <w:p w:rsidR="00AA0F70" w:rsidP="00AA0F70">
      <w:pPr>
        <w:bidi w:val="0"/>
        <w:ind w:firstLine="708"/>
        <w:jc w:val="both"/>
        <w:rPr>
          <w:rFonts w:ascii="Times New Roman" w:hAnsi="Times New Roman"/>
          <w:szCs w:val="22"/>
        </w:rPr>
      </w:pPr>
    </w:p>
    <w:p w:rsidR="00AA0F70" w:rsidRPr="00D935D3" w:rsidP="00AA0F70">
      <w:pPr>
        <w:bidi w:val="0"/>
        <w:jc w:val="both"/>
        <w:rPr>
          <w:rFonts w:ascii="Times New Roman" w:hAnsi="Times New Roman"/>
          <w:b/>
          <w:szCs w:val="22"/>
        </w:rPr>
      </w:pPr>
      <w:r>
        <w:rPr>
          <w:rFonts w:ascii="Times New Roman" w:hAnsi="Times New Roman"/>
          <w:b/>
          <w:szCs w:val="22"/>
        </w:rPr>
        <w:t>3</w:t>
      </w:r>
      <w:r w:rsidRPr="00D935D3">
        <w:rPr>
          <w:rFonts w:ascii="Times New Roman" w:hAnsi="Times New Roman"/>
          <w:b/>
          <w:szCs w:val="22"/>
        </w:rPr>
        <w:t>.</w:t>
      </w:r>
      <w:r>
        <w:rPr>
          <w:rFonts w:ascii="Times New Roman" w:hAnsi="Times New Roman"/>
          <w:b/>
          <w:szCs w:val="22"/>
        </w:rPr>
        <w:t>4</w:t>
      </w:r>
      <w:r w:rsidRPr="00D935D3">
        <w:rPr>
          <w:rFonts w:ascii="Times New Roman" w:hAnsi="Times New Roman"/>
          <w:b/>
          <w:szCs w:val="22"/>
        </w:rPr>
        <w:t xml:space="preserve">.3.  Nedaňové príjmy a tuzemské transfery </w:t>
      </w:r>
    </w:p>
    <w:p w:rsidR="00AA0F70" w:rsidRPr="00D935D3" w:rsidP="00AA0F70">
      <w:pPr>
        <w:bidi w:val="0"/>
        <w:jc w:val="both"/>
        <w:rPr>
          <w:rFonts w:ascii="Times New Roman" w:hAnsi="Times New Roman"/>
          <w:color w:val="000000"/>
          <w:szCs w:val="22"/>
        </w:rPr>
      </w:pPr>
    </w:p>
    <w:p w:rsidR="00AA0F70" w:rsidP="00AA0F70">
      <w:pPr>
        <w:bidi w:val="0"/>
        <w:ind w:firstLine="708"/>
        <w:jc w:val="both"/>
        <w:rPr>
          <w:rFonts w:ascii="Times New Roman" w:hAnsi="Times New Roman"/>
          <w:szCs w:val="22"/>
        </w:rPr>
      </w:pPr>
      <w:r w:rsidRPr="001F5089">
        <w:rPr>
          <w:rFonts w:ascii="Times New Roman" w:hAnsi="Times New Roman"/>
          <w:b/>
          <w:szCs w:val="22"/>
        </w:rPr>
        <w:t>Nedaňové príjmy</w:t>
      </w:r>
      <w:r w:rsidRPr="001F5089">
        <w:rPr>
          <w:rFonts w:ascii="Times New Roman" w:hAnsi="Times New Roman"/>
          <w:szCs w:val="22"/>
        </w:rPr>
        <w:t xml:space="preserve"> </w:t>
      </w:r>
      <w:r>
        <w:rPr>
          <w:rFonts w:ascii="Times New Roman" w:hAnsi="Times New Roman"/>
          <w:szCs w:val="22"/>
        </w:rPr>
        <w:t>vznikajú z činnosti jednotlivých kapitol štátneho rozpočtu a môžu mať podobu príjmov z vlastníctva, poplatkov a platieb, kapitálových príjmov, úrokov.</w:t>
      </w:r>
    </w:p>
    <w:p w:rsidR="00AA0F70" w:rsidP="00AA0F70">
      <w:pPr>
        <w:bidi w:val="0"/>
        <w:ind w:firstLine="708"/>
        <w:jc w:val="both"/>
        <w:rPr>
          <w:rFonts w:ascii="Times New Roman" w:hAnsi="Times New Roman"/>
          <w:szCs w:val="22"/>
        </w:rPr>
      </w:pPr>
    </w:p>
    <w:p w:rsidR="00AA0F70" w:rsidP="00AA0F70">
      <w:pPr>
        <w:bidi w:val="0"/>
        <w:ind w:firstLine="708"/>
        <w:jc w:val="both"/>
        <w:rPr>
          <w:rFonts w:ascii="Times New Roman" w:hAnsi="Times New Roman"/>
          <w:szCs w:val="22"/>
        </w:rPr>
      </w:pPr>
      <w:r>
        <w:rPr>
          <w:rFonts w:ascii="Times New Roman" w:hAnsi="Times New Roman"/>
          <w:szCs w:val="22"/>
        </w:rPr>
        <w:t>V</w:t>
      </w:r>
      <w:r w:rsidRPr="001F5089">
        <w:rPr>
          <w:rFonts w:ascii="Times New Roman" w:hAnsi="Times New Roman"/>
          <w:szCs w:val="22"/>
        </w:rPr>
        <w:t xml:space="preserve">ývoj týchto príjmov na roky 2013 až 2015 zobrazuje nasledovná tabuľka: </w:t>
      </w:r>
    </w:p>
    <w:p w:rsidR="00AA0F70" w:rsidP="00AA0F70">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0F70" w:rsidRPr="00783C3F" w:rsidP="00F26615">
            <w:pPr>
              <w:bidi w:val="0"/>
              <w:rPr>
                <w:rFonts w:ascii="Times New Roman" w:hAnsi="Times New Roman" w:cs="Times New Roman"/>
                <w:b/>
                <w:bCs/>
                <w:color w:val="000000"/>
                <w:sz w:val="14"/>
                <w:szCs w:val="14"/>
                <w:lang w:eastAsia="sk-SK"/>
              </w:rPr>
            </w:pPr>
            <w:r w:rsidRPr="00783C3F">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783C3F" w:rsidP="00F26615">
            <w:pPr>
              <w:bidi w:val="0"/>
              <w:jc w:val="center"/>
              <w:rPr>
                <w:rFonts w:ascii="Times New Roman" w:hAnsi="Times New Roman" w:cs="Times New Roman"/>
                <w:b/>
                <w:bCs/>
                <w:color w:val="000000"/>
                <w:sz w:val="14"/>
                <w:szCs w:val="14"/>
                <w:lang w:eastAsia="sk-SK"/>
              </w:rPr>
            </w:pPr>
            <w:r w:rsidRPr="00783C3F">
              <w:rPr>
                <w:rFonts w:ascii="Times New Roman" w:hAnsi="Times New Roman" w:cs="Times New Roman"/>
                <w:b/>
                <w:bCs/>
                <w:color w:val="000000"/>
                <w:sz w:val="14"/>
                <w:szCs w:val="14"/>
                <w:lang w:eastAsia="sk-SK"/>
              </w:rPr>
              <w:t>2010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783C3F" w:rsidP="00F26615">
            <w:pPr>
              <w:bidi w:val="0"/>
              <w:jc w:val="center"/>
              <w:rPr>
                <w:rFonts w:ascii="Times New Roman" w:hAnsi="Times New Roman" w:cs="Times New Roman"/>
                <w:b/>
                <w:bCs/>
                <w:color w:val="000000"/>
                <w:sz w:val="14"/>
                <w:szCs w:val="14"/>
                <w:lang w:eastAsia="sk-SK"/>
              </w:rPr>
            </w:pPr>
            <w:r w:rsidRPr="00783C3F">
              <w:rPr>
                <w:rFonts w:ascii="Times New Roman" w:hAnsi="Times New Roman" w:cs="Times New Roman"/>
                <w:b/>
                <w:bCs/>
                <w:color w:val="000000"/>
                <w:sz w:val="14"/>
                <w:szCs w:val="14"/>
                <w:lang w:eastAsia="sk-SK"/>
              </w:rPr>
              <w:t>2011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783C3F" w:rsidP="00F26615">
            <w:pPr>
              <w:bidi w:val="0"/>
              <w:jc w:val="center"/>
              <w:rPr>
                <w:rFonts w:ascii="Times New Roman" w:hAnsi="Times New Roman" w:cs="Times New Roman"/>
                <w:b/>
                <w:bCs/>
                <w:color w:val="000000"/>
                <w:sz w:val="14"/>
                <w:szCs w:val="14"/>
                <w:lang w:eastAsia="sk-SK"/>
              </w:rPr>
            </w:pPr>
            <w:r w:rsidRPr="00783C3F">
              <w:rPr>
                <w:rFonts w:ascii="Times New Roman" w:hAnsi="Times New Roman" w:cs="Times New Roman"/>
                <w:b/>
                <w:bCs/>
                <w:color w:val="000000"/>
                <w:sz w:val="14"/>
                <w:szCs w:val="14"/>
                <w:lang w:eastAsia="sk-SK"/>
              </w:rPr>
              <w:t>2012 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783C3F" w:rsidP="00F26615">
            <w:pPr>
              <w:bidi w:val="0"/>
              <w:jc w:val="center"/>
              <w:rPr>
                <w:rFonts w:ascii="Times New Roman" w:hAnsi="Times New Roman" w:cs="Times New Roman"/>
                <w:b/>
                <w:bCs/>
                <w:color w:val="000000"/>
                <w:sz w:val="14"/>
                <w:szCs w:val="14"/>
                <w:lang w:eastAsia="sk-SK"/>
              </w:rPr>
            </w:pPr>
            <w:r w:rsidRPr="00783C3F">
              <w:rPr>
                <w:rFonts w:ascii="Times New Roman" w:hAnsi="Times New Roman" w:cs="Times New Roman"/>
                <w:b/>
                <w:bCs/>
                <w:color w:val="000000"/>
                <w:sz w:val="14"/>
                <w:szCs w:val="14"/>
                <w:lang w:eastAsia="sk-SK"/>
              </w:rPr>
              <w:t>2012 OS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783C3F" w:rsidP="00F26615">
            <w:pPr>
              <w:bidi w:val="0"/>
              <w:jc w:val="center"/>
              <w:rPr>
                <w:rFonts w:ascii="Times New Roman" w:hAnsi="Times New Roman" w:cs="Times New Roman"/>
                <w:b/>
                <w:bCs/>
                <w:sz w:val="14"/>
                <w:szCs w:val="14"/>
                <w:lang w:eastAsia="sk-SK"/>
              </w:rPr>
            </w:pPr>
            <w:r w:rsidRPr="00783C3F">
              <w:rPr>
                <w:rFonts w:ascii="Times New Roman" w:hAnsi="Times New Roman" w:cs="Times New Roman"/>
                <w:b/>
                <w:bCs/>
                <w:sz w:val="14"/>
                <w:szCs w:val="14"/>
                <w:lang w:eastAsia="sk-SK"/>
              </w:rPr>
              <w:t>2013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783C3F" w:rsidP="00F26615">
            <w:pPr>
              <w:bidi w:val="0"/>
              <w:jc w:val="center"/>
              <w:rPr>
                <w:rFonts w:ascii="Times New Roman" w:hAnsi="Times New Roman" w:cs="Times New Roman"/>
                <w:b/>
                <w:bCs/>
                <w:sz w:val="14"/>
                <w:szCs w:val="14"/>
                <w:lang w:eastAsia="sk-SK"/>
              </w:rPr>
            </w:pPr>
            <w:r w:rsidRPr="00783C3F">
              <w:rPr>
                <w:rFonts w:ascii="Times New Roman" w:hAnsi="Times New Roman" w:cs="Times New Roman"/>
                <w:b/>
                <w:bCs/>
                <w:sz w:val="14"/>
                <w:szCs w:val="14"/>
                <w:lang w:eastAsia="sk-SK"/>
              </w:rPr>
              <w:t>2014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783C3F" w:rsidP="00F26615">
            <w:pPr>
              <w:bidi w:val="0"/>
              <w:jc w:val="center"/>
              <w:rPr>
                <w:rFonts w:ascii="Times New Roman" w:hAnsi="Times New Roman" w:cs="Times New Roman"/>
                <w:b/>
                <w:bCs/>
                <w:sz w:val="14"/>
                <w:szCs w:val="14"/>
                <w:lang w:eastAsia="sk-SK"/>
              </w:rPr>
            </w:pPr>
            <w:r w:rsidRPr="00783C3F">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83C3F" w:rsidP="00F26615">
            <w:pPr>
              <w:bidi w:val="0"/>
              <w:jc w:val="both"/>
              <w:rPr>
                <w:rFonts w:ascii="Times New Roman" w:hAnsi="Times New Roman" w:cs="Times New Roman"/>
                <w:b/>
                <w:bCs/>
                <w:color w:val="000000"/>
                <w:sz w:val="14"/>
                <w:szCs w:val="14"/>
                <w:lang w:eastAsia="sk-SK"/>
              </w:rPr>
            </w:pPr>
            <w:r w:rsidRPr="00783C3F">
              <w:rPr>
                <w:rFonts w:ascii="Times New Roman" w:hAnsi="Times New Roman" w:cs="Times New Roman"/>
                <w:b/>
                <w:bCs/>
                <w:color w:val="000000"/>
                <w:sz w:val="14"/>
                <w:szCs w:val="14"/>
                <w:lang w:eastAsia="sk-SK"/>
              </w:rPr>
              <w:t>Spolu</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83C3F" w:rsidP="00F26615">
            <w:pPr>
              <w:bidi w:val="0"/>
              <w:jc w:val="right"/>
              <w:rPr>
                <w:rFonts w:ascii="Times New Roman" w:hAnsi="Times New Roman" w:cs="Times New Roman"/>
                <w:b/>
                <w:bCs/>
                <w:color w:val="000000"/>
                <w:sz w:val="14"/>
                <w:szCs w:val="14"/>
                <w:lang w:eastAsia="sk-SK"/>
              </w:rPr>
            </w:pPr>
            <w:r w:rsidRPr="00783C3F">
              <w:rPr>
                <w:rFonts w:ascii="Times New Roman" w:hAnsi="Times New Roman" w:cs="Times New Roman"/>
                <w:b/>
                <w:bCs/>
                <w:color w:val="000000"/>
                <w:sz w:val="14"/>
                <w:szCs w:val="14"/>
                <w:lang w:eastAsia="sk-SK"/>
              </w:rPr>
              <w:t>643 279</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83C3F" w:rsidP="00A80395">
            <w:pPr>
              <w:bidi w:val="0"/>
              <w:jc w:val="right"/>
              <w:rPr>
                <w:rFonts w:ascii="Times New Roman" w:hAnsi="Times New Roman" w:cs="Times New Roman"/>
                <w:b/>
                <w:bCs/>
                <w:sz w:val="14"/>
                <w:szCs w:val="14"/>
                <w:lang w:eastAsia="sk-SK"/>
              </w:rPr>
            </w:pPr>
            <w:r w:rsidRPr="00783C3F">
              <w:rPr>
                <w:rFonts w:ascii="Times New Roman" w:hAnsi="Times New Roman" w:cs="Times New Roman"/>
                <w:b/>
                <w:bCs/>
                <w:sz w:val="14"/>
                <w:szCs w:val="14"/>
                <w:lang w:eastAsia="sk-SK"/>
              </w:rPr>
              <w:t>7</w:t>
            </w:r>
            <w:r w:rsidR="00A80395">
              <w:rPr>
                <w:rFonts w:ascii="Times New Roman" w:hAnsi="Times New Roman" w:cs="Times New Roman"/>
                <w:b/>
                <w:bCs/>
                <w:sz w:val="14"/>
                <w:szCs w:val="14"/>
                <w:lang w:eastAsia="sk-SK"/>
              </w:rPr>
              <w:t>95</w:t>
            </w:r>
            <w:r w:rsidRPr="00783C3F">
              <w:rPr>
                <w:rFonts w:ascii="Times New Roman" w:hAnsi="Times New Roman" w:cs="Times New Roman"/>
                <w:b/>
                <w:bCs/>
                <w:sz w:val="14"/>
                <w:szCs w:val="14"/>
                <w:lang w:eastAsia="sk-SK"/>
              </w:rPr>
              <w:t xml:space="preserve"> </w:t>
            </w:r>
            <w:r w:rsidR="00A80395">
              <w:rPr>
                <w:rFonts w:ascii="Times New Roman" w:hAnsi="Times New Roman" w:cs="Times New Roman"/>
                <w:b/>
                <w:bCs/>
                <w:sz w:val="14"/>
                <w:szCs w:val="14"/>
                <w:lang w:eastAsia="sk-SK"/>
              </w:rPr>
              <w:t>103</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83C3F" w:rsidP="00F26615">
            <w:pPr>
              <w:bidi w:val="0"/>
              <w:jc w:val="right"/>
              <w:rPr>
                <w:rFonts w:ascii="Times New Roman" w:hAnsi="Times New Roman" w:cs="Times New Roman"/>
                <w:b/>
                <w:bCs/>
                <w:sz w:val="14"/>
                <w:szCs w:val="14"/>
                <w:lang w:eastAsia="sk-SK"/>
              </w:rPr>
            </w:pPr>
            <w:r w:rsidRPr="00783C3F">
              <w:rPr>
                <w:rFonts w:ascii="Times New Roman" w:hAnsi="Times New Roman" w:cs="Times New Roman"/>
                <w:b/>
                <w:bCs/>
                <w:sz w:val="14"/>
                <w:szCs w:val="14"/>
                <w:lang w:eastAsia="sk-SK"/>
              </w:rPr>
              <w:t>695 928</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783C3F" w:rsidP="00F26615">
            <w:pPr>
              <w:bidi w:val="0"/>
              <w:jc w:val="right"/>
              <w:rPr>
                <w:rFonts w:ascii="Times New Roman" w:hAnsi="Times New Roman" w:cs="Times New Roman"/>
                <w:b/>
                <w:bCs/>
                <w:color w:val="000000"/>
                <w:sz w:val="14"/>
                <w:szCs w:val="14"/>
                <w:lang w:eastAsia="sk-SK"/>
              </w:rPr>
            </w:pPr>
            <w:r w:rsidRPr="00783C3F">
              <w:rPr>
                <w:rFonts w:ascii="Times New Roman" w:hAnsi="Times New Roman" w:cs="Times New Roman"/>
                <w:b/>
                <w:bCs/>
                <w:color w:val="000000"/>
                <w:sz w:val="14"/>
                <w:szCs w:val="14"/>
                <w:lang w:eastAsia="sk-SK"/>
              </w:rPr>
              <w:t>605 458</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4D562D" w:rsidP="00F26615">
            <w:pPr>
              <w:bidi w:val="0"/>
              <w:jc w:val="right"/>
              <w:rPr>
                <w:rFonts w:ascii="Times New Roman" w:hAnsi="Times New Roman" w:cs="Times New Roman"/>
                <w:b/>
                <w:bCs/>
                <w:sz w:val="14"/>
                <w:szCs w:val="14"/>
              </w:rPr>
            </w:pPr>
            <w:r w:rsidRPr="004D562D">
              <w:rPr>
                <w:rFonts w:ascii="Times New Roman" w:hAnsi="Times New Roman" w:cs="Times New Roman"/>
                <w:b/>
                <w:bCs/>
                <w:sz w:val="14"/>
                <w:szCs w:val="14"/>
              </w:rPr>
              <w:t>9</w:t>
            </w:r>
            <w:r>
              <w:rPr>
                <w:rFonts w:ascii="Times New Roman" w:hAnsi="Times New Roman" w:cs="Times New Roman"/>
                <w:b/>
                <w:bCs/>
                <w:sz w:val="14"/>
                <w:szCs w:val="14"/>
              </w:rPr>
              <w:t>10 198</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4D562D" w:rsidP="00F26615">
            <w:pPr>
              <w:bidi w:val="0"/>
              <w:jc w:val="right"/>
              <w:rPr>
                <w:rFonts w:ascii="Times New Roman" w:hAnsi="Times New Roman" w:cs="Times New Roman"/>
                <w:b/>
                <w:bCs/>
                <w:sz w:val="14"/>
                <w:szCs w:val="14"/>
              </w:rPr>
            </w:pPr>
            <w:r w:rsidRPr="004D562D">
              <w:rPr>
                <w:rFonts w:ascii="Times New Roman" w:hAnsi="Times New Roman" w:cs="Times New Roman"/>
                <w:b/>
                <w:bCs/>
                <w:sz w:val="14"/>
                <w:szCs w:val="14"/>
              </w:rPr>
              <w:t>800 693</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4D562D" w:rsidP="00F26615">
            <w:pPr>
              <w:bidi w:val="0"/>
              <w:jc w:val="right"/>
              <w:rPr>
                <w:rFonts w:ascii="Times New Roman" w:hAnsi="Times New Roman" w:cs="Times New Roman"/>
                <w:b/>
                <w:bCs/>
                <w:sz w:val="14"/>
                <w:szCs w:val="14"/>
              </w:rPr>
            </w:pPr>
            <w:r w:rsidRPr="004D562D">
              <w:rPr>
                <w:rFonts w:ascii="Times New Roman" w:hAnsi="Times New Roman" w:cs="Times New Roman"/>
                <w:b/>
                <w:bCs/>
                <w:sz w:val="14"/>
                <w:szCs w:val="14"/>
              </w:rPr>
              <w:t>819 132</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83C3F" w:rsidP="00F26615">
            <w:pPr>
              <w:bidi w:val="0"/>
              <w:rPr>
                <w:rFonts w:ascii="Times New Roman" w:hAnsi="Times New Roman" w:cs="Times New Roman"/>
                <w:color w:val="000000"/>
                <w:sz w:val="14"/>
                <w:szCs w:val="14"/>
                <w:lang w:eastAsia="sk-SK"/>
              </w:rPr>
            </w:pPr>
            <w:r w:rsidRPr="00783C3F">
              <w:rPr>
                <w:rFonts w:ascii="Times New Roman" w:hAnsi="Times New Roman" w:cs="Times New Roman"/>
                <w:color w:val="000000"/>
                <w:sz w:val="14"/>
                <w:szCs w:val="14"/>
                <w:lang w:eastAsia="sk-SK"/>
              </w:rPr>
              <w:t>Nedaňové príjmy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83C3F" w:rsidP="00F26615">
            <w:pPr>
              <w:bidi w:val="0"/>
              <w:jc w:val="right"/>
              <w:rPr>
                <w:rFonts w:ascii="Times New Roman" w:hAnsi="Times New Roman" w:cs="Times New Roman"/>
                <w:color w:val="000000"/>
                <w:sz w:val="14"/>
                <w:szCs w:val="14"/>
                <w:lang w:eastAsia="sk-SK"/>
              </w:rPr>
            </w:pPr>
            <w:r w:rsidRPr="00783C3F">
              <w:rPr>
                <w:rFonts w:ascii="Times New Roman" w:hAnsi="Times New Roman" w:cs="Times New Roman"/>
                <w:color w:val="000000"/>
                <w:sz w:val="14"/>
                <w:szCs w:val="14"/>
                <w:lang w:eastAsia="sk-SK"/>
              </w:rPr>
              <w:t>623 036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83C3F" w:rsidP="00A80395">
            <w:pPr>
              <w:bidi w:val="0"/>
              <w:jc w:val="right"/>
              <w:rPr>
                <w:rFonts w:ascii="Times New Roman" w:hAnsi="Times New Roman" w:cs="Times New Roman"/>
                <w:sz w:val="14"/>
                <w:szCs w:val="14"/>
                <w:lang w:eastAsia="sk-SK"/>
              </w:rPr>
            </w:pPr>
            <w:r w:rsidRPr="00783C3F">
              <w:rPr>
                <w:rFonts w:ascii="Times New Roman" w:hAnsi="Times New Roman" w:cs="Times New Roman"/>
                <w:sz w:val="14"/>
                <w:szCs w:val="14"/>
                <w:lang w:eastAsia="sk-SK"/>
              </w:rPr>
              <w:t xml:space="preserve">759 </w:t>
            </w:r>
            <w:r w:rsidR="00A80395">
              <w:rPr>
                <w:rFonts w:ascii="Times New Roman" w:hAnsi="Times New Roman" w:cs="Times New Roman"/>
                <w:sz w:val="14"/>
                <w:szCs w:val="14"/>
                <w:lang w:eastAsia="sk-SK"/>
              </w:rPr>
              <w:t>4</w:t>
            </w:r>
            <w:r w:rsidRPr="00783C3F">
              <w:rPr>
                <w:rFonts w:ascii="Times New Roman" w:hAnsi="Times New Roman" w:cs="Times New Roman"/>
                <w:sz w:val="14"/>
                <w:szCs w:val="14"/>
                <w:lang w:eastAsia="sk-SK"/>
              </w:rPr>
              <w:t>64</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83C3F" w:rsidP="00F26615">
            <w:pPr>
              <w:bidi w:val="0"/>
              <w:jc w:val="right"/>
              <w:rPr>
                <w:rFonts w:ascii="Times New Roman" w:hAnsi="Times New Roman" w:cs="Times New Roman"/>
                <w:color w:val="000000"/>
                <w:sz w:val="14"/>
                <w:szCs w:val="14"/>
                <w:lang w:eastAsia="sk-SK"/>
              </w:rPr>
            </w:pPr>
            <w:r w:rsidRPr="00783C3F">
              <w:rPr>
                <w:rFonts w:ascii="Times New Roman" w:hAnsi="Times New Roman" w:cs="Times New Roman"/>
                <w:color w:val="000000"/>
                <w:sz w:val="14"/>
                <w:szCs w:val="14"/>
                <w:lang w:eastAsia="sk-SK"/>
              </w:rPr>
              <w:t>683 935</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83C3F" w:rsidP="00F26615">
            <w:pPr>
              <w:bidi w:val="0"/>
              <w:jc w:val="right"/>
              <w:rPr>
                <w:rFonts w:ascii="Times New Roman" w:hAnsi="Times New Roman" w:cs="Times New Roman"/>
                <w:color w:val="000000"/>
                <w:sz w:val="14"/>
                <w:szCs w:val="14"/>
                <w:lang w:eastAsia="sk-SK"/>
              </w:rPr>
            </w:pPr>
            <w:r w:rsidRPr="00783C3F">
              <w:rPr>
                <w:rFonts w:ascii="Times New Roman" w:hAnsi="Times New Roman" w:cs="Times New Roman"/>
                <w:color w:val="000000"/>
                <w:sz w:val="14"/>
                <w:szCs w:val="14"/>
                <w:lang w:eastAsia="sk-SK"/>
              </w:rPr>
              <w:t>577 000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4D562D" w:rsidP="00F26615">
            <w:pPr>
              <w:bidi w:val="0"/>
              <w:jc w:val="right"/>
              <w:rPr>
                <w:rFonts w:ascii="Times New Roman" w:hAnsi="Times New Roman" w:cs="Times New Roman"/>
                <w:sz w:val="14"/>
                <w:szCs w:val="14"/>
              </w:rPr>
            </w:pPr>
            <w:r w:rsidRPr="004D562D">
              <w:rPr>
                <w:rFonts w:ascii="Times New Roman" w:hAnsi="Times New Roman" w:cs="Times New Roman"/>
                <w:sz w:val="14"/>
                <w:szCs w:val="14"/>
              </w:rPr>
              <w:t xml:space="preserve">895 </w:t>
            </w:r>
            <w:r>
              <w:rPr>
                <w:rFonts w:ascii="Times New Roman" w:hAnsi="Times New Roman" w:cs="Times New Roman"/>
                <w:sz w:val="14"/>
                <w:szCs w:val="14"/>
              </w:rPr>
              <w:t>532</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4D562D" w:rsidP="00F26615">
            <w:pPr>
              <w:bidi w:val="0"/>
              <w:jc w:val="right"/>
              <w:rPr>
                <w:rFonts w:ascii="Times New Roman" w:hAnsi="Times New Roman" w:cs="Times New Roman"/>
                <w:sz w:val="14"/>
                <w:szCs w:val="14"/>
              </w:rPr>
            </w:pPr>
            <w:r w:rsidRPr="004D562D">
              <w:rPr>
                <w:rFonts w:ascii="Times New Roman" w:hAnsi="Times New Roman" w:cs="Times New Roman"/>
                <w:sz w:val="14"/>
                <w:szCs w:val="14"/>
              </w:rPr>
              <w:t>787 632</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4D562D" w:rsidP="00F26615">
            <w:pPr>
              <w:bidi w:val="0"/>
              <w:jc w:val="right"/>
              <w:rPr>
                <w:rFonts w:ascii="Times New Roman" w:hAnsi="Times New Roman" w:cs="Times New Roman"/>
                <w:sz w:val="14"/>
                <w:szCs w:val="14"/>
              </w:rPr>
            </w:pPr>
            <w:r w:rsidRPr="004D562D">
              <w:rPr>
                <w:rFonts w:ascii="Times New Roman" w:hAnsi="Times New Roman" w:cs="Times New Roman"/>
                <w:sz w:val="14"/>
                <w:szCs w:val="14"/>
              </w:rPr>
              <w:t>805 484</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83C3F" w:rsidP="00F26615">
            <w:pPr>
              <w:bidi w:val="0"/>
              <w:rPr>
                <w:rFonts w:ascii="Times New Roman" w:hAnsi="Times New Roman" w:cs="Times New Roman"/>
                <w:color w:val="000000"/>
                <w:sz w:val="14"/>
                <w:szCs w:val="14"/>
                <w:lang w:eastAsia="sk-SK"/>
              </w:rPr>
            </w:pPr>
            <w:r w:rsidRPr="00783C3F">
              <w:rPr>
                <w:rFonts w:ascii="Times New Roman" w:hAnsi="Times New Roman" w:cs="Times New Roman"/>
                <w:color w:val="000000"/>
                <w:sz w:val="14"/>
                <w:szCs w:val="14"/>
                <w:lang w:eastAsia="sk-SK"/>
              </w:rPr>
              <w:t>Tuzemské transfery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83C3F" w:rsidP="00F26615">
            <w:pPr>
              <w:bidi w:val="0"/>
              <w:jc w:val="right"/>
              <w:rPr>
                <w:rFonts w:ascii="Times New Roman" w:hAnsi="Times New Roman" w:cs="Times New Roman"/>
                <w:color w:val="000000"/>
                <w:sz w:val="14"/>
                <w:szCs w:val="14"/>
                <w:lang w:eastAsia="sk-SK"/>
              </w:rPr>
            </w:pPr>
            <w:r w:rsidRPr="00783C3F">
              <w:rPr>
                <w:rFonts w:ascii="Times New Roman" w:hAnsi="Times New Roman" w:cs="Times New Roman"/>
                <w:color w:val="000000"/>
                <w:sz w:val="14"/>
                <w:szCs w:val="14"/>
                <w:lang w:eastAsia="sk-SK"/>
              </w:rPr>
              <w:t>20 243</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83C3F" w:rsidP="00A80395">
            <w:pPr>
              <w:bidi w:val="0"/>
              <w:jc w:val="right"/>
              <w:rPr>
                <w:rFonts w:ascii="Times New Roman" w:hAnsi="Times New Roman" w:cs="Times New Roman"/>
                <w:sz w:val="14"/>
                <w:szCs w:val="14"/>
                <w:lang w:eastAsia="sk-SK"/>
              </w:rPr>
            </w:pPr>
            <w:r w:rsidR="00A80395">
              <w:rPr>
                <w:rFonts w:ascii="Times New Roman" w:hAnsi="Times New Roman" w:cs="Times New Roman"/>
                <w:sz w:val="14"/>
                <w:szCs w:val="14"/>
                <w:lang w:eastAsia="sk-SK"/>
              </w:rPr>
              <w:t>35</w:t>
            </w:r>
            <w:r w:rsidRPr="00783C3F">
              <w:rPr>
                <w:rFonts w:ascii="Times New Roman" w:hAnsi="Times New Roman" w:cs="Times New Roman"/>
                <w:sz w:val="14"/>
                <w:szCs w:val="14"/>
                <w:lang w:eastAsia="sk-SK"/>
              </w:rPr>
              <w:t xml:space="preserve"> </w:t>
            </w:r>
            <w:r w:rsidR="00A80395">
              <w:rPr>
                <w:rFonts w:ascii="Times New Roman" w:hAnsi="Times New Roman" w:cs="Times New Roman"/>
                <w:sz w:val="14"/>
                <w:szCs w:val="14"/>
                <w:lang w:eastAsia="sk-SK"/>
              </w:rPr>
              <w:t>639</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83C3F" w:rsidP="00F26615">
            <w:pPr>
              <w:bidi w:val="0"/>
              <w:jc w:val="right"/>
              <w:rPr>
                <w:rFonts w:ascii="Times New Roman" w:hAnsi="Times New Roman" w:cs="Times New Roman"/>
                <w:color w:val="000000"/>
                <w:sz w:val="14"/>
                <w:szCs w:val="14"/>
                <w:lang w:eastAsia="sk-SK"/>
              </w:rPr>
            </w:pPr>
            <w:r w:rsidRPr="00783C3F">
              <w:rPr>
                <w:rFonts w:ascii="Times New Roman" w:hAnsi="Times New Roman" w:cs="Times New Roman"/>
                <w:color w:val="000000"/>
                <w:sz w:val="14"/>
                <w:szCs w:val="14"/>
                <w:lang w:eastAsia="sk-SK"/>
              </w:rPr>
              <w:t>11 993</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783C3F" w:rsidP="00F26615">
            <w:pPr>
              <w:bidi w:val="0"/>
              <w:jc w:val="right"/>
              <w:rPr>
                <w:rFonts w:ascii="Times New Roman" w:hAnsi="Times New Roman" w:cs="Times New Roman"/>
                <w:color w:val="000000"/>
                <w:sz w:val="14"/>
                <w:szCs w:val="14"/>
                <w:lang w:eastAsia="sk-SK"/>
              </w:rPr>
            </w:pPr>
            <w:r w:rsidRPr="00783C3F">
              <w:rPr>
                <w:rFonts w:ascii="Times New Roman" w:hAnsi="Times New Roman" w:cs="Times New Roman"/>
                <w:color w:val="000000"/>
                <w:sz w:val="14"/>
                <w:szCs w:val="14"/>
                <w:lang w:eastAsia="sk-SK"/>
              </w:rPr>
              <w:t>28 458</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4D562D" w:rsidP="00F26615">
            <w:pPr>
              <w:bidi w:val="0"/>
              <w:jc w:val="right"/>
              <w:rPr>
                <w:rFonts w:ascii="Times New Roman" w:hAnsi="Times New Roman" w:cs="Times New Roman"/>
                <w:sz w:val="14"/>
                <w:szCs w:val="14"/>
              </w:rPr>
            </w:pPr>
            <w:r w:rsidRPr="004D562D">
              <w:rPr>
                <w:rFonts w:ascii="Times New Roman" w:hAnsi="Times New Roman" w:cs="Times New Roman"/>
                <w:sz w:val="14"/>
                <w:szCs w:val="14"/>
              </w:rPr>
              <w:t>1</w:t>
            </w:r>
            <w:r>
              <w:rPr>
                <w:rFonts w:ascii="Times New Roman" w:hAnsi="Times New Roman" w:cs="Times New Roman"/>
                <w:sz w:val="14"/>
                <w:szCs w:val="14"/>
              </w:rPr>
              <w:t>4 666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4D562D" w:rsidP="00F26615">
            <w:pPr>
              <w:bidi w:val="0"/>
              <w:jc w:val="right"/>
              <w:rPr>
                <w:rFonts w:ascii="Times New Roman" w:hAnsi="Times New Roman" w:cs="Times New Roman"/>
                <w:sz w:val="14"/>
                <w:szCs w:val="14"/>
              </w:rPr>
            </w:pPr>
            <w:r w:rsidRPr="004D562D">
              <w:rPr>
                <w:rFonts w:ascii="Times New Roman" w:hAnsi="Times New Roman" w:cs="Times New Roman"/>
                <w:sz w:val="14"/>
                <w:szCs w:val="14"/>
              </w:rPr>
              <w:t>13 061</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4D562D" w:rsidP="00F26615">
            <w:pPr>
              <w:bidi w:val="0"/>
              <w:jc w:val="right"/>
              <w:rPr>
                <w:rFonts w:ascii="Times New Roman" w:hAnsi="Times New Roman" w:cs="Times New Roman"/>
                <w:sz w:val="14"/>
                <w:szCs w:val="14"/>
              </w:rPr>
            </w:pPr>
            <w:r w:rsidRPr="004D562D">
              <w:rPr>
                <w:rFonts w:ascii="Times New Roman" w:hAnsi="Times New Roman" w:cs="Times New Roman"/>
                <w:sz w:val="14"/>
                <w:szCs w:val="14"/>
              </w:rPr>
              <w:t>13 648</w:t>
            </w:r>
          </w:p>
        </w:tc>
      </w:tr>
    </w:tbl>
    <w:p w:rsidR="00AA0F70" w:rsidP="00AA0F70">
      <w:pPr>
        <w:bidi w:val="0"/>
        <w:ind w:firstLine="708"/>
        <w:jc w:val="both"/>
        <w:rPr>
          <w:rFonts w:ascii="Times New Roman" w:hAnsi="Times New Roman"/>
          <w:szCs w:val="22"/>
        </w:rPr>
      </w:pPr>
    </w:p>
    <w:p w:rsidR="0059702E" w:rsidP="00AA0F70">
      <w:pPr>
        <w:bidi w:val="0"/>
        <w:ind w:firstLine="708"/>
        <w:jc w:val="both"/>
        <w:rPr>
          <w:rFonts w:ascii="Times New Roman" w:hAnsi="Times New Roman"/>
          <w:b/>
          <w:i/>
          <w:szCs w:val="22"/>
        </w:rPr>
      </w:pPr>
    </w:p>
    <w:p w:rsidR="0059702E" w:rsidP="00AA0F70">
      <w:pPr>
        <w:bidi w:val="0"/>
        <w:ind w:firstLine="708"/>
        <w:jc w:val="both"/>
        <w:rPr>
          <w:rFonts w:ascii="Times New Roman" w:hAnsi="Times New Roman"/>
          <w:b/>
          <w:i/>
          <w:szCs w:val="22"/>
        </w:rPr>
      </w:pPr>
    </w:p>
    <w:p w:rsidR="00AA0F70" w:rsidRPr="00633018" w:rsidP="00AA0F70">
      <w:pPr>
        <w:bidi w:val="0"/>
        <w:ind w:firstLine="708"/>
        <w:jc w:val="both"/>
        <w:rPr>
          <w:rFonts w:ascii="Times New Roman" w:hAnsi="Times New Roman"/>
          <w:b/>
          <w:i/>
          <w:szCs w:val="22"/>
        </w:rPr>
      </w:pPr>
      <w:r w:rsidRPr="00633018">
        <w:rPr>
          <w:rFonts w:ascii="Times New Roman" w:hAnsi="Times New Roman"/>
          <w:b/>
          <w:i/>
          <w:szCs w:val="22"/>
        </w:rPr>
        <w:t xml:space="preserve">Rozpočtovanie nedaňových príjmov  </w:t>
      </w:r>
    </w:p>
    <w:p w:rsidR="00AA0F70" w:rsidP="00AA0F70">
      <w:pPr>
        <w:bidi w:val="0"/>
        <w:ind w:firstLine="708"/>
        <w:jc w:val="both"/>
        <w:rPr>
          <w:rFonts w:ascii="Times New Roman" w:hAnsi="Times New Roman"/>
          <w:i/>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0F70" w:rsidRPr="009A637C" w:rsidP="00F26615">
            <w:pPr>
              <w:bidi w:val="0"/>
              <w:rPr>
                <w:rFonts w:ascii="Times New Roman" w:hAnsi="Times New Roman" w:cs="Times New Roman"/>
                <w:b/>
                <w:bCs/>
                <w:color w:val="000000"/>
                <w:sz w:val="14"/>
                <w:szCs w:val="14"/>
                <w:lang w:eastAsia="sk-SK"/>
              </w:rPr>
            </w:pPr>
            <w:r w:rsidRPr="009A637C">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637C" w:rsidP="00F26615">
            <w:pPr>
              <w:bidi w:val="0"/>
              <w:jc w:val="center"/>
              <w:rPr>
                <w:rFonts w:ascii="Times New Roman" w:hAnsi="Times New Roman" w:cs="Times New Roman"/>
                <w:b/>
                <w:bCs/>
                <w:color w:val="000000"/>
                <w:sz w:val="14"/>
                <w:szCs w:val="14"/>
                <w:lang w:eastAsia="sk-SK"/>
              </w:rPr>
            </w:pPr>
            <w:r w:rsidRPr="009A637C">
              <w:rPr>
                <w:rFonts w:ascii="Times New Roman" w:hAnsi="Times New Roman" w:cs="Times New Roman"/>
                <w:b/>
                <w:bCs/>
                <w:color w:val="000000"/>
                <w:sz w:val="14"/>
                <w:szCs w:val="14"/>
                <w:lang w:eastAsia="sk-SK"/>
              </w:rPr>
              <w:t>2010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637C" w:rsidP="00F26615">
            <w:pPr>
              <w:bidi w:val="0"/>
              <w:jc w:val="center"/>
              <w:rPr>
                <w:rFonts w:ascii="Times New Roman" w:hAnsi="Times New Roman" w:cs="Times New Roman"/>
                <w:b/>
                <w:bCs/>
                <w:color w:val="000000"/>
                <w:sz w:val="14"/>
                <w:szCs w:val="14"/>
                <w:lang w:eastAsia="sk-SK"/>
              </w:rPr>
            </w:pPr>
            <w:r w:rsidRPr="009A637C">
              <w:rPr>
                <w:rFonts w:ascii="Times New Roman" w:hAnsi="Times New Roman" w:cs="Times New Roman"/>
                <w:b/>
                <w:bCs/>
                <w:color w:val="000000"/>
                <w:sz w:val="14"/>
                <w:szCs w:val="14"/>
                <w:lang w:eastAsia="sk-SK"/>
              </w:rPr>
              <w:t>2011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637C" w:rsidP="00F26615">
            <w:pPr>
              <w:bidi w:val="0"/>
              <w:jc w:val="center"/>
              <w:rPr>
                <w:rFonts w:ascii="Times New Roman" w:hAnsi="Times New Roman" w:cs="Times New Roman"/>
                <w:b/>
                <w:bCs/>
                <w:color w:val="000000"/>
                <w:sz w:val="14"/>
                <w:szCs w:val="14"/>
                <w:lang w:eastAsia="sk-SK"/>
              </w:rPr>
            </w:pPr>
            <w:r w:rsidRPr="009A637C">
              <w:rPr>
                <w:rFonts w:ascii="Times New Roman" w:hAnsi="Times New Roman" w:cs="Times New Roman"/>
                <w:b/>
                <w:bCs/>
                <w:color w:val="000000"/>
                <w:sz w:val="14"/>
                <w:szCs w:val="14"/>
                <w:lang w:eastAsia="sk-SK"/>
              </w:rPr>
              <w:t>2012 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637C" w:rsidP="00F26615">
            <w:pPr>
              <w:bidi w:val="0"/>
              <w:jc w:val="center"/>
              <w:rPr>
                <w:rFonts w:ascii="Times New Roman" w:hAnsi="Times New Roman" w:cs="Times New Roman"/>
                <w:b/>
                <w:bCs/>
                <w:color w:val="000000"/>
                <w:sz w:val="14"/>
                <w:szCs w:val="14"/>
                <w:lang w:eastAsia="sk-SK"/>
              </w:rPr>
            </w:pPr>
            <w:r w:rsidRPr="009A637C">
              <w:rPr>
                <w:rFonts w:ascii="Times New Roman" w:hAnsi="Times New Roman" w:cs="Times New Roman"/>
                <w:b/>
                <w:bCs/>
                <w:color w:val="000000"/>
                <w:sz w:val="14"/>
                <w:szCs w:val="14"/>
                <w:lang w:eastAsia="sk-SK"/>
              </w:rPr>
              <w:t>2012 OS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637C" w:rsidP="00F26615">
            <w:pPr>
              <w:bidi w:val="0"/>
              <w:jc w:val="center"/>
              <w:rPr>
                <w:rFonts w:ascii="Times New Roman" w:hAnsi="Times New Roman" w:cs="Times New Roman"/>
                <w:b/>
                <w:bCs/>
                <w:color w:val="000000"/>
                <w:sz w:val="14"/>
                <w:szCs w:val="14"/>
                <w:lang w:eastAsia="sk-SK"/>
              </w:rPr>
            </w:pPr>
            <w:r w:rsidRPr="009A637C">
              <w:rPr>
                <w:rFonts w:ascii="Times New Roman" w:hAnsi="Times New Roman" w:cs="Times New Roman"/>
                <w:b/>
                <w:bCs/>
                <w:color w:val="000000"/>
                <w:sz w:val="14"/>
                <w:szCs w:val="14"/>
                <w:lang w:eastAsia="sk-SK"/>
              </w:rPr>
              <w:t>2013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637C" w:rsidP="00F26615">
            <w:pPr>
              <w:bidi w:val="0"/>
              <w:jc w:val="center"/>
              <w:rPr>
                <w:rFonts w:ascii="Times New Roman" w:hAnsi="Times New Roman" w:cs="Times New Roman"/>
                <w:b/>
                <w:bCs/>
                <w:color w:val="000000"/>
                <w:sz w:val="14"/>
                <w:szCs w:val="14"/>
                <w:lang w:eastAsia="sk-SK"/>
              </w:rPr>
            </w:pPr>
            <w:r w:rsidRPr="009A637C">
              <w:rPr>
                <w:rFonts w:ascii="Times New Roman" w:hAnsi="Times New Roman" w:cs="Times New Roman"/>
                <w:b/>
                <w:bCs/>
                <w:color w:val="000000"/>
                <w:sz w:val="14"/>
                <w:szCs w:val="14"/>
                <w:lang w:eastAsia="sk-SK"/>
              </w:rPr>
              <w:t>2014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9A637C" w:rsidP="00F26615">
            <w:pPr>
              <w:bidi w:val="0"/>
              <w:jc w:val="center"/>
              <w:rPr>
                <w:rFonts w:ascii="Times New Roman" w:hAnsi="Times New Roman" w:cs="Times New Roman"/>
                <w:b/>
                <w:bCs/>
                <w:color w:val="000000"/>
                <w:sz w:val="14"/>
                <w:szCs w:val="14"/>
                <w:lang w:eastAsia="sk-SK"/>
              </w:rPr>
            </w:pPr>
            <w:r w:rsidRPr="009A637C">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9A637C" w:rsidP="00F26615">
            <w:pPr>
              <w:bidi w:val="0"/>
              <w:rPr>
                <w:rFonts w:ascii="Times New Roman" w:hAnsi="Times New Roman" w:cs="Times New Roman"/>
                <w:b/>
                <w:bCs/>
                <w:color w:val="000000"/>
                <w:sz w:val="14"/>
                <w:szCs w:val="14"/>
                <w:lang w:eastAsia="sk-SK"/>
              </w:rPr>
            </w:pPr>
            <w:r w:rsidRPr="009A637C">
              <w:rPr>
                <w:rFonts w:ascii="Times New Roman" w:hAnsi="Times New Roman" w:cs="Times New Roman"/>
                <w:b/>
                <w:bCs/>
                <w:color w:val="000000"/>
                <w:sz w:val="14"/>
                <w:szCs w:val="14"/>
                <w:lang w:eastAsia="sk-SK"/>
              </w:rPr>
              <w:t>Nedaňové príjmy</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9A637C" w:rsidP="00F26615">
            <w:pPr>
              <w:bidi w:val="0"/>
              <w:jc w:val="right"/>
              <w:rPr>
                <w:rFonts w:ascii="Times New Roman" w:hAnsi="Times New Roman" w:cs="Times New Roman"/>
                <w:b/>
                <w:bCs/>
                <w:color w:val="000000"/>
                <w:sz w:val="14"/>
                <w:szCs w:val="14"/>
                <w:lang w:eastAsia="sk-SK"/>
              </w:rPr>
            </w:pPr>
            <w:r w:rsidRPr="009A637C">
              <w:rPr>
                <w:rFonts w:ascii="Times New Roman" w:hAnsi="Times New Roman" w:cs="Times New Roman"/>
                <w:b/>
                <w:bCs/>
                <w:color w:val="000000"/>
                <w:sz w:val="14"/>
                <w:szCs w:val="14"/>
                <w:lang w:eastAsia="sk-SK"/>
              </w:rPr>
              <w:t>623 036</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9A637C" w:rsidP="00F26615">
            <w:pPr>
              <w:bidi w:val="0"/>
              <w:jc w:val="right"/>
              <w:rPr>
                <w:rFonts w:ascii="Times New Roman" w:hAnsi="Times New Roman" w:cs="Times New Roman"/>
                <w:b/>
                <w:bCs/>
                <w:sz w:val="14"/>
                <w:szCs w:val="14"/>
                <w:lang w:eastAsia="sk-SK"/>
              </w:rPr>
            </w:pPr>
            <w:r w:rsidRPr="009A637C">
              <w:rPr>
                <w:rFonts w:ascii="Times New Roman" w:hAnsi="Times New Roman" w:cs="Times New Roman"/>
                <w:b/>
                <w:bCs/>
                <w:sz w:val="14"/>
                <w:szCs w:val="14"/>
                <w:lang w:eastAsia="sk-SK"/>
              </w:rPr>
              <w:t>759 464</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9A637C" w:rsidP="00F26615">
            <w:pPr>
              <w:bidi w:val="0"/>
              <w:jc w:val="right"/>
              <w:rPr>
                <w:rFonts w:ascii="Times New Roman" w:hAnsi="Times New Roman" w:cs="Times New Roman"/>
                <w:b/>
                <w:bCs/>
                <w:sz w:val="14"/>
                <w:szCs w:val="14"/>
                <w:lang w:eastAsia="sk-SK"/>
              </w:rPr>
            </w:pPr>
            <w:r w:rsidRPr="009A637C">
              <w:rPr>
                <w:rFonts w:ascii="Times New Roman" w:hAnsi="Times New Roman" w:cs="Times New Roman"/>
                <w:b/>
                <w:bCs/>
                <w:sz w:val="14"/>
                <w:szCs w:val="14"/>
                <w:lang w:eastAsia="sk-SK"/>
              </w:rPr>
              <w:t>683 935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9A637C" w:rsidP="00F26615">
            <w:pPr>
              <w:bidi w:val="0"/>
              <w:jc w:val="right"/>
              <w:rPr>
                <w:rFonts w:ascii="Times New Roman" w:hAnsi="Times New Roman" w:cs="Times New Roman"/>
                <w:b/>
                <w:bCs/>
                <w:sz w:val="14"/>
                <w:szCs w:val="14"/>
                <w:lang w:eastAsia="sk-SK"/>
              </w:rPr>
            </w:pPr>
            <w:r w:rsidRPr="009A637C">
              <w:rPr>
                <w:rFonts w:ascii="Times New Roman" w:hAnsi="Times New Roman" w:cs="Times New Roman"/>
                <w:b/>
                <w:bCs/>
                <w:sz w:val="14"/>
                <w:szCs w:val="14"/>
                <w:lang w:eastAsia="sk-SK"/>
              </w:rPr>
              <w:t>577 000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DF6296" w:rsidP="00F26615">
            <w:pPr>
              <w:bidi w:val="0"/>
              <w:jc w:val="right"/>
              <w:rPr>
                <w:rFonts w:ascii="Times New Roman" w:hAnsi="Times New Roman" w:cs="Times New Roman"/>
                <w:b/>
                <w:bCs/>
                <w:sz w:val="14"/>
                <w:szCs w:val="14"/>
              </w:rPr>
            </w:pPr>
            <w:r w:rsidRPr="00DF6296">
              <w:rPr>
                <w:rFonts w:ascii="Times New Roman" w:hAnsi="Times New Roman" w:cs="Times New Roman"/>
                <w:b/>
                <w:bCs/>
                <w:sz w:val="14"/>
                <w:szCs w:val="14"/>
              </w:rPr>
              <w:t>895 53</w:t>
            </w:r>
            <w:r>
              <w:rPr>
                <w:rFonts w:ascii="Times New Roman" w:hAnsi="Times New Roman" w:cs="Times New Roman"/>
                <w:b/>
                <w:bCs/>
                <w:sz w:val="14"/>
                <w:szCs w:val="14"/>
              </w:rPr>
              <w:t>2</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DF6296" w:rsidP="00F26615">
            <w:pPr>
              <w:bidi w:val="0"/>
              <w:jc w:val="right"/>
              <w:rPr>
                <w:rFonts w:ascii="Times New Roman" w:hAnsi="Times New Roman" w:cs="Times New Roman"/>
                <w:b/>
                <w:bCs/>
                <w:sz w:val="14"/>
                <w:szCs w:val="14"/>
              </w:rPr>
            </w:pPr>
            <w:r w:rsidRPr="00DF6296">
              <w:rPr>
                <w:rFonts w:ascii="Times New Roman" w:hAnsi="Times New Roman" w:cs="Times New Roman"/>
                <w:b/>
                <w:bCs/>
                <w:sz w:val="14"/>
                <w:szCs w:val="14"/>
              </w:rPr>
              <w:t>787 632</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DF6296" w:rsidP="00F26615">
            <w:pPr>
              <w:bidi w:val="0"/>
              <w:jc w:val="right"/>
              <w:rPr>
                <w:rFonts w:ascii="Times New Roman" w:hAnsi="Times New Roman" w:cs="Times New Roman"/>
                <w:b/>
                <w:bCs/>
                <w:sz w:val="14"/>
                <w:szCs w:val="14"/>
              </w:rPr>
            </w:pPr>
            <w:r w:rsidRPr="00DF6296">
              <w:rPr>
                <w:rFonts w:ascii="Times New Roman" w:hAnsi="Times New Roman" w:cs="Times New Roman"/>
                <w:b/>
                <w:bCs/>
                <w:sz w:val="14"/>
                <w:szCs w:val="14"/>
              </w:rPr>
              <w:t>805 484</w:t>
            </w:r>
          </w:p>
        </w:tc>
      </w:tr>
      <w:tr>
        <w:tblPrEx>
          <w:tblW w:w="5000" w:type="pct"/>
          <w:tblCellMar>
            <w:left w:w="70" w:type="dxa"/>
            <w:right w:w="70" w:type="dxa"/>
          </w:tblCellMar>
          <w:tblLook w:val="04A0"/>
        </w:tblPrEx>
        <w:trPr>
          <w:trHeight w:val="43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 xml:space="preserve">Príjmy z vlastníctva </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8 394</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sz w:val="14"/>
                <w:szCs w:val="14"/>
                <w:lang w:eastAsia="sk-SK"/>
              </w:rPr>
            </w:pPr>
            <w:r w:rsidRPr="009A637C">
              <w:rPr>
                <w:rFonts w:ascii="Times New Roman" w:hAnsi="Times New Roman" w:cs="Times New Roman"/>
                <w:sz w:val="14"/>
                <w:szCs w:val="14"/>
                <w:lang w:eastAsia="sk-SK"/>
              </w:rPr>
              <w:t>8 551</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6 104</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7 000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Pr>
                <w:rFonts w:ascii="Times New Roman" w:hAnsi="Times New Roman" w:cs="Times New Roman"/>
                <w:sz w:val="14"/>
                <w:szCs w:val="14"/>
              </w:rPr>
              <w:t>8 416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8 357</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8 281</w:t>
            </w:r>
          </w:p>
        </w:tc>
      </w:tr>
      <w:tr>
        <w:tblPrEx>
          <w:tblW w:w="5000" w:type="pct"/>
          <w:tblCellMar>
            <w:left w:w="70" w:type="dxa"/>
            <w:right w:w="70" w:type="dxa"/>
          </w:tblCellMar>
          <w:tblLook w:val="04A0"/>
        </w:tblPrEx>
        <w:trPr>
          <w:trHeight w:val="43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Administratívne a iné poplatky a platby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279 705</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sz w:val="14"/>
                <w:szCs w:val="14"/>
                <w:lang w:eastAsia="sk-SK"/>
              </w:rPr>
            </w:pPr>
            <w:r w:rsidRPr="009A637C">
              <w:rPr>
                <w:rFonts w:ascii="Times New Roman" w:hAnsi="Times New Roman" w:cs="Times New Roman"/>
                <w:sz w:val="14"/>
                <w:szCs w:val="14"/>
                <w:lang w:eastAsia="sk-SK"/>
              </w:rPr>
              <w:t>367 609</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351 626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269 000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435 131</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322 122</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323 400</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Kapitálové príjmy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16 346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sz w:val="14"/>
                <w:szCs w:val="14"/>
                <w:lang w:eastAsia="sk-SK"/>
              </w:rPr>
            </w:pPr>
            <w:r w:rsidRPr="009A637C">
              <w:rPr>
                <w:rFonts w:ascii="Times New Roman" w:hAnsi="Times New Roman" w:cs="Times New Roman"/>
                <w:sz w:val="14"/>
                <w:szCs w:val="14"/>
                <w:lang w:eastAsia="sk-SK"/>
              </w:rPr>
              <w:t>18 238</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9 596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12 000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123 108</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112 059</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111 309</w:t>
            </w:r>
          </w:p>
        </w:tc>
      </w:tr>
      <w:tr>
        <w:tblPrEx>
          <w:tblW w:w="5000" w:type="pct"/>
          <w:tblCellMar>
            <w:left w:w="70" w:type="dxa"/>
            <w:right w:w="70" w:type="dxa"/>
          </w:tblCellMar>
          <w:tblLook w:val="04A0"/>
        </w:tblPrEx>
        <w:trPr>
          <w:trHeight w:val="58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Úroky z tuzem. a zahr. úverov, pôžičiek a vkladov</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79 011</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sz w:val="14"/>
                <w:szCs w:val="14"/>
                <w:lang w:eastAsia="sk-SK"/>
              </w:rPr>
            </w:pPr>
            <w:r w:rsidRPr="009A637C">
              <w:rPr>
                <w:rFonts w:ascii="Times New Roman" w:hAnsi="Times New Roman" w:cs="Times New Roman"/>
                <w:sz w:val="14"/>
                <w:szCs w:val="14"/>
                <w:lang w:eastAsia="sk-SK"/>
              </w:rPr>
              <w:t>55</w:t>
            </w:r>
            <w:r>
              <w:rPr>
                <w:rFonts w:ascii="Times New Roman" w:hAnsi="Times New Roman" w:cs="Times New Roman"/>
                <w:sz w:val="14"/>
                <w:szCs w:val="14"/>
                <w:lang w:eastAsia="sk-SK"/>
              </w:rPr>
              <w:t xml:space="preserve"> </w:t>
            </w:r>
            <w:r w:rsidRPr="009A637C">
              <w:rPr>
                <w:rFonts w:ascii="Times New Roman" w:hAnsi="Times New Roman" w:cs="Times New Roman"/>
                <w:sz w:val="14"/>
                <w:szCs w:val="14"/>
                <w:lang w:eastAsia="sk-SK"/>
              </w:rPr>
              <w:t>428</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45 748</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15</w:t>
            </w:r>
            <w:r>
              <w:rPr>
                <w:rFonts w:ascii="Times New Roman" w:hAnsi="Times New Roman" w:cs="Times New Roman"/>
                <w:color w:val="000000"/>
                <w:sz w:val="14"/>
                <w:szCs w:val="14"/>
                <w:lang w:eastAsia="sk-SK"/>
              </w:rPr>
              <w:t xml:space="preserve"> </w:t>
            </w:r>
            <w:r w:rsidRPr="009A637C">
              <w:rPr>
                <w:rFonts w:ascii="Times New Roman" w:hAnsi="Times New Roman" w:cs="Times New Roman"/>
                <w:color w:val="000000"/>
                <w:sz w:val="14"/>
                <w:szCs w:val="14"/>
                <w:lang w:eastAsia="sk-SK"/>
              </w:rPr>
              <w:t>000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11 66</w:t>
            </w:r>
            <w:r>
              <w:rPr>
                <w:rFonts w:ascii="Times New Roman" w:hAnsi="Times New Roman" w:cs="Times New Roman"/>
                <w:sz w:val="14"/>
                <w:szCs w:val="14"/>
              </w:rPr>
              <w:t>6</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17 65</w:t>
            </w:r>
            <w:r>
              <w:rPr>
                <w:rFonts w:ascii="Times New Roman" w:hAnsi="Times New Roman" w:cs="Times New Roman"/>
                <w:sz w:val="14"/>
                <w:szCs w:val="14"/>
              </w:rPr>
              <w:t>7</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32 095</w:t>
            </w:r>
          </w:p>
        </w:tc>
      </w:tr>
      <w:tr>
        <w:tblPrEx>
          <w:tblW w:w="5000" w:type="pct"/>
          <w:tblCellMar>
            <w:left w:w="70" w:type="dxa"/>
            <w:right w:w="70" w:type="dxa"/>
          </w:tblCellMar>
          <w:tblLook w:val="04A0"/>
        </w:tblPrEx>
        <w:trPr>
          <w:trHeight w:val="345"/>
        </w:trPr>
        <w:tc>
          <w:tcPr>
            <w:tcW w:w="925"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Iné nedaňové príjmy</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239 580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sz w:val="14"/>
                <w:szCs w:val="14"/>
                <w:lang w:eastAsia="sk-SK"/>
              </w:rPr>
            </w:pPr>
            <w:r w:rsidRPr="009A637C">
              <w:rPr>
                <w:rFonts w:ascii="Times New Roman" w:hAnsi="Times New Roman" w:cs="Times New Roman"/>
                <w:sz w:val="14"/>
                <w:szCs w:val="14"/>
                <w:lang w:eastAsia="sk-SK"/>
              </w:rPr>
              <w:t>309 638</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270 861</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9A637C" w:rsidP="00F26615">
            <w:pPr>
              <w:bidi w:val="0"/>
              <w:jc w:val="right"/>
              <w:rPr>
                <w:rFonts w:ascii="Times New Roman" w:hAnsi="Times New Roman" w:cs="Times New Roman"/>
                <w:color w:val="000000"/>
                <w:sz w:val="14"/>
                <w:szCs w:val="14"/>
                <w:lang w:eastAsia="sk-SK"/>
              </w:rPr>
            </w:pPr>
            <w:r w:rsidRPr="009A637C">
              <w:rPr>
                <w:rFonts w:ascii="Times New Roman" w:hAnsi="Times New Roman" w:cs="Times New Roman"/>
                <w:color w:val="000000"/>
                <w:sz w:val="14"/>
                <w:szCs w:val="14"/>
                <w:lang w:eastAsia="sk-SK"/>
              </w:rPr>
              <w:t>274 000</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317 21</w:t>
            </w:r>
            <w:r>
              <w:rPr>
                <w:rFonts w:ascii="Times New Roman" w:hAnsi="Times New Roman" w:cs="Times New Roman"/>
                <w:sz w:val="14"/>
                <w:szCs w:val="14"/>
              </w:rPr>
              <w:t>1</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327 438</w:t>
            </w:r>
          </w:p>
        </w:tc>
        <w:tc>
          <w:tcPr>
            <w:tcW w:w="58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DF6296" w:rsidP="00F26615">
            <w:pPr>
              <w:bidi w:val="0"/>
              <w:jc w:val="right"/>
              <w:rPr>
                <w:rFonts w:ascii="Times New Roman" w:hAnsi="Times New Roman" w:cs="Times New Roman"/>
                <w:sz w:val="14"/>
                <w:szCs w:val="14"/>
              </w:rPr>
            </w:pPr>
            <w:r w:rsidRPr="00DF6296">
              <w:rPr>
                <w:rFonts w:ascii="Times New Roman" w:hAnsi="Times New Roman" w:cs="Times New Roman"/>
                <w:sz w:val="14"/>
                <w:szCs w:val="14"/>
              </w:rPr>
              <w:t>330 399</w:t>
            </w:r>
          </w:p>
        </w:tc>
      </w:tr>
    </w:tbl>
    <w:p w:rsidR="00AA0F70" w:rsidP="00AA0F70">
      <w:pPr>
        <w:bidi w:val="0"/>
        <w:ind w:firstLine="708"/>
        <w:jc w:val="both"/>
        <w:rPr>
          <w:rFonts w:ascii="Times New Roman" w:hAnsi="Times New Roman"/>
          <w:i/>
          <w:szCs w:val="22"/>
        </w:rPr>
      </w:pPr>
    </w:p>
    <w:p w:rsidR="00AA0F70" w:rsidRPr="00633018" w:rsidP="00AA0F70">
      <w:pPr>
        <w:bidi w:val="0"/>
        <w:ind w:firstLine="708"/>
        <w:jc w:val="both"/>
        <w:rPr>
          <w:rFonts w:ascii="Times New Roman" w:hAnsi="Times New Roman"/>
          <w:b/>
          <w:i/>
          <w:szCs w:val="22"/>
        </w:rPr>
      </w:pPr>
      <w:r w:rsidRPr="00633018">
        <w:rPr>
          <w:rFonts w:ascii="Times New Roman" w:hAnsi="Times New Roman"/>
          <w:b/>
          <w:i/>
          <w:szCs w:val="22"/>
        </w:rPr>
        <w:t>Príjmy z vlastníctva</w:t>
      </w:r>
    </w:p>
    <w:p w:rsidR="00AA0F70" w:rsidP="00AA0F70">
      <w:pPr>
        <w:bidi w:val="0"/>
        <w:ind w:firstLine="708"/>
        <w:jc w:val="both"/>
        <w:rPr>
          <w:rFonts w:ascii="Times New Roman" w:hAnsi="Times New Roman"/>
          <w:i/>
          <w:szCs w:val="22"/>
        </w:rPr>
      </w:pPr>
    </w:p>
    <w:p w:rsidR="00AA0F70" w:rsidP="00AA0F70">
      <w:pPr>
        <w:bidi w:val="0"/>
        <w:ind w:firstLine="708"/>
        <w:jc w:val="both"/>
        <w:rPr>
          <w:rFonts w:ascii="Times New Roman" w:hAnsi="Times New Roman"/>
          <w:szCs w:val="22"/>
        </w:rPr>
      </w:pPr>
      <w:r w:rsidRPr="00EC3DDF">
        <w:rPr>
          <w:rFonts w:ascii="Times New Roman" w:hAnsi="Times New Roman"/>
          <w:szCs w:val="22"/>
        </w:rPr>
        <w:t>Uved</w:t>
      </w:r>
      <w:r>
        <w:rPr>
          <w:rFonts w:ascii="Times New Roman" w:hAnsi="Times New Roman"/>
          <w:szCs w:val="22"/>
        </w:rPr>
        <w:t>ené príjmy sa na rok 2013 rozpočtujú vo výške 8,4 mil. eur. V porovnaní s predchádzajúcimi rokmi sa ich úroveň podstatne nemení. Ide predovšetkým o príjmy z prenajatých pozemkov, budov, strojov a podobne.</w:t>
      </w:r>
    </w:p>
    <w:p w:rsidR="00AA0F70" w:rsidRPr="00EC3DDF" w:rsidP="00AA0F70">
      <w:pPr>
        <w:bidi w:val="0"/>
        <w:ind w:firstLine="708"/>
        <w:jc w:val="both"/>
        <w:rPr>
          <w:rFonts w:ascii="Times New Roman" w:hAnsi="Times New Roman"/>
          <w:szCs w:val="22"/>
        </w:rPr>
      </w:pPr>
      <w:r>
        <w:rPr>
          <w:rFonts w:ascii="Times New Roman" w:hAnsi="Times New Roman"/>
          <w:szCs w:val="22"/>
        </w:rPr>
        <w:t xml:space="preserve"> </w:t>
      </w:r>
    </w:p>
    <w:p w:rsidR="00AA0F70" w:rsidRPr="00633018" w:rsidP="00AA0F70">
      <w:pPr>
        <w:bidi w:val="0"/>
        <w:ind w:firstLine="708"/>
        <w:jc w:val="both"/>
        <w:rPr>
          <w:rFonts w:ascii="Times New Roman" w:hAnsi="Times New Roman"/>
          <w:b/>
          <w:i/>
          <w:szCs w:val="22"/>
        </w:rPr>
      </w:pPr>
      <w:r w:rsidRPr="00633018">
        <w:rPr>
          <w:rFonts w:ascii="Times New Roman" w:hAnsi="Times New Roman"/>
          <w:b/>
          <w:i/>
          <w:szCs w:val="22"/>
        </w:rPr>
        <w:t>Administratívne poplatky a iné poplatky a platby</w:t>
      </w:r>
    </w:p>
    <w:p w:rsidR="00AA0F70" w:rsidP="00AA0F70">
      <w:pPr>
        <w:bidi w:val="0"/>
        <w:ind w:firstLine="708"/>
        <w:jc w:val="both"/>
        <w:rPr>
          <w:rFonts w:ascii="Times New Roman" w:hAnsi="Times New Roman"/>
          <w:i/>
          <w:szCs w:val="22"/>
        </w:rPr>
      </w:pPr>
    </w:p>
    <w:p w:rsidR="00AA0F70" w:rsidP="00AA0F70">
      <w:pPr>
        <w:bidi w:val="0"/>
        <w:ind w:firstLine="708"/>
        <w:jc w:val="both"/>
        <w:rPr>
          <w:rFonts w:ascii="Times New Roman" w:hAnsi="Times New Roman"/>
          <w:szCs w:val="22"/>
        </w:rPr>
      </w:pPr>
      <w:r w:rsidRPr="002C0D88">
        <w:rPr>
          <w:rFonts w:ascii="Times New Roman" w:hAnsi="Times New Roman"/>
          <w:szCs w:val="22"/>
        </w:rPr>
        <w:t xml:space="preserve">Pri </w:t>
      </w:r>
      <w:r w:rsidRPr="00633018">
        <w:rPr>
          <w:rFonts w:ascii="Times New Roman" w:hAnsi="Times New Roman"/>
          <w:szCs w:val="22"/>
        </w:rPr>
        <w:t>administratívnych poplatkoch a iných poplatkoch a platbách</w:t>
      </w:r>
      <w:r w:rsidRPr="002C0D88">
        <w:rPr>
          <w:rFonts w:ascii="Times New Roman" w:hAnsi="Times New Roman"/>
          <w:b/>
          <w:szCs w:val="22"/>
        </w:rPr>
        <w:t xml:space="preserve"> </w:t>
      </w:r>
      <w:r w:rsidRPr="002C0D88">
        <w:rPr>
          <w:rFonts w:ascii="Times New Roman" w:hAnsi="Times New Roman"/>
          <w:szCs w:val="22"/>
        </w:rPr>
        <w:t>výška príjmov závisí od počtu jednotlivých aktov konania v priebehu roka.</w:t>
      </w:r>
    </w:p>
    <w:p w:rsidR="00AA0F70" w:rsidP="00AA0F70">
      <w:pPr>
        <w:bidi w:val="0"/>
        <w:ind w:firstLine="708"/>
        <w:jc w:val="both"/>
        <w:rPr>
          <w:rFonts w:ascii="Times New Roman" w:hAnsi="Times New Roman"/>
          <w:szCs w:val="22"/>
        </w:rPr>
      </w:pPr>
    </w:p>
    <w:p w:rsidR="00AA0F70" w:rsidP="00AA0F70">
      <w:pPr>
        <w:bidi w:val="0"/>
        <w:ind w:firstLine="708"/>
        <w:jc w:val="both"/>
        <w:rPr>
          <w:rFonts w:ascii="Times New Roman" w:hAnsi="Times New Roman"/>
          <w:szCs w:val="22"/>
        </w:rPr>
      </w:pPr>
      <w:r>
        <w:rPr>
          <w:rFonts w:ascii="Times New Roman" w:hAnsi="Times New Roman"/>
          <w:szCs w:val="22"/>
        </w:rPr>
        <w:t>Vývoj týchto príjmov v jednotlivých rokoch zobrazuje nasledovná tabuľka:</w:t>
      </w:r>
    </w:p>
    <w:p w:rsidR="00AA0F70" w:rsidP="00AA0F70">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5"/>
        <w:gridCol w:w="1073"/>
        <w:gridCol w:w="1073"/>
        <w:gridCol w:w="1073"/>
        <w:gridCol w:w="1072"/>
        <w:gridCol w:w="1072"/>
        <w:gridCol w:w="1072"/>
        <w:gridCol w:w="10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0F70" w:rsidRPr="008B7BA3" w:rsidP="00F26615">
            <w:pPr>
              <w:bidi w:val="0"/>
              <w:jc w:val="both"/>
              <w:rPr>
                <w:rFonts w:ascii="Times New Roman" w:hAnsi="Times New Roman" w:cs="Times New Roman"/>
                <w:b/>
                <w:bCs/>
                <w:color w:val="000000"/>
                <w:sz w:val="14"/>
                <w:szCs w:val="14"/>
                <w:lang w:eastAsia="sk-SK"/>
              </w:rPr>
            </w:pPr>
            <w:r w:rsidRPr="002C0D88">
              <w:rPr>
                <w:rFonts w:ascii="Times New Roman" w:hAnsi="Times New Roman"/>
                <w:szCs w:val="22"/>
              </w:rPr>
              <w:t xml:space="preserve"> </w:t>
            </w:r>
            <w:r w:rsidRPr="008B7BA3">
              <w:rPr>
                <w:rFonts w:ascii="Times New Roman" w:hAnsi="Times New Roman" w:cs="Times New Roman"/>
                <w:b/>
                <w:bCs/>
                <w:color w:val="000000"/>
                <w:sz w:val="14"/>
                <w:szCs w:val="14"/>
                <w:lang w:eastAsia="sk-SK"/>
              </w:rPr>
              <w:t>v tis. eur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8B7BA3" w:rsidP="00F26615">
            <w:pPr>
              <w:bidi w:val="0"/>
              <w:jc w:val="center"/>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2010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8B7BA3" w:rsidP="00F26615">
            <w:pPr>
              <w:bidi w:val="0"/>
              <w:jc w:val="center"/>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2011 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8B7BA3" w:rsidP="00F26615">
            <w:pPr>
              <w:bidi w:val="0"/>
              <w:jc w:val="center"/>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2012 R</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8B7BA3" w:rsidP="00F26615">
            <w:pPr>
              <w:bidi w:val="0"/>
              <w:jc w:val="center"/>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2012 OS</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8B7BA3" w:rsidP="00F26615">
            <w:pPr>
              <w:bidi w:val="0"/>
              <w:jc w:val="center"/>
              <w:rPr>
                <w:rFonts w:ascii="Times New Roman" w:hAnsi="Times New Roman" w:cs="Times New Roman"/>
                <w:b/>
                <w:bCs/>
                <w:sz w:val="14"/>
                <w:szCs w:val="14"/>
                <w:lang w:eastAsia="sk-SK"/>
              </w:rPr>
            </w:pPr>
            <w:r w:rsidRPr="008B7BA3">
              <w:rPr>
                <w:rFonts w:ascii="Times New Roman" w:hAnsi="Times New Roman" w:cs="Times New Roman"/>
                <w:b/>
                <w:bCs/>
                <w:sz w:val="14"/>
                <w:szCs w:val="14"/>
                <w:lang w:eastAsia="sk-SK"/>
              </w:rPr>
              <w:t>2013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8B7BA3" w:rsidP="00F26615">
            <w:pPr>
              <w:bidi w:val="0"/>
              <w:jc w:val="center"/>
              <w:rPr>
                <w:rFonts w:ascii="Times New Roman" w:hAnsi="Times New Roman" w:cs="Times New Roman"/>
                <w:b/>
                <w:bCs/>
                <w:sz w:val="14"/>
                <w:szCs w:val="14"/>
                <w:lang w:eastAsia="sk-SK"/>
              </w:rPr>
            </w:pPr>
            <w:r w:rsidRPr="008B7BA3">
              <w:rPr>
                <w:rFonts w:ascii="Times New Roman" w:hAnsi="Times New Roman" w:cs="Times New Roman"/>
                <w:b/>
                <w:bCs/>
                <w:sz w:val="14"/>
                <w:szCs w:val="14"/>
                <w:lang w:eastAsia="sk-SK"/>
              </w:rPr>
              <w:t>2014 N</w:t>
            </w:r>
          </w:p>
        </w:tc>
        <w:tc>
          <w:tcPr>
            <w:tcW w:w="58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8B7BA3" w:rsidP="00F26615">
            <w:pPr>
              <w:bidi w:val="0"/>
              <w:jc w:val="center"/>
              <w:rPr>
                <w:rFonts w:ascii="Times New Roman" w:hAnsi="Times New Roman" w:cs="Times New Roman"/>
                <w:b/>
                <w:bCs/>
                <w:sz w:val="14"/>
                <w:szCs w:val="14"/>
                <w:lang w:eastAsia="sk-SK"/>
              </w:rPr>
            </w:pPr>
            <w:r w:rsidRPr="008B7BA3">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8B7BA3" w:rsidP="00F26615">
            <w:pPr>
              <w:bidi w:val="0"/>
              <w:jc w:val="both"/>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Spolu</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8B7BA3" w:rsidP="00F26615">
            <w:pPr>
              <w:bidi w:val="0"/>
              <w:jc w:val="right"/>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279 705</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8B7BA3" w:rsidP="00F26615">
            <w:pPr>
              <w:bidi w:val="0"/>
              <w:jc w:val="right"/>
              <w:rPr>
                <w:rFonts w:ascii="Times New Roman" w:hAnsi="Times New Roman" w:cs="Times New Roman"/>
                <w:b/>
                <w:bCs/>
                <w:sz w:val="14"/>
                <w:szCs w:val="14"/>
                <w:lang w:eastAsia="sk-SK"/>
              </w:rPr>
            </w:pPr>
            <w:r w:rsidRPr="008B7BA3">
              <w:rPr>
                <w:rFonts w:ascii="Times New Roman" w:hAnsi="Times New Roman" w:cs="Times New Roman"/>
                <w:b/>
                <w:bCs/>
                <w:sz w:val="14"/>
                <w:szCs w:val="14"/>
                <w:lang w:eastAsia="sk-SK"/>
              </w:rPr>
              <w:t>367 609</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8B7BA3" w:rsidP="00F26615">
            <w:pPr>
              <w:bidi w:val="0"/>
              <w:jc w:val="right"/>
              <w:rPr>
                <w:rFonts w:ascii="Times New Roman" w:hAnsi="Times New Roman" w:cs="Times New Roman"/>
                <w:b/>
                <w:bCs/>
                <w:sz w:val="14"/>
                <w:szCs w:val="14"/>
                <w:lang w:eastAsia="sk-SK"/>
              </w:rPr>
            </w:pPr>
            <w:r w:rsidRPr="008B7BA3">
              <w:rPr>
                <w:rFonts w:ascii="Times New Roman" w:hAnsi="Times New Roman" w:cs="Times New Roman"/>
                <w:b/>
                <w:bCs/>
                <w:sz w:val="14"/>
                <w:szCs w:val="14"/>
                <w:lang w:eastAsia="sk-SK"/>
              </w:rPr>
              <w:t>351 626</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8B7BA3" w:rsidP="00F26615">
            <w:pPr>
              <w:bidi w:val="0"/>
              <w:jc w:val="right"/>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269 000</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154E7" w:rsidP="00F26615">
            <w:pPr>
              <w:bidi w:val="0"/>
              <w:jc w:val="right"/>
              <w:rPr>
                <w:rFonts w:ascii="Times New Roman" w:hAnsi="Times New Roman" w:cs="Times New Roman"/>
                <w:b/>
                <w:bCs/>
                <w:sz w:val="14"/>
                <w:szCs w:val="14"/>
              </w:rPr>
            </w:pPr>
            <w:r w:rsidRPr="00B154E7">
              <w:rPr>
                <w:rFonts w:ascii="Times New Roman" w:hAnsi="Times New Roman" w:cs="Times New Roman"/>
                <w:b/>
                <w:bCs/>
                <w:sz w:val="14"/>
                <w:szCs w:val="14"/>
              </w:rPr>
              <w:t>435 131</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154E7" w:rsidP="00F26615">
            <w:pPr>
              <w:bidi w:val="0"/>
              <w:jc w:val="right"/>
              <w:rPr>
                <w:rFonts w:ascii="Times New Roman" w:hAnsi="Times New Roman" w:cs="Times New Roman"/>
                <w:b/>
                <w:bCs/>
                <w:sz w:val="14"/>
                <w:szCs w:val="14"/>
              </w:rPr>
            </w:pPr>
            <w:r w:rsidRPr="00B154E7">
              <w:rPr>
                <w:rFonts w:ascii="Times New Roman" w:hAnsi="Times New Roman" w:cs="Times New Roman"/>
                <w:b/>
                <w:bCs/>
                <w:sz w:val="14"/>
                <w:szCs w:val="14"/>
              </w:rPr>
              <w:t>322 122</w:t>
            </w:r>
          </w:p>
        </w:tc>
        <w:tc>
          <w:tcPr>
            <w:tcW w:w="58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154E7" w:rsidP="00F26615">
            <w:pPr>
              <w:bidi w:val="0"/>
              <w:jc w:val="right"/>
              <w:rPr>
                <w:rFonts w:ascii="Times New Roman" w:hAnsi="Times New Roman" w:cs="Times New Roman"/>
                <w:b/>
                <w:bCs/>
                <w:sz w:val="14"/>
                <w:szCs w:val="14"/>
              </w:rPr>
            </w:pPr>
            <w:r w:rsidRPr="00B154E7">
              <w:rPr>
                <w:rFonts w:ascii="Times New Roman" w:hAnsi="Times New Roman" w:cs="Times New Roman"/>
                <w:b/>
                <w:bCs/>
                <w:sz w:val="14"/>
                <w:szCs w:val="14"/>
              </w:rPr>
              <w:t>323 400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both"/>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Administratívne poplatky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162 247</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sz w:val="14"/>
                <w:szCs w:val="14"/>
                <w:lang w:eastAsia="sk-SK"/>
              </w:rPr>
            </w:pPr>
            <w:r w:rsidRPr="008B7BA3">
              <w:rPr>
                <w:rFonts w:ascii="Times New Roman" w:hAnsi="Times New Roman" w:cs="Times New Roman"/>
                <w:b/>
                <w:bCs/>
                <w:sz w:val="14"/>
                <w:szCs w:val="14"/>
                <w:lang w:eastAsia="sk-SK"/>
              </w:rPr>
              <w:t>155 457</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sz w:val="14"/>
                <w:szCs w:val="14"/>
                <w:lang w:eastAsia="sk-SK"/>
              </w:rPr>
            </w:pPr>
            <w:r w:rsidRPr="008B7BA3">
              <w:rPr>
                <w:rFonts w:ascii="Times New Roman" w:hAnsi="Times New Roman" w:cs="Times New Roman"/>
                <w:b/>
                <w:bCs/>
                <w:sz w:val="14"/>
                <w:szCs w:val="14"/>
                <w:lang w:eastAsia="sk-SK"/>
              </w:rPr>
              <w:t>200 699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158 700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b/>
                <w:bCs/>
                <w:sz w:val="14"/>
                <w:szCs w:val="14"/>
              </w:rPr>
            </w:pPr>
            <w:r w:rsidRPr="00B154E7">
              <w:rPr>
                <w:rFonts w:ascii="Times New Roman" w:hAnsi="Times New Roman" w:cs="Times New Roman"/>
                <w:b/>
                <w:bCs/>
                <w:sz w:val="14"/>
                <w:szCs w:val="14"/>
              </w:rPr>
              <w:t>206 538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b/>
                <w:bCs/>
                <w:sz w:val="14"/>
                <w:szCs w:val="14"/>
              </w:rPr>
            </w:pPr>
            <w:r w:rsidRPr="00B154E7">
              <w:rPr>
                <w:rFonts w:ascii="Times New Roman" w:hAnsi="Times New Roman" w:cs="Times New Roman"/>
                <w:b/>
                <w:bCs/>
                <w:sz w:val="14"/>
                <w:szCs w:val="14"/>
              </w:rPr>
              <w:t>213 690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b/>
                <w:bCs/>
                <w:sz w:val="14"/>
                <w:szCs w:val="14"/>
              </w:rPr>
            </w:pPr>
            <w:r w:rsidRPr="00B154E7">
              <w:rPr>
                <w:rFonts w:ascii="Times New Roman" w:hAnsi="Times New Roman" w:cs="Times New Roman"/>
                <w:b/>
                <w:bCs/>
                <w:sz w:val="14"/>
                <w:szCs w:val="14"/>
              </w:rPr>
              <w:t>214 495</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both"/>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 xml:space="preserve">v tom: súdne </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31 551</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sz w:val="14"/>
                <w:szCs w:val="14"/>
                <w:lang w:eastAsia="sk-SK"/>
              </w:rPr>
            </w:pPr>
            <w:r w:rsidRPr="008B7BA3">
              <w:rPr>
                <w:rFonts w:ascii="Times New Roman" w:hAnsi="Times New Roman" w:cs="Times New Roman"/>
                <w:sz w:val="14"/>
                <w:szCs w:val="14"/>
                <w:lang w:eastAsia="sk-SK"/>
              </w:rPr>
              <w:t>29 342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sz w:val="14"/>
                <w:szCs w:val="14"/>
                <w:lang w:eastAsia="sk-SK"/>
              </w:rPr>
            </w:pPr>
            <w:r w:rsidRPr="008B7BA3">
              <w:rPr>
                <w:rFonts w:ascii="Times New Roman" w:hAnsi="Times New Roman" w:cs="Times New Roman"/>
                <w:sz w:val="14"/>
                <w:szCs w:val="14"/>
                <w:lang w:eastAsia="sk-SK"/>
              </w:rPr>
              <w:t>32 020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30 000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sidRPr="00B154E7">
              <w:rPr>
                <w:rFonts w:ascii="Times New Roman" w:hAnsi="Times New Roman" w:cs="Times New Roman"/>
                <w:sz w:val="14"/>
                <w:szCs w:val="14"/>
              </w:rPr>
              <w:t>32 001</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sidRPr="00B154E7">
              <w:rPr>
                <w:rFonts w:ascii="Times New Roman" w:hAnsi="Times New Roman" w:cs="Times New Roman"/>
                <w:sz w:val="14"/>
                <w:szCs w:val="14"/>
              </w:rPr>
              <w:t>35 001</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sidRPr="00B154E7">
              <w:rPr>
                <w:rFonts w:ascii="Times New Roman" w:hAnsi="Times New Roman" w:cs="Times New Roman"/>
                <w:sz w:val="14"/>
                <w:szCs w:val="14"/>
              </w:rPr>
              <w:t>35 001</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ind w:left="366"/>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tržby z predaja kolkových známok</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96 658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sz w:val="14"/>
                <w:szCs w:val="14"/>
                <w:lang w:eastAsia="sk-SK"/>
              </w:rPr>
            </w:pPr>
            <w:r w:rsidRPr="008B7BA3">
              <w:rPr>
                <w:rFonts w:ascii="Times New Roman" w:hAnsi="Times New Roman" w:cs="Times New Roman"/>
                <w:sz w:val="14"/>
                <w:szCs w:val="14"/>
                <w:lang w:eastAsia="sk-SK"/>
              </w:rPr>
              <w:t>87 295</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sz w:val="14"/>
                <w:szCs w:val="14"/>
                <w:lang w:eastAsia="sk-SK"/>
              </w:rPr>
            </w:pPr>
            <w:r w:rsidRPr="008B7BA3">
              <w:rPr>
                <w:rFonts w:ascii="Times New Roman" w:hAnsi="Times New Roman" w:cs="Times New Roman"/>
                <w:sz w:val="14"/>
                <w:szCs w:val="14"/>
                <w:lang w:eastAsia="sk-SK"/>
              </w:rPr>
              <w:t>100 421</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85 000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sidRPr="00B154E7">
              <w:rPr>
                <w:rFonts w:ascii="Times New Roman" w:hAnsi="Times New Roman" w:cs="Times New Roman"/>
                <w:sz w:val="14"/>
                <w:szCs w:val="14"/>
              </w:rPr>
              <w:t>89</w:t>
            </w:r>
            <w:r>
              <w:rPr>
                <w:rFonts w:ascii="Times New Roman" w:hAnsi="Times New Roman" w:cs="Times New Roman"/>
                <w:sz w:val="14"/>
                <w:szCs w:val="14"/>
              </w:rPr>
              <w:t xml:space="preserve"> </w:t>
            </w:r>
            <w:r w:rsidRPr="00B154E7">
              <w:rPr>
                <w:rFonts w:ascii="Times New Roman" w:hAnsi="Times New Roman" w:cs="Times New Roman"/>
                <w:sz w:val="14"/>
                <w:szCs w:val="14"/>
              </w:rPr>
              <w:t>710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sidRPr="00B154E7">
              <w:rPr>
                <w:rFonts w:ascii="Times New Roman" w:hAnsi="Times New Roman" w:cs="Times New Roman"/>
                <w:sz w:val="14"/>
                <w:szCs w:val="14"/>
              </w:rPr>
              <w:t>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sidRPr="00B154E7">
              <w:rPr>
                <w:rFonts w:ascii="Times New Roman" w:hAnsi="Times New Roman" w:cs="Times New Roman"/>
                <w:sz w:val="14"/>
                <w:szCs w:val="14"/>
              </w:rPr>
              <w:t>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ind w:left="366"/>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puncové poplatky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610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sz w:val="14"/>
                <w:szCs w:val="14"/>
                <w:lang w:eastAsia="sk-SK"/>
              </w:rPr>
            </w:pPr>
            <w:r w:rsidRPr="008B7BA3">
              <w:rPr>
                <w:rFonts w:ascii="Times New Roman" w:hAnsi="Times New Roman" w:cs="Times New Roman"/>
                <w:sz w:val="14"/>
                <w:szCs w:val="14"/>
                <w:lang w:eastAsia="sk-SK"/>
              </w:rPr>
              <w:t>465</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sz w:val="14"/>
                <w:szCs w:val="14"/>
                <w:lang w:eastAsia="sk-SK"/>
              </w:rPr>
            </w:pPr>
            <w:r w:rsidRPr="008B7BA3">
              <w:rPr>
                <w:rFonts w:ascii="Times New Roman" w:hAnsi="Times New Roman" w:cs="Times New Roman"/>
                <w:sz w:val="14"/>
                <w:szCs w:val="14"/>
                <w:lang w:eastAsia="sk-SK"/>
              </w:rPr>
              <w:t>700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700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Pr>
                <w:rFonts w:ascii="Times New Roman" w:hAnsi="Times New Roman" w:cs="Times New Roman"/>
                <w:sz w:val="14"/>
                <w:szCs w:val="14"/>
              </w:rPr>
              <w:t>809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Pr>
                <w:rFonts w:ascii="Times New Roman" w:hAnsi="Times New Roman" w:cs="Times New Roman"/>
                <w:sz w:val="14"/>
                <w:szCs w:val="14"/>
              </w:rPr>
              <w:t>827</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Pr>
                <w:rFonts w:ascii="Times New Roman" w:hAnsi="Times New Roman" w:cs="Times New Roman"/>
                <w:sz w:val="14"/>
                <w:szCs w:val="14"/>
              </w:rPr>
              <w:t>827</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ind w:left="366"/>
              <w:jc w:val="both"/>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ostatné poplatky</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32 924</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sz w:val="14"/>
                <w:szCs w:val="14"/>
                <w:lang w:eastAsia="sk-SK"/>
              </w:rPr>
            </w:pPr>
            <w:r w:rsidRPr="008B7BA3">
              <w:rPr>
                <w:rFonts w:ascii="Times New Roman" w:hAnsi="Times New Roman" w:cs="Times New Roman"/>
                <w:sz w:val="14"/>
                <w:szCs w:val="14"/>
                <w:lang w:eastAsia="sk-SK"/>
              </w:rPr>
              <w:t>38 252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sz w:val="14"/>
                <w:szCs w:val="14"/>
                <w:lang w:eastAsia="sk-SK"/>
              </w:rPr>
            </w:pPr>
            <w:r w:rsidRPr="008B7BA3">
              <w:rPr>
                <w:rFonts w:ascii="Times New Roman" w:hAnsi="Times New Roman" w:cs="Times New Roman"/>
                <w:sz w:val="14"/>
                <w:szCs w:val="14"/>
                <w:lang w:eastAsia="sk-SK"/>
              </w:rPr>
              <w:t>43 525</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40 000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Pr>
                <w:rFonts w:ascii="Times New Roman" w:hAnsi="Times New Roman" w:cs="Times New Roman"/>
                <w:sz w:val="14"/>
                <w:szCs w:val="14"/>
              </w:rPr>
              <w:t>80 734</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Pr>
                <w:rFonts w:ascii="Times New Roman" w:hAnsi="Times New Roman" w:cs="Times New Roman"/>
                <w:sz w:val="14"/>
                <w:szCs w:val="14"/>
              </w:rPr>
              <w:t>174 578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Pr>
                <w:rFonts w:ascii="Times New Roman" w:hAnsi="Times New Roman" w:cs="Times New Roman"/>
                <w:sz w:val="14"/>
                <w:szCs w:val="14"/>
              </w:rPr>
              <w:t>175 385</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ind w:left="366"/>
              <w:jc w:val="both"/>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licencie</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504</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sz w:val="14"/>
                <w:szCs w:val="14"/>
                <w:lang w:eastAsia="sk-SK"/>
              </w:rPr>
            </w:pPr>
            <w:r w:rsidRPr="008B7BA3">
              <w:rPr>
                <w:rFonts w:ascii="Times New Roman" w:hAnsi="Times New Roman" w:cs="Times New Roman"/>
                <w:sz w:val="14"/>
                <w:szCs w:val="14"/>
                <w:lang w:eastAsia="sk-SK"/>
              </w:rPr>
              <w:t>103</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sz w:val="14"/>
                <w:szCs w:val="14"/>
                <w:lang w:eastAsia="sk-SK"/>
              </w:rPr>
            </w:pPr>
            <w:r w:rsidRPr="008B7BA3">
              <w:rPr>
                <w:rFonts w:ascii="Times New Roman" w:hAnsi="Times New Roman" w:cs="Times New Roman"/>
                <w:sz w:val="14"/>
                <w:szCs w:val="14"/>
                <w:lang w:eastAsia="sk-SK"/>
              </w:rPr>
              <w:t>24 033</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color w:val="000000"/>
                <w:sz w:val="14"/>
                <w:szCs w:val="14"/>
                <w:lang w:eastAsia="sk-SK"/>
              </w:rPr>
            </w:pPr>
            <w:r w:rsidRPr="008B7BA3">
              <w:rPr>
                <w:rFonts w:ascii="Times New Roman" w:hAnsi="Times New Roman" w:cs="Times New Roman"/>
                <w:color w:val="000000"/>
                <w:sz w:val="14"/>
                <w:szCs w:val="14"/>
                <w:lang w:eastAsia="sk-SK"/>
              </w:rPr>
              <w:t>3 000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Pr>
                <w:rFonts w:ascii="Times New Roman" w:hAnsi="Times New Roman" w:cs="Times New Roman"/>
                <w:sz w:val="14"/>
                <w:szCs w:val="14"/>
              </w:rPr>
              <w:t>3 284</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Pr>
                <w:rFonts w:ascii="Times New Roman" w:hAnsi="Times New Roman" w:cs="Times New Roman"/>
                <w:sz w:val="14"/>
                <w:szCs w:val="14"/>
              </w:rPr>
              <w:t>3 284</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154E7" w:rsidP="00F26615">
            <w:pPr>
              <w:bidi w:val="0"/>
              <w:jc w:val="right"/>
              <w:rPr>
                <w:rFonts w:ascii="Times New Roman" w:hAnsi="Times New Roman" w:cs="Times New Roman"/>
                <w:sz w:val="14"/>
                <w:szCs w:val="14"/>
              </w:rPr>
            </w:pPr>
            <w:r>
              <w:rPr>
                <w:rFonts w:ascii="Times New Roman" w:hAnsi="Times New Roman" w:cs="Times New Roman"/>
                <w:sz w:val="14"/>
                <w:szCs w:val="14"/>
              </w:rPr>
              <w:t>3 282</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both"/>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Pokuty, penále a iné sankcie</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64 235</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sz w:val="14"/>
                <w:szCs w:val="14"/>
                <w:lang w:eastAsia="sk-SK"/>
              </w:rPr>
            </w:pPr>
            <w:r w:rsidRPr="008B7BA3">
              <w:rPr>
                <w:rFonts w:ascii="Times New Roman" w:hAnsi="Times New Roman" w:cs="Times New Roman"/>
                <w:b/>
                <w:bCs/>
                <w:sz w:val="14"/>
                <w:szCs w:val="14"/>
                <w:lang w:eastAsia="sk-SK"/>
              </w:rPr>
              <w:t>57 194</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sz w:val="14"/>
                <w:szCs w:val="14"/>
                <w:lang w:eastAsia="sk-SK"/>
              </w:rPr>
            </w:pPr>
            <w:r w:rsidRPr="008B7BA3">
              <w:rPr>
                <w:rFonts w:ascii="Times New Roman" w:hAnsi="Times New Roman" w:cs="Times New Roman"/>
                <w:b/>
                <w:bCs/>
                <w:sz w:val="14"/>
                <w:szCs w:val="14"/>
                <w:lang w:eastAsia="sk-SK"/>
              </w:rPr>
              <w:t>59 258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60 000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527068" w:rsidP="00F26615">
            <w:pPr>
              <w:bidi w:val="0"/>
              <w:jc w:val="right"/>
              <w:rPr>
                <w:rFonts w:ascii="Times New Roman" w:hAnsi="Times New Roman" w:cs="Times New Roman"/>
                <w:b/>
                <w:sz w:val="14"/>
                <w:szCs w:val="14"/>
              </w:rPr>
            </w:pPr>
            <w:r w:rsidRPr="00527068">
              <w:rPr>
                <w:rFonts w:ascii="Times New Roman" w:hAnsi="Times New Roman" w:cs="Times New Roman"/>
                <w:b/>
                <w:sz w:val="14"/>
                <w:szCs w:val="14"/>
              </w:rPr>
              <w:t>58 836</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527068" w:rsidP="00F26615">
            <w:pPr>
              <w:bidi w:val="0"/>
              <w:jc w:val="right"/>
              <w:rPr>
                <w:rFonts w:ascii="Times New Roman" w:hAnsi="Times New Roman" w:cs="Times New Roman"/>
                <w:b/>
                <w:sz w:val="14"/>
                <w:szCs w:val="14"/>
              </w:rPr>
            </w:pPr>
            <w:r w:rsidRPr="00527068">
              <w:rPr>
                <w:rFonts w:ascii="Times New Roman" w:hAnsi="Times New Roman" w:cs="Times New Roman"/>
                <w:b/>
                <w:sz w:val="14"/>
                <w:szCs w:val="14"/>
              </w:rPr>
              <w:t>58 862</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527068" w:rsidP="00F26615">
            <w:pPr>
              <w:bidi w:val="0"/>
              <w:jc w:val="right"/>
              <w:rPr>
                <w:rFonts w:ascii="Times New Roman" w:hAnsi="Times New Roman" w:cs="Times New Roman"/>
                <w:b/>
                <w:sz w:val="14"/>
                <w:szCs w:val="14"/>
              </w:rPr>
            </w:pPr>
            <w:r w:rsidRPr="00527068">
              <w:rPr>
                <w:rFonts w:ascii="Times New Roman" w:hAnsi="Times New Roman" w:cs="Times New Roman"/>
                <w:b/>
                <w:sz w:val="14"/>
                <w:szCs w:val="14"/>
              </w:rPr>
              <w:t>59 320</w:t>
            </w:r>
          </w:p>
        </w:tc>
      </w:tr>
      <w:tr>
        <w:tblPrEx>
          <w:tblW w:w="5000" w:type="pct"/>
          <w:tblCellMar>
            <w:left w:w="70" w:type="dxa"/>
            <w:right w:w="70" w:type="dxa"/>
          </w:tblCellMar>
          <w:tblLook w:val="04A0"/>
        </w:tblPrEx>
        <w:trPr>
          <w:trHeight w:val="170"/>
        </w:trPr>
        <w:tc>
          <w:tcPr>
            <w:tcW w:w="925"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both"/>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Poplatky a platby z nepriemyselného a náhodného predaja a služieb</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53 223</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sz w:val="14"/>
                <w:szCs w:val="14"/>
                <w:lang w:eastAsia="sk-SK"/>
              </w:rPr>
            </w:pPr>
            <w:r w:rsidRPr="008B7BA3">
              <w:rPr>
                <w:rFonts w:ascii="Times New Roman" w:hAnsi="Times New Roman" w:cs="Times New Roman"/>
                <w:b/>
                <w:bCs/>
                <w:sz w:val="14"/>
                <w:szCs w:val="14"/>
                <w:lang w:eastAsia="sk-SK"/>
              </w:rPr>
              <w:t>154 958</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sz w:val="14"/>
                <w:szCs w:val="14"/>
                <w:lang w:eastAsia="sk-SK"/>
              </w:rPr>
            </w:pPr>
            <w:r w:rsidRPr="008B7BA3">
              <w:rPr>
                <w:rFonts w:ascii="Times New Roman" w:hAnsi="Times New Roman" w:cs="Times New Roman"/>
                <w:b/>
                <w:bCs/>
                <w:sz w:val="14"/>
                <w:szCs w:val="14"/>
                <w:lang w:eastAsia="sk-SK"/>
              </w:rPr>
              <w:t>91 669</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8B7BA3" w:rsidP="00F26615">
            <w:pPr>
              <w:bidi w:val="0"/>
              <w:jc w:val="right"/>
              <w:rPr>
                <w:rFonts w:ascii="Times New Roman" w:hAnsi="Times New Roman" w:cs="Times New Roman"/>
                <w:b/>
                <w:bCs/>
                <w:color w:val="000000"/>
                <w:sz w:val="14"/>
                <w:szCs w:val="14"/>
                <w:lang w:eastAsia="sk-SK"/>
              </w:rPr>
            </w:pPr>
            <w:r w:rsidRPr="008B7BA3">
              <w:rPr>
                <w:rFonts w:ascii="Times New Roman" w:hAnsi="Times New Roman" w:cs="Times New Roman"/>
                <w:b/>
                <w:bCs/>
                <w:color w:val="000000"/>
                <w:sz w:val="14"/>
                <w:szCs w:val="14"/>
                <w:lang w:eastAsia="sk-SK"/>
              </w:rPr>
              <w:t>50 300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AA0F70" w:rsidRPr="00B154E7" w:rsidP="00F26615">
            <w:pPr>
              <w:bidi w:val="0"/>
              <w:jc w:val="right"/>
              <w:rPr>
                <w:rFonts w:ascii="Times New Roman" w:hAnsi="Times New Roman" w:cs="Times New Roman"/>
                <w:b/>
                <w:bCs/>
                <w:sz w:val="14"/>
                <w:szCs w:val="14"/>
              </w:rPr>
            </w:pPr>
            <w:r>
              <w:rPr>
                <w:rFonts w:ascii="Times New Roman" w:hAnsi="Times New Roman" w:cs="Times New Roman"/>
                <w:b/>
                <w:bCs/>
                <w:sz w:val="14"/>
                <w:szCs w:val="14"/>
              </w:rPr>
              <w:t>169 757</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AA0F70" w:rsidRPr="00B154E7" w:rsidP="00F26615">
            <w:pPr>
              <w:bidi w:val="0"/>
              <w:jc w:val="right"/>
              <w:rPr>
                <w:rFonts w:ascii="Times New Roman" w:hAnsi="Times New Roman" w:cs="Times New Roman"/>
                <w:b/>
                <w:bCs/>
                <w:sz w:val="14"/>
                <w:szCs w:val="14"/>
              </w:rPr>
            </w:pPr>
            <w:r>
              <w:rPr>
                <w:rFonts w:ascii="Times New Roman" w:hAnsi="Times New Roman" w:cs="Times New Roman"/>
                <w:b/>
                <w:bCs/>
                <w:sz w:val="14"/>
                <w:szCs w:val="14"/>
              </w:rPr>
              <w:t>49 570</w:t>
            </w:r>
          </w:p>
        </w:tc>
        <w:tc>
          <w:tcPr>
            <w:tcW w:w="58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AA0F70" w:rsidRPr="00B154E7" w:rsidP="00F26615">
            <w:pPr>
              <w:bidi w:val="0"/>
              <w:jc w:val="right"/>
              <w:rPr>
                <w:rFonts w:ascii="Times New Roman" w:hAnsi="Times New Roman" w:cs="Times New Roman"/>
                <w:b/>
                <w:bCs/>
                <w:sz w:val="14"/>
                <w:szCs w:val="14"/>
              </w:rPr>
            </w:pPr>
            <w:r>
              <w:rPr>
                <w:rFonts w:ascii="Times New Roman" w:hAnsi="Times New Roman" w:cs="Times New Roman"/>
                <w:b/>
                <w:bCs/>
                <w:sz w:val="14"/>
                <w:szCs w:val="14"/>
              </w:rPr>
              <w:t>49 585</w:t>
            </w:r>
          </w:p>
        </w:tc>
      </w:tr>
    </w:tbl>
    <w:p w:rsidR="00AA0F70" w:rsidRPr="002C0D88" w:rsidP="00AA0F70">
      <w:pPr>
        <w:bidi w:val="0"/>
        <w:ind w:firstLine="708"/>
        <w:jc w:val="both"/>
        <w:rPr>
          <w:rFonts w:ascii="Times New Roman" w:hAnsi="Times New Roman"/>
          <w:szCs w:val="22"/>
        </w:rPr>
      </w:pPr>
    </w:p>
    <w:p w:rsidR="00AA0F70" w:rsidRPr="001F5089" w:rsidP="00AA0F70">
      <w:pPr>
        <w:bidi w:val="0"/>
        <w:ind w:firstLine="708"/>
        <w:jc w:val="both"/>
        <w:rPr>
          <w:rFonts w:ascii="Times New Roman" w:hAnsi="Times New Roman"/>
          <w:szCs w:val="22"/>
        </w:rPr>
      </w:pPr>
      <w:r w:rsidRPr="00EF3B2E">
        <w:rPr>
          <w:rFonts w:ascii="Times New Roman" w:hAnsi="Times New Roman"/>
          <w:szCs w:val="22"/>
        </w:rPr>
        <w:t xml:space="preserve">V rámci novely zákona č. 145/1995 Z. z. o </w:t>
      </w:r>
      <w:r>
        <w:rPr>
          <w:rFonts w:ascii="Times New Roman" w:hAnsi="Times New Roman"/>
          <w:szCs w:val="22"/>
        </w:rPr>
        <w:t xml:space="preserve">správnych poplatkoch sa posúva </w:t>
      </w:r>
      <w:r w:rsidRPr="00EF3B2E">
        <w:rPr>
          <w:rFonts w:ascii="Times New Roman" w:hAnsi="Times New Roman"/>
          <w:szCs w:val="22"/>
        </w:rPr>
        <w:t>termín zrušenia kolkových známok ako jedného možného spôsobu platenia poplatkov z januára 2013 na január 2014. Dôvodom tejto zmeny je zabezpečenie centrálneho riešenia výberu a zúčtovania poplatkov, ktoré bude možné platiť aj novými modernými spôsobmi, ako je platobná karta, mobilná aplikácia, či internet.</w:t>
      </w:r>
      <w:r w:rsidRPr="001F5089">
        <w:rPr>
          <w:rFonts w:ascii="Times New Roman" w:hAnsi="Times New Roman"/>
          <w:szCs w:val="22"/>
        </w:rPr>
        <w:t xml:space="preserve"> </w:t>
      </w:r>
    </w:p>
    <w:p w:rsidR="00AA0F70" w:rsidRPr="001F5089" w:rsidP="00AA0F70">
      <w:pPr>
        <w:bidi w:val="0"/>
        <w:ind w:firstLine="708"/>
        <w:jc w:val="both"/>
        <w:rPr>
          <w:rFonts w:ascii="Times New Roman" w:hAnsi="Times New Roman"/>
          <w:szCs w:val="22"/>
        </w:rPr>
      </w:pPr>
    </w:p>
    <w:p w:rsidR="00AA0F70" w:rsidP="00AA0F70">
      <w:pPr>
        <w:bidi w:val="0"/>
        <w:ind w:firstLine="708"/>
        <w:jc w:val="both"/>
        <w:rPr>
          <w:rFonts w:ascii="Times New Roman" w:hAnsi="Times New Roman"/>
          <w:szCs w:val="22"/>
        </w:rPr>
      </w:pPr>
      <w:r>
        <w:rPr>
          <w:rFonts w:ascii="Times New Roman" w:hAnsi="Times New Roman"/>
          <w:szCs w:val="22"/>
        </w:rPr>
        <w:t>O</w:t>
      </w:r>
      <w:r w:rsidRPr="001F5089">
        <w:rPr>
          <w:rFonts w:ascii="Times New Roman" w:hAnsi="Times New Roman"/>
          <w:szCs w:val="22"/>
        </w:rPr>
        <w:t xml:space="preserve">d 1. januára 2014 </w:t>
      </w:r>
      <w:r>
        <w:rPr>
          <w:rFonts w:ascii="Times New Roman" w:hAnsi="Times New Roman"/>
          <w:szCs w:val="22"/>
        </w:rPr>
        <w:t>ne</w:t>
      </w:r>
      <w:r w:rsidRPr="001F5089">
        <w:rPr>
          <w:rFonts w:ascii="Times New Roman" w:hAnsi="Times New Roman"/>
          <w:szCs w:val="22"/>
        </w:rPr>
        <w:t>dochádza k</w:t>
      </w:r>
      <w:r>
        <w:rPr>
          <w:rFonts w:ascii="Times New Roman" w:hAnsi="Times New Roman"/>
          <w:szCs w:val="22"/>
        </w:rPr>
        <w:t xml:space="preserve"> zníženiu, ale len k prerozdeleniu objemu prostriedkov získaných z predaja kolkových známok v rámci</w:t>
      </w:r>
      <w:r w:rsidRPr="001F5089">
        <w:rPr>
          <w:rFonts w:ascii="Times New Roman" w:hAnsi="Times New Roman"/>
          <w:szCs w:val="22"/>
        </w:rPr>
        <w:t xml:space="preserve"> ostatných poplatkov.</w:t>
      </w:r>
    </w:p>
    <w:p w:rsidR="00AA0F70" w:rsidRPr="001F5089" w:rsidP="00AA0F70">
      <w:pPr>
        <w:bidi w:val="0"/>
        <w:ind w:firstLine="708"/>
        <w:jc w:val="both"/>
        <w:rPr>
          <w:rFonts w:ascii="Times New Roman" w:hAnsi="Times New Roman"/>
          <w:szCs w:val="22"/>
        </w:rPr>
      </w:pPr>
    </w:p>
    <w:p w:rsidR="00AA0F70" w:rsidP="00AA0F70">
      <w:pPr>
        <w:bidi w:val="0"/>
        <w:ind w:firstLine="708"/>
        <w:jc w:val="both"/>
        <w:rPr>
          <w:rFonts w:ascii="Times New Roman" w:hAnsi="Times New Roman"/>
          <w:szCs w:val="22"/>
        </w:rPr>
      </w:pPr>
      <w:r w:rsidRPr="001F5089">
        <w:rPr>
          <w:rFonts w:ascii="Times New Roman" w:hAnsi="Times New Roman"/>
          <w:szCs w:val="22"/>
        </w:rPr>
        <w:t xml:space="preserve"> </w:t>
      </w:r>
      <w:r>
        <w:rPr>
          <w:rFonts w:ascii="Times New Roman" w:hAnsi="Times New Roman"/>
          <w:szCs w:val="22"/>
        </w:rPr>
        <w:t>V</w:t>
      </w:r>
      <w:r w:rsidRPr="001F5089">
        <w:rPr>
          <w:rFonts w:ascii="Times New Roman" w:hAnsi="Times New Roman"/>
          <w:szCs w:val="22"/>
        </w:rPr>
        <w:t xml:space="preserve"> porovnaní s</w:t>
      </w:r>
      <w:r>
        <w:rPr>
          <w:rFonts w:ascii="Times New Roman" w:hAnsi="Times New Roman"/>
          <w:szCs w:val="22"/>
        </w:rPr>
        <w:t xml:space="preserve"> </w:t>
      </w:r>
      <w:r w:rsidRPr="001F5089">
        <w:rPr>
          <w:rFonts w:ascii="Times New Roman" w:hAnsi="Times New Roman"/>
          <w:szCs w:val="22"/>
        </w:rPr>
        <w:t>predchádzajúcimi rokmi dochádza novelou zákona o správnych poplatkoch k zvýšeniu týchto príjmov z dôvodu  prehodnotenia existujúcich úkonov a</w:t>
      </w:r>
      <w:r>
        <w:rPr>
          <w:rFonts w:ascii="Times New Roman" w:hAnsi="Times New Roman"/>
          <w:szCs w:val="22"/>
        </w:rPr>
        <w:t xml:space="preserve"> </w:t>
      </w:r>
      <w:r w:rsidRPr="001F5089">
        <w:rPr>
          <w:rFonts w:ascii="Times New Roman" w:hAnsi="Times New Roman"/>
          <w:szCs w:val="22"/>
        </w:rPr>
        <w:t>konaní z</w:t>
      </w:r>
      <w:r>
        <w:rPr>
          <w:rFonts w:ascii="Times New Roman" w:hAnsi="Times New Roman"/>
          <w:szCs w:val="22"/>
        </w:rPr>
        <w:t xml:space="preserve"> </w:t>
      </w:r>
      <w:r w:rsidRPr="001F5089">
        <w:rPr>
          <w:rFonts w:ascii="Times New Roman" w:hAnsi="Times New Roman"/>
          <w:szCs w:val="22"/>
        </w:rPr>
        <w:t>hľadiska ich vecného obsahu, ale predovšetkým posúdenia úrovne súčasne platných sadzieb poplatkov, ktoré pri viacerých úkonoch a</w:t>
      </w:r>
      <w:r>
        <w:rPr>
          <w:rFonts w:ascii="Times New Roman" w:hAnsi="Times New Roman"/>
          <w:szCs w:val="22"/>
        </w:rPr>
        <w:t xml:space="preserve"> </w:t>
      </w:r>
      <w:r w:rsidRPr="001F5089">
        <w:rPr>
          <w:rFonts w:ascii="Times New Roman" w:hAnsi="Times New Roman"/>
          <w:szCs w:val="22"/>
        </w:rPr>
        <w:t>konaniach už nezohľadňov</w:t>
      </w:r>
      <w:r>
        <w:rPr>
          <w:rFonts w:ascii="Times New Roman" w:hAnsi="Times New Roman"/>
          <w:szCs w:val="22"/>
        </w:rPr>
        <w:t>ali skutočne vynaložené náklady</w:t>
      </w:r>
      <w:r w:rsidRPr="001F5089">
        <w:rPr>
          <w:rFonts w:ascii="Times New Roman" w:hAnsi="Times New Roman"/>
          <w:szCs w:val="22"/>
        </w:rPr>
        <w:t>.</w:t>
      </w:r>
      <w:r>
        <w:rPr>
          <w:rFonts w:ascii="Times New Roman" w:hAnsi="Times New Roman"/>
          <w:szCs w:val="22"/>
        </w:rPr>
        <w:t xml:space="preserve"> Medzi významné z nich patrí úprava sadzby poplatkov za udelenie dopravnej licencie, ďalej v oblasti dopravy ide o sadzby poplatkov za prvý zápis motorového vozidla kategórie L, M1, a N1 do evidencie vozidiel v Slovenskej republike, ktoré sa ustanovuje rozdielne v závislosti od výkonu motora nad 80 kW. Zároveň sa menia napríklad aj niektoré poplatky za úkony správy katastra a úkony Úradu priemyselného vlastníctva SR.</w:t>
      </w:r>
    </w:p>
    <w:p w:rsidR="00AA0F70" w:rsidP="00AA0F70">
      <w:pPr>
        <w:bidi w:val="0"/>
        <w:spacing w:before="240"/>
        <w:ind w:firstLine="709"/>
        <w:jc w:val="both"/>
        <w:rPr>
          <w:rFonts w:ascii="Times New Roman" w:hAnsi="Times New Roman" w:cs="Times New Roman"/>
        </w:rPr>
      </w:pPr>
      <w:r>
        <w:rPr>
          <w:rFonts w:ascii="Times New Roman" w:hAnsi="Times New Roman" w:cs="Times New Roman"/>
        </w:rPr>
        <w:t xml:space="preserve">V roku 2013 sa poplatky a platby z nepriemyselného predaja navrhujú vo výške </w:t>
        <w:br/>
        <w:t>169,7 mil. eur, z čoho suma vo výške 1</w:t>
      </w:r>
      <w:r w:rsidR="00B233F8">
        <w:rPr>
          <w:rFonts w:ascii="Times New Roman" w:hAnsi="Times New Roman" w:cs="Times New Roman"/>
        </w:rPr>
        <w:t>3</w:t>
      </w:r>
      <w:r>
        <w:rPr>
          <w:rFonts w:ascii="Times New Roman" w:hAnsi="Times New Roman" w:cs="Times New Roman"/>
        </w:rPr>
        <w:t>0 mil. eur predstavuje jednorazové príjmy, ktoré by sa mali získať z uvoľnenia frekvencií z ukončeného analógového vysielania.</w:t>
      </w:r>
    </w:p>
    <w:p w:rsidR="00AA0F70" w:rsidP="00AA0F70">
      <w:pPr>
        <w:bidi w:val="0"/>
        <w:ind w:firstLine="708"/>
        <w:jc w:val="both"/>
        <w:rPr>
          <w:rFonts w:ascii="Times New Roman" w:hAnsi="Times New Roman"/>
          <w:szCs w:val="22"/>
        </w:rPr>
      </w:pPr>
    </w:p>
    <w:p w:rsidR="00AA0F70" w:rsidP="00AA0F70">
      <w:pPr>
        <w:bidi w:val="0"/>
        <w:ind w:firstLine="708"/>
        <w:jc w:val="both"/>
        <w:rPr>
          <w:rFonts w:ascii="Times New Roman" w:hAnsi="Times New Roman"/>
          <w:b/>
          <w:i/>
          <w:szCs w:val="22"/>
        </w:rPr>
      </w:pPr>
      <w:r w:rsidRPr="00633018">
        <w:rPr>
          <w:rFonts w:ascii="Times New Roman" w:hAnsi="Times New Roman"/>
          <w:b/>
          <w:i/>
          <w:szCs w:val="22"/>
        </w:rPr>
        <w:t>Kapitálové príjmy</w:t>
      </w:r>
    </w:p>
    <w:p w:rsidR="00AA0F70" w:rsidRPr="00633018" w:rsidP="00AA0F70">
      <w:pPr>
        <w:bidi w:val="0"/>
        <w:ind w:firstLine="708"/>
        <w:jc w:val="both"/>
        <w:rPr>
          <w:rFonts w:ascii="Times New Roman" w:hAnsi="Times New Roman"/>
          <w:b/>
          <w:i/>
          <w:szCs w:val="22"/>
        </w:rPr>
      </w:pPr>
    </w:p>
    <w:p w:rsidR="00AA0F70" w:rsidP="00AA0F70">
      <w:pPr>
        <w:bidi w:val="0"/>
        <w:jc w:val="both"/>
        <w:rPr>
          <w:rFonts w:ascii="Times New Roman" w:hAnsi="Times New Roman"/>
          <w:szCs w:val="22"/>
        </w:rPr>
      </w:pPr>
      <w:r w:rsidRPr="001F5089">
        <w:rPr>
          <w:rFonts w:ascii="Times New Roman" w:hAnsi="Times New Roman"/>
          <w:szCs w:val="22"/>
        </w:rPr>
        <w:tab/>
      </w:r>
      <w:r w:rsidRPr="00633018">
        <w:rPr>
          <w:rFonts w:ascii="Times New Roman" w:hAnsi="Times New Roman"/>
          <w:szCs w:val="22"/>
        </w:rPr>
        <w:t>Výška kapitálových príjmov</w:t>
      </w:r>
      <w:r w:rsidRPr="001F5089">
        <w:rPr>
          <w:rFonts w:ascii="Times New Roman" w:hAnsi="Times New Roman"/>
          <w:b/>
          <w:szCs w:val="22"/>
        </w:rPr>
        <w:t xml:space="preserve"> </w:t>
      </w:r>
      <w:r w:rsidRPr="001F5089">
        <w:rPr>
          <w:rFonts w:ascii="Times New Roman" w:hAnsi="Times New Roman"/>
          <w:szCs w:val="22"/>
        </w:rPr>
        <w:t>závisí od objemu nadbytočného hnuteľného a nehnuteľného majetku v správe jednotlivých kapitol štátneho rozpočtu, ktorý bude predmetom predaja v príslušných rozpočtových rokoch. Najvyšší podiel z týchto príjmov sa predpokladá v kapitol</w:t>
      </w:r>
      <w:r>
        <w:rPr>
          <w:rFonts w:ascii="Times New Roman" w:hAnsi="Times New Roman"/>
          <w:szCs w:val="22"/>
        </w:rPr>
        <w:t>e</w:t>
      </w:r>
      <w:r w:rsidRPr="001F5089">
        <w:rPr>
          <w:rFonts w:ascii="Times New Roman" w:hAnsi="Times New Roman"/>
          <w:szCs w:val="22"/>
        </w:rPr>
        <w:t> </w:t>
      </w:r>
      <w:r>
        <w:rPr>
          <w:rFonts w:ascii="Times New Roman" w:hAnsi="Times New Roman"/>
          <w:szCs w:val="22"/>
        </w:rPr>
        <w:t>Správa štátnych hmotných rezerv</w:t>
      </w:r>
      <w:r w:rsidRPr="001F5089">
        <w:rPr>
          <w:rFonts w:ascii="Times New Roman" w:hAnsi="Times New Roman"/>
          <w:szCs w:val="22"/>
        </w:rPr>
        <w:t xml:space="preserve"> SR.</w:t>
      </w:r>
      <w:r>
        <w:rPr>
          <w:rFonts w:ascii="Times New Roman" w:hAnsi="Times New Roman"/>
          <w:szCs w:val="22"/>
        </w:rPr>
        <w:t xml:space="preserve"> Finančné prostriedky vo výške 100 mil. eur sa navrhujú z dôvodu pripravovanej zmeny systému tvorby a udržiavania núdzových zásob ropy a ropných produktov.</w:t>
      </w:r>
    </w:p>
    <w:p w:rsidR="00AA0F70" w:rsidP="00AA0F70">
      <w:pPr>
        <w:bidi w:val="0"/>
        <w:jc w:val="both"/>
        <w:rPr>
          <w:rFonts w:ascii="Times New Roman" w:hAnsi="Times New Roman"/>
          <w:szCs w:val="22"/>
        </w:rPr>
      </w:pPr>
    </w:p>
    <w:p w:rsidR="00AA0F70" w:rsidP="00AA0F70">
      <w:pPr>
        <w:bidi w:val="0"/>
        <w:ind w:firstLine="708"/>
        <w:jc w:val="both"/>
        <w:rPr>
          <w:rFonts w:ascii="Times New Roman" w:hAnsi="Times New Roman"/>
          <w:szCs w:val="22"/>
        </w:rPr>
      </w:pPr>
      <w:r>
        <w:rPr>
          <w:rFonts w:ascii="Times New Roman" w:hAnsi="Times New Roman"/>
          <w:szCs w:val="22"/>
        </w:rPr>
        <w:t>Vývoj týchto príjmov je nasledovný:</w:t>
      </w:r>
    </w:p>
    <w:p w:rsidR="00AA0F70" w:rsidP="00AA0F70">
      <w:pPr>
        <w:bidi w:val="0"/>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67"/>
        <w:gridCol w:w="1049"/>
        <w:gridCol w:w="1049"/>
        <w:gridCol w:w="1051"/>
        <w:gridCol w:w="1048"/>
        <w:gridCol w:w="1050"/>
        <w:gridCol w:w="1048"/>
        <w:gridCol w:w="10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66"/>
        </w:trPr>
        <w:tc>
          <w:tcPr>
            <w:tcW w:w="1013"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0F70" w:rsidRPr="00A73A92" w:rsidP="00F26615">
            <w:pPr>
              <w:bidi w:val="0"/>
              <w:jc w:val="both"/>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v tis. eur</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A73A92" w:rsidP="00F26615">
            <w:pPr>
              <w:bidi w:val="0"/>
              <w:jc w:val="center"/>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2010 S</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A73A92" w:rsidP="00F26615">
            <w:pPr>
              <w:bidi w:val="0"/>
              <w:jc w:val="center"/>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2011 S</w:t>
            </w:r>
          </w:p>
        </w:tc>
        <w:tc>
          <w:tcPr>
            <w:tcW w:w="57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A73A92" w:rsidP="00F26615">
            <w:pPr>
              <w:bidi w:val="0"/>
              <w:jc w:val="center"/>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2012 R</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A73A92" w:rsidP="00F26615">
            <w:pPr>
              <w:bidi w:val="0"/>
              <w:jc w:val="center"/>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2012 OS</w:t>
            </w:r>
          </w:p>
        </w:tc>
        <w:tc>
          <w:tcPr>
            <w:tcW w:w="57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A73A92" w:rsidP="00F26615">
            <w:pPr>
              <w:bidi w:val="0"/>
              <w:jc w:val="center"/>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2013 N</w:t>
            </w:r>
          </w:p>
        </w:tc>
        <w:tc>
          <w:tcPr>
            <w:tcW w:w="56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A73A92" w:rsidP="00F26615">
            <w:pPr>
              <w:bidi w:val="0"/>
              <w:jc w:val="center"/>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2014 N</w:t>
            </w:r>
          </w:p>
        </w:tc>
        <w:tc>
          <w:tcPr>
            <w:tcW w:w="57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A73A92" w:rsidP="00F26615">
            <w:pPr>
              <w:bidi w:val="0"/>
              <w:jc w:val="center"/>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366"/>
        </w:trPr>
        <w:tc>
          <w:tcPr>
            <w:tcW w:w="101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A73A92" w:rsidP="00F26615">
            <w:pPr>
              <w:bidi w:val="0"/>
              <w:jc w:val="both"/>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Kapitálové príjmy</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A73A92" w:rsidP="00F26615">
            <w:pPr>
              <w:bidi w:val="0"/>
              <w:jc w:val="right"/>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16 346</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A73A92" w:rsidP="00F26615">
            <w:pPr>
              <w:bidi w:val="0"/>
              <w:jc w:val="right"/>
              <w:rPr>
                <w:rFonts w:ascii="Times New Roman" w:hAnsi="Times New Roman" w:cs="Times New Roman"/>
                <w:b/>
                <w:bCs/>
                <w:sz w:val="14"/>
                <w:szCs w:val="14"/>
                <w:lang w:eastAsia="sk-SK"/>
              </w:rPr>
            </w:pPr>
            <w:r w:rsidRPr="00A73A92">
              <w:rPr>
                <w:rFonts w:ascii="Times New Roman" w:hAnsi="Times New Roman" w:cs="Times New Roman"/>
                <w:b/>
                <w:bCs/>
                <w:sz w:val="14"/>
                <w:szCs w:val="14"/>
                <w:lang w:eastAsia="sk-SK"/>
              </w:rPr>
              <w:t>18 238</w:t>
            </w:r>
          </w:p>
        </w:tc>
        <w:tc>
          <w:tcPr>
            <w:tcW w:w="570"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A73A92" w:rsidP="00F26615">
            <w:pPr>
              <w:bidi w:val="0"/>
              <w:jc w:val="right"/>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9 596</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A73A92" w:rsidP="00F26615">
            <w:pPr>
              <w:bidi w:val="0"/>
              <w:jc w:val="right"/>
              <w:rPr>
                <w:rFonts w:ascii="Times New Roman" w:hAnsi="Times New Roman" w:cs="Times New Roman"/>
                <w:b/>
                <w:bCs/>
                <w:color w:val="000000"/>
                <w:sz w:val="14"/>
                <w:szCs w:val="14"/>
                <w:lang w:eastAsia="sk-SK"/>
              </w:rPr>
            </w:pPr>
            <w:r w:rsidRPr="00A73A92">
              <w:rPr>
                <w:rFonts w:ascii="Times New Roman" w:hAnsi="Times New Roman" w:cs="Times New Roman"/>
                <w:b/>
                <w:bCs/>
                <w:color w:val="000000"/>
                <w:sz w:val="14"/>
                <w:szCs w:val="14"/>
                <w:lang w:eastAsia="sk-SK"/>
              </w:rPr>
              <w:t>12 000</w:t>
            </w:r>
          </w:p>
        </w:tc>
        <w:tc>
          <w:tcPr>
            <w:tcW w:w="570"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82506" w:rsidP="00F26615">
            <w:pPr>
              <w:bidi w:val="0"/>
              <w:jc w:val="right"/>
              <w:rPr>
                <w:rFonts w:ascii="Times New Roman" w:hAnsi="Times New Roman" w:cs="Times New Roman"/>
                <w:b/>
                <w:bCs/>
                <w:sz w:val="14"/>
                <w:szCs w:val="14"/>
              </w:rPr>
            </w:pPr>
            <w:r w:rsidRPr="00B82506">
              <w:rPr>
                <w:rFonts w:ascii="Times New Roman" w:hAnsi="Times New Roman" w:cs="Times New Roman"/>
                <w:b/>
                <w:bCs/>
                <w:sz w:val="14"/>
                <w:szCs w:val="14"/>
              </w:rPr>
              <w:t>123 108</w:t>
            </w:r>
          </w:p>
        </w:tc>
        <w:tc>
          <w:tcPr>
            <w:tcW w:w="56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82506" w:rsidP="00F26615">
            <w:pPr>
              <w:bidi w:val="0"/>
              <w:jc w:val="right"/>
              <w:rPr>
                <w:rFonts w:ascii="Times New Roman" w:hAnsi="Times New Roman" w:cs="Times New Roman"/>
                <w:b/>
                <w:bCs/>
                <w:sz w:val="14"/>
                <w:szCs w:val="14"/>
              </w:rPr>
            </w:pPr>
            <w:r w:rsidRPr="00B82506">
              <w:rPr>
                <w:rFonts w:ascii="Times New Roman" w:hAnsi="Times New Roman" w:cs="Times New Roman"/>
                <w:b/>
                <w:bCs/>
                <w:sz w:val="14"/>
                <w:szCs w:val="14"/>
              </w:rPr>
              <w:t>112 059</w:t>
            </w:r>
          </w:p>
        </w:tc>
        <w:tc>
          <w:tcPr>
            <w:tcW w:w="570"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B82506" w:rsidP="00F26615">
            <w:pPr>
              <w:bidi w:val="0"/>
              <w:jc w:val="right"/>
              <w:rPr>
                <w:rFonts w:ascii="Times New Roman" w:hAnsi="Times New Roman" w:cs="Times New Roman"/>
                <w:b/>
                <w:bCs/>
                <w:sz w:val="14"/>
                <w:szCs w:val="14"/>
              </w:rPr>
            </w:pPr>
            <w:r w:rsidRPr="00B82506">
              <w:rPr>
                <w:rFonts w:ascii="Times New Roman" w:hAnsi="Times New Roman" w:cs="Times New Roman"/>
                <w:b/>
                <w:bCs/>
                <w:sz w:val="14"/>
                <w:szCs w:val="14"/>
              </w:rPr>
              <w:t>111 309</w:t>
            </w:r>
          </w:p>
        </w:tc>
      </w:tr>
      <w:tr>
        <w:tblPrEx>
          <w:tblW w:w="5000" w:type="pct"/>
          <w:tblCellMar>
            <w:left w:w="70" w:type="dxa"/>
            <w:right w:w="70" w:type="dxa"/>
          </w:tblCellMar>
          <w:tblLook w:val="04A0"/>
        </w:tblPrEx>
        <w:trPr>
          <w:trHeight w:val="534"/>
        </w:trPr>
        <w:tc>
          <w:tcPr>
            <w:tcW w:w="101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ind w:left="366" w:hanging="366"/>
              <w:jc w:val="both"/>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v tom: z predaja  kapitálových aktív</w:t>
            </w: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9 495</w:t>
            </w: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sz w:val="14"/>
                <w:szCs w:val="14"/>
                <w:lang w:eastAsia="sk-SK"/>
              </w:rPr>
            </w:pPr>
            <w:r w:rsidRPr="00A73A92">
              <w:rPr>
                <w:rFonts w:ascii="Times New Roman" w:hAnsi="Times New Roman" w:cs="Times New Roman"/>
                <w:sz w:val="14"/>
                <w:szCs w:val="14"/>
                <w:lang w:eastAsia="sk-SK"/>
              </w:rPr>
              <w:t>10 086</w:t>
            </w:r>
          </w:p>
        </w:tc>
        <w:tc>
          <w:tcPr>
            <w:tcW w:w="570"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4 894</w:t>
            </w: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6 500</w:t>
            </w:r>
          </w:p>
        </w:tc>
        <w:tc>
          <w:tcPr>
            <w:tcW w:w="570"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82506" w:rsidP="00F26615">
            <w:pPr>
              <w:bidi w:val="0"/>
              <w:jc w:val="right"/>
              <w:rPr>
                <w:rFonts w:ascii="Times New Roman" w:hAnsi="Times New Roman" w:cs="Times New Roman"/>
                <w:sz w:val="14"/>
                <w:szCs w:val="14"/>
              </w:rPr>
            </w:pPr>
            <w:r w:rsidRPr="00B82506">
              <w:rPr>
                <w:rFonts w:ascii="Times New Roman" w:hAnsi="Times New Roman" w:cs="Times New Roman"/>
                <w:sz w:val="14"/>
                <w:szCs w:val="14"/>
              </w:rPr>
              <w:t>17 675</w:t>
            </w: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82506" w:rsidP="00F26615">
            <w:pPr>
              <w:bidi w:val="0"/>
              <w:jc w:val="right"/>
              <w:rPr>
                <w:rFonts w:ascii="Times New Roman" w:hAnsi="Times New Roman" w:cs="Times New Roman"/>
                <w:sz w:val="14"/>
                <w:szCs w:val="14"/>
              </w:rPr>
            </w:pPr>
            <w:r w:rsidRPr="00B82506">
              <w:rPr>
                <w:rFonts w:ascii="Times New Roman" w:hAnsi="Times New Roman" w:cs="Times New Roman"/>
                <w:sz w:val="14"/>
                <w:szCs w:val="14"/>
              </w:rPr>
              <w:t>6 62</w:t>
            </w:r>
            <w:r>
              <w:rPr>
                <w:rFonts w:ascii="Times New Roman" w:hAnsi="Times New Roman" w:cs="Times New Roman"/>
                <w:sz w:val="14"/>
                <w:szCs w:val="14"/>
              </w:rPr>
              <w:t>6</w:t>
            </w:r>
          </w:p>
        </w:tc>
        <w:tc>
          <w:tcPr>
            <w:tcW w:w="570"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82506" w:rsidP="00F26615">
            <w:pPr>
              <w:bidi w:val="0"/>
              <w:jc w:val="right"/>
              <w:rPr>
                <w:rFonts w:ascii="Times New Roman" w:hAnsi="Times New Roman" w:cs="Times New Roman"/>
                <w:sz w:val="14"/>
                <w:szCs w:val="14"/>
              </w:rPr>
            </w:pPr>
            <w:r w:rsidRPr="00B82506">
              <w:rPr>
                <w:rFonts w:ascii="Times New Roman" w:hAnsi="Times New Roman" w:cs="Times New Roman"/>
                <w:sz w:val="14"/>
                <w:szCs w:val="14"/>
              </w:rPr>
              <w:t>5 876</w:t>
            </w:r>
          </w:p>
        </w:tc>
      </w:tr>
      <w:tr>
        <w:tblPrEx>
          <w:tblW w:w="5000" w:type="pct"/>
          <w:tblCellMar>
            <w:left w:w="70" w:type="dxa"/>
            <w:right w:w="70" w:type="dxa"/>
          </w:tblCellMar>
          <w:tblLook w:val="04A0"/>
        </w:tblPrEx>
        <w:trPr>
          <w:trHeight w:val="366"/>
        </w:trPr>
        <w:tc>
          <w:tcPr>
            <w:tcW w:w="101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AA0F70" w:rsidRPr="00A73A92" w:rsidP="00F26615">
            <w:pPr>
              <w:bidi w:val="0"/>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z predaja hmotných a mobilizačných rezerv</w:t>
            </w: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AA0F70" w:rsidRPr="00A73A92" w:rsidP="00F26615">
            <w:pPr>
              <w:bidi w:val="0"/>
              <w:jc w:val="right"/>
              <w:rPr>
                <w:rFonts w:ascii="Times New Roman" w:hAnsi="Times New Roman" w:cs="Times New Roman"/>
                <w:color w:val="000000"/>
                <w:sz w:val="14"/>
                <w:szCs w:val="14"/>
                <w:lang w:eastAsia="sk-SK"/>
              </w:rPr>
            </w:pP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AA0F70" w:rsidRPr="00A73A92" w:rsidP="00F26615">
            <w:pPr>
              <w:bidi w:val="0"/>
              <w:jc w:val="right"/>
              <w:rPr>
                <w:rFonts w:ascii="Times New Roman" w:hAnsi="Times New Roman" w:cs="Times New Roman"/>
                <w:sz w:val="14"/>
                <w:szCs w:val="14"/>
                <w:lang w:eastAsia="sk-SK"/>
              </w:rPr>
            </w:pPr>
          </w:p>
        </w:tc>
        <w:tc>
          <w:tcPr>
            <w:tcW w:w="570"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AA0F70" w:rsidRPr="00A73A92" w:rsidP="00F26615">
            <w:pPr>
              <w:bidi w:val="0"/>
              <w:jc w:val="right"/>
              <w:rPr>
                <w:rFonts w:ascii="Times New Roman" w:hAnsi="Times New Roman" w:cs="Times New Roman"/>
                <w:color w:val="000000"/>
                <w:sz w:val="14"/>
                <w:szCs w:val="14"/>
                <w:lang w:eastAsia="sk-SK"/>
              </w:rPr>
            </w:pP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AA0F70" w:rsidRPr="00A73A92" w:rsidP="00F26615">
            <w:pPr>
              <w:bidi w:val="0"/>
              <w:jc w:val="right"/>
              <w:rPr>
                <w:rFonts w:ascii="Times New Roman" w:hAnsi="Times New Roman" w:cs="Times New Roman"/>
                <w:color w:val="000000"/>
                <w:sz w:val="14"/>
                <w:szCs w:val="14"/>
                <w:lang w:eastAsia="sk-SK"/>
              </w:rPr>
            </w:pPr>
          </w:p>
        </w:tc>
        <w:tc>
          <w:tcPr>
            <w:tcW w:w="570"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AA0F70" w:rsidRPr="00B82506" w:rsidP="00F26615">
            <w:pPr>
              <w:bidi w:val="0"/>
              <w:jc w:val="right"/>
              <w:rPr>
                <w:rFonts w:ascii="Times New Roman" w:hAnsi="Times New Roman" w:cs="Times New Roman"/>
                <w:sz w:val="14"/>
                <w:szCs w:val="14"/>
              </w:rPr>
            </w:pPr>
            <w:r>
              <w:rPr>
                <w:rFonts w:ascii="Times New Roman" w:hAnsi="Times New Roman" w:cs="Times New Roman"/>
                <w:sz w:val="14"/>
                <w:szCs w:val="14"/>
              </w:rPr>
              <w:t>100 440</w:t>
            </w: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AA0F70" w:rsidRPr="00B82506" w:rsidP="00F26615">
            <w:pPr>
              <w:bidi w:val="0"/>
              <w:jc w:val="right"/>
              <w:rPr>
                <w:rFonts w:ascii="Times New Roman" w:hAnsi="Times New Roman" w:cs="Times New Roman"/>
                <w:sz w:val="14"/>
                <w:szCs w:val="14"/>
              </w:rPr>
            </w:pPr>
            <w:r>
              <w:rPr>
                <w:rFonts w:ascii="Times New Roman" w:hAnsi="Times New Roman" w:cs="Times New Roman"/>
                <w:sz w:val="14"/>
                <w:szCs w:val="14"/>
              </w:rPr>
              <w:t>100 440</w:t>
            </w:r>
          </w:p>
        </w:tc>
        <w:tc>
          <w:tcPr>
            <w:tcW w:w="570"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AA0F70" w:rsidRPr="00B82506" w:rsidP="00F26615">
            <w:pPr>
              <w:bidi w:val="0"/>
              <w:jc w:val="right"/>
              <w:rPr>
                <w:rFonts w:ascii="Times New Roman" w:hAnsi="Times New Roman" w:cs="Times New Roman"/>
                <w:sz w:val="14"/>
                <w:szCs w:val="14"/>
              </w:rPr>
            </w:pPr>
            <w:r>
              <w:rPr>
                <w:rFonts w:ascii="Times New Roman" w:hAnsi="Times New Roman" w:cs="Times New Roman"/>
                <w:sz w:val="14"/>
                <w:szCs w:val="14"/>
              </w:rPr>
              <w:t>100 440</w:t>
            </w:r>
          </w:p>
        </w:tc>
      </w:tr>
      <w:tr>
        <w:tblPrEx>
          <w:tblW w:w="5000" w:type="pct"/>
          <w:tblCellMar>
            <w:left w:w="70" w:type="dxa"/>
            <w:right w:w="70" w:type="dxa"/>
          </w:tblCellMar>
          <w:tblLook w:val="04A0"/>
        </w:tblPrEx>
        <w:trPr>
          <w:trHeight w:val="366"/>
        </w:trPr>
        <w:tc>
          <w:tcPr>
            <w:tcW w:w="1013"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ind w:left="366"/>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z predaja pozemkov a nehmotných aktív</w:t>
            </w:r>
          </w:p>
        </w:tc>
        <w:tc>
          <w:tcPr>
            <w:tcW w:w="569"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6 721</w:t>
            </w:r>
          </w:p>
        </w:tc>
        <w:tc>
          <w:tcPr>
            <w:tcW w:w="569"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sz w:val="14"/>
                <w:szCs w:val="14"/>
                <w:lang w:eastAsia="sk-SK"/>
              </w:rPr>
            </w:pPr>
            <w:r w:rsidRPr="00A73A92">
              <w:rPr>
                <w:rFonts w:ascii="Times New Roman" w:hAnsi="Times New Roman" w:cs="Times New Roman"/>
                <w:sz w:val="14"/>
                <w:szCs w:val="14"/>
                <w:lang w:eastAsia="sk-SK"/>
              </w:rPr>
              <w:t>7 393</w:t>
            </w:r>
          </w:p>
        </w:tc>
        <w:tc>
          <w:tcPr>
            <w:tcW w:w="57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4 702</w:t>
            </w:r>
          </w:p>
        </w:tc>
        <w:tc>
          <w:tcPr>
            <w:tcW w:w="569"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5 000</w:t>
            </w:r>
          </w:p>
        </w:tc>
        <w:tc>
          <w:tcPr>
            <w:tcW w:w="57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82506" w:rsidP="00F26615">
            <w:pPr>
              <w:bidi w:val="0"/>
              <w:jc w:val="right"/>
              <w:rPr>
                <w:rFonts w:ascii="Times New Roman" w:hAnsi="Times New Roman" w:cs="Times New Roman"/>
                <w:sz w:val="14"/>
                <w:szCs w:val="14"/>
              </w:rPr>
            </w:pPr>
            <w:r w:rsidRPr="00B82506">
              <w:rPr>
                <w:rFonts w:ascii="Times New Roman" w:hAnsi="Times New Roman" w:cs="Times New Roman"/>
                <w:sz w:val="14"/>
                <w:szCs w:val="14"/>
              </w:rPr>
              <w:t>4 985</w:t>
            </w:r>
          </w:p>
        </w:tc>
        <w:tc>
          <w:tcPr>
            <w:tcW w:w="569"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82506" w:rsidP="00F26615">
            <w:pPr>
              <w:bidi w:val="0"/>
              <w:jc w:val="right"/>
              <w:rPr>
                <w:rFonts w:ascii="Times New Roman" w:hAnsi="Times New Roman" w:cs="Times New Roman"/>
                <w:sz w:val="14"/>
                <w:szCs w:val="14"/>
              </w:rPr>
            </w:pPr>
            <w:r w:rsidRPr="00B82506">
              <w:rPr>
                <w:rFonts w:ascii="Times New Roman" w:hAnsi="Times New Roman" w:cs="Times New Roman"/>
                <w:sz w:val="14"/>
                <w:szCs w:val="14"/>
              </w:rPr>
              <w:t>4 986</w:t>
            </w:r>
          </w:p>
        </w:tc>
        <w:tc>
          <w:tcPr>
            <w:tcW w:w="570" w:type="pct"/>
            <w:vMerge w:val="restar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82506" w:rsidP="00F26615">
            <w:pPr>
              <w:bidi w:val="0"/>
              <w:jc w:val="right"/>
              <w:rPr>
                <w:rFonts w:ascii="Times New Roman" w:hAnsi="Times New Roman" w:cs="Times New Roman"/>
                <w:sz w:val="14"/>
                <w:szCs w:val="14"/>
              </w:rPr>
            </w:pPr>
            <w:r w:rsidRPr="00B82506">
              <w:rPr>
                <w:rFonts w:ascii="Times New Roman" w:hAnsi="Times New Roman" w:cs="Times New Roman"/>
                <w:sz w:val="14"/>
                <w:szCs w:val="14"/>
              </w:rPr>
              <w:t>4 986</w:t>
            </w:r>
          </w:p>
        </w:tc>
      </w:tr>
      <w:tr>
        <w:tblPrEx>
          <w:tblW w:w="5000" w:type="pct"/>
          <w:tblCellMar>
            <w:left w:w="70" w:type="dxa"/>
            <w:right w:w="70" w:type="dxa"/>
          </w:tblCellMar>
          <w:tblLook w:val="04A0"/>
        </w:tblPrEx>
        <w:trPr>
          <w:trHeight w:val="161"/>
        </w:trPr>
        <w:tc>
          <w:tcPr>
            <w:tcW w:w="1013" w:type="pct"/>
            <w:vMerge/>
            <w:tcBorders>
              <w:top w:val="single" w:sz="4" w:space="0" w:color="auto"/>
              <w:left w:val="single" w:sz="4" w:space="0" w:color="auto"/>
              <w:bottom w:val="single" w:sz="4" w:space="0" w:color="auto"/>
              <w:right w:val="single" w:sz="4" w:space="0" w:color="auto"/>
            </w:tcBorders>
            <w:textDirection w:val="lrTb"/>
            <w:vAlign w:val="center"/>
            <w:hideMark/>
          </w:tcPr>
          <w:p w:rsidR="00AA0F70" w:rsidRPr="00A73A92" w:rsidP="00F26615">
            <w:pPr>
              <w:bidi w:val="0"/>
              <w:rPr>
                <w:rFonts w:ascii="Times New Roman" w:hAnsi="Times New Roman" w:cs="Times New Roman"/>
                <w:color w:val="000000"/>
                <w:sz w:val="14"/>
                <w:szCs w:val="14"/>
                <w:lang w:eastAsia="sk-SK"/>
              </w:rPr>
            </w:pPr>
          </w:p>
        </w:tc>
        <w:tc>
          <w:tcPr>
            <w:tcW w:w="569" w:type="pct"/>
            <w:vMerge/>
            <w:tcBorders>
              <w:top w:val="single" w:sz="4" w:space="0" w:color="auto"/>
              <w:left w:val="single" w:sz="4" w:space="0" w:color="auto"/>
              <w:bottom w:val="single" w:sz="4" w:space="0" w:color="auto"/>
              <w:right w:val="single" w:sz="4" w:space="0" w:color="auto"/>
            </w:tcBorders>
            <w:textDirection w:val="lrTb"/>
            <w:vAlign w:val="center"/>
            <w:hideMark/>
          </w:tcPr>
          <w:p w:rsidR="00AA0F70" w:rsidRPr="00A73A92" w:rsidP="00F26615">
            <w:pPr>
              <w:bidi w:val="0"/>
              <w:rPr>
                <w:rFonts w:ascii="Times New Roman" w:hAnsi="Times New Roman" w:cs="Times New Roman"/>
                <w:color w:val="000000"/>
                <w:sz w:val="14"/>
                <w:szCs w:val="14"/>
                <w:lang w:eastAsia="sk-SK"/>
              </w:rPr>
            </w:pPr>
          </w:p>
        </w:tc>
        <w:tc>
          <w:tcPr>
            <w:tcW w:w="569" w:type="pct"/>
            <w:vMerge/>
            <w:tcBorders>
              <w:top w:val="single" w:sz="4" w:space="0" w:color="auto"/>
              <w:left w:val="single" w:sz="4" w:space="0" w:color="auto"/>
              <w:bottom w:val="single" w:sz="4" w:space="0" w:color="auto"/>
              <w:right w:val="single" w:sz="4" w:space="0" w:color="auto"/>
            </w:tcBorders>
            <w:textDirection w:val="lrTb"/>
            <w:vAlign w:val="center"/>
            <w:hideMark/>
          </w:tcPr>
          <w:p w:rsidR="00AA0F70" w:rsidRPr="00A73A92" w:rsidP="00F26615">
            <w:pPr>
              <w:bidi w:val="0"/>
              <w:rPr>
                <w:rFonts w:ascii="Times New Roman" w:hAnsi="Times New Roman" w:cs="Times New Roman"/>
                <w:sz w:val="14"/>
                <w:szCs w:val="14"/>
                <w:lang w:eastAsia="sk-SK"/>
              </w:rPr>
            </w:pPr>
          </w:p>
        </w:tc>
        <w:tc>
          <w:tcPr>
            <w:tcW w:w="570" w:type="pct"/>
            <w:vMerge/>
            <w:tcBorders>
              <w:top w:val="single" w:sz="4" w:space="0" w:color="auto"/>
              <w:left w:val="single" w:sz="4" w:space="0" w:color="auto"/>
              <w:bottom w:val="single" w:sz="4" w:space="0" w:color="auto"/>
              <w:right w:val="single" w:sz="4" w:space="0" w:color="auto"/>
            </w:tcBorders>
            <w:textDirection w:val="lrTb"/>
            <w:vAlign w:val="center"/>
            <w:hideMark/>
          </w:tcPr>
          <w:p w:rsidR="00AA0F70" w:rsidRPr="00A73A92" w:rsidP="00F26615">
            <w:pPr>
              <w:bidi w:val="0"/>
              <w:rPr>
                <w:rFonts w:ascii="Times New Roman" w:hAnsi="Times New Roman" w:cs="Times New Roman"/>
                <w:color w:val="000000"/>
                <w:sz w:val="14"/>
                <w:szCs w:val="14"/>
                <w:lang w:eastAsia="sk-SK"/>
              </w:rPr>
            </w:pPr>
          </w:p>
        </w:tc>
        <w:tc>
          <w:tcPr>
            <w:tcW w:w="569" w:type="pct"/>
            <w:vMerge/>
            <w:tcBorders>
              <w:top w:val="single" w:sz="4" w:space="0" w:color="auto"/>
              <w:left w:val="single" w:sz="4" w:space="0" w:color="auto"/>
              <w:bottom w:val="single" w:sz="4" w:space="0" w:color="auto"/>
              <w:right w:val="single" w:sz="4" w:space="0" w:color="auto"/>
            </w:tcBorders>
            <w:textDirection w:val="lrTb"/>
            <w:vAlign w:val="center"/>
            <w:hideMark/>
          </w:tcPr>
          <w:p w:rsidR="00AA0F70" w:rsidRPr="00A73A92" w:rsidP="00F26615">
            <w:pPr>
              <w:bidi w:val="0"/>
              <w:rPr>
                <w:rFonts w:ascii="Times New Roman" w:hAnsi="Times New Roman" w:cs="Times New Roman"/>
                <w:color w:val="000000"/>
                <w:sz w:val="14"/>
                <w:szCs w:val="14"/>
                <w:lang w:eastAsia="sk-SK"/>
              </w:rPr>
            </w:pPr>
          </w:p>
        </w:tc>
        <w:tc>
          <w:tcPr>
            <w:tcW w:w="570" w:type="pct"/>
            <w:vMerge/>
            <w:tcBorders>
              <w:top w:val="single" w:sz="4" w:space="0" w:color="auto"/>
              <w:left w:val="single" w:sz="4" w:space="0" w:color="auto"/>
              <w:bottom w:val="single" w:sz="4" w:space="0" w:color="auto"/>
              <w:right w:val="single" w:sz="4" w:space="0" w:color="auto"/>
            </w:tcBorders>
            <w:textDirection w:val="lrTb"/>
            <w:vAlign w:val="center"/>
            <w:hideMark/>
          </w:tcPr>
          <w:p w:rsidR="00AA0F70" w:rsidRPr="00B82506" w:rsidP="00F26615">
            <w:pPr>
              <w:bidi w:val="0"/>
              <w:rPr>
                <w:rFonts w:ascii="Times New Roman" w:hAnsi="Times New Roman" w:cs="Times New Roman"/>
                <w:sz w:val="14"/>
                <w:szCs w:val="14"/>
                <w:lang w:eastAsia="sk-SK"/>
              </w:rPr>
            </w:pPr>
          </w:p>
        </w:tc>
        <w:tc>
          <w:tcPr>
            <w:tcW w:w="569" w:type="pct"/>
            <w:vMerge/>
            <w:tcBorders>
              <w:top w:val="single" w:sz="4" w:space="0" w:color="auto"/>
              <w:left w:val="single" w:sz="4" w:space="0" w:color="auto"/>
              <w:bottom w:val="single" w:sz="4" w:space="0" w:color="auto"/>
              <w:right w:val="single" w:sz="4" w:space="0" w:color="auto"/>
            </w:tcBorders>
            <w:textDirection w:val="lrTb"/>
            <w:vAlign w:val="center"/>
            <w:hideMark/>
          </w:tcPr>
          <w:p w:rsidR="00AA0F70" w:rsidRPr="00B82506" w:rsidP="00F26615">
            <w:pPr>
              <w:bidi w:val="0"/>
              <w:rPr>
                <w:rFonts w:ascii="Times New Roman" w:hAnsi="Times New Roman" w:cs="Times New Roman"/>
                <w:sz w:val="14"/>
                <w:szCs w:val="14"/>
                <w:lang w:eastAsia="sk-SK"/>
              </w:rPr>
            </w:pPr>
          </w:p>
        </w:tc>
        <w:tc>
          <w:tcPr>
            <w:tcW w:w="570" w:type="pct"/>
            <w:vMerge/>
            <w:tcBorders>
              <w:top w:val="single" w:sz="4" w:space="0" w:color="auto"/>
              <w:left w:val="single" w:sz="4" w:space="0" w:color="auto"/>
              <w:bottom w:val="single" w:sz="4" w:space="0" w:color="auto"/>
              <w:right w:val="single" w:sz="4" w:space="0" w:color="auto"/>
            </w:tcBorders>
            <w:textDirection w:val="lrTb"/>
            <w:vAlign w:val="center"/>
            <w:hideMark/>
          </w:tcPr>
          <w:p w:rsidR="00AA0F70" w:rsidRPr="00B82506" w:rsidP="00F26615">
            <w:pPr>
              <w:bidi w:val="0"/>
              <w:rPr>
                <w:rFonts w:ascii="Times New Roman" w:hAnsi="Times New Roman" w:cs="Times New Roman"/>
                <w:sz w:val="14"/>
                <w:szCs w:val="14"/>
                <w:lang w:eastAsia="sk-SK"/>
              </w:rPr>
            </w:pPr>
          </w:p>
        </w:tc>
      </w:tr>
      <w:tr>
        <w:tblPrEx>
          <w:tblW w:w="5000" w:type="pct"/>
          <w:tblCellMar>
            <w:left w:w="70" w:type="dxa"/>
            <w:right w:w="70" w:type="dxa"/>
          </w:tblCellMar>
          <w:tblLook w:val="04A0"/>
        </w:tblPrEx>
        <w:trPr>
          <w:trHeight w:val="407"/>
        </w:trPr>
        <w:tc>
          <w:tcPr>
            <w:tcW w:w="101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ind w:left="366"/>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 xml:space="preserve"> ďalšie kapitálové príjmy</w:t>
            </w: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130</w:t>
            </w: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sz w:val="14"/>
                <w:szCs w:val="14"/>
                <w:lang w:eastAsia="sk-SK"/>
              </w:rPr>
            </w:pPr>
            <w:r w:rsidRPr="00A73A92">
              <w:rPr>
                <w:rFonts w:ascii="Times New Roman" w:hAnsi="Times New Roman" w:cs="Times New Roman"/>
                <w:sz w:val="14"/>
                <w:szCs w:val="14"/>
                <w:lang w:eastAsia="sk-SK"/>
              </w:rPr>
              <w:t>56</w:t>
            </w:r>
          </w:p>
        </w:tc>
        <w:tc>
          <w:tcPr>
            <w:tcW w:w="570"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0</w:t>
            </w: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73A92" w:rsidP="00F26615">
            <w:pPr>
              <w:bidi w:val="0"/>
              <w:jc w:val="right"/>
              <w:rPr>
                <w:rFonts w:ascii="Times New Roman" w:hAnsi="Times New Roman" w:cs="Times New Roman"/>
                <w:color w:val="000000"/>
                <w:sz w:val="14"/>
                <w:szCs w:val="14"/>
                <w:lang w:eastAsia="sk-SK"/>
              </w:rPr>
            </w:pPr>
            <w:r w:rsidRPr="00A73A92">
              <w:rPr>
                <w:rFonts w:ascii="Times New Roman" w:hAnsi="Times New Roman" w:cs="Times New Roman"/>
                <w:color w:val="000000"/>
                <w:sz w:val="14"/>
                <w:szCs w:val="14"/>
                <w:lang w:eastAsia="sk-SK"/>
              </w:rPr>
              <w:t>500</w:t>
            </w:r>
          </w:p>
        </w:tc>
        <w:tc>
          <w:tcPr>
            <w:tcW w:w="570"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82506" w:rsidP="00F26615">
            <w:pPr>
              <w:bidi w:val="0"/>
              <w:jc w:val="right"/>
              <w:rPr>
                <w:rFonts w:ascii="Times New Roman" w:hAnsi="Times New Roman" w:cs="Times New Roman"/>
                <w:sz w:val="14"/>
                <w:szCs w:val="14"/>
              </w:rPr>
            </w:pPr>
            <w:r w:rsidRPr="00B82506">
              <w:rPr>
                <w:rFonts w:ascii="Times New Roman" w:hAnsi="Times New Roman" w:cs="Times New Roman"/>
                <w:sz w:val="14"/>
                <w:szCs w:val="14"/>
              </w:rPr>
              <w:t>7</w:t>
            </w:r>
          </w:p>
        </w:tc>
        <w:tc>
          <w:tcPr>
            <w:tcW w:w="569"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82506" w:rsidP="00F26615">
            <w:pPr>
              <w:bidi w:val="0"/>
              <w:jc w:val="right"/>
              <w:rPr>
                <w:rFonts w:ascii="Times New Roman" w:hAnsi="Times New Roman" w:cs="Times New Roman"/>
                <w:sz w:val="14"/>
                <w:szCs w:val="14"/>
              </w:rPr>
            </w:pPr>
            <w:r w:rsidRPr="00B82506">
              <w:rPr>
                <w:rFonts w:ascii="Times New Roman" w:hAnsi="Times New Roman" w:cs="Times New Roman"/>
                <w:sz w:val="14"/>
                <w:szCs w:val="14"/>
              </w:rPr>
              <w:t>7</w:t>
            </w:r>
          </w:p>
        </w:tc>
        <w:tc>
          <w:tcPr>
            <w:tcW w:w="570"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B82506" w:rsidP="00F26615">
            <w:pPr>
              <w:bidi w:val="0"/>
              <w:jc w:val="right"/>
              <w:rPr>
                <w:rFonts w:ascii="Times New Roman" w:hAnsi="Times New Roman" w:cs="Times New Roman"/>
                <w:sz w:val="14"/>
                <w:szCs w:val="14"/>
              </w:rPr>
            </w:pPr>
            <w:r w:rsidRPr="00B82506">
              <w:rPr>
                <w:rFonts w:ascii="Times New Roman" w:hAnsi="Times New Roman" w:cs="Times New Roman"/>
                <w:sz w:val="14"/>
                <w:szCs w:val="14"/>
              </w:rPr>
              <w:t>7</w:t>
            </w:r>
          </w:p>
        </w:tc>
      </w:tr>
    </w:tbl>
    <w:p w:rsidR="00AA0F70" w:rsidP="00AA0F70">
      <w:pPr>
        <w:bidi w:val="0"/>
        <w:ind w:firstLine="708"/>
        <w:jc w:val="both"/>
        <w:rPr>
          <w:rFonts w:ascii="Times New Roman" w:hAnsi="Times New Roman"/>
          <w:b/>
          <w:i/>
          <w:szCs w:val="22"/>
        </w:rPr>
      </w:pPr>
    </w:p>
    <w:p w:rsidR="00AA0F70" w:rsidRPr="006A29E5" w:rsidP="00AA0F70">
      <w:pPr>
        <w:bidi w:val="0"/>
        <w:ind w:firstLine="708"/>
        <w:jc w:val="both"/>
        <w:rPr>
          <w:rFonts w:ascii="Times New Roman" w:hAnsi="Times New Roman"/>
          <w:b/>
          <w:i/>
          <w:szCs w:val="22"/>
        </w:rPr>
      </w:pPr>
      <w:r w:rsidRPr="006A29E5">
        <w:rPr>
          <w:rFonts w:ascii="Times New Roman" w:hAnsi="Times New Roman"/>
          <w:b/>
          <w:i/>
          <w:szCs w:val="22"/>
        </w:rPr>
        <w:t xml:space="preserve">Úroky z tuzemských úverov, pôžičiek, návratných finančných výpomocí a vkladov </w:t>
      </w:r>
    </w:p>
    <w:p w:rsidR="00AA0F70" w:rsidRPr="006A29E5" w:rsidP="00AA0F70">
      <w:pPr>
        <w:bidi w:val="0"/>
        <w:jc w:val="both"/>
        <w:rPr>
          <w:rFonts w:ascii="Times New Roman" w:hAnsi="Times New Roman"/>
          <w:b/>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03"/>
        <w:gridCol w:w="1016"/>
        <w:gridCol w:w="1016"/>
        <w:gridCol w:w="1016"/>
        <w:gridCol w:w="1016"/>
        <w:gridCol w:w="1015"/>
        <w:gridCol w:w="1015"/>
        <w:gridCol w:w="10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0F70" w:rsidRPr="006D7D37" w:rsidP="00F26615">
            <w:pPr>
              <w:bidi w:val="0"/>
              <w:jc w:val="both"/>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v tis. eur</w:t>
            </w:r>
          </w:p>
        </w:tc>
        <w:tc>
          <w:tcPr>
            <w:tcW w:w="5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6D7D37" w:rsidP="00F26615">
            <w:pPr>
              <w:bidi w:val="0"/>
              <w:jc w:val="center"/>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2010 S</w:t>
            </w:r>
          </w:p>
        </w:tc>
        <w:tc>
          <w:tcPr>
            <w:tcW w:w="5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6D7D37" w:rsidP="00F26615">
            <w:pPr>
              <w:bidi w:val="0"/>
              <w:jc w:val="center"/>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2011 S</w:t>
            </w:r>
          </w:p>
        </w:tc>
        <w:tc>
          <w:tcPr>
            <w:tcW w:w="5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6D7D37" w:rsidP="00F26615">
            <w:pPr>
              <w:bidi w:val="0"/>
              <w:jc w:val="center"/>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2012 R</w:t>
            </w:r>
          </w:p>
        </w:tc>
        <w:tc>
          <w:tcPr>
            <w:tcW w:w="5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6D7D37" w:rsidP="00F26615">
            <w:pPr>
              <w:bidi w:val="0"/>
              <w:jc w:val="center"/>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2012 OS</w:t>
            </w:r>
          </w:p>
        </w:tc>
        <w:tc>
          <w:tcPr>
            <w:tcW w:w="5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6D7D37" w:rsidP="00F26615">
            <w:pPr>
              <w:bidi w:val="0"/>
              <w:jc w:val="center"/>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2013 N</w:t>
            </w:r>
          </w:p>
        </w:tc>
        <w:tc>
          <w:tcPr>
            <w:tcW w:w="5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6D7D37" w:rsidP="00F26615">
            <w:pPr>
              <w:bidi w:val="0"/>
              <w:jc w:val="center"/>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2014 N</w:t>
            </w:r>
          </w:p>
        </w:tc>
        <w:tc>
          <w:tcPr>
            <w:tcW w:w="55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6D7D37" w:rsidP="00F26615">
            <w:pPr>
              <w:bidi w:val="0"/>
              <w:jc w:val="center"/>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D7D37" w:rsidP="00F26615">
            <w:pPr>
              <w:bidi w:val="0"/>
              <w:jc w:val="both"/>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Spolu</w:t>
            </w:r>
          </w:p>
        </w:tc>
        <w:tc>
          <w:tcPr>
            <w:tcW w:w="55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D7D37" w:rsidP="00F26615">
            <w:pPr>
              <w:bidi w:val="0"/>
              <w:jc w:val="right"/>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79 011</w:t>
            </w:r>
          </w:p>
        </w:tc>
        <w:tc>
          <w:tcPr>
            <w:tcW w:w="55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D7D37" w:rsidP="00F26615">
            <w:pPr>
              <w:bidi w:val="0"/>
              <w:jc w:val="right"/>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55 428</w:t>
            </w:r>
          </w:p>
        </w:tc>
        <w:tc>
          <w:tcPr>
            <w:tcW w:w="55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D7D37" w:rsidP="00F26615">
            <w:pPr>
              <w:bidi w:val="0"/>
              <w:jc w:val="right"/>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 45 748</w:t>
            </w:r>
          </w:p>
        </w:tc>
        <w:tc>
          <w:tcPr>
            <w:tcW w:w="55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6D7D37" w:rsidP="00F26615">
            <w:pPr>
              <w:bidi w:val="0"/>
              <w:jc w:val="right"/>
              <w:rPr>
                <w:rFonts w:ascii="Times New Roman" w:hAnsi="Times New Roman" w:cs="Times New Roman"/>
                <w:b/>
                <w:bCs/>
                <w:color w:val="000000"/>
                <w:sz w:val="14"/>
                <w:szCs w:val="14"/>
                <w:lang w:eastAsia="sk-SK"/>
              </w:rPr>
            </w:pPr>
            <w:r w:rsidRPr="006D7D37">
              <w:rPr>
                <w:rFonts w:ascii="Times New Roman" w:hAnsi="Times New Roman" w:cs="Times New Roman"/>
                <w:b/>
                <w:bCs/>
                <w:color w:val="000000"/>
                <w:sz w:val="14"/>
                <w:szCs w:val="14"/>
                <w:lang w:eastAsia="sk-SK"/>
              </w:rPr>
              <w:t>15 000</w:t>
            </w:r>
          </w:p>
        </w:tc>
        <w:tc>
          <w:tcPr>
            <w:tcW w:w="55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AD18E7" w:rsidP="00F26615">
            <w:pPr>
              <w:bidi w:val="0"/>
              <w:jc w:val="right"/>
              <w:rPr>
                <w:rFonts w:ascii="Times New Roman" w:hAnsi="Times New Roman" w:cs="Times New Roman"/>
                <w:b/>
                <w:bCs/>
                <w:color w:val="000000"/>
                <w:sz w:val="14"/>
                <w:szCs w:val="14"/>
              </w:rPr>
            </w:pPr>
            <w:r w:rsidRPr="00AD18E7">
              <w:rPr>
                <w:rFonts w:ascii="Times New Roman" w:hAnsi="Times New Roman" w:cs="Times New Roman"/>
                <w:b/>
                <w:bCs/>
                <w:color w:val="000000"/>
                <w:sz w:val="14"/>
                <w:szCs w:val="14"/>
              </w:rPr>
              <w:t>11 66</w:t>
            </w:r>
            <w:r>
              <w:rPr>
                <w:rFonts w:ascii="Times New Roman" w:hAnsi="Times New Roman" w:cs="Times New Roman"/>
                <w:b/>
                <w:bCs/>
                <w:color w:val="000000"/>
                <w:sz w:val="14"/>
                <w:szCs w:val="14"/>
              </w:rPr>
              <w:t>6</w:t>
            </w:r>
          </w:p>
        </w:tc>
        <w:tc>
          <w:tcPr>
            <w:tcW w:w="55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AD18E7" w:rsidP="00F26615">
            <w:pPr>
              <w:bidi w:val="0"/>
              <w:jc w:val="right"/>
              <w:rPr>
                <w:rFonts w:ascii="Times New Roman" w:hAnsi="Times New Roman" w:cs="Times New Roman"/>
                <w:b/>
                <w:bCs/>
                <w:color w:val="000000"/>
                <w:sz w:val="14"/>
                <w:szCs w:val="14"/>
              </w:rPr>
            </w:pPr>
            <w:r w:rsidRPr="00AD18E7">
              <w:rPr>
                <w:rFonts w:ascii="Times New Roman" w:hAnsi="Times New Roman" w:cs="Times New Roman"/>
                <w:b/>
                <w:bCs/>
                <w:color w:val="000000"/>
                <w:sz w:val="14"/>
                <w:szCs w:val="14"/>
              </w:rPr>
              <w:t>17 65</w:t>
            </w:r>
            <w:r>
              <w:rPr>
                <w:rFonts w:ascii="Times New Roman" w:hAnsi="Times New Roman" w:cs="Times New Roman"/>
                <w:b/>
                <w:bCs/>
                <w:color w:val="000000"/>
                <w:sz w:val="14"/>
                <w:szCs w:val="14"/>
              </w:rPr>
              <w:t>7</w:t>
            </w:r>
          </w:p>
        </w:tc>
        <w:tc>
          <w:tcPr>
            <w:tcW w:w="55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AD18E7" w:rsidP="00F26615">
            <w:pPr>
              <w:bidi w:val="0"/>
              <w:jc w:val="right"/>
              <w:rPr>
                <w:rFonts w:ascii="Times New Roman" w:hAnsi="Times New Roman" w:cs="Times New Roman"/>
                <w:b/>
                <w:bCs/>
                <w:color w:val="000000"/>
                <w:sz w:val="14"/>
                <w:szCs w:val="14"/>
              </w:rPr>
            </w:pPr>
            <w:r w:rsidRPr="00AD18E7">
              <w:rPr>
                <w:rFonts w:ascii="Times New Roman" w:hAnsi="Times New Roman" w:cs="Times New Roman"/>
                <w:b/>
                <w:bCs/>
                <w:color w:val="000000"/>
                <w:sz w:val="14"/>
                <w:szCs w:val="14"/>
              </w:rPr>
              <w:t>3</w:t>
            </w:r>
            <w:r>
              <w:rPr>
                <w:rFonts w:ascii="Times New Roman" w:hAnsi="Times New Roman" w:cs="Times New Roman"/>
                <w:b/>
                <w:bCs/>
                <w:color w:val="000000"/>
                <w:sz w:val="14"/>
                <w:szCs w:val="14"/>
              </w:rPr>
              <w:t>2 095</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Úroky z účtov finančného </w:t>
            </w:r>
            <w:r w:rsidRPr="006D7D37">
              <w:rPr>
                <w:rFonts w:ascii="Times New Roman" w:hAnsi="Times New Roman" w:cs="Times New Roman"/>
                <w:color w:val="000000"/>
                <w:sz w:val="14"/>
                <w:szCs w:val="14"/>
                <w:lang w:eastAsia="sk-SK"/>
              </w:rPr>
              <w:t>hospodárenia</w:t>
            </w:r>
            <w:r>
              <w:rPr>
                <w:rFonts w:ascii="Times New Roman" w:hAnsi="Times New Roman" w:cs="Times New Roman"/>
                <w:color w:val="000000"/>
                <w:sz w:val="14"/>
                <w:szCs w:val="14"/>
                <w:lang w:eastAsia="sk-SK"/>
              </w:rPr>
              <w:t xml:space="preserve"> so</w:t>
            </w:r>
            <w:r w:rsidRPr="006D7D37">
              <w:rPr>
                <w:rFonts w:ascii="Times New Roman" w:hAnsi="Times New Roman" w:cs="Times New Roman"/>
                <w:color w:val="000000"/>
                <w:sz w:val="14"/>
                <w:szCs w:val="14"/>
                <w:lang w:eastAsia="sk-SK"/>
              </w:rPr>
              <w:t xml:space="preserve"> ŠP</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5 264</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12 131</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35 220</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4 584</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2 03</w:t>
            </w:r>
            <w:r>
              <w:rPr>
                <w:rFonts w:ascii="Times New Roman" w:hAnsi="Times New Roman" w:cs="Times New Roman"/>
                <w:sz w:val="14"/>
                <w:szCs w:val="14"/>
              </w:rPr>
              <w:t>7</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8 96</w:t>
            </w:r>
            <w:r>
              <w:rPr>
                <w:rFonts w:ascii="Times New Roman" w:hAnsi="Times New Roman" w:cs="Times New Roman"/>
                <w:sz w:val="14"/>
                <w:szCs w:val="14"/>
              </w:rPr>
              <w:t>2</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24 138</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both"/>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Úroky z návratných fin. výpomocí a štátnych záruk</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24 834</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11 066</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10 401</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10 401</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9 542</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8 683</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Pr>
                <w:rFonts w:ascii="Times New Roman" w:hAnsi="Times New Roman" w:cs="Times New Roman"/>
                <w:sz w:val="14"/>
                <w:szCs w:val="14"/>
              </w:rPr>
              <w:t>7 952</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both"/>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Z úverov a pôžičiek</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251</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111</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100</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66</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0</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0</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Úroky zo zahraničných vkladov</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47 258</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3 135</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7</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5</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5</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both"/>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Úroky z vládnych úverov poskytnutých do zahraničia</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1 404</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33</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27</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15</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Pr>
                <w:rFonts w:ascii="Times New Roman" w:hAnsi="Times New Roman" w:cs="Times New Roman"/>
                <w:sz w:val="14"/>
                <w:szCs w:val="14"/>
              </w:rPr>
              <w:t>14</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7</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AD18E7" w:rsidP="00F26615">
            <w:pPr>
              <w:bidi w:val="0"/>
              <w:jc w:val="right"/>
              <w:rPr>
                <w:rFonts w:ascii="Times New Roman" w:hAnsi="Times New Roman" w:cs="Times New Roman"/>
                <w:sz w:val="14"/>
                <w:szCs w:val="14"/>
              </w:rPr>
            </w:pPr>
            <w:r w:rsidRPr="00AD18E7">
              <w:rPr>
                <w:rFonts w:ascii="Times New Roman" w:hAnsi="Times New Roman" w:cs="Times New Roman"/>
                <w:sz w:val="14"/>
                <w:szCs w:val="14"/>
              </w:rPr>
              <w:t>0</w:t>
            </w:r>
          </w:p>
        </w:tc>
      </w:tr>
      <w:tr>
        <w:tblPrEx>
          <w:tblW w:w="5000" w:type="pct"/>
          <w:tblCellMar>
            <w:left w:w="70" w:type="dxa"/>
            <w:right w:w="70" w:type="dxa"/>
          </w:tblCellMar>
          <w:tblLook w:val="04A0"/>
        </w:tblPrEx>
        <w:trPr>
          <w:trHeight w:val="284"/>
        </w:trPr>
        <w:tc>
          <w:tcPr>
            <w:tcW w:w="114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both"/>
              <w:rPr>
                <w:rFonts w:ascii="Times New Roman" w:hAnsi="Times New Roman" w:cs="Times New Roman"/>
                <w:color w:val="000000"/>
                <w:sz w:val="14"/>
                <w:szCs w:val="14"/>
                <w:lang w:eastAsia="sk-SK"/>
              </w:rPr>
            </w:pPr>
            <w:r w:rsidRPr="006D7D37">
              <w:rPr>
                <w:rFonts w:ascii="Times New Roman" w:hAnsi="Times New Roman" w:cs="Times New Roman"/>
                <w:color w:val="000000"/>
                <w:sz w:val="14"/>
                <w:szCs w:val="14"/>
                <w:lang w:eastAsia="sk-SK"/>
              </w:rPr>
              <w:t>ostatné platby</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17 412</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0</w:t>
            </w:r>
          </w:p>
        </w:tc>
        <w:tc>
          <w:tcPr>
            <w:tcW w:w="55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6D7D37" w:rsidP="00F26615">
            <w:pPr>
              <w:bidi w:val="0"/>
              <w:jc w:val="right"/>
              <w:rPr>
                <w:rFonts w:ascii="Times New Roman" w:hAnsi="Times New Roman" w:cs="Times New Roman"/>
                <w:sz w:val="14"/>
                <w:szCs w:val="14"/>
                <w:lang w:eastAsia="sk-SK"/>
              </w:rPr>
            </w:pPr>
            <w:r w:rsidRPr="006D7D37">
              <w:rPr>
                <w:rFonts w:ascii="Times New Roman" w:hAnsi="Times New Roman" w:cs="Times New Roman"/>
                <w:sz w:val="14"/>
                <w:szCs w:val="14"/>
                <w:lang w:eastAsia="sk-SK"/>
              </w:rPr>
              <w:t>0</w:t>
            </w:r>
          </w:p>
        </w:tc>
      </w:tr>
    </w:tbl>
    <w:p w:rsidR="00B052BD" w:rsidP="00AA0F70">
      <w:pPr>
        <w:bidi w:val="0"/>
        <w:ind w:firstLine="708"/>
        <w:jc w:val="both"/>
        <w:rPr>
          <w:rFonts w:ascii="Times New Roman" w:hAnsi="Times New Roman"/>
          <w:szCs w:val="22"/>
        </w:rPr>
      </w:pPr>
    </w:p>
    <w:p w:rsidR="00AA0F70" w:rsidRPr="001F5089" w:rsidP="00AA0F70">
      <w:pPr>
        <w:bidi w:val="0"/>
        <w:ind w:firstLine="708"/>
        <w:jc w:val="both"/>
        <w:rPr>
          <w:rFonts w:ascii="Times New Roman" w:hAnsi="Times New Roman"/>
          <w:szCs w:val="22"/>
        </w:rPr>
      </w:pPr>
      <w:r w:rsidRPr="001F5089">
        <w:rPr>
          <w:rFonts w:ascii="Times New Roman" w:hAnsi="Times New Roman"/>
          <w:szCs w:val="22"/>
        </w:rPr>
        <w:t>V rámci</w:t>
      </w:r>
      <w:r w:rsidRPr="001F5089">
        <w:rPr>
          <w:rFonts w:ascii="Times New Roman" w:hAnsi="Times New Roman"/>
          <w:b/>
          <w:szCs w:val="22"/>
        </w:rPr>
        <w:t xml:space="preserve"> </w:t>
      </w:r>
      <w:r w:rsidRPr="00B1168E">
        <w:rPr>
          <w:rFonts w:ascii="Times New Roman" w:hAnsi="Times New Roman"/>
          <w:szCs w:val="22"/>
        </w:rPr>
        <w:t>týchto príjmov</w:t>
      </w:r>
      <w:r w:rsidRPr="001F5089">
        <w:rPr>
          <w:rFonts w:ascii="Times New Roman" w:hAnsi="Times New Roman"/>
          <w:b/>
          <w:szCs w:val="22"/>
        </w:rPr>
        <w:t xml:space="preserve">  </w:t>
      </w:r>
      <w:r w:rsidRPr="001F5089">
        <w:rPr>
          <w:rFonts w:ascii="Times New Roman" w:hAnsi="Times New Roman"/>
          <w:szCs w:val="22"/>
        </w:rPr>
        <w:t>dochádza v roku 2013 v porovnaní s roz</w:t>
      </w:r>
      <w:r>
        <w:rPr>
          <w:rFonts w:ascii="Times New Roman" w:hAnsi="Times New Roman"/>
          <w:szCs w:val="22"/>
        </w:rPr>
        <w:t>počtom na rok 2012 k poklesu o </w:t>
      </w:r>
      <w:r w:rsidRPr="001F5089">
        <w:rPr>
          <w:rFonts w:ascii="Times New Roman" w:hAnsi="Times New Roman"/>
          <w:szCs w:val="22"/>
        </w:rPr>
        <w:t>7</w:t>
      </w:r>
      <w:r>
        <w:rPr>
          <w:rFonts w:ascii="Times New Roman" w:hAnsi="Times New Roman"/>
          <w:szCs w:val="22"/>
        </w:rPr>
        <w:t>4</w:t>
      </w:r>
      <w:r w:rsidRPr="001F5089">
        <w:rPr>
          <w:rFonts w:ascii="Times New Roman" w:hAnsi="Times New Roman"/>
          <w:szCs w:val="22"/>
        </w:rPr>
        <w:t>,</w:t>
      </w:r>
      <w:r>
        <w:rPr>
          <w:rFonts w:ascii="Times New Roman" w:hAnsi="Times New Roman"/>
          <w:szCs w:val="22"/>
        </w:rPr>
        <w:t>5</w:t>
      </w:r>
      <w:r w:rsidRPr="001F5089">
        <w:rPr>
          <w:rFonts w:ascii="Times New Roman" w:hAnsi="Times New Roman"/>
          <w:szCs w:val="22"/>
        </w:rPr>
        <w:t xml:space="preserve"> % </w:t>
      </w:r>
      <w:r>
        <w:rPr>
          <w:rFonts w:ascii="Times New Roman" w:hAnsi="Times New Roman"/>
          <w:szCs w:val="22"/>
        </w:rPr>
        <w:t xml:space="preserve">. Ide najmä o zníženie úrokov z účtov finančného hospodárenia so Štátnou pokladnicou </w:t>
      </w:r>
      <w:r w:rsidRPr="001F5089">
        <w:rPr>
          <w:rFonts w:ascii="Times New Roman" w:hAnsi="Times New Roman"/>
          <w:szCs w:val="22"/>
        </w:rPr>
        <w:t>z</w:t>
      </w:r>
      <w:r>
        <w:rPr>
          <w:rFonts w:ascii="Times New Roman" w:hAnsi="Times New Roman"/>
          <w:szCs w:val="22"/>
        </w:rPr>
        <w:t> </w:t>
      </w:r>
      <w:r w:rsidRPr="001F5089">
        <w:rPr>
          <w:rFonts w:ascii="Times New Roman" w:hAnsi="Times New Roman"/>
          <w:szCs w:val="22"/>
        </w:rPr>
        <w:t>dôvodu</w:t>
      </w:r>
      <w:r>
        <w:rPr>
          <w:rFonts w:ascii="Times New Roman" w:hAnsi="Times New Roman"/>
          <w:szCs w:val="22"/>
        </w:rPr>
        <w:t xml:space="preserve"> o</w:t>
      </w:r>
      <w:r w:rsidRPr="001F5089">
        <w:rPr>
          <w:rFonts w:ascii="Times New Roman" w:hAnsi="Times New Roman"/>
          <w:szCs w:val="22"/>
        </w:rPr>
        <w:t>dlišn</w:t>
      </w:r>
      <w:r>
        <w:rPr>
          <w:rFonts w:ascii="Times New Roman" w:hAnsi="Times New Roman"/>
          <w:szCs w:val="22"/>
        </w:rPr>
        <w:t xml:space="preserve">ého </w:t>
      </w:r>
      <w:r w:rsidRPr="001F5089">
        <w:rPr>
          <w:rFonts w:ascii="Times New Roman" w:hAnsi="Times New Roman"/>
          <w:szCs w:val="22"/>
        </w:rPr>
        <w:t>vývoj</w:t>
      </w:r>
      <w:r>
        <w:rPr>
          <w:rFonts w:ascii="Times New Roman" w:hAnsi="Times New Roman"/>
          <w:szCs w:val="22"/>
        </w:rPr>
        <w:t>a</w:t>
      </w:r>
      <w:r w:rsidRPr="001F5089">
        <w:rPr>
          <w:rFonts w:ascii="Times New Roman" w:hAnsi="Times New Roman"/>
          <w:szCs w:val="22"/>
        </w:rPr>
        <w:t xml:space="preserve"> sadzieb ECB KEY RATE a EONIA v rokoch 2013</w:t>
      </w:r>
      <w:r>
        <w:rPr>
          <w:rFonts w:ascii="Times New Roman" w:hAnsi="Times New Roman"/>
          <w:szCs w:val="22"/>
        </w:rPr>
        <w:t xml:space="preserve"> až </w:t>
      </w:r>
      <w:r w:rsidRPr="001F5089">
        <w:rPr>
          <w:rFonts w:ascii="Times New Roman" w:hAnsi="Times New Roman"/>
          <w:szCs w:val="22"/>
        </w:rPr>
        <w:t>2015</w:t>
      </w:r>
      <w:r>
        <w:rPr>
          <w:rFonts w:ascii="Times New Roman" w:hAnsi="Times New Roman"/>
          <w:szCs w:val="22"/>
        </w:rPr>
        <w:t>. Zároveň dochádza k</w:t>
      </w:r>
      <w:r w:rsidRPr="001F5089">
        <w:rPr>
          <w:rFonts w:ascii="Times New Roman" w:hAnsi="Times New Roman"/>
          <w:szCs w:val="22"/>
        </w:rPr>
        <w:t> zmen</w:t>
      </w:r>
      <w:r>
        <w:rPr>
          <w:rFonts w:ascii="Times New Roman" w:hAnsi="Times New Roman"/>
          <w:szCs w:val="22"/>
        </w:rPr>
        <w:t>e</w:t>
      </w:r>
      <w:r w:rsidRPr="001F5089">
        <w:rPr>
          <w:rFonts w:ascii="Times New Roman" w:hAnsi="Times New Roman"/>
          <w:szCs w:val="22"/>
        </w:rPr>
        <w:t xml:space="preserve"> vývoja priemerných zostatkov na účt</w:t>
      </w:r>
      <w:r>
        <w:rPr>
          <w:rFonts w:ascii="Times New Roman" w:hAnsi="Times New Roman"/>
          <w:szCs w:val="22"/>
        </w:rPr>
        <w:t>och klientov Štátnej pokladnice. O</w:t>
      </w:r>
      <w:r w:rsidRPr="001F5089">
        <w:rPr>
          <w:rFonts w:ascii="Times New Roman" w:hAnsi="Times New Roman"/>
          <w:szCs w:val="22"/>
        </w:rPr>
        <w:t xml:space="preserve">dlišné správanie </w:t>
      </w:r>
      <w:r>
        <w:rPr>
          <w:rFonts w:ascii="Times New Roman" w:hAnsi="Times New Roman"/>
          <w:szCs w:val="22"/>
        </w:rPr>
        <w:t xml:space="preserve">sa </w:t>
      </w:r>
      <w:r w:rsidRPr="001F5089">
        <w:rPr>
          <w:rFonts w:ascii="Times New Roman" w:hAnsi="Times New Roman"/>
          <w:szCs w:val="22"/>
        </w:rPr>
        <w:t>klientov pri ukladaní voľných finančných prostriedkov formou termínovaných vkladov viedlo k zníženiu predpokladaného objemu úrokových príjmov z účtov finančného hospodárenia so Štátnou pokladnicou v porovnaní s rozpočtom na rok 2012.</w:t>
      </w:r>
    </w:p>
    <w:p w:rsidR="00AA0F70" w:rsidRPr="001F5089" w:rsidP="00AA0F70">
      <w:pPr>
        <w:bidi w:val="0"/>
        <w:ind w:firstLine="708"/>
        <w:jc w:val="both"/>
        <w:rPr>
          <w:rFonts w:ascii="Times New Roman" w:hAnsi="Times New Roman"/>
          <w:szCs w:val="22"/>
        </w:rPr>
      </w:pPr>
    </w:p>
    <w:p w:rsidR="00AA0F70" w:rsidRPr="001F5089" w:rsidP="00AA0F70">
      <w:pPr>
        <w:bidi w:val="0"/>
        <w:ind w:firstLine="708"/>
        <w:jc w:val="both"/>
        <w:rPr>
          <w:rFonts w:ascii="Times New Roman" w:hAnsi="Times New Roman"/>
          <w:szCs w:val="22"/>
        </w:rPr>
      </w:pPr>
      <w:r w:rsidRPr="001F5089">
        <w:rPr>
          <w:rFonts w:ascii="Times New Roman" w:hAnsi="Times New Roman"/>
          <w:szCs w:val="22"/>
        </w:rPr>
        <w:t>Ďalej</w:t>
      </w:r>
      <w:r>
        <w:rPr>
          <w:rFonts w:ascii="Times New Roman" w:hAnsi="Times New Roman"/>
          <w:szCs w:val="22"/>
        </w:rPr>
        <w:t xml:space="preserve"> </w:t>
      </w:r>
      <w:r w:rsidRPr="001F5089">
        <w:rPr>
          <w:rFonts w:ascii="Times New Roman" w:hAnsi="Times New Roman"/>
          <w:szCs w:val="22"/>
        </w:rPr>
        <w:t>sem</w:t>
      </w:r>
      <w:r>
        <w:rPr>
          <w:rFonts w:ascii="Times New Roman" w:hAnsi="Times New Roman"/>
          <w:szCs w:val="22"/>
        </w:rPr>
        <w:t xml:space="preserve"> </w:t>
      </w:r>
      <w:r w:rsidRPr="001F5089">
        <w:rPr>
          <w:rFonts w:ascii="Times New Roman" w:hAnsi="Times New Roman"/>
          <w:szCs w:val="22"/>
        </w:rPr>
        <w:t>patria</w:t>
      </w:r>
      <w:r>
        <w:rPr>
          <w:rFonts w:ascii="Times New Roman" w:hAnsi="Times New Roman"/>
          <w:szCs w:val="22"/>
        </w:rPr>
        <w:t xml:space="preserve"> </w:t>
      </w:r>
      <w:r w:rsidRPr="001F5089">
        <w:rPr>
          <w:rFonts w:ascii="Times New Roman" w:hAnsi="Times New Roman"/>
          <w:szCs w:val="22"/>
        </w:rPr>
        <w:t>úroky</w:t>
      </w:r>
      <w:r>
        <w:rPr>
          <w:rFonts w:ascii="Times New Roman" w:hAnsi="Times New Roman"/>
          <w:szCs w:val="22"/>
        </w:rPr>
        <w:t xml:space="preserve"> </w:t>
      </w:r>
      <w:r w:rsidRPr="001F5089">
        <w:rPr>
          <w:rFonts w:ascii="Times New Roman" w:hAnsi="Times New Roman"/>
          <w:szCs w:val="22"/>
        </w:rPr>
        <w:t>z</w:t>
      </w:r>
      <w:r>
        <w:rPr>
          <w:rFonts w:ascii="Times New Roman" w:hAnsi="Times New Roman"/>
          <w:szCs w:val="22"/>
        </w:rPr>
        <w:t xml:space="preserve"> </w:t>
      </w:r>
      <w:r w:rsidRPr="001F5089">
        <w:rPr>
          <w:rFonts w:ascii="Times New Roman" w:hAnsi="Times New Roman"/>
          <w:szCs w:val="22"/>
        </w:rPr>
        <w:t>návratných</w:t>
      </w:r>
      <w:r>
        <w:rPr>
          <w:rFonts w:ascii="Times New Roman" w:hAnsi="Times New Roman"/>
          <w:szCs w:val="22"/>
        </w:rPr>
        <w:t xml:space="preserve"> </w:t>
      </w:r>
      <w:r w:rsidRPr="001F5089">
        <w:rPr>
          <w:rFonts w:ascii="Times New Roman" w:hAnsi="Times New Roman"/>
          <w:szCs w:val="22"/>
        </w:rPr>
        <w:t>finančných</w:t>
      </w:r>
      <w:r>
        <w:rPr>
          <w:rFonts w:ascii="Times New Roman" w:hAnsi="Times New Roman"/>
          <w:szCs w:val="22"/>
        </w:rPr>
        <w:t xml:space="preserve"> </w:t>
      </w:r>
      <w:r w:rsidRPr="001F5089">
        <w:rPr>
          <w:rFonts w:ascii="Times New Roman" w:hAnsi="Times New Roman"/>
          <w:szCs w:val="22"/>
        </w:rPr>
        <w:t>výpomocí</w:t>
      </w:r>
      <w:r>
        <w:rPr>
          <w:rFonts w:ascii="Times New Roman" w:hAnsi="Times New Roman"/>
          <w:szCs w:val="22"/>
        </w:rPr>
        <w:t xml:space="preserve"> </w:t>
      </w:r>
      <w:r w:rsidRPr="001F5089">
        <w:rPr>
          <w:rFonts w:ascii="Times New Roman" w:hAnsi="Times New Roman"/>
          <w:szCs w:val="22"/>
        </w:rPr>
        <w:t>poskytnutých</w:t>
      </w:r>
      <w:r>
        <w:rPr>
          <w:rFonts w:ascii="Times New Roman" w:hAnsi="Times New Roman"/>
          <w:szCs w:val="22"/>
        </w:rPr>
        <w:t xml:space="preserve"> </w:t>
      </w:r>
      <w:r w:rsidRPr="001F5089">
        <w:rPr>
          <w:rFonts w:ascii="Times New Roman" w:hAnsi="Times New Roman"/>
          <w:szCs w:val="22"/>
        </w:rPr>
        <w:t>Bratislavskému samosprávnemu kraju a</w:t>
      </w:r>
      <w:r>
        <w:rPr>
          <w:rFonts w:ascii="Times New Roman" w:hAnsi="Times New Roman"/>
          <w:szCs w:val="22"/>
        </w:rPr>
        <w:t xml:space="preserve"> </w:t>
      </w:r>
      <w:r w:rsidRPr="001F5089">
        <w:rPr>
          <w:rFonts w:ascii="Times New Roman" w:hAnsi="Times New Roman"/>
          <w:szCs w:val="22"/>
        </w:rPr>
        <w:t>z</w:t>
      </w:r>
      <w:r>
        <w:rPr>
          <w:rFonts w:ascii="Times New Roman" w:hAnsi="Times New Roman"/>
          <w:szCs w:val="22"/>
        </w:rPr>
        <w:t xml:space="preserve"> </w:t>
      </w:r>
      <w:r w:rsidRPr="001F5089">
        <w:rPr>
          <w:rFonts w:ascii="Times New Roman" w:hAnsi="Times New Roman"/>
          <w:szCs w:val="22"/>
        </w:rPr>
        <w:t>realizovaných štátnych záruk za Vodohospodársku výstavbu, š. p., v</w:t>
      </w:r>
      <w:r>
        <w:rPr>
          <w:rFonts w:ascii="Times New Roman" w:hAnsi="Times New Roman"/>
          <w:szCs w:val="22"/>
        </w:rPr>
        <w:t xml:space="preserve"> </w:t>
      </w:r>
      <w:r w:rsidRPr="001F5089">
        <w:rPr>
          <w:rFonts w:ascii="Times New Roman" w:hAnsi="Times New Roman"/>
          <w:szCs w:val="22"/>
        </w:rPr>
        <w:t xml:space="preserve">zmysle platných splátkových kalendárov.  </w:t>
      </w:r>
    </w:p>
    <w:p w:rsidR="00AA0F70" w:rsidP="00AA0F70">
      <w:pPr>
        <w:tabs>
          <w:tab w:val="left" w:pos="1620"/>
        </w:tabs>
        <w:bidi w:val="0"/>
        <w:ind w:firstLine="708"/>
        <w:jc w:val="both"/>
        <w:rPr>
          <w:rFonts w:ascii="Times New Roman" w:hAnsi="Times New Roman"/>
          <w:szCs w:val="22"/>
        </w:rPr>
      </w:pPr>
    </w:p>
    <w:p w:rsidR="00AA0F70" w:rsidP="00AA0F70">
      <w:pPr>
        <w:tabs>
          <w:tab w:val="left" w:pos="1620"/>
        </w:tabs>
        <w:bidi w:val="0"/>
        <w:ind w:firstLine="708"/>
        <w:jc w:val="both"/>
        <w:rPr>
          <w:rFonts w:ascii="Times New Roman" w:hAnsi="Times New Roman"/>
          <w:szCs w:val="22"/>
        </w:rPr>
      </w:pPr>
      <w:r w:rsidRPr="001F5089">
        <w:rPr>
          <w:rFonts w:ascii="Times New Roman" w:hAnsi="Times New Roman"/>
          <w:szCs w:val="22"/>
        </w:rPr>
        <w:t xml:space="preserve">Úroky zo zahraničných úverov, pôžičiek, návratných finančných výpomocí a vkladov tvoria najmä úroky z vládnych úverov poskytnutých do zahraničia. Sú príjmami kapitoly Všeobecná pokladničná správa. V rámci kapitoly Ministerstva zahraničných vecí SR a Ministerstva obrany SR ide o kreditné úroky účtov zastupiteľských úradov Slovenskej republiky v zahraničí. </w:t>
      </w:r>
    </w:p>
    <w:p w:rsidR="00AA0F70" w:rsidP="00AA0F70">
      <w:pPr>
        <w:tabs>
          <w:tab w:val="left" w:pos="1620"/>
        </w:tabs>
        <w:bidi w:val="0"/>
        <w:ind w:firstLine="708"/>
        <w:jc w:val="both"/>
        <w:rPr>
          <w:rFonts w:ascii="Times New Roman" w:hAnsi="Times New Roman"/>
          <w:szCs w:val="22"/>
        </w:rPr>
      </w:pPr>
    </w:p>
    <w:p w:rsidR="00AA0F70" w:rsidRPr="00A9263E" w:rsidP="00AA0F70">
      <w:pPr>
        <w:tabs>
          <w:tab w:val="left" w:pos="1620"/>
        </w:tabs>
        <w:bidi w:val="0"/>
        <w:ind w:firstLine="708"/>
        <w:jc w:val="both"/>
        <w:rPr>
          <w:rFonts w:ascii="Times New Roman" w:hAnsi="Times New Roman"/>
          <w:b/>
          <w:i/>
          <w:szCs w:val="22"/>
        </w:rPr>
      </w:pPr>
      <w:r w:rsidRPr="00A9263E">
        <w:rPr>
          <w:rFonts w:ascii="Times New Roman" w:hAnsi="Times New Roman"/>
          <w:b/>
          <w:i/>
          <w:szCs w:val="22"/>
        </w:rPr>
        <w:t>Iné nedaňové príjmy</w:t>
      </w:r>
    </w:p>
    <w:p w:rsidR="00AA0F70" w:rsidRPr="003B30ED" w:rsidP="00AA0F70">
      <w:pPr>
        <w:tabs>
          <w:tab w:val="left" w:pos="1620"/>
        </w:tabs>
        <w:bidi w:val="0"/>
        <w:ind w:firstLine="708"/>
        <w:jc w:val="both"/>
        <w:rPr>
          <w:rFonts w:ascii="Times New Roman" w:hAnsi="Times New Roman"/>
          <w:i/>
          <w:szCs w:val="22"/>
        </w:rPr>
      </w:pPr>
    </w:p>
    <w:p w:rsidR="00AA0F70" w:rsidP="00AA0F70">
      <w:pPr>
        <w:bidi w:val="0"/>
        <w:ind w:firstLine="708"/>
        <w:jc w:val="both"/>
        <w:rPr>
          <w:rFonts w:ascii="Times New Roman" w:hAnsi="Times New Roman"/>
          <w:szCs w:val="22"/>
        </w:rPr>
      </w:pPr>
      <w:r>
        <w:rPr>
          <w:rFonts w:ascii="Times New Roman" w:hAnsi="Times New Roman"/>
          <w:szCs w:val="22"/>
        </w:rPr>
        <w:t>Tv</w:t>
      </w:r>
      <w:r w:rsidRPr="002C0D88">
        <w:rPr>
          <w:rFonts w:ascii="Times New Roman" w:hAnsi="Times New Roman"/>
          <w:szCs w:val="22"/>
        </w:rPr>
        <w:t xml:space="preserve">oria </w:t>
      </w:r>
      <w:r>
        <w:rPr>
          <w:rFonts w:ascii="Times New Roman" w:hAnsi="Times New Roman"/>
          <w:szCs w:val="22"/>
        </w:rPr>
        <w:t xml:space="preserve">ich </w:t>
      </w:r>
      <w:r w:rsidRPr="002C0D88">
        <w:rPr>
          <w:rFonts w:ascii="Times New Roman" w:hAnsi="Times New Roman"/>
          <w:szCs w:val="22"/>
        </w:rPr>
        <w:t xml:space="preserve">vrátené neoprávnene použité alebo zadržané finančné prostriedky a ostatné príjmy. Výška týchto príjmov je v priebehu rozpočtového roka ovplyvnená najmä objemom vrátených neoprávnene použitých finančných prostriedkov od neziskových organizácií, rozpočtových organizácií, obcí a ostatných príjmov, medzi ktoré patria najmä odvody a vratky. </w:t>
      </w:r>
    </w:p>
    <w:p w:rsidR="00AA0F70" w:rsidP="00AA0F70">
      <w:pPr>
        <w:bidi w:val="0"/>
        <w:ind w:firstLine="708"/>
        <w:jc w:val="both"/>
        <w:rPr>
          <w:rFonts w:ascii="Times New Roman" w:hAnsi="Times New Roman" w:cs="Times New Roman"/>
          <w:szCs w:val="22"/>
        </w:rPr>
      </w:pPr>
    </w:p>
    <w:p w:rsidR="00AA0F70" w:rsidP="00AA0F70">
      <w:pPr>
        <w:bidi w:val="0"/>
        <w:ind w:firstLine="708"/>
        <w:jc w:val="both"/>
        <w:rPr>
          <w:rFonts w:ascii="Times New Roman" w:hAnsi="Times New Roman" w:cs="Times New Roman"/>
          <w:szCs w:val="22"/>
        </w:rPr>
      </w:pPr>
      <w:r w:rsidRPr="007448ED">
        <w:rPr>
          <w:rFonts w:ascii="Times New Roman" w:hAnsi="Times New Roman" w:cs="Times New Roman"/>
          <w:szCs w:val="22"/>
        </w:rPr>
        <w:t>Najväčší objem z týchto príjmov predstavujú príjmy z hazardných hier, ktoré sú rozpočtované v kapitole Všeobecná pokladničná správa</w:t>
      </w:r>
      <w:r w:rsidRPr="00EF3B2E">
        <w:rPr>
          <w:rFonts w:ascii="Times New Roman" w:hAnsi="Times New Roman" w:cs="Times New Roman"/>
          <w:szCs w:val="22"/>
        </w:rPr>
        <w:t>. R</w:t>
      </w:r>
      <w:r>
        <w:rPr>
          <w:rFonts w:ascii="Times New Roman" w:hAnsi="Times New Roman" w:cs="Times New Roman"/>
          <w:szCs w:val="22"/>
        </w:rPr>
        <w:t xml:space="preserve">ozpočtovaná suma v objeme </w:t>
        <w:br/>
        <w:t>114,5</w:t>
      </w:r>
      <w:r w:rsidRPr="00EF3B2E">
        <w:rPr>
          <w:rFonts w:ascii="Times New Roman" w:hAnsi="Times New Roman" w:cs="Times New Roman"/>
          <w:szCs w:val="22"/>
        </w:rPr>
        <w:t xml:space="preserve"> mil. eur zahŕňa aj pripravovanú novelu zákona o hazardných hrách s účinnosťou od januára 2013. Nedosiahne sa však rozpočtovaná úroveň roku 2012</w:t>
      </w:r>
      <w:r>
        <w:rPr>
          <w:rFonts w:ascii="Times New Roman" w:hAnsi="Times New Roman" w:cs="Times New Roman"/>
          <w:szCs w:val="22"/>
        </w:rPr>
        <w:t xml:space="preserve"> z dôvodu, že ďalšou </w:t>
      </w:r>
      <w:r w:rsidRPr="007448ED">
        <w:rPr>
          <w:rFonts w:ascii="Times New Roman" w:hAnsi="Times New Roman" w:cs="Times New Roman"/>
          <w:szCs w:val="22"/>
        </w:rPr>
        <w:t>novelou zákona,</w:t>
      </w:r>
      <w:r>
        <w:rPr>
          <w:rFonts w:ascii="Times New Roman" w:hAnsi="Times New Roman" w:cs="Times New Roman"/>
          <w:szCs w:val="22"/>
        </w:rPr>
        <w:t xml:space="preserve"> z 12. júla 2011,</w:t>
      </w:r>
      <w:r w:rsidRPr="007448ED">
        <w:rPr>
          <w:rFonts w:ascii="Times New Roman" w:hAnsi="Times New Roman" w:cs="Times New Roman"/>
          <w:szCs w:val="22"/>
        </w:rPr>
        <w:t xml:space="preserve"> ktorá </w:t>
      </w:r>
      <w:r>
        <w:rPr>
          <w:rFonts w:ascii="Times New Roman" w:hAnsi="Times New Roman" w:cs="Times New Roman"/>
          <w:szCs w:val="22"/>
        </w:rPr>
        <w:t>mala posunutú účinnosť od 1. januára</w:t>
      </w:r>
      <w:r w:rsidRPr="007448ED">
        <w:rPr>
          <w:rFonts w:ascii="Times New Roman" w:hAnsi="Times New Roman" w:cs="Times New Roman"/>
          <w:szCs w:val="22"/>
        </w:rPr>
        <w:t> 201</w:t>
      </w:r>
      <w:r>
        <w:rPr>
          <w:rFonts w:ascii="Times New Roman" w:hAnsi="Times New Roman" w:cs="Times New Roman"/>
          <w:szCs w:val="22"/>
        </w:rPr>
        <w:t>3, dôjde</w:t>
      </w:r>
      <w:r w:rsidRPr="007448ED">
        <w:rPr>
          <w:rFonts w:ascii="Times New Roman" w:hAnsi="Times New Roman" w:cs="Times New Roman"/>
          <w:szCs w:val="22"/>
        </w:rPr>
        <w:t xml:space="preserve"> k</w:t>
      </w:r>
      <w:r>
        <w:rPr>
          <w:rFonts w:ascii="Times New Roman" w:hAnsi="Times New Roman" w:cs="Times New Roman"/>
          <w:szCs w:val="22"/>
        </w:rPr>
        <w:t xml:space="preserve"> </w:t>
      </w:r>
      <w:r w:rsidRPr="007448ED">
        <w:rPr>
          <w:rFonts w:ascii="Times New Roman" w:hAnsi="Times New Roman" w:cs="Times New Roman"/>
          <w:szCs w:val="22"/>
        </w:rPr>
        <w:t xml:space="preserve">zníženiu uvedených príjmov, nakoľko sa stanovujú presnejšie a prísnejšie podmienky na  prevádzku výherných automatov. </w:t>
      </w:r>
    </w:p>
    <w:p w:rsidR="00AA0F70" w:rsidRPr="007448ED" w:rsidP="00AA0F70">
      <w:pPr>
        <w:bidi w:val="0"/>
        <w:ind w:firstLine="708"/>
        <w:jc w:val="both"/>
        <w:rPr>
          <w:rFonts w:ascii="Times New Roman" w:hAnsi="Times New Roman" w:cs="Times New Roman"/>
          <w:szCs w:val="22"/>
        </w:rPr>
      </w:pPr>
    </w:p>
    <w:p w:rsidR="00AA0F70" w:rsidP="00AA0F70">
      <w:pPr>
        <w:bidi w:val="0"/>
        <w:jc w:val="both"/>
        <w:rPr>
          <w:rFonts w:ascii="Times New Roman" w:hAnsi="Times New Roman"/>
          <w:szCs w:val="22"/>
        </w:rPr>
      </w:pPr>
      <w:r>
        <w:rPr>
          <w:rFonts w:ascii="Times New Roman" w:hAnsi="Times New Roman"/>
          <w:szCs w:val="22"/>
        </w:rPr>
        <w:tab/>
        <w:t xml:space="preserve">V rámci kapitoly Správa štátnych hmotných rezerv sa rozpočtuje príspevok na tvorbu, obmenu, zámenu, skladovanie a financovanie núdzových zásob v objeme 60 mil. eur, čo  predstavuje nárast o 20 % oproti schválenému rozpočtu na rok 2012. </w:t>
      </w:r>
    </w:p>
    <w:p w:rsidR="00AA0F70" w:rsidP="00AA0F70">
      <w:pPr>
        <w:bidi w:val="0"/>
        <w:jc w:val="both"/>
        <w:rPr>
          <w:rFonts w:ascii="Times New Roman" w:hAnsi="Times New Roman"/>
          <w:szCs w:val="22"/>
        </w:rPr>
      </w:pPr>
    </w:p>
    <w:p w:rsidR="00AA0F70" w:rsidP="00AA0F70">
      <w:pPr>
        <w:bidi w:val="0"/>
        <w:jc w:val="both"/>
        <w:rPr>
          <w:rFonts w:ascii="Times New Roman" w:hAnsi="Times New Roman"/>
          <w:szCs w:val="22"/>
        </w:rPr>
      </w:pPr>
      <w:r>
        <w:rPr>
          <w:rFonts w:ascii="Times New Roman" w:hAnsi="Times New Roman"/>
          <w:szCs w:val="22"/>
        </w:rPr>
        <w:tab/>
      </w:r>
      <w:r w:rsidRPr="002C0D88">
        <w:rPr>
          <w:rFonts w:ascii="Times New Roman" w:hAnsi="Times New Roman"/>
          <w:szCs w:val="22"/>
        </w:rPr>
        <w:t>V</w:t>
      </w:r>
      <w:r>
        <w:rPr>
          <w:rFonts w:ascii="Times New Roman" w:hAnsi="Times New Roman"/>
          <w:szCs w:val="22"/>
        </w:rPr>
        <w:t>ývoj týchto príjmov zobrazuje nasledovná tabuľka:</w:t>
      </w:r>
    </w:p>
    <w:p w:rsidR="00AA0F70" w:rsidP="00AA0F70">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15"/>
        <w:gridCol w:w="960"/>
        <w:gridCol w:w="960"/>
        <w:gridCol w:w="960"/>
        <w:gridCol w:w="1037"/>
        <w:gridCol w:w="960"/>
        <w:gridCol w:w="960"/>
        <w:gridCol w:w="96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311"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0F70" w:rsidRPr="001F46B9" w:rsidP="00F26615">
            <w:pPr>
              <w:bidi w:val="0"/>
              <w:jc w:val="both"/>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v tis. eur</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1F46B9" w:rsidP="00F26615">
            <w:pPr>
              <w:bidi w:val="0"/>
              <w:jc w:val="center"/>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2010 S</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1F46B9" w:rsidP="00F26615">
            <w:pPr>
              <w:bidi w:val="0"/>
              <w:jc w:val="center"/>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2011 S</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1F46B9" w:rsidP="00F26615">
            <w:pPr>
              <w:bidi w:val="0"/>
              <w:jc w:val="center"/>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2012 R</w:t>
            </w:r>
          </w:p>
        </w:tc>
        <w:tc>
          <w:tcPr>
            <w:tcW w:w="56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1F46B9" w:rsidP="00F26615">
            <w:pPr>
              <w:bidi w:val="0"/>
              <w:jc w:val="center"/>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2012 OS</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1F46B9" w:rsidP="00F26615">
            <w:pPr>
              <w:bidi w:val="0"/>
              <w:jc w:val="center"/>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2013 N</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1F46B9" w:rsidP="00F26615">
            <w:pPr>
              <w:bidi w:val="0"/>
              <w:jc w:val="center"/>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2014 N</w:t>
            </w:r>
          </w:p>
        </w:tc>
        <w:tc>
          <w:tcPr>
            <w:tcW w:w="52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1F46B9" w:rsidP="00F26615">
            <w:pPr>
              <w:bidi w:val="0"/>
              <w:jc w:val="center"/>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345"/>
        </w:trPr>
        <w:tc>
          <w:tcPr>
            <w:tcW w:w="131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1F46B9" w:rsidP="00F26615">
            <w:pPr>
              <w:bidi w:val="0"/>
              <w:jc w:val="both"/>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Iné nedaňové príjmy</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1F46B9" w:rsidP="00F26615">
            <w:pPr>
              <w:bidi w:val="0"/>
              <w:jc w:val="right"/>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239 580</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1F46B9" w:rsidP="00F26615">
            <w:pPr>
              <w:bidi w:val="0"/>
              <w:jc w:val="right"/>
              <w:rPr>
                <w:rFonts w:ascii="Times New Roman" w:hAnsi="Times New Roman" w:cs="Times New Roman"/>
                <w:b/>
                <w:bCs/>
                <w:sz w:val="14"/>
                <w:szCs w:val="14"/>
                <w:lang w:eastAsia="sk-SK"/>
              </w:rPr>
            </w:pPr>
            <w:r w:rsidRPr="001F46B9">
              <w:rPr>
                <w:rFonts w:ascii="Times New Roman" w:hAnsi="Times New Roman" w:cs="Times New Roman"/>
                <w:b/>
                <w:bCs/>
                <w:sz w:val="14"/>
                <w:szCs w:val="14"/>
                <w:lang w:eastAsia="sk-SK"/>
              </w:rPr>
              <w:t>309 638</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1F46B9" w:rsidP="00F26615">
            <w:pPr>
              <w:bidi w:val="0"/>
              <w:jc w:val="right"/>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270 861</w:t>
            </w:r>
          </w:p>
        </w:tc>
        <w:tc>
          <w:tcPr>
            <w:tcW w:w="56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1F46B9" w:rsidP="00F26615">
            <w:pPr>
              <w:bidi w:val="0"/>
              <w:jc w:val="right"/>
              <w:rPr>
                <w:rFonts w:ascii="Times New Roman" w:hAnsi="Times New Roman" w:cs="Times New Roman"/>
                <w:b/>
                <w:bCs/>
                <w:color w:val="000000"/>
                <w:sz w:val="14"/>
                <w:szCs w:val="14"/>
                <w:lang w:eastAsia="sk-SK"/>
              </w:rPr>
            </w:pPr>
            <w:r w:rsidRPr="001F46B9">
              <w:rPr>
                <w:rFonts w:ascii="Times New Roman" w:hAnsi="Times New Roman" w:cs="Times New Roman"/>
                <w:b/>
                <w:bCs/>
                <w:color w:val="000000"/>
                <w:sz w:val="14"/>
                <w:szCs w:val="14"/>
                <w:lang w:eastAsia="sk-SK"/>
              </w:rPr>
              <w:t>274 000</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177394" w:rsidP="00F26615">
            <w:pPr>
              <w:bidi w:val="0"/>
              <w:jc w:val="right"/>
              <w:rPr>
                <w:rFonts w:ascii="Times New Roman" w:hAnsi="Times New Roman" w:cs="Times New Roman"/>
                <w:b/>
                <w:bCs/>
                <w:sz w:val="14"/>
                <w:szCs w:val="14"/>
              </w:rPr>
            </w:pPr>
            <w:r>
              <w:rPr>
                <w:rFonts w:ascii="Times New Roman" w:hAnsi="Times New Roman" w:cs="Times New Roman"/>
                <w:b/>
                <w:bCs/>
                <w:sz w:val="14"/>
                <w:szCs w:val="14"/>
              </w:rPr>
              <w:t>317 211</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177394" w:rsidP="00F26615">
            <w:pPr>
              <w:bidi w:val="0"/>
              <w:jc w:val="right"/>
              <w:rPr>
                <w:rFonts w:ascii="Times New Roman" w:hAnsi="Times New Roman" w:cs="Times New Roman"/>
                <w:b/>
                <w:bCs/>
                <w:sz w:val="14"/>
                <w:szCs w:val="14"/>
              </w:rPr>
            </w:pPr>
            <w:r>
              <w:rPr>
                <w:rFonts w:ascii="Times New Roman" w:hAnsi="Times New Roman" w:cs="Times New Roman"/>
                <w:b/>
                <w:bCs/>
                <w:sz w:val="14"/>
                <w:szCs w:val="14"/>
              </w:rPr>
              <w:t>32</w:t>
            </w:r>
            <w:r w:rsidRPr="00177394">
              <w:rPr>
                <w:rFonts w:ascii="Times New Roman" w:hAnsi="Times New Roman" w:cs="Times New Roman"/>
                <w:b/>
                <w:bCs/>
                <w:sz w:val="14"/>
                <w:szCs w:val="14"/>
              </w:rPr>
              <w:t>7 438</w:t>
            </w:r>
          </w:p>
        </w:tc>
        <w:tc>
          <w:tcPr>
            <w:tcW w:w="521"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177394" w:rsidP="00F26615">
            <w:pPr>
              <w:bidi w:val="0"/>
              <w:jc w:val="right"/>
              <w:rPr>
                <w:rFonts w:ascii="Times New Roman" w:hAnsi="Times New Roman" w:cs="Times New Roman"/>
                <w:b/>
                <w:bCs/>
                <w:sz w:val="14"/>
                <w:szCs w:val="14"/>
              </w:rPr>
            </w:pPr>
            <w:r w:rsidRPr="00177394">
              <w:rPr>
                <w:rFonts w:ascii="Times New Roman" w:hAnsi="Times New Roman" w:cs="Times New Roman"/>
                <w:b/>
                <w:bCs/>
                <w:sz w:val="14"/>
                <w:szCs w:val="14"/>
              </w:rPr>
              <w:t>330 399</w:t>
            </w:r>
          </w:p>
        </w:tc>
      </w:tr>
      <w:tr>
        <w:tblPrEx>
          <w:tblW w:w="5000" w:type="pct"/>
          <w:tblCellMar>
            <w:left w:w="70" w:type="dxa"/>
            <w:right w:w="70" w:type="dxa"/>
          </w:tblCellMar>
          <w:tblLook w:val="04A0"/>
        </w:tblPrEx>
        <w:trPr>
          <w:trHeight w:val="411"/>
        </w:trPr>
        <w:tc>
          <w:tcPr>
            <w:tcW w:w="131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 xml:space="preserve">v tom:  z odvodu z </w:t>
            </w:r>
          </w:p>
          <w:p w:rsidR="00AA0F70" w:rsidRPr="001F46B9" w:rsidP="00F26615">
            <w:pPr>
              <w:bidi w:val="0"/>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 xml:space="preserve">             hazardných hier</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123 321</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sz w:val="14"/>
                <w:szCs w:val="14"/>
                <w:lang w:eastAsia="sk-SK"/>
              </w:rPr>
            </w:pPr>
            <w:r w:rsidRPr="001F46B9">
              <w:rPr>
                <w:rFonts w:ascii="Times New Roman" w:hAnsi="Times New Roman" w:cs="Times New Roman"/>
                <w:sz w:val="14"/>
                <w:szCs w:val="14"/>
                <w:lang w:eastAsia="sk-SK"/>
              </w:rPr>
              <w:t>105 704</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117 000</w:t>
            </w:r>
          </w:p>
        </w:tc>
        <w:tc>
          <w:tcPr>
            <w:tcW w:w="56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117 000</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77394" w:rsidP="00F26615">
            <w:pPr>
              <w:bidi w:val="0"/>
              <w:jc w:val="right"/>
              <w:rPr>
                <w:rFonts w:ascii="Times New Roman" w:hAnsi="Times New Roman" w:cs="Times New Roman"/>
                <w:sz w:val="14"/>
                <w:szCs w:val="14"/>
              </w:rPr>
            </w:pPr>
            <w:r w:rsidRPr="00177394">
              <w:rPr>
                <w:rFonts w:ascii="Times New Roman" w:hAnsi="Times New Roman" w:cs="Times New Roman"/>
                <w:sz w:val="14"/>
                <w:szCs w:val="14"/>
              </w:rPr>
              <w:t>114 546</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77394" w:rsidP="00F26615">
            <w:pPr>
              <w:bidi w:val="0"/>
              <w:jc w:val="right"/>
              <w:rPr>
                <w:rFonts w:ascii="Times New Roman" w:hAnsi="Times New Roman" w:cs="Times New Roman"/>
                <w:sz w:val="14"/>
                <w:szCs w:val="14"/>
              </w:rPr>
            </w:pPr>
            <w:r w:rsidRPr="00177394">
              <w:rPr>
                <w:rFonts w:ascii="Times New Roman" w:hAnsi="Times New Roman" w:cs="Times New Roman"/>
                <w:sz w:val="14"/>
                <w:szCs w:val="14"/>
              </w:rPr>
              <w:t>114 546</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77394" w:rsidP="00F26615">
            <w:pPr>
              <w:bidi w:val="0"/>
              <w:jc w:val="right"/>
              <w:rPr>
                <w:rFonts w:ascii="Times New Roman" w:hAnsi="Times New Roman" w:cs="Times New Roman"/>
                <w:sz w:val="14"/>
                <w:szCs w:val="14"/>
              </w:rPr>
            </w:pPr>
            <w:r w:rsidRPr="00177394">
              <w:rPr>
                <w:rFonts w:ascii="Times New Roman" w:hAnsi="Times New Roman" w:cs="Times New Roman"/>
                <w:sz w:val="14"/>
                <w:szCs w:val="14"/>
              </w:rPr>
              <w:t>114 546</w:t>
            </w:r>
          </w:p>
        </w:tc>
      </w:tr>
      <w:tr>
        <w:tblPrEx>
          <w:tblW w:w="5000" w:type="pct"/>
          <w:tblCellMar>
            <w:left w:w="70" w:type="dxa"/>
            <w:right w:w="70" w:type="dxa"/>
          </w:tblCellMar>
          <w:tblLook w:val="04A0"/>
        </w:tblPrEx>
        <w:trPr>
          <w:trHeight w:val="345"/>
        </w:trPr>
        <w:tc>
          <w:tcPr>
            <w:tcW w:w="131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ind w:firstLine="420" w:firstLineChars="300"/>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SŠHR</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0</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sz w:val="14"/>
                <w:szCs w:val="14"/>
                <w:lang w:eastAsia="sk-SK"/>
              </w:rPr>
            </w:pPr>
            <w:r w:rsidRPr="001F46B9">
              <w:rPr>
                <w:rFonts w:ascii="Times New Roman" w:hAnsi="Times New Roman" w:cs="Times New Roman"/>
                <w:sz w:val="14"/>
                <w:szCs w:val="14"/>
                <w:lang w:eastAsia="sk-SK"/>
              </w:rPr>
              <w:t>70 728</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50 000</w:t>
            </w:r>
          </w:p>
        </w:tc>
        <w:tc>
          <w:tcPr>
            <w:tcW w:w="56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50 000</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77394" w:rsidP="00F26615">
            <w:pPr>
              <w:bidi w:val="0"/>
              <w:jc w:val="right"/>
              <w:rPr>
                <w:rFonts w:ascii="Times New Roman" w:hAnsi="Times New Roman" w:cs="Times New Roman"/>
                <w:sz w:val="14"/>
                <w:szCs w:val="14"/>
              </w:rPr>
            </w:pPr>
            <w:r>
              <w:rPr>
                <w:rFonts w:ascii="Times New Roman" w:hAnsi="Times New Roman" w:cs="Times New Roman"/>
                <w:sz w:val="14"/>
                <w:szCs w:val="14"/>
              </w:rPr>
              <w:t>60 000</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77394" w:rsidP="00F26615">
            <w:pPr>
              <w:bidi w:val="0"/>
              <w:jc w:val="right"/>
              <w:rPr>
                <w:rFonts w:ascii="Times New Roman" w:hAnsi="Times New Roman" w:cs="Times New Roman"/>
                <w:sz w:val="14"/>
                <w:szCs w:val="14"/>
              </w:rPr>
            </w:pPr>
            <w:r>
              <w:rPr>
                <w:rFonts w:ascii="Times New Roman" w:hAnsi="Times New Roman" w:cs="Times New Roman"/>
                <w:sz w:val="14"/>
                <w:szCs w:val="14"/>
              </w:rPr>
              <w:t>60 000</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77394" w:rsidP="00F26615">
            <w:pPr>
              <w:bidi w:val="0"/>
              <w:jc w:val="right"/>
              <w:rPr>
                <w:rFonts w:ascii="Times New Roman" w:hAnsi="Times New Roman" w:cs="Times New Roman"/>
                <w:sz w:val="14"/>
                <w:szCs w:val="14"/>
              </w:rPr>
            </w:pPr>
            <w:r>
              <w:rPr>
                <w:rFonts w:ascii="Times New Roman" w:hAnsi="Times New Roman" w:cs="Times New Roman"/>
                <w:sz w:val="14"/>
                <w:szCs w:val="14"/>
              </w:rPr>
              <w:t>60 000</w:t>
            </w:r>
          </w:p>
        </w:tc>
      </w:tr>
      <w:tr>
        <w:tblPrEx>
          <w:tblW w:w="5000" w:type="pct"/>
          <w:tblCellMar>
            <w:left w:w="70" w:type="dxa"/>
            <w:right w:w="70" w:type="dxa"/>
          </w:tblCellMar>
          <w:tblLook w:val="04A0"/>
        </w:tblPrEx>
        <w:trPr>
          <w:trHeight w:val="345"/>
        </w:trPr>
        <w:tc>
          <w:tcPr>
            <w:tcW w:w="131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Iné spolu</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116 259</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sz w:val="14"/>
                <w:szCs w:val="14"/>
                <w:lang w:eastAsia="sk-SK"/>
              </w:rPr>
            </w:pPr>
            <w:r w:rsidRPr="001F46B9">
              <w:rPr>
                <w:rFonts w:ascii="Times New Roman" w:hAnsi="Times New Roman" w:cs="Times New Roman"/>
                <w:sz w:val="14"/>
                <w:szCs w:val="14"/>
                <w:lang w:eastAsia="sk-SK"/>
              </w:rPr>
              <w:t>133 206</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103 861</w:t>
            </w:r>
          </w:p>
        </w:tc>
        <w:tc>
          <w:tcPr>
            <w:tcW w:w="56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F46B9" w:rsidP="00F26615">
            <w:pPr>
              <w:bidi w:val="0"/>
              <w:jc w:val="right"/>
              <w:rPr>
                <w:rFonts w:ascii="Times New Roman" w:hAnsi="Times New Roman" w:cs="Times New Roman"/>
                <w:color w:val="000000"/>
                <w:sz w:val="14"/>
                <w:szCs w:val="14"/>
                <w:lang w:eastAsia="sk-SK"/>
              </w:rPr>
            </w:pPr>
            <w:r w:rsidRPr="001F46B9">
              <w:rPr>
                <w:rFonts w:ascii="Times New Roman" w:hAnsi="Times New Roman" w:cs="Times New Roman"/>
                <w:color w:val="000000"/>
                <w:sz w:val="14"/>
                <w:szCs w:val="14"/>
                <w:lang w:eastAsia="sk-SK"/>
              </w:rPr>
              <w:t>107 000</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77394" w:rsidP="00F26615">
            <w:pPr>
              <w:bidi w:val="0"/>
              <w:jc w:val="right"/>
              <w:rPr>
                <w:rFonts w:ascii="Times New Roman" w:hAnsi="Times New Roman" w:cs="Times New Roman"/>
                <w:sz w:val="14"/>
                <w:szCs w:val="14"/>
              </w:rPr>
            </w:pPr>
            <w:r>
              <w:rPr>
                <w:rFonts w:ascii="Times New Roman" w:hAnsi="Times New Roman" w:cs="Times New Roman"/>
                <w:sz w:val="14"/>
                <w:szCs w:val="14"/>
              </w:rPr>
              <w:t>142 665</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77394" w:rsidP="00F26615">
            <w:pPr>
              <w:bidi w:val="0"/>
              <w:jc w:val="right"/>
              <w:rPr>
                <w:rFonts w:ascii="Times New Roman" w:hAnsi="Times New Roman" w:cs="Times New Roman"/>
                <w:sz w:val="14"/>
                <w:szCs w:val="14"/>
              </w:rPr>
            </w:pPr>
            <w:r>
              <w:rPr>
                <w:rFonts w:ascii="Times New Roman" w:hAnsi="Times New Roman" w:cs="Times New Roman"/>
                <w:sz w:val="14"/>
                <w:szCs w:val="14"/>
              </w:rPr>
              <w:t>152 892</w:t>
            </w:r>
          </w:p>
        </w:tc>
        <w:tc>
          <w:tcPr>
            <w:tcW w:w="521"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177394" w:rsidP="00F26615">
            <w:pPr>
              <w:bidi w:val="0"/>
              <w:jc w:val="right"/>
              <w:rPr>
                <w:rFonts w:ascii="Times New Roman" w:hAnsi="Times New Roman" w:cs="Times New Roman"/>
                <w:sz w:val="14"/>
                <w:szCs w:val="14"/>
              </w:rPr>
            </w:pPr>
            <w:r>
              <w:rPr>
                <w:rFonts w:ascii="Times New Roman" w:hAnsi="Times New Roman" w:cs="Times New Roman"/>
                <w:sz w:val="14"/>
                <w:szCs w:val="14"/>
              </w:rPr>
              <w:t>155 853</w:t>
            </w:r>
          </w:p>
        </w:tc>
      </w:tr>
    </w:tbl>
    <w:p w:rsidR="00C30226" w:rsidP="00AA0F70">
      <w:pPr>
        <w:bidi w:val="0"/>
        <w:jc w:val="both"/>
        <w:rPr>
          <w:rFonts w:ascii="Times New Roman" w:hAnsi="Times New Roman"/>
          <w:szCs w:val="22"/>
        </w:rPr>
      </w:pPr>
    </w:p>
    <w:p w:rsidR="00AA0F70" w:rsidRPr="002C0D88" w:rsidP="00AA0F70">
      <w:pPr>
        <w:bidi w:val="0"/>
        <w:jc w:val="both"/>
        <w:rPr>
          <w:rFonts w:ascii="Times New Roman" w:hAnsi="Times New Roman"/>
          <w:b/>
          <w:szCs w:val="22"/>
        </w:rPr>
      </w:pPr>
      <w:r w:rsidRPr="002C0D88">
        <w:rPr>
          <w:rFonts w:ascii="Times New Roman" w:hAnsi="Times New Roman"/>
          <w:b/>
          <w:szCs w:val="22"/>
        </w:rPr>
        <w:t xml:space="preserve">Tuzemské transfery </w:t>
      </w:r>
    </w:p>
    <w:p w:rsidR="00AA0F70" w:rsidRPr="002C0D88" w:rsidP="00AA0F70">
      <w:pPr>
        <w:bidi w:val="0"/>
        <w:jc w:val="both"/>
        <w:rPr>
          <w:rFonts w:ascii="Times New Roman" w:hAnsi="Times New Roman"/>
          <w:b/>
          <w:szCs w:val="22"/>
        </w:rPr>
      </w:pPr>
    </w:p>
    <w:p w:rsidR="00AA0F70" w:rsidP="00AA0F70">
      <w:pPr>
        <w:bidi w:val="0"/>
        <w:ind w:firstLine="708"/>
        <w:jc w:val="both"/>
        <w:rPr>
          <w:rFonts w:ascii="Times New Roman" w:hAnsi="Times New Roman"/>
          <w:szCs w:val="22"/>
        </w:rPr>
      </w:pPr>
      <w:r>
        <w:rPr>
          <w:rFonts w:ascii="Times New Roman" w:hAnsi="Times New Roman"/>
          <w:szCs w:val="22"/>
        </w:rPr>
        <w:t>V rámci tuzemských transferov sa rozpočtuje</w:t>
      </w:r>
      <w:r w:rsidRPr="002C0D88">
        <w:rPr>
          <w:rFonts w:ascii="Times New Roman" w:hAnsi="Times New Roman"/>
          <w:szCs w:val="22"/>
        </w:rPr>
        <w:t xml:space="preserve"> príspevok zdravotných poisťovní na činnosť operačných stredísk záchrannej zdravotnej služby</w:t>
      </w:r>
      <w:r>
        <w:rPr>
          <w:rFonts w:ascii="Times New Roman" w:hAnsi="Times New Roman"/>
          <w:szCs w:val="22"/>
        </w:rPr>
        <w:t>.</w:t>
      </w:r>
    </w:p>
    <w:p w:rsidR="0059702E" w:rsidP="00AA0F70">
      <w:pPr>
        <w:bidi w:val="0"/>
        <w:ind w:firstLine="708"/>
        <w:jc w:val="both"/>
        <w:rPr>
          <w:rFonts w:ascii="Times New Roman" w:hAnsi="Times New Roman"/>
          <w:szCs w:val="22"/>
        </w:rPr>
      </w:pPr>
    </w:p>
    <w:p w:rsidR="0059702E" w:rsidP="00AA0F70">
      <w:pPr>
        <w:bidi w:val="0"/>
        <w:ind w:firstLine="708"/>
        <w:jc w:val="both"/>
        <w:rPr>
          <w:rFonts w:ascii="Times New Roman" w:hAnsi="Times New Roman"/>
          <w:szCs w:val="22"/>
        </w:rPr>
      </w:pPr>
    </w:p>
    <w:p w:rsidR="0059702E" w:rsidP="00AA0F70">
      <w:pPr>
        <w:bidi w:val="0"/>
        <w:ind w:firstLine="708"/>
        <w:jc w:val="both"/>
        <w:rPr>
          <w:rFonts w:ascii="Times New Roman" w:hAnsi="Times New Roman"/>
          <w:szCs w:val="22"/>
        </w:rPr>
      </w:pPr>
    </w:p>
    <w:p w:rsidR="0059702E" w:rsidP="00AA0F70">
      <w:pPr>
        <w:bidi w:val="0"/>
        <w:ind w:firstLine="708"/>
        <w:jc w:val="both"/>
        <w:rPr>
          <w:rFonts w:ascii="Times New Roman" w:hAnsi="Times New Roman"/>
          <w:szCs w:val="22"/>
        </w:rPr>
      </w:pPr>
    </w:p>
    <w:p w:rsidR="00AA0F70" w:rsidP="00AA0F70">
      <w:pPr>
        <w:bidi w:val="0"/>
        <w:ind w:firstLine="708"/>
        <w:jc w:val="both"/>
        <w:rPr>
          <w:rFonts w:ascii="Times New Roman" w:hAnsi="Times New Roman"/>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15"/>
        <w:gridCol w:w="999"/>
        <w:gridCol w:w="1000"/>
        <w:gridCol w:w="1000"/>
        <w:gridCol w:w="999"/>
        <w:gridCol w:w="1000"/>
        <w:gridCol w:w="1000"/>
        <w:gridCol w:w="9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AA0F70" w:rsidRPr="00E47DDA" w:rsidP="00F26615">
            <w:pPr>
              <w:bidi w:val="0"/>
              <w:jc w:val="both"/>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v tis. eur</w:t>
            </w:r>
          </w:p>
        </w:tc>
        <w:tc>
          <w:tcPr>
            <w:tcW w:w="5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E47DDA" w:rsidP="00F26615">
            <w:pPr>
              <w:bidi w:val="0"/>
              <w:jc w:val="center"/>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2010 S</w:t>
            </w:r>
          </w:p>
        </w:tc>
        <w:tc>
          <w:tcPr>
            <w:tcW w:w="54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E47DDA" w:rsidP="00F26615">
            <w:pPr>
              <w:bidi w:val="0"/>
              <w:jc w:val="center"/>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2011 S</w:t>
            </w:r>
          </w:p>
        </w:tc>
        <w:tc>
          <w:tcPr>
            <w:tcW w:w="54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E47DDA" w:rsidP="00F26615">
            <w:pPr>
              <w:bidi w:val="0"/>
              <w:jc w:val="center"/>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2012 R</w:t>
            </w:r>
          </w:p>
        </w:tc>
        <w:tc>
          <w:tcPr>
            <w:tcW w:w="5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E47DDA" w:rsidP="00F26615">
            <w:pPr>
              <w:bidi w:val="0"/>
              <w:jc w:val="center"/>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2012 OS</w:t>
            </w:r>
          </w:p>
        </w:tc>
        <w:tc>
          <w:tcPr>
            <w:tcW w:w="54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E47DDA" w:rsidP="00F26615">
            <w:pPr>
              <w:bidi w:val="0"/>
              <w:jc w:val="center"/>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2013 N</w:t>
            </w:r>
          </w:p>
        </w:tc>
        <w:tc>
          <w:tcPr>
            <w:tcW w:w="54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E47DDA" w:rsidP="00F26615">
            <w:pPr>
              <w:bidi w:val="0"/>
              <w:jc w:val="center"/>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2014 N</w:t>
            </w:r>
          </w:p>
        </w:tc>
        <w:tc>
          <w:tcPr>
            <w:tcW w:w="54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AA0F70" w:rsidRPr="00E47DDA" w:rsidP="00F26615">
            <w:pPr>
              <w:bidi w:val="0"/>
              <w:jc w:val="center"/>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E47DDA" w:rsidP="00F26615">
            <w:pPr>
              <w:bidi w:val="0"/>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 xml:space="preserve">Tuzemské transfery </w:t>
            </w:r>
          </w:p>
        </w:tc>
        <w:tc>
          <w:tcPr>
            <w:tcW w:w="54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E47DDA" w:rsidP="00F26615">
            <w:pPr>
              <w:bidi w:val="0"/>
              <w:jc w:val="right"/>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20 243</w:t>
            </w:r>
          </w:p>
        </w:tc>
        <w:tc>
          <w:tcPr>
            <w:tcW w:w="54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E47DDA" w:rsidP="00F26615">
            <w:pPr>
              <w:bidi w:val="0"/>
              <w:jc w:val="right"/>
              <w:rPr>
                <w:rFonts w:ascii="Times New Roman" w:hAnsi="Times New Roman" w:cs="Times New Roman"/>
                <w:b/>
                <w:bCs/>
                <w:sz w:val="14"/>
                <w:szCs w:val="14"/>
                <w:lang w:eastAsia="sk-SK"/>
              </w:rPr>
            </w:pPr>
            <w:r w:rsidR="00A80395">
              <w:rPr>
                <w:rFonts w:ascii="Times New Roman" w:hAnsi="Times New Roman" w:cs="Times New Roman"/>
                <w:b/>
                <w:bCs/>
                <w:sz w:val="14"/>
                <w:szCs w:val="14"/>
                <w:lang w:eastAsia="sk-SK"/>
              </w:rPr>
              <w:t>35 639</w:t>
            </w:r>
          </w:p>
        </w:tc>
        <w:tc>
          <w:tcPr>
            <w:tcW w:w="54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E47DDA" w:rsidP="00F26615">
            <w:pPr>
              <w:bidi w:val="0"/>
              <w:jc w:val="right"/>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11 993</w:t>
            </w:r>
          </w:p>
        </w:tc>
        <w:tc>
          <w:tcPr>
            <w:tcW w:w="54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E47DDA" w:rsidP="00F26615">
            <w:pPr>
              <w:bidi w:val="0"/>
              <w:jc w:val="right"/>
              <w:rPr>
                <w:rFonts w:ascii="Times New Roman" w:hAnsi="Times New Roman" w:cs="Times New Roman"/>
                <w:b/>
                <w:bCs/>
                <w:color w:val="000000"/>
                <w:sz w:val="14"/>
                <w:szCs w:val="14"/>
                <w:lang w:eastAsia="sk-SK"/>
              </w:rPr>
            </w:pPr>
            <w:r w:rsidRPr="00E47DDA">
              <w:rPr>
                <w:rFonts w:ascii="Times New Roman" w:hAnsi="Times New Roman" w:cs="Times New Roman"/>
                <w:b/>
                <w:bCs/>
                <w:color w:val="000000"/>
                <w:sz w:val="14"/>
                <w:szCs w:val="14"/>
                <w:lang w:eastAsia="sk-SK"/>
              </w:rPr>
              <w:t>28 458</w:t>
            </w:r>
          </w:p>
        </w:tc>
        <w:tc>
          <w:tcPr>
            <w:tcW w:w="54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3155E8" w:rsidP="00F26615">
            <w:pPr>
              <w:bidi w:val="0"/>
              <w:jc w:val="right"/>
              <w:rPr>
                <w:rFonts w:ascii="Times New Roman" w:hAnsi="Times New Roman" w:cs="Times New Roman"/>
                <w:b/>
                <w:bCs/>
                <w:sz w:val="14"/>
                <w:szCs w:val="14"/>
              </w:rPr>
            </w:pPr>
            <w:r w:rsidRPr="003155E8">
              <w:rPr>
                <w:rFonts w:ascii="Times New Roman" w:hAnsi="Times New Roman" w:cs="Times New Roman"/>
                <w:b/>
                <w:bCs/>
                <w:sz w:val="14"/>
                <w:szCs w:val="14"/>
              </w:rPr>
              <w:t>1</w:t>
            </w:r>
            <w:r>
              <w:rPr>
                <w:rFonts w:ascii="Times New Roman" w:hAnsi="Times New Roman" w:cs="Times New Roman"/>
                <w:b/>
                <w:bCs/>
                <w:sz w:val="14"/>
                <w:szCs w:val="14"/>
              </w:rPr>
              <w:t>4 666</w:t>
            </w:r>
          </w:p>
        </w:tc>
        <w:tc>
          <w:tcPr>
            <w:tcW w:w="54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3155E8" w:rsidP="00F26615">
            <w:pPr>
              <w:bidi w:val="0"/>
              <w:jc w:val="right"/>
              <w:rPr>
                <w:rFonts w:ascii="Times New Roman" w:hAnsi="Times New Roman" w:cs="Times New Roman"/>
                <w:b/>
                <w:bCs/>
                <w:sz w:val="14"/>
                <w:szCs w:val="14"/>
              </w:rPr>
            </w:pPr>
            <w:r w:rsidRPr="003155E8">
              <w:rPr>
                <w:rFonts w:ascii="Times New Roman" w:hAnsi="Times New Roman" w:cs="Times New Roman"/>
                <w:b/>
                <w:bCs/>
                <w:sz w:val="14"/>
                <w:szCs w:val="14"/>
              </w:rPr>
              <w:t>13 061</w:t>
            </w:r>
          </w:p>
        </w:tc>
        <w:tc>
          <w:tcPr>
            <w:tcW w:w="542"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AA0F70" w:rsidRPr="003155E8" w:rsidP="00F26615">
            <w:pPr>
              <w:bidi w:val="0"/>
              <w:jc w:val="right"/>
              <w:rPr>
                <w:rFonts w:ascii="Times New Roman" w:hAnsi="Times New Roman" w:cs="Times New Roman"/>
                <w:b/>
                <w:bCs/>
                <w:sz w:val="14"/>
                <w:szCs w:val="14"/>
              </w:rPr>
            </w:pPr>
            <w:r w:rsidRPr="003155E8">
              <w:rPr>
                <w:rFonts w:ascii="Times New Roman" w:hAnsi="Times New Roman" w:cs="Times New Roman"/>
                <w:b/>
                <w:bCs/>
                <w:sz w:val="14"/>
                <w:szCs w:val="14"/>
              </w:rPr>
              <w:t>13 648</w:t>
            </w:r>
          </w:p>
        </w:tc>
      </w:tr>
      <w:tr>
        <w:tblPrEx>
          <w:tblW w:w="5000" w:type="pct"/>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E47DDA" w:rsidP="00F26615">
            <w:pPr>
              <w:bidi w:val="0"/>
              <w:jc w:val="both"/>
              <w:rPr>
                <w:rFonts w:ascii="Times New Roman" w:hAnsi="Times New Roman" w:cs="Times New Roman"/>
                <w:color w:val="000000"/>
                <w:sz w:val="14"/>
                <w:szCs w:val="14"/>
                <w:lang w:eastAsia="sk-SK"/>
              </w:rPr>
            </w:pPr>
            <w:r w:rsidRPr="00E47DDA">
              <w:rPr>
                <w:rFonts w:ascii="Times New Roman" w:hAnsi="Times New Roman" w:cs="Times New Roman"/>
                <w:color w:val="000000"/>
                <w:sz w:val="14"/>
                <w:szCs w:val="14"/>
                <w:lang w:eastAsia="sk-SK"/>
              </w:rPr>
              <w:t>z  toho:</w:t>
            </w:r>
          </w:p>
          <w:p w:rsidR="00AA0F70" w:rsidRPr="00E47DDA" w:rsidP="00F26615">
            <w:pPr>
              <w:bidi w:val="0"/>
              <w:rPr>
                <w:rFonts w:ascii="Times New Roman" w:hAnsi="Times New Roman" w:cs="Times New Roman"/>
                <w:color w:val="000000"/>
                <w:sz w:val="14"/>
                <w:szCs w:val="14"/>
                <w:lang w:eastAsia="sk-SK"/>
              </w:rPr>
            </w:pPr>
            <w:r w:rsidRPr="00E47DDA">
              <w:rPr>
                <w:rFonts w:ascii="Times New Roman" w:hAnsi="Times New Roman" w:cs="Times New Roman"/>
                <w:color w:val="000000"/>
                <w:sz w:val="14"/>
                <w:szCs w:val="14"/>
                <w:lang w:eastAsia="sk-SK"/>
              </w:rPr>
              <w:t>Príspevky</w:t>
            </w:r>
            <w:r>
              <w:rPr>
                <w:rFonts w:ascii="Times New Roman" w:hAnsi="Times New Roman" w:cs="Times New Roman"/>
                <w:color w:val="000000"/>
                <w:sz w:val="14"/>
                <w:szCs w:val="14"/>
                <w:lang w:eastAsia="sk-SK"/>
              </w:rPr>
              <w:t xml:space="preserve"> </w:t>
            </w:r>
            <w:r w:rsidRPr="00E47DDA">
              <w:rPr>
                <w:rFonts w:ascii="Times New Roman" w:hAnsi="Times New Roman" w:cs="Times New Roman"/>
                <w:color w:val="000000"/>
                <w:sz w:val="14"/>
                <w:szCs w:val="14"/>
                <w:lang w:eastAsia="sk-SK"/>
              </w:rPr>
              <w:t>zdravotných</w:t>
            </w:r>
            <w:r>
              <w:rPr>
                <w:rFonts w:ascii="Times New Roman" w:hAnsi="Times New Roman" w:cs="Times New Roman"/>
                <w:color w:val="000000"/>
                <w:sz w:val="14"/>
                <w:szCs w:val="14"/>
                <w:lang w:eastAsia="sk-SK"/>
              </w:rPr>
              <w:t xml:space="preserve"> </w:t>
            </w:r>
            <w:r w:rsidRPr="00E47DDA">
              <w:rPr>
                <w:rFonts w:ascii="Times New Roman" w:hAnsi="Times New Roman" w:cs="Times New Roman"/>
                <w:color w:val="000000"/>
                <w:sz w:val="14"/>
                <w:szCs w:val="14"/>
                <w:lang w:eastAsia="sk-SK"/>
              </w:rPr>
              <w:t>poisťovní</w:t>
            </w:r>
            <w:r>
              <w:rPr>
                <w:rFonts w:ascii="Times New Roman" w:hAnsi="Times New Roman" w:cs="Times New Roman"/>
                <w:color w:val="000000"/>
                <w:sz w:val="14"/>
                <w:szCs w:val="14"/>
                <w:lang w:eastAsia="sk-SK"/>
              </w:rPr>
              <w:t xml:space="preserve"> </w:t>
            </w:r>
            <w:r w:rsidRPr="00E47DDA">
              <w:rPr>
                <w:rFonts w:ascii="Times New Roman" w:hAnsi="Times New Roman" w:cs="Times New Roman"/>
                <w:color w:val="000000"/>
                <w:sz w:val="14"/>
                <w:szCs w:val="14"/>
                <w:lang w:eastAsia="sk-SK"/>
              </w:rPr>
              <w:t>na činnosť</w:t>
            </w:r>
            <w:r>
              <w:rPr>
                <w:rFonts w:ascii="Times New Roman" w:hAnsi="Times New Roman" w:cs="Times New Roman"/>
                <w:color w:val="000000"/>
                <w:sz w:val="14"/>
                <w:szCs w:val="14"/>
                <w:lang w:eastAsia="sk-SK"/>
              </w:rPr>
              <w:t xml:space="preserve"> </w:t>
            </w:r>
            <w:r w:rsidRPr="00E47DDA">
              <w:rPr>
                <w:rFonts w:ascii="Times New Roman" w:hAnsi="Times New Roman" w:cs="Times New Roman"/>
                <w:color w:val="000000"/>
                <w:sz w:val="14"/>
                <w:szCs w:val="14"/>
                <w:lang w:eastAsia="sk-SK"/>
              </w:rPr>
              <w:t>operačných  stredísk</w:t>
            </w:r>
            <w:r>
              <w:rPr>
                <w:rFonts w:ascii="Times New Roman" w:hAnsi="Times New Roman" w:cs="Times New Roman"/>
                <w:color w:val="000000"/>
                <w:sz w:val="14"/>
                <w:szCs w:val="14"/>
                <w:lang w:eastAsia="sk-SK"/>
              </w:rPr>
              <w:t xml:space="preserve"> </w:t>
            </w:r>
            <w:r w:rsidRPr="00E47DDA">
              <w:rPr>
                <w:rFonts w:ascii="Times New Roman" w:hAnsi="Times New Roman" w:cs="Times New Roman"/>
                <w:color w:val="000000"/>
                <w:sz w:val="14"/>
                <w:szCs w:val="14"/>
                <w:lang w:eastAsia="sk-SK"/>
              </w:rPr>
              <w:t>záchrannej</w:t>
            </w:r>
            <w:r>
              <w:rPr>
                <w:rFonts w:ascii="Times New Roman" w:hAnsi="Times New Roman" w:cs="Times New Roman"/>
                <w:color w:val="000000"/>
                <w:sz w:val="14"/>
                <w:szCs w:val="14"/>
                <w:lang w:eastAsia="sk-SK"/>
              </w:rPr>
              <w:t xml:space="preserve"> </w:t>
            </w:r>
            <w:r w:rsidRPr="00E47DDA">
              <w:rPr>
                <w:rFonts w:ascii="Times New Roman" w:hAnsi="Times New Roman" w:cs="Times New Roman"/>
                <w:color w:val="000000"/>
                <w:sz w:val="14"/>
                <w:szCs w:val="14"/>
                <w:lang w:eastAsia="sk-SK"/>
              </w:rPr>
              <w:t>zdravotnej</w:t>
            </w:r>
            <w:r>
              <w:rPr>
                <w:rFonts w:ascii="Times New Roman" w:hAnsi="Times New Roman" w:cs="Times New Roman"/>
                <w:color w:val="000000"/>
                <w:sz w:val="14"/>
                <w:szCs w:val="14"/>
                <w:lang w:eastAsia="sk-SK"/>
              </w:rPr>
              <w:t xml:space="preserve"> </w:t>
            </w:r>
            <w:r w:rsidRPr="00E47DDA">
              <w:rPr>
                <w:rFonts w:ascii="Times New Roman" w:hAnsi="Times New Roman" w:cs="Times New Roman"/>
                <w:color w:val="000000"/>
                <w:sz w:val="14"/>
                <w:szCs w:val="14"/>
                <w:lang w:eastAsia="sk-SK"/>
              </w:rPr>
              <w:t>služby</w:t>
            </w:r>
          </w:p>
        </w:tc>
        <w:tc>
          <w:tcPr>
            <w:tcW w:w="54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E47DDA" w:rsidP="00F26615">
            <w:pPr>
              <w:bidi w:val="0"/>
              <w:jc w:val="right"/>
              <w:rPr>
                <w:rFonts w:ascii="Times New Roman" w:hAnsi="Times New Roman" w:cs="Times New Roman"/>
                <w:color w:val="000000"/>
                <w:sz w:val="14"/>
                <w:szCs w:val="14"/>
                <w:lang w:eastAsia="sk-SK"/>
              </w:rPr>
            </w:pPr>
            <w:r w:rsidRPr="00E47DDA">
              <w:rPr>
                <w:rFonts w:ascii="Times New Roman" w:hAnsi="Times New Roman" w:cs="Times New Roman"/>
                <w:color w:val="000000"/>
                <w:sz w:val="14"/>
                <w:szCs w:val="14"/>
                <w:lang w:eastAsia="sk-SK"/>
              </w:rPr>
              <w:t>11 193</w:t>
            </w:r>
          </w:p>
        </w:tc>
        <w:tc>
          <w:tcPr>
            <w:tcW w:w="543"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E47DDA" w:rsidP="00F26615">
            <w:pPr>
              <w:bidi w:val="0"/>
              <w:jc w:val="right"/>
              <w:rPr>
                <w:rFonts w:ascii="Times New Roman" w:hAnsi="Times New Roman" w:cs="Times New Roman"/>
                <w:sz w:val="14"/>
                <w:szCs w:val="14"/>
                <w:lang w:eastAsia="sk-SK"/>
              </w:rPr>
            </w:pPr>
            <w:r w:rsidRPr="00E47DDA">
              <w:rPr>
                <w:rFonts w:ascii="Times New Roman" w:hAnsi="Times New Roman" w:cs="Times New Roman"/>
                <w:sz w:val="14"/>
                <w:szCs w:val="14"/>
                <w:lang w:eastAsia="sk-SK"/>
              </w:rPr>
              <w:t>11 747</w:t>
            </w:r>
          </w:p>
        </w:tc>
        <w:tc>
          <w:tcPr>
            <w:tcW w:w="543"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E47DDA" w:rsidP="00F26615">
            <w:pPr>
              <w:bidi w:val="0"/>
              <w:jc w:val="right"/>
              <w:rPr>
                <w:rFonts w:ascii="Times New Roman" w:hAnsi="Times New Roman" w:cs="Times New Roman"/>
                <w:color w:val="000000"/>
                <w:sz w:val="14"/>
                <w:szCs w:val="14"/>
                <w:lang w:eastAsia="sk-SK"/>
              </w:rPr>
            </w:pPr>
            <w:r w:rsidRPr="00E47DDA">
              <w:rPr>
                <w:rFonts w:ascii="Times New Roman" w:hAnsi="Times New Roman" w:cs="Times New Roman"/>
                <w:color w:val="000000"/>
                <w:sz w:val="14"/>
                <w:szCs w:val="14"/>
                <w:lang w:eastAsia="sk-SK"/>
              </w:rPr>
              <w:t>11 908</w:t>
            </w:r>
          </w:p>
        </w:tc>
        <w:tc>
          <w:tcPr>
            <w:tcW w:w="54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E47DDA" w:rsidP="00F26615">
            <w:pPr>
              <w:bidi w:val="0"/>
              <w:jc w:val="right"/>
              <w:rPr>
                <w:rFonts w:ascii="Times New Roman" w:hAnsi="Times New Roman" w:cs="Times New Roman"/>
                <w:color w:val="000000"/>
                <w:sz w:val="14"/>
                <w:szCs w:val="14"/>
                <w:lang w:eastAsia="sk-SK"/>
              </w:rPr>
            </w:pPr>
            <w:r w:rsidRPr="00E47DDA">
              <w:rPr>
                <w:rFonts w:ascii="Times New Roman" w:hAnsi="Times New Roman" w:cs="Times New Roman"/>
                <w:color w:val="000000"/>
                <w:sz w:val="14"/>
                <w:szCs w:val="14"/>
                <w:lang w:eastAsia="sk-SK"/>
              </w:rPr>
              <w:t>11 908</w:t>
            </w:r>
          </w:p>
        </w:tc>
        <w:tc>
          <w:tcPr>
            <w:tcW w:w="543"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3155E8" w:rsidP="00F26615">
            <w:pPr>
              <w:bidi w:val="0"/>
              <w:jc w:val="right"/>
              <w:rPr>
                <w:rFonts w:ascii="Times New Roman" w:hAnsi="Times New Roman" w:cs="Times New Roman"/>
                <w:sz w:val="14"/>
                <w:szCs w:val="14"/>
              </w:rPr>
            </w:pPr>
            <w:r w:rsidRPr="003155E8">
              <w:rPr>
                <w:rFonts w:ascii="Times New Roman" w:hAnsi="Times New Roman" w:cs="Times New Roman"/>
                <w:sz w:val="14"/>
                <w:szCs w:val="14"/>
              </w:rPr>
              <w:t xml:space="preserve">12 </w:t>
            </w:r>
            <w:r>
              <w:rPr>
                <w:rFonts w:ascii="Times New Roman" w:hAnsi="Times New Roman" w:cs="Times New Roman"/>
                <w:sz w:val="14"/>
                <w:szCs w:val="14"/>
              </w:rPr>
              <w:t>538</w:t>
            </w:r>
          </w:p>
        </w:tc>
        <w:tc>
          <w:tcPr>
            <w:tcW w:w="543"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3155E8" w:rsidP="00F26615">
            <w:pPr>
              <w:bidi w:val="0"/>
              <w:jc w:val="right"/>
              <w:rPr>
                <w:rFonts w:ascii="Times New Roman" w:hAnsi="Times New Roman" w:cs="Times New Roman"/>
                <w:sz w:val="14"/>
                <w:szCs w:val="14"/>
              </w:rPr>
            </w:pPr>
            <w:r w:rsidRPr="003155E8">
              <w:rPr>
                <w:rFonts w:ascii="Times New Roman" w:hAnsi="Times New Roman" w:cs="Times New Roman"/>
                <w:sz w:val="14"/>
                <w:szCs w:val="14"/>
              </w:rPr>
              <w:t>13 061</w:t>
            </w:r>
          </w:p>
        </w:tc>
        <w:tc>
          <w:tcPr>
            <w:tcW w:w="542" w:type="pct"/>
            <w:tcBorders>
              <w:top w:val="single" w:sz="4" w:space="0" w:color="auto"/>
              <w:left w:val="single" w:sz="4" w:space="0" w:color="auto"/>
              <w:bottom w:val="single" w:sz="4" w:space="0" w:color="auto"/>
              <w:right w:val="single" w:sz="4" w:space="0" w:color="auto"/>
            </w:tcBorders>
            <w:textDirection w:val="lrTb"/>
            <w:vAlign w:val="center"/>
            <w:hideMark/>
          </w:tcPr>
          <w:p w:rsidR="00AA0F70" w:rsidRPr="003155E8" w:rsidP="00F26615">
            <w:pPr>
              <w:bidi w:val="0"/>
              <w:jc w:val="right"/>
              <w:rPr>
                <w:rFonts w:ascii="Times New Roman" w:hAnsi="Times New Roman" w:cs="Times New Roman"/>
                <w:sz w:val="14"/>
                <w:szCs w:val="14"/>
              </w:rPr>
            </w:pPr>
            <w:r w:rsidRPr="003155E8">
              <w:rPr>
                <w:rFonts w:ascii="Times New Roman" w:hAnsi="Times New Roman" w:cs="Times New Roman"/>
                <w:sz w:val="14"/>
                <w:szCs w:val="14"/>
              </w:rPr>
              <w:t>13 648</w:t>
            </w:r>
          </w:p>
        </w:tc>
      </w:tr>
      <w:tr>
        <w:tblPrEx>
          <w:tblW w:w="5000" w:type="pct"/>
          <w:tblCellMar>
            <w:left w:w="70" w:type="dxa"/>
            <w:right w:w="70" w:type="dxa"/>
          </w:tblCellMar>
          <w:tblLook w:val="04A0"/>
        </w:tblPrEx>
        <w:trPr>
          <w:trHeight w:val="340"/>
        </w:trPr>
        <w:tc>
          <w:tcPr>
            <w:tcW w:w="120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E47DDA" w:rsidP="00F26615">
            <w:pPr>
              <w:bidi w:val="0"/>
              <w:rPr>
                <w:rFonts w:ascii="Times New Roman" w:hAnsi="Times New Roman" w:cs="Times New Roman"/>
                <w:color w:val="000000"/>
                <w:sz w:val="14"/>
                <w:szCs w:val="14"/>
                <w:lang w:eastAsia="sk-SK"/>
              </w:rPr>
            </w:pPr>
            <w:r w:rsidRPr="00E47DDA">
              <w:rPr>
                <w:rFonts w:ascii="Times New Roman" w:hAnsi="Times New Roman" w:cs="Times New Roman"/>
                <w:color w:val="000000"/>
                <w:sz w:val="14"/>
                <w:szCs w:val="14"/>
                <w:lang w:eastAsia="sk-SK"/>
              </w:rPr>
              <w:t>Transfery</w:t>
            </w:r>
            <w:r>
              <w:rPr>
                <w:rFonts w:ascii="Times New Roman" w:hAnsi="Times New Roman" w:cs="Times New Roman"/>
                <w:color w:val="000000"/>
                <w:sz w:val="14"/>
                <w:szCs w:val="14"/>
                <w:lang w:eastAsia="sk-SK"/>
              </w:rPr>
              <w:t xml:space="preserve"> ostatných s</w:t>
            </w:r>
            <w:r w:rsidRPr="00E47DDA">
              <w:rPr>
                <w:rFonts w:ascii="Times New Roman" w:hAnsi="Times New Roman" w:cs="Times New Roman"/>
                <w:color w:val="000000"/>
                <w:sz w:val="14"/>
                <w:szCs w:val="14"/>
                <w:lang w:eastAsia="sk-SK"/>
              </w:rPr>
              <w:t>ubjektov</w:t>
            </w:r>
            <w:r>
              <w:rPr>
                <w:rFonts w:ascii="Times New Roman" w:hAnsi="Times New Roman" w:cs="Times New Roman"/>
                <w:color w:val="000000"/>
                <w:sz w:val="14"/>
                <w:szCs w:val="14"/>
                <w:lang w:eastAsia="sk-SK"/>
              </w:rPr>
              <w:t xml:space="preserve"> </w:t>
            </w:r>
            <w:r w:rsidRPr="00E47DDA">
              <w:rPr>
                <w:rFonts w:ascii="Times New Roman" w:hAnsi="Times New Roman" w:cs="Times New Roman"/>
                <w:color w:val="000000"/>
                <w:sz w:val="14"/>
                <w:szCs w:val="14"/>
                <w:lang w:eastAsia="sk-SK"/>
              </w:rPr>
              <w:t>verejnej správy</w:t>
            </w:r>
          </w:p>
        </w:tc>
        <w:tc>
          <w:tcPr>
            <w:tcW w:w="54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E47DDA" w:rsidP="00F26615">
            <w:pPr>
              <w:bidi w:val="0"/>
              <w:jc w:val="right"/>
              <w:rPr>
                <w:rFonts w:ascii="Times New Roman" w:hAnsi="Times New Roman" w:cs="Times New Roman"/>
                <w:color w:val="000000"/>
                <w:sz w:val="14"/>
                <w:szCs w:val="14"/>
                <w:lang w:eastAsia="sk-SK"/>
              </w:rPr>
            </w:pPr>
            <w:r w:rsidRPr="00E47DDA">
              <w:rPr>
                <w:rFonts w:ascii="Times New Roman" w:hAnsi="Times New Roman" w:cs="Times New Roman"/>
                <w:color w:val="000000"/>
                <w:sz w:val="14"/>
                <w:szCs w:val="14"/>
                <w:lang w:eastAsia="sk-SK"/>
              </w:rPr>
              <w:t>9 050</w:t>
            </w:r>
          </w:p>
        </w:tc>
        <w:tc>
          <w:tcPr>
            <w:tcW w:w="54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E47DDA" w:rsidP="00F26615">
            <w:pPr>
              <w:bidi w:val="0"/>
              <w:jc w:val="right"/>
              <w:rPr>
                <w:rFonts w:ascii="Times New Roman" w:hAnsi="Times New Roman" w:cs="Times New Roman"/>
                <w:sz w:val="14"/>
                <w:szCs w:val="14"/>
                <w:lang w:eastAsia="sk-SK"/>
              </w:rPr>
            </w:pPr>
            <w:r w:rsidR="00A80395">
              <w:rPr>
                <w:rFonts w:ascii="Times New Roman" w:hAnsi="Times New Roman" w:cs="Times New Roman"/>
                <w:sz w:val="14"/>
                <w:szCs w:val="14"/>
                <w:lang w:eastAsia="sk-SK"/>
              </w:rPr>
              <w:t>23 892</w:t>
            </w:r>
          </w:p>
        </w:tc>
        <w:tc>
          <w:tcPr>
            <w:tcW w:w="54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E47DDA" w:rsidP="00F26615">
            <w:pPr>
              <w:bidi w:val="0"/>
              <w:jc w:val="right"/>
              <w:rPr>
                <w:rFonts w:ascii="Times New Roman" w:hAnsi="Times New Roman" w:cs="Times New Roman"/>
                <w:color w:val="000000"/>
                <w:sz w:val="14"/>
                <w:szCs w:val="14"/>
                <w:lang w:eastAsia="sk-SK"/>
              </w:rPr>
            </w:pPr>
            <w:r w:rsidRPr="00E47DDA">
              <w:rPr>
                <w:rFonts w:ascii="Times New Roman" w:hAnsi="Times New Roman" w:cs="Times New Roman"/>
                <w:color w:val="000000"/>
                <w:sz w:val="14"/>
                <w:szCs w:val="14"/>
                <w:lang w:eastAsia="sk-SK"/>
              </w:rPr>
              <w:t>85</w:t>
            </w:r>
          </w:p>
        </w:tc>
        <w:tc>
          <w:tcPr>
            <w:tcW w:w="54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E47DDA" w:rsidP="00F26615">
            <w:pPr>
              <w:bidi w:val="0"/>
              <w:jc w:val="right"/>
              <w:rPr>
                <w:rFonts w:ascii="Times New Roman" w:hAnsi="Times New Roman" w:cs="Times New Roman"/>
                <w:sz w:val="14"/>
                <w:szCs w:val="14"/>
                <w:lang w:eastAsia="sk-SK"/>
              </w:rPr>
            </w:pPr>
            <w:r w:rsidRPr="00E47DDA">
              <w:rPr>
                <w:rFonts w:ascii="Times New Roman" w:hAnsi="Times New Roman" w:cs="Times New Roman"/>
                <w:sz w:val="14"/>
                <w:szCs w:val="14"/>
                <w:lang w:eastAsia="sk-SK"/>
              </w:rPr>
              <w:t>0</w:t>
            </w:r>
          </w:p>
        </w:tc>
        <w:tc>
          <w:tcPr>
            <w:tcW w:w="54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E47DDA" w:rsidP="00F2661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2 128</w:t>
            </w:r>
          </w:p>
        </w:tc>
        <w:tc>
          <w:tcPr>
            <w:tcW w:w="54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E47DDA" w:rsidP="00F26615">
            <w:pPr>
              <w:bidi w:val="0"/>
              <w:jc w:val="right"/>
              <w:rPr>
                <w:rFonts w:ascii="Times New Roman" w:hAnsi="Times New Roman" w:cs="Times New Roman"/>
                <w:sz w:val="14"/>
                <w:szCs w:val="14"/>
                <w:lang w:eastAsia="sk-SK"/>
              </w:rPr>
            </w:pPr>
            <w:r w:rsidRPr="00E47DDA">
              <w:rPr>
                <w:rFonts w:ascii="Times New Roman" w:hAnsi="Times New Roman" w:cs="Times New Roman"/>
                <w:sz w:val="14"/>
                <w:szCs w:val="14"/>
                <w:lang w:eastAsia="sk-SK"/>
              </w:rPr>
              <w:t>0</w:t>
            </w:r>
          </w:p>
        </w:tc>
        <w:tc>
          <w:tcPr>
            <w:tcW w:w="542"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AA0F70" w:rsidRPr="00E47DDA" w:rsidP="00F26615">
            <w:pPr>
              <w:bidi w:val="0"/>
              <w:jc w:val="right"/>
              <w:rPr>
                <w:rFonts w:ascii="Times New Roman" w:hAnsi="Times New Roman" w:cs="Times New Roman"/>
                <w:sz w:val="14"/>
                <w:szCs w:val="14"/>
                <w:lang w:eastAsia="sk-SK"/>
              </w:rPr>
            </w:pPr>
            <w:r w:rsidRPr="00E47DDA">
              <w:rPr>
                <w:rFonts w:ascii="Times New Roman" w:hAnsi="Times New Roman" w:cs="Times New Roman"/>
                <w:sz w:val="14"/>
                <w:szCs w:val="14"/>
                <w:lang w:eastAsia="sk-SK"/>
              </w:rPr>
              <w:t>0</w:t>
            </w:r>
          </w:p>
        </w:tc>
      </w:tr>
    </w:tbl>
    <w:p w:rsidR="00AA0F70" w:rsidRPr="002C0D88" w:rsidP="00AA0F70">
      <w:pPr>
        <w:bidi w:val="0"/>
        <w:ind w:firstLine="708"/>
        <w:jc w:val="both"/>
        <w:rPr>
          <w:rFonts w:ascii="Times New Roman" w:hAnsi="Times New Roman"/>
          <w:szCs w:val="22"/>
        </w:rPr>
      </w:pPr>
    </w:p>
    <w:p w:rsidR="00AA0F70" w:rsidP="00AA0F70">
      <w:pPr>
        <w:bidi w:val="0"/>
        <w:ind w:firstLine="708"/>
        <w:jc w:val="both"/>
        <w:rPr>
          <w:rFonts w:ascii="Times New Roman" w:hAnsi="Times New Roman"/>
          <w:szCs w:val="22"/>
        </w:rPr>
      </w:pPr>
      <w:r w:rsidRPr="002C0D88">
        <w:rPr>
          <w:rFonts w:ascii="Times New Roman" w:hAnsi="Times New Roman"/>
          <w:szCs w:val="22"/>
        </w:rPr>
        <w:t>Príspevok na činnosť operačných stredísk záchrannej zdravotnej služby poukazujú zdravotné poisťovne v súlade so zákonom č. 581/2004 Z. z. o zdravotných poisťovniach</w:t>
      </w:r>
      <w:r>
        <w:rPr>
          <w:rFonts w:ascii="Times New Roman" w:hAnsi="Times New Roman"/>
          <w:szCs w:val="22"/>
        </w:rPr>
        <w:t xml:space="preserve">, </w:t>
      </w:r>
      <w:r w:rsidRPr="002C0D88">
        <w:rPr>
          <w:rFonts w:ascii="Times New Roman" w:hAnsi="Times New Roman"/>
          <w:szCs w:val="22"/>
        </w:rPr>
        <w:t xml:space="preserve"> dohľade</w:t>
      </w:r>
      <w:r>
        <w:rPr>
          <w:rFonts w:ascii="Times New Roman" w:hAnsi="Times New Roman"/>
          <w:szCs w:val="22"/>
        </w:rPr>
        <w:t xml:space="preserve"> nad zdravotnou starostlivosťou a o zmene a doplnení niektorých zákonov.</w:t>
      </w:r>
    </w:p>
    <w:p w:rsidR="00AA0F70" w:rsidP="00AA0F70">
      <w:pPr>
        <w:bidi w:val="0"/>
        <w:ind w:firstLine="708"/>
        <w:jc w:val="both"/>
        <w:rPr>
          <w:rFonts w:ascii="Times New Roman" w:hAnsi="Times New Roman"/>
          <w:szCs w:val="22"/>
        </w:rPr>
      </w:pPr>
    </w:p>
    <w:p w:rsidR="00AA0F70" w:rsidP="00AA0F70">
      <w:pPr>
        <w:bidi w:val="0"/>
        <w:jc w:val="both"/>
        <w:rPr>
          <w:rFonts w:ascii="Times New Roman" w:hAnsi="Times New Roman"/>
          <w:szCs w:val="22"/>
        </w:rPr>
      </w:pPr>
      <w:r>
        <w:rPr>
          <w:rFonts w:ascii="Times New Roman" w:hAnsi="Times New Roman"/>
          <w:szCs w:val="22"/>
        </w:rPr>
        <w:tab/>
        <w:t>Z dôvodu novely zákona č. 238/2006 Z. z. o Národnom jadrovom fonde na vyraďovanie jadrových zariadení sa predpokladá v roku 2013 transfer z Národného jadrového fondu vo výške 2,1 mil. eur zo salda dovozu a vývozu elektriny z územia Slovenskej republiky.</w:t>
      </w:r>
    </w:p>
    <w:p w:rsidR="00AA0F70" w:rsidRPr="000561B5" w:rsidP="00DD719C">
      <w:pPr>
        <w:bidi w:val="0"/>
        <w:ind w:firstLine="708"/>
        <w:jc w:val="both"/>
        <w:rPr>
          <w:rFonts w:ascii="Times New Roman" w:hAnsi="Times New Roman"/>
          <w:color w:val="0070C0"/>
          <w:szCs w:val="22"/>
        </w:rPr>
      </w:pPr>
    </w:p>
    <w:p w:rsidR="00DD719C" w:rsidRPr="00423832" w:rsidP="000A045E">
      <w:pPr>
        <w:pStyle w:val="Heading2"/>
        <w:bidi w:val="0"/>
        <w:spacing w:before="0" w:after="0"/>
        <w:rPr>
          <w:rFonts w:ascii="Times New Roman" w:hAnsi="Times New Roman"/>
          <w:i w:val="0"/>
          <w:sz w:val="24"/>
          <w:szCs w:val="22"/>
        </w:rPr>
      </w:pPr>
      <w:bookmarkStart w:id="41" w:name="_Toc337237753"/>
      <w:r w:rsidRPr="00423832" w:rsidR="004E44EF">
        <w:rPr>
          <w:rFonts w:ascii="Times New Roman" w:hAnsi="Times New Roman"/>
          <w:i w:val="0"/>
          <w:sz w:val="24"/>
          <w:szCs w:val="22"/>
        </w:rPr>
        <w:t>3.5. Daňové výdavky</w:t>
      </w:r>
      <w:bookmarkEnd w:id="41"/>
      <w:r w:rsidRPr="00423832" w:rsidR="004E44EF">
        <w:rPr>
          <w:rFonts w:ascii="Times New Roman" w:hAnsi="Times New Roman"/>
          <w:i w:val="0"/>
          <w:sz w:val="24"/>
          <w:szCs w:val="22"/>
        </w:rPr>
        <w:t xml:space="preserve"> </w:t>
      </w:r>
    </w:p>
    <w:p w:rsidR="00666BEC" w:rsidRPr="00C30226" w:rsidP="00BB6775">
      <w:pPr>
        <w:autoSpaceDE w:val="0"/>
        <w:autoSpaceDN w:val="0"/>
        <w:bidi w:val="0"/>
        <w:adjustRightInd w:val="0"/>
        <w:jc w:val="both"/>
        <w:rPr>
          <w:rFonts w:ascii="Times New Roman" w:hAnsi="Times New Roman" w:cs="Times New Roman"/>
          <w:color w:val="0070C0"/>
          <w:szCs w:val="22"/>
        </w:rPr>
      </w:pPr>
      <w:bookmarkStart w:id="42" w:name="_Toc116476495"/>
      <w:bookmarkStart w:id="43" w:name="_Toc141529498"/>
      <w:bookmarkStart w:id="44" w:name="_Toc219860187"/>
      <w:bookmarkStart w:id="45" w:name="_Toc282686543"/>
      <w:bookmarkEnd w:id="2"/>
      <w:r w:rsidRPr="000561B5">
        <w:rPr>
          <w:rFonts w:ascii="Arial Narrow" w:hAnsi="Arial Narrow"/>
          <w:color w:val="0070C0"/>
          <w:sz w:val="22"/>
          <w:szCs w:val="22"/>
        </w:rPr>
        <w:tab/>
      </w:r>
    </w:p>
    <w:p w:rsidR="00D32E4A" w:rsidRPr="00C30226" w:rsidP="000A045E">
      <w:pPr>
        <w:autoSpaceDE w:val="0"/>
        <w:autoSpaceDN w:val="0"/>
        <w:bidi w:val="0"/>
        <w:adjustRightInd w:val="0"/>
        <w:ind w:firstLine="708"/>
        <w:jc w:val="both"/>
        <w:rPr>
          <w:rFonts w:ascii="Times New Roman" w:hAnsi="Times New Roman" w:cs="Times New Roman"/>
          <w:color w:val="000000"/>
        </w:rPr>
      </w:pPr>
      <w:r w:rsidRPr="00C30226">
        <w:rPr>
          <w:rFonts w:ascii="Times New Roman" w:hAnsi="Times New Roman" w:cs="Times New Roman"/>
          <w:color w:val="000000"/>
        </w:rPr>
        <w:t>Rovnaké ciele verejnej politiky z pohľadu rozpočtovej politiky a posudzovania vývoja verejných financií je častokrát možné dosiahnuť dvoma spôsobmi. Prvým je navýšenie výdavkov rozpočtu, tým druhým poskytnutie selektívneho daňového zvýhodnenia. Vplyv na saldo verejnej správy môže byť v oboch prípadoch rovnaký, rozdielna je len forma opatrenia. Pre transparentné a zrozumiteľné verejné financie je preto dôležité poskytovať informácie o selektívnych daňových zvýhodneniach (tzv. daňových výdavkoch) podobným spôsobom, ako je to pri ostatných výdavkoch rozpočtu</w:t>
      </w:r>
      <w:r>
        <w:rPr>
          <w:rStyle w:val="FootnoteReference"/>
          <w:rFonts w:ascii="Times New Roman" w:hAnsi="Times New Roman"/>
          <w:color w:val="000000"/>
          <w:rtl w:val="0"/>
        </w:rPr>
        <w:footnoteReference w:id="9"/>
      </w:r>
      <w:r w:rsidRPr="00C30226">
        <w:rPr>
          <w:rFonts w:ascii="Times New Roman" w:hAnsi="Times New Roman" w:cs="Times New Roman"/>
          <w:color w:val="000000"/>
        </w:rPr>
        <w:t xml:space="preserve">. </w:t>
      </w:r>
    </w:p>
    <w:p w:rsidR="00D32E4A" w:rsidRPr="00C30226" w:rsidP="00D32E4A">
      <w:pPr>
        <w:autoSpaceDE w:val="0"/>
        <w:autoSpaceDN w:val="0"/>
        <w:bidi w:val="0"/>
        <w:adjustRightInd w:val="0"/>
        <w:jc w:val="both"/>
        <w:rPr>
          <w:rFonts w:ascii="Times New Roman" w:hAnsi="Times New Roman" w:cs="Times New Roman"/>
          <w:color w:val="000000"/>
        </w:rPr>
      </w:pPr>
    </w:p>
    <w:p w:rsidR="00D32E4A" w:rsidRPr="00C30226" w:rsidP="000A045E">
      <w:pPr>
        <w:autoSpaceDE w:val="0"/>
        <w:autoSpaceDN w:val="0"/>
        <w:bidi w:val="0"/>
        <w:adjustRightInd w:val="0"/>
        <w:ind w:firstLine="708"/>
        <w:jc w:val="both"/>
        <w:rPr>
          <w:rFonts w:ascii="Times New Roman" w:hAnsi="Times New Roman" w:cs="Times New Roman"/>
          <w:color w:val="000000"/>
        </w:rPr>
      </w:pPr>
      <w:r w:rsidRPr="00C30226">
        <w:rPr>
          <w:rFonts w:ascii="Times New Roman" w:hAnsi="Times New Roman" w:cs="Times New Roman"/>
          <w:b/>
          <w:color w:val="000000"/>
        </w:rPr>
        <w:t>Ústavný zákon č. 493/2011</w:t>
      </w:r>
      <w:r w:rsidRPr="00C30226" w:rsidR="00857FC7">
        <w:rPr>
          <w:rFonts w:ascii="Times New Roman" w:hAnsi="Times New Roman" w:cs="Times New Roman"/>
          <w:b/>
          <w:color w:val="000000"/>
        </w:rPr>
        <w:t xml:space="preserve"> Z. z. </w:t>
      </w:r>
      <w:r w:rsidRPr="00C30226">
        <w:rPr>
          <w:rFonts w:ascii="Times New Roman" w:hAnsi="Times New Roman" w:cs="Times New Roman"/>
          <w:b/>
          <w:color w:val="000000"/>
        </w:rPr>
        <w:t>o rozpočtovej zodpovednosti</w:t>
      </w:r>
      <w:r w:rsidRPr="00C30226">
        <w:rPr>
          <w:rFonts w:ascii="Times New Roman" w:hAnsi="Times New Roman" w:cs="Times New Roman"/>
          <w:color w:val="000000"/>
        </w:rPr>
        <w:t xml:space="preserve"> (článok 9 odsek 4) zaviedol povinnosť v rozpočte verejnej správy uvádzať údaje o daňových výdavkoch. Motiváciou pre zavedenie tejto povinnosti je najmä zvýšenie transparentnosti rozpočtu, ktorá by pomohla objektívnejšie posúdiť politiky realizované vládou SR. Navyše, akékoľvek ďalšie pravidl</w:t>
      </w:r>
      <w:r w:rsidRPr="00C30226" w:rsidR="00857FC7">
        <w:rPr>
          <w:rFonts w:ascii="Times New Roman" w:hAnsi="Times New Roman" w:cs="Times New Roman"/>
          <w:color w:val="000000"/>
        </w:rPr>
        <w:t>á</w:t>
      </w:r>
      <w:r w:rsidRPr="00C30226">
        <w:rPr>
          <w:rFonts w:ascii="Times New Roman" w:hAnsi="Times New Roman" w:cs="Times New Roman"/>
          <w:color w:val="000000"/>
        </w:rPr>
        <w:t xml:space="preserve"> zvyšujúce rozpočtovú disciplínu (napríklad výdavkové stropy) by sa bez vykazovania daňových výdavkov mohli minúť účinkom</w:t>
      </w:r>
      <w:r>
        <w:rPr>
          <w:rStyle w:val="FootnoteReference"/>
          <w:rFonts w:ascii="Times New Roman" w:hAnsi="Times New Roman"/>
          <w:color w:val="000000"/>
          <w:rtl w:val="0"/>
        </w:rPr>
        <w:footnoteReference w:id="10"/>
      </w:r>
      <w:r w:rsidRPr="00C30226">
        <w:rPr>
          <w:rFonts w:ascii="Times New Roman" w:hAnsi="Times New Roman" w:cs="Times New Roman"/>
          <w:color w:val="000000"/>
        </w:rPr>
        <w:t>.</w:t>
      </w:r>
    </w:p>
    <w:p w:rsidR="00D32E4A" w:rsidRPr="00C30226" w:rsidP="00D32E4A">
      <w:pPr>
        <w:autoSpaceDE w:val="0"/>
        <w:autoSpaceDN w:val="0"/>
        <w:bidi w:val="0"/>
        <w:adjustRightInd w:val="0"/>
        <w:jc w:val="both"/>
        <w:rPr>
          <w:rFonts w:ascii="Times New Roman" w:hAnsi="Times New Roman" w:cs="Times New Roman"/>
          <w:color w:val="000000"/>
        </w:rPr>
      </w:pPr>
    </w:p>
    <w:p w:rsidR="00D32E4A" w:rsidP="000A045E">
      <w:pPr>
        <w:autoSpaceDE w:val="0"/>
        <w:autoSpaceDN w:val="0"/>
        <w:bidi w:val="0"/>
        <w:adjustRightInd w:val="0"/>
        <w:ind w:firstLine="708"/>
        <w:jc w:val="both"/>
        <w:rPr>
          <w:rFonts w:ascii="Times New Roman" w:hAnsi="Times New Roman" w:cs="Times New Roman"/>
          <w:color w:val="000000"/>
          <w:sz w:val="22"/>
          <w:szCs w:val="22"/>
        </w:rPr>
      </w:pPr>
      <w:r w:rsidRPr="00C30226">
        <w:rPr>
          <w:rFonts w:ascii="Times New Roman" w:hAnsi="Times New Roman" w:cs="Times New Roman"/>
          <w:color w:val="000000"/>
        </w:rPr>
        <w:t xml:space="preserve">Presná definícia daňového výdavku (v angl. terminológii </w:t>
      </w:r>
      <w:r w:rsidRPr="00C30226">
        <w:rPr>
          <w:rFonts w:ascii="Times New Roman" w:hAnsi="Times New Roman" w:cs="Times New Roman"/>
          <w:i/>
          <w:color w:val="000000"/>
        </w:rPr>
        <w:t>tax expenditure</w:t>
      </w:r>
      <w:r w:rsidRPr="00C30226">
        <w:rPr>
          <w:rFonts w:ascii="Times New Roman" w:hAnsi="Times New Roman" w:cs="Times New Roman"/>
          <w:color w:val="000000"/>
        </w:rPr>
        <w:t>) nie je v ústavnom zákone uvedená, pričom ani odborná literatúra v súčasnosti neposkytuje jednoznačnú definíciu daňových výdavkov ani spôsob ich vyčíslenia</w:t>
      </w:r>
      <w:r>
        <w:rPr>
          <w:rStyle w:val="FootnoteReference"/>
          <w:rFonts w:ascii="Times New Roman" w:hAnsi="Times New Roman"/>
          <w:color w:val="000000"/>
          <w:rtl w:val="0"/>
        </w:rPr>
        <w:footnoteReference w:id="11"/>
      </w:r>
      <w:r w:rsidRPr="00C30226">
        <w:rPr>
          <w:rFonts w:ascii="Times New Roman" w:hAnsi="Times New Roman" w:cs="Times New Roman"/>
          <w:color w:val="000000"/>
        </w:rPr>
        <w:t xml:space="preserve">. Prezentáciu daňových </w:t>
      </w:r>
      <w:r w:rsidRPr="00857FC7">
        <w:rPr>
          <w:rFonts w:ascii="Times New Roman" w:hAnsi="Times New Roman" w:cs="Times New Roman"/>
          <w:color w:val="000000"/>
          <w:szCs w:val="22"/>
        </w:rPr>
        <w:t>výdavkov v tomto rozpočte je preto potrebné vnímať ako prvý návrh metodiky, ktorá bude postupne v budúcnosti spresňovaná. Rovnako nie je možné dnes kvantifikovať všetky daňové výdavky, predovšetkým z dôvodu nedostupnosti údajov. Pozornosť sme venovali najmä opatreniam s najväčším rozpočtovým vplyvom</w:t>
      </w:r>
      <w:r w:rsidRPr="000A045E">
        <w:rPr>
          <w:rFonts w:ascii="Times New Roman" w:hAnsi="Times New Roman" w:cs="Times New Roman"/>
          <w:color w:val="000000"/>
          <w:sz w:val="22"/>
          <w:szCs w:val="22"/>
        </w:rPr>
        <w:t>.</w:t>
      </w:r>
    </w:p>
    <w:p w:rsidR="00B052BD" w:rsidP="000A045E">
      <w:pPr>
        <w:autoSpaceDE w:val="0"/>
        <w:autoSpaceDN w:val="0"/>
        <w:bidi w:val="0"/>
        <w:adjustRightInd w:val="0"/>
        <w:ind w:firstLine="708"/>
        <w:jc w:val="both"/>
        <w:rPr>
          <w:rFonts w:ascii="Times New Roman" w:hAnsi="Times New Roman" w:cs="Times New Roman"/>
        </w:rPr>
      </w:pPr>
    </w:p>
    <w:p w:rsidR="00D32E4A" w:rsidRPr="00857FC7" w:rsidP="000A045E">
      <w:pPr>
        <w:autoSpaceDE w:val="0"/>
        <w:autoSpaceDN w:val="0"/>
        <w:bidi w:val="0"/>
        <w:adjustRightInd w:val="0"/>
        <w:ind w:firstLine="708"/>
        <w:jc w:val="both"/>
        <w:rPr>
          <w:rFonts w:ascii="Times New Roman" w:hAnsi="Times New Roman" w:cs="Times New Roman"/>
          <w:color w:val="000000"/>
        </w:rPr>
      </w:pPr>
      <w:r w:rsidRPr="00857FC7">
        <w:rPr>
          <w:rFonts w:ascii="Times New Roman" w:hAnsi="Times New Roman" w:cs="Times New Roman"/>
        </w:rPr>
        <w:t>Vo</w:t>
      </w:r>
      <w:r w:rsidRPr="00857FC7">
        <w:rPr>
          <w:rFonts w:ascii="Times New Roman" w:hAnsi="Times New Roman" w:cs="Times New Roman"/>
          <w:color w:val="000000"/>
        </w:rPr>
        <w:t xml:space="preserve"> všeobecnosti </w:t>
      </w:r>
      <w:r w:rsidRPr="00857FC7">
        <w:rPr>
          <w:rFonts w:ascii="Times New Roman" w:hAnsi="Times New Roman" w:cs="Times New Roman"/>
          <w:b/>
          <w:color w:val="000000"/>
        </w:rPr>
        <w:t>možno za daňový výdavok označiť odchýlku medzi platným daňovým systémom a hypotetickým daňovým systémom</w:t>
      </w:r>
      <w:r w:rsidRPr="00857FC7">
        <w:rPr>
          <w:rFonts w:ascii="Times New Roman" w:hAnsi="Times New Roman" w:cs="Times New Roman"/>
          <w:color w:val="000000"/>
        </w:rPr>
        <w:t>, ktorý by neobsahoval žiadne daňové úľavy</w:t>
      </w:r>
      <w:r>
        <w:rPr>
          <w:rStyle w:val="FootnoteReference"/>
          <w:rFonts w:ascii="Times New Roman" w:hAnsi="Times New Roman"/>
          <w:color w:val="000000"/>
          <w:rtl w:val="0"/>
        </w:rPr>
        <w:footnoteReference w:id="12"/>
      </w:r>
      <w:r w:rsidRPr="00857FC7">
        <w:rPr>
          <w:rFonts w:ascii="Times New Roman" w:hAnsi="Times New Roman" w:cs="Times New Roman"/>
          <w:color w:val="000000"/>
        </w:rPr>
        <w:t xml:space="preserve"> (ďalej označovaný ako </w:t>
      </w:r>
      <w:r w:rsidRPr="00857FC7">
        <w:rPr>
          <w:rFonts w:ascii="Times New Roman" w:hAnsi="Times New Roman" w:cs="Times New Roman"/>
          <w:i/>
          <w:color w:val="000000"/>
        </w:rPr>
        <w:t>ben</w:t>
      </w:r>
      <w:r w:rsidR="007007E9">
        <w:rPr>
          <w:rFonts w:ascii="Times New Roman" w:hAnsi="Times New Roman" w:cs="Times New Roman"/>
          <w:i/>
          <w:color w:val="000000"/>
        </w:rPr>
        <w:t>č</w:t>
      </w:r>
      <w:r w:rsidRPr="00857FC7">
        <w:rPr>
          <w:rFonts w:ascii="Times New Roman" w:hAnsi="Times New Roman" w:cs="Times New Roman"/>
          <w:i/>
          <w:color w:val="000000"/>
        </w:rPr>
        <w:t>mark</w:t>
      </w:r>
      <w:r w:rsidRPr="00857FC7">
        <w:rPr>
          <w:rFonts w:ascii="Times New Roman" w:hAnsi="Times New Roman" w:cs="Times New Roman"/>
          <w:color w:val="000000"/>
        </w:rPr>
        <w:t>). Výsledkom takéhoto porov</w:t>
      </w:r>
      <w:r w:rsidR="007007E9">
        <w:rPr>
          <w:rFonts w:ascii="Times New Roman" w:hAnsi="Times New Roman" w:cs="Times New Roman"/>
          <w:color w:val="000000"/>
        </w:rPr>
        <w:t>nania je suma daňových výdavkov</w:t>
      </w:r>
      <w:r w:rsidRPr="00857FC7">
        <w:rPr>
          <w:rFonts w:ascii="Times New Roman" w:hAnsi="Times New Roman" w:cs="Times New Roman"/>
          <w:color w:val="000000"/>
        </w:rPr>
        <w:t xml:space="preserve"> rovná hypotetickej strate daňových príjmov. Aj keď pod daňovým výdavkom sa vo väčšine prípadov rozumie zníženie dane, existujú aj prípady, kedy môžeme hovoriť o negatívnom daňovom výdavku, teda dodatočnom selektívnom zdanení</w:t>
      </w:r>
      <w:r>
        <w:rPr>
          <w:rStyle w:val="FootnoteReference"/>
          <w:rFonts w:ascii="Times New Roman" w:hAnsi="Times New Roman"/>
          <w:color w:val="000000"/>
          <w:rtl w:val="0"/>
        </w:rPr>
        <w:footnoteReference w:id="13"/>
      </w:r>
      <w:r w:rsidRPr="00857FC7">
        <w:rPr>
          <w:rFonts w:ascii="Times New Roman" w:hAnsi="Times New Roman" w:cs="Times New Roman"/>
          <w:color w:val="000000"/>
        </w:rPr>
        <w:t xml:space="preserve">. V takom prípade dodatočne získaná daň znižuje celkovú úroveň daňových výdavkov. Podľa slovenského ústavného zákona sú daňovými výdavkami len </w:t>
      </w:r>
      <w:r w:rsidRPr="00857FC7">
        <w:rPr>
          <w:rFonts w:ascii="Times New Roman" w:hAnsi="Times New Roman" w:cs="Times New Roman"/>
          <w:b/>
          <w:i/>
          <w:color w:val="000000"/>
        </w:rPr>
        <w:t>„položky, ktoré znižujú príjem rozpočtu verejnej správy z daní a z poistného a príspevkov platených do poistných fondov“</w:t>
      </w:r>
      <w:r w:rsidRPr="00857FC7">
        <w:rPr>
          <w:rFonts w:ascii="Times New Roman" w:hAnsi="Times New Roman" w:cs="Times New Roman"/>
          <w:b/>
          <w:color w:val="000000"/>
        </w:rPr>
        <w:t>.</w:t>
      </w:r>
      <w:r w:rsidRPr="00857FC7">
        <w:rPr>
          <w:rFonts w:ascii="Times New Roman" w:hAnsi="Times New Roman" w:cs="Times New Roman"/>
          <w:color w:val="000000"/>
        </w:rPr>
        <w:t xml:space="preserve"> </w:t>
      </w:r>
    </w:p>
    <w:p w:rsidR="00D32E4A" w:rsidRPr="00857FC7" w:rsidP="00D32E4A">
      <w:pPr>
        <w:autoSpaceDE w:val="0"/>
        <w:autoSpaceDN w:val="0"/>
        <w:bidi w:val="0"/>
        <w:adjustRightInd w:val="0"/>
        <w:jc w:val="both"/>
        <w:rPr>
          <w:rFonts w:ascii="Times New Roman" w:hAnsi="Times New Roman" w:cs="Times New Roman"/>
          <w:color w:val="000000"/>
        </w:rPr>
      </w:pPr>
    </w:p>
    <w:p w:rsidR="00D32E4A" w:rsidRPr="00857FC7" w:rsidP="000A045E">
      <w:pPr>
        <w:bidi w:val="0"/>
        <w:spacing w:after="120"/>
        <w:ind w:firstLine="708"/>
        <w:jc w:val="both"/>
        <w:rPr>
          <w:rFonts w:ascii="Times New Roman" w:hAnsi="Times New Roman" w:cs="Times New Roman"/>
          <w:color w:val="000000"/>
        </w:rPr>
      </w:pPr>
      <w:r w:rsidR="007007E9">
        <w:rPr>
          <w:rFonts w:ascii="Times New Roman" w:hAnsi="Times New Roman" w:cs="Times New Roman"/>
          <w:color w:val="000000"/>
        </w:rPr>
        <w:t>Stanovenie benč</w:t>
      </w:r>
      <w:r w:rsidRPr="00857FC7">
        <w:rPr>
          <w:rFonts w:ascii="Times New Roman" w:hAnsi="Times New Roman" w:cs="Times New Roman"/>
          <w:color w:val="000000"/>
        </w:rPr>
        <w:t>marku pre výpočet daňových výdavkov je pomerne komplikované</w:t>
      </w:r>
      <w:r>
        <w:rPr>
          <w:rStyle w:val="FootnoteReference"/>
          <w:rFonts w:ascii="Times New Roman" w:hAnsi="Times New Roman"/>
          <w:color w:val="000000"/>
          <w:rtl w:val="0"/>
        </w:rPr>
        <w:footnoteReference w:id="14"/>
      </w:r>
      <w:r w:rsidRPr="00857FC7">
        <w:rPr>
          <w:rFonts w:ascii="Times New Roman" w:hAnsi="Times New Roman" w:cs="Times New Roman"/>
          <w:color w:val="000000"/>
        </w:rPr>
        <w:t xml:space="preserve"> najmä preto, že nie je </w:t>
      </w:r>
      <w:r w:rsidR="007007E9">
        <w:rPr>
          <w:rFonts w:ascii="Times New Roman" w:hAnsi="Times New Roman" w:cs="Times New Roman"/>
          <w:color w:val="000000"/>
        </w:rPr>
        <w:t>zrejmé</w:t>
      </w:r>
      <w:r w:rsidRPr="00857FC7">
        <w:rPr>
          <w:rFonts w:ascii="Times New Roman" w:hAnsi="Times New Roman" w:cs="Times New Roman"/>
          <w:color w:val="000000"/>
        </w:rPr>
        <w:t>, ktoré prvky daňového systému súčasťou takéhoto ben</w:t>
      </w:r>
      <w:r w:rsidR="007007E9">
        <w:rPr>
          <w:rFonts w:ascii="Times New Roman" w:hAnsi="Times New Roman" w:cs="Times New Roman"/>
          <w:color w:val="000000"/>
        </w:rPr>
        <w:t>č</w:t>
      </w:r>
      <w:r w:rsidRPr="00857FC7">
        <w:rPr>
          <w:rFonts w:ascii="Times New Roman" w:hAnsi="Times New Roman" w:cs="Times New Roman"/>
          <w:color w:val="000000"/>
        </w:rPr>
        <w:t>marku sú (sú „prirodzenou“ súčasťou daňového systému)</w:t>
      </w:r>
      <w:r w:rsidR="007007E9">
        <w:rPr>
          <w:rFonts w:ascii="Times New Roman" w:hAnsi="Times New Roman" w:cs="Times New Roman"/>
          <w:color w:val="000000"/>
        </w:rPr>
        <w:t>,</w:t>
      </w:r>
      <w:r w:rsidRPr="00857FC7">
        <w:rPr>
          <w:rFonts w:ascii="Times New Roman" w:hAnsi="Times New Roman" w:cs="Times New Roman"/>
          <w:color w:val="000000"/>
        </w:rPr>
        <w:t xml:space="preserve"> a ktoré nie</w:t>
      </w:r>
      <w:r>
        <w:rPr>
          <w:rStyle w:val="FootnoteReference"/>
          <w:rFonts w:ascii="Times New Roman" w:hAnsi="Times New Roman"/>
          <w:color w:val="000000"/>
          <w:rtl w:val="0"/>
        </w:rPr>
        <w:footnoteReference w:id="15"/>
      </w:r>
      <w:r w:rsidRPr="00857FC7">
        <w:rPr>
          <w:rFonts w:ascii="Times New Roman" w:hAnsi="Times New Roman" w:cs="Times New Roman"/>
          <w:color w:val="000000"/>
        </w:rPr>
        <w:t>.  Na to, aby daná daňová úľava</w:t>
      </w:r>
      <w:r w:rsidR="007007E9">
        <w:rPr>
          <w:rFonts w:ascii="Times New Roman" w:hAnsi="Times New Roman" w:cs="Times New Roman"/>
          <w:color w:val="000000"/>
        </w:rPr>
        <w:t>,</w:t>
      </w:r>
      <w:r w:rsidRPr="00857FC7">
        <w:rPr>
          <w:rFonts w:ascii="Times New Roman" w:hAnsi="Times New Roman" w:cs="Times New Roman"/>
          <w:color w:val="000000"/>
        </w:rPr>
        <w:t xml:space="preserve"> resp. špeciálny daňový režim mohol byť z pohľadu MF SR klasifikovaný ako daňový výdavok, mal by súčasne spĺňať obe nasledujúce podmienky:  </w:t>
      </w:r>
    </w:p>
    <w:p w:rsidR="00D32E4A" w:rsidRPr="00857FC7" w:rsidP="00782B39">
      <w:pPr>
        <w:pStyle w:val="ListParagraph"/>
        <w:numPr>
          <w:numId w:val="11"/>
        </w:numPr>
        <w:bidi w:val="0"/>
        <w:contextualSpacing w:val="0"/>
        <w:jc w:val="both"/>
        <w:rPr>
          <w:rFonts w:ascii="Times New Roman" w:hAnsi="Times New Roman" w:cs="Times New Roman"/>
          <w:b/>
          <w:color w:val="000000"/>
        </w:rPr>
      </w:pPr>
      <w:r w:rsidRPr="00857FC7">
        <w:rPr>
          <w:rFonts w:ascii="Times New Roman" w:hAnsi="Times New Roman" w:cs="Times New Roman"/>
          <w:b/>
          <w:color w:val="000000"/>
        </w:rPr>
        <w:t xml:space="preserve">vplyv na príjmy a saldo hospodárenia verejnej správy </w:t>
      </w:r>
      <w:r w:rsidRPr="00857FC7">
        <w:rPr>
          <w:rFonts w:ascii="Times New Roman" w:hAnsi="Times New Roman" w:cs="Times New Roman"/>
          <w:color w:val="000000"/>
        </w:rPr>
        <w:t>– daňovým výdavkom je také opatrenie, ktoré znižuje príjmy verejnej správy. V niektorých prípadoch je dôležité okrem vplyvu na príjmy sledovať aj vplyv na saldo verejnej správy. Typickým príkladom sú napr.  štátne sociálne dávky (ich zdanenie by automaticky viedlo k zvýšeniu výdavkov verejnej správy, keďže z pohľadu záchrannej siete sú podstatné disponibilné príjmy obyvateľov v hmotnej núdzi)</w:t>
      </w:r>
      <w:r w:rsidR="0007141F">
        <w:rPr>
          <w:rFonts w:ascii="Times New Roman" w:hAnsi="Times New Roman" w:cs="Times New Roman"/>
          <w:color w:val="000000"/>
        </w:rPr>
        <w:t>;</w:t>
      </w:r>
    </w:p>
    <w:p w:rsidR="00D32E4A" w:rsidRPr="00857FC7" w:rsidP="00782B39">
      <w:pPr>
        <w:pStyle w:val="ListParagraph"/>
        <w:numPr>
          <w:numId w:val="11"/>
        </w:numPr>
        <w:bidi w:val="0"/>
        <w:contextualSpacing w:val="0"/>
        <w:jc w:val="both"/>
        <w:rPr>
          <w:rFonts w:ascii="Times New Roman" w:hAnsi="Times New Roman" w:cs="Times New Roman"/>
          <w:color w:val="000000"/>
        </w:rPr>
      </w:pPr>
      <w:r w:rsidRPr="00857FC7">
        <w:rPr>
          <w:rFonts w:ascii="Times New Roman" w:hAnsi="Times New Roman" w:cs="Times New Roman"/>
          <w:b/>
        </w:rPr>
        <w:t>selektívnosť</w:t>
      </w:r>
      <w:r w:rsidRPr="00857FC7">
        <w:rPr>
          <w:rFonts w:ascii="Times New Roman" w:hAnsi="Times New Roman" w:cs="Times New Roman"/>
          <w:color w:val="000000"/>
        </w:rPr>
        <w:t xml:space="preserve"> </w:t>
      </w:r>
      <w:r w:rsidRPr="00857FC7" w:rsidR="000A045E">
        <w:rPr>
          <w:rFonts w:ascii="Times New Roman" w:hAnsi="Times New Roman" w:cs="Times New Roman"/>
          <w:b/>
          <w:color w:val="000000"/>
        </w:rPr>
        <w:t>–</w:t>
      </w:r>
      <w:r w:rsidRPr="00857FC7">
        <w:rPr>
          <w:rFonts w:ascii="Times New Roman" w:hAnsi="Times New Roman" w:cs="Times New Roman"/>
          <w:b/>
          <w:color w:val="000000"/>
        </w:rPr>
        <w:t xml:space="preserve"> </w:t>
      </w:r>
      <w:r w:rsidRPr="00857FC7">
        <w:rPr>
          <w:rFonts w:ascii="Times New Roman" w:hAnsi="Times New Roman" w:cs="Times New Roman"/>
          <w:color w:val="000000"/>
        </w:rPr>
        <w:t>úľava</w:t>
      </w:r>
      <w:r w:rsidRPr="00857FC7" w:rsidR="000A045E">
        <w:rPr>
          <w:rFonts w:ascii="Times New Roman" w:hAnsi="Times New Roman" w:cs="Times New Roman"/>
          <w:color w:val="000000"/>
        </w:rPr>
        <w:t xml:space="preserve"> </w:t>
      </w:r>
      <w:r w:rsidRPr="00857FC7">
        <w:rPr>
          <w:rFonts w:ascii="Times New Roman" w:hAnsi="Times New Roman" w:cs="Times New Roman"/>
          <w:color w:val="000000"/>
        </w:rPr>
        <w:t>nie je plošná, ale je určená iba pre vybrané osoby, príjmy, spotrebu, transakcie alebo majetok.</w:t>
      </w:r>
    </w:p>
    <w:p w:rsidR="00D32E4A" w:rsidRPr="00857FC7" w:rsidP="00D32E4A">
      <w:pPr>
        <w:bidi w:val="0"/>
        <w:jc w:val="both"/>
        <w:rPr>
          <w:rFonts w:ascii="Times New Roman" w:hAnsi="Times New Roman" w:cs="Times New Roman"/>
          <w:color w:val="000000"/>
        </w:rPr>
      </w:pPr>
    </w:p>
    <w:p w:rsidR="00D32E4A" w:rsidRPr="00857FC7" w:rsidP="000A045E">
      <w:pPr>
        <w:bidi w:val="0"/>
        <w:ind w:firstLine="708"/>
        <w:jc w:val="both"/>
        <w:rPr>
          <w:rFonts w:ascii="Times New Roman" w:hAnsi="Times New Roman" w:cs="Times New Roman"/>
          <w:color w:val="000000"/>
        </w:rPr>
      </w:pPr>
      <w:r w:rsidRPr="00857FC7">
        <w:rPr>
          <w:rFonts w:ascii="Times New Roman" w:hAnsi="Times New Roman" w:cs="Times New Roman"/>
          <w:color w:val="000000"/>
        </w:rPr>
        <w:t>Existencia niektorých daňových výdavkov nevyhnutne neznamená, že ide o zlé nástroje verejnej politiky. Niektoré nástroje hospodárskej politiky, najmä v oblasti trhu práce, si častokrát vyžadujú interakciu opatrení v rámci viacerých súborov nástrojov (napr. daňovo-dávkové systémy). V takom prípade môže byť poskytovanie zvýhodnení cez daňový systém najefektívnejšie, administratívne najjednoduchšie a najlacnejšie. Veľkú úlohu pritom zohrávajú práve náklady na administrovanie opatrení, ktoré je aj napriek tomu, že ide o náhradu výdavkovej subvencie, menej nákladné spravovať cez daňový systém (príkladom môže byť zamestnanecká prémia).</w:t>
      </w:r>
    </w:p>
    <w:p w:rsidR="00B052BD" w:rsidP="000A045E">
      <w:pPr>
        <w:bidi w:val="0"/>
        <w:ind w:firstLine="708"/>
        <w:jc w:val="both"/>
        <w:rPr>
          <w:rFonts w:ascii="Times New Roman" w:hAnsi="Times New Roman" w:cs="Times New Roman"/>
          <w:color w:val="000000"/>
        </w:rPr>
      </w:pPr>
    </w:p>
    <w:p w:rsidR="00D32E4A" w:rsidRPr="00857FC7" w:rsidP="000A045E">
      <w:pPr>
        <w:bidi w:val="0"/>
        <w:ind w:firstLine="708"/>
        <w:jc w:val="both"/>
        <w:rPr>
          <w:rFonts w:ascii="Times New Roman" w:hAnsi="Times New Roman" w:cs="Times New Roman"/>
          <w:color w:val="000000"/>
        </w:rPr>
      </w:pPr>
      <w:r w:rsidRPr="00857FC7">
        <w:rPr>
          <w:rFonts w:ascii="Times New Roman" w:hAnsi="Times New Roman" w:cs="Times New Roman"/>
          <w:color w:val="000000"/>
        </w:rPr>
        <w:t>Pri definovaní ben</w:t>
      </w:r>
      <w:r w:rsidR="0007141F">
        <w:rPr>
          <w:rFonts w:ascii="Times New Roman" w:hAnsi="Times New Roman" w:cs="Times New Roman"/>
          <w:color w:val="000000"/>
        </w:rPr>
        <w:t>č</w:t>
      </w:r>
      <w:r w:rsidRPr="00857FC7">
        <w:rPr>
          <w:rFonts w:ascii="Times New Roman" w:hAnsi="Times New Roman" w:cs="Times New Roman"/>
          <w:color w:val="000000"/>
        </w:rPr>
        <w:t>marku sa vychádza primárne z existujúceho, a nie „ideálneho“ daňového systému. Takýto prístup obmedzuje rozsah diskusie, ktorá by bola spojená so snahou definovať „ideálny“ daňový systém. Na druhej strane, v prípade výraznej daňovej reformy v budúcnosti bude zrejme potrebné dnes stanovený ben</w:t>
      </w:r>
      <w:r w:rsidR="0007141F">
        <w:rPr>
          <w:rFonts w:ascii="Times New Roman" w:hAnsi="Times New Roman" w:cs="Times New Roman"/>
          <w:color w:val="000000"/>
        </w:rPr>
        <w:t>č</w:t>
      </w:r>
      <w:r w:rsidRPr="00857FC7">
        <w:rPr>
          <w:rFonts w:ascii="Times New Roman" w:hAnsi="Times New Roman" w:cs="Times New Roman"/>
          <w:color w:val="000000"/>
        </w:rPr>
        <w:t>mark upravovať. S tým sú spojené aj problémy s interpretáciou vývoja daňových výdavkov v čase, keďže prípadné zmeny ben</w:t>
      </w:r>
      <w:r w:rsidR="0007141F">
        <w:rPr>
          <w:rFonts w:ascii="Times New Roman" w:hAnsi="Times New Roman" w:cs="Times New Roman"/>
          <w:color w:val="000000"/>
        </w:rPr>
        <w:t>č</w:t>
      </w:r>
      <w:r w:rsidRPr="00857FC7">
        <w:rPr>
          <w:rFonts w:ascii="Times New Roman" w:hAnsi="Times New Roman" w:cs="Times New Roman"/>
          <w:color w:val="000000"/>
        </w:rPr>
        <w:t xml:space="preserve">marku narúšajú konzistentnosť výpočtov medzi jednotlivými rokmi. </w:t>
      </w:r>
    </w:p>
    <w:p w:rsidR="00D32E4A" w:rsidRPr="00857FC7" w:rsidP="00D32E4A">
      <w:pPr>
        <w:bidi w:val="0"/>
        <w:rPr>
          <w:rFonts w:ascii="Times New Roman" w:hAnsi="Times New Roman" w:cs="Times New Roman"/>
          <w:color w:val="000000"/>
        </w:rPr>
      </w:pPr>
    </w:p>
    <w:tbl>
      <w:tblPr>
        <w:tblStyle w:val="TableNormal"/>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141"/>
      </w:tblGrid>
      <w:tr>
        <w:tblPrEx>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96"/>
          <w:jc w:val="center"/>
        </w:trPr>
        <w:tc>
          <w:tcPr>
            <w:tcW w:w="9141"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D32E4A" w:rsidRPr="000A045E" w:rsidP="00BF6F02">
            <w:pPr>
              <w:bidi w:val="0"/>
              <w:rPr>
                <w:rFonts w:ascii="Times New Roman" w:hAnsi="Times New Roman"/>
                <w:b/>
                <w:i/>
                <w:sz w:val="20"/>
                <w:szCs w:val="20"/>
              </w:rPr>
            </w:pPr>
            <w:bookmarkStart w:id="46" w:name="_Toc323117600"/>
          </w:p>
          <w:p w:rsidR="00D32E4A" w:rsidRPr="00BF6F02" w:rsidP="00BF6F02">
            <w:pPr>
              <w:bidi w:val="0"/>
              <w:rPr>
                <w:rFonts w:ascii="Times New Roman" w:hAnsi="Times New Roman"/>
                <w:b/>
                <w:i/>
                <w:sz w:val="20"/>
              </w:rPr>
            </w:pPr>
            <w:r w:rsidRPr="00BF6F02">
              <w:rPr>
                <w:rFonts w:ascii="Times New Roman" w:hAnsi="Times New Roman"/>
                <w:b/>
                <w:i/>
                <w:sz w:val="20"/>
              </w:rPr>
              <w:t xml:space="preserve">BOX  </w:t>
            </w:r>
            <w:bookmarkEnd w:id="46"/>
            <w:r w:rsidRPr="00BF6F02">
              <w:rPr>
                <w:rFonts w:ascii="Times New Roman" w:hAnsi="Times New Roman"/>
                <w:b/>
                <w:i/>
                <w:sz w:val="20"/>
              </w:rPr>
              <w:t>- Príklad definovania ben</w:t>
            </w:r>
            <w:r w:rsidRPr="00BF6F02" w:rsidR="0007141F">
              <w:rPr>
                <w:rFonts w:ascii="Times New Roman" w:hAnsi="Times New Roman"/>
                <w:b/>
                <w:i/>
                <w:sz w:val="20"/>
              </w:rPr>
              <w:t>č</w:t>
            </w:r>
            <w:r w:rsidRPr="00BF6F02">
              <w:rPr>
                <w:rFonts w:ascii="Times New Roman" w:hAnsi="Times New Roman"/>
                <w:b/>
                <w:i/>
                <w:sz w:val="20"/>
              </w:rPr>
              <w:t>marku pre DPFO</w:t>
            </w:r>
          </w:p>
          <w:p w:rsidR="00D32E4A" w:rsidRPr="000A045E" w:rsidP="00BF6F02">
            <w:pPr>
              <w:bidi w:val="0"/>
              <w:jc w:val="both"/>
              <w:rPr>
                <w:rFonts w:ascii="Times New Roman" w:hAnsi="Times New Roman" w:cs="Times New Roman"/>
                <w:b/>
                <w:sz w:val="20"/>
              </w:rPr>
            </w:pPr>
          </w:p>
          <w:p w:rsidR="00D32E4A" w:rsidRPr="000A045E" w:rsidP="00BF6F02">
            <w:pPr>
              <w:bidi w:val="0"/>
              <w:jc w:val="both"/>
              <w:rPr>
                <w:rFonts w:ascii="Times New Roman" w:hAnsi="Times New Roman" w:cs="Times New Roman"/>
                <w:sz w:val="20"/>
              </w:rPr>
            </w:pPr>
            <w:r w:rsidRPr="000A045E">
              <w:rPr>
                <w:rFonts w:ascii="Times New Roman" w:hAnsi="Times New Roman" w:cs="Times New Roman"/>
                <w:sz w:val="20"/>
              </w:rPr>
              <w:t>Daň z príjmov fyzických osôb upravuje zákon č. 595/2003 Z. z. o dani z príjmov. Z pohľadu daňových výdavkov ide zrejme o najkompli</w:t>
            </w:r>
            <w:r w:rsidR="0007141F">
              <w:rPr>
                <w:rFonts w:ascii="Times New Roman" w:hAnsi="Times New Roman" w:cs="Times New Roman"/>
                <w:sz w:val="20"/>
              </w:rPr>
              <w:t>kovanejšiu daň a stanovenie benč</w:t>
            </w:r>
            <w:r w:rsidRPr="000A045E">
              <w:rPr>
                <w:rFonts w:ascii="Times New Roman" w:hAnsi="Times New Roman" w:cs="Times New Roman"/>
                <w:sz w:val="20"/>
              </w:rPr>
              <w:t>marku pri tejto dan</w:t>
            </w:r>
            <w:r w:rsidR="0007141F">
              <w:rPr>
                <w:rFonts w:ascii="Times New Roman" w:hAnsi="Times New Roman" w:cs="Times New Roman"/>
                <w:sz w:val="20"/>
              </w:rPr>
              <w:t>i</w:t>
            </w:r>
            <w:r w:rsidRPr="000A045E">
              <w:rPr>
                <w:rFonts w:ascii="Times New Roman" w:hAnsi="Times New Roman" w:cs="Times New Roman"/>
                <w:sz w:val="20"/>
              </w:rPr>
              <w:t xml:space="preserve"> zvykne byť sprevádzané širokou diskusiou. Nasledujúci text uvádza najdôležitejšie časti zákona o dani z príjmov fyzických osôb, ktoré MF SR považuje za štrukturálnu súčasť slovenského daňového systému (ben</w:t>
            </w:r>
            <w:r w:rsidR="0007141F">
              <w:rPr>
                <w:rFonts w:ascii="Times New Roman" w:hAnsi="Times New Roman" w:cs="Times New Roman"/>
                <w:sz w:val="20"/>
              </w:rPr>
              <w:t>č</w:t>
            </w:r>
            <w:r w:rsidRPr="000A045E">
              <w:rPr>
                <w:rFonts w:ascii="Times New Roman" w:hAnsi="Times New Roman" w:cs="Times New Roman"/>
                <w:sz w:val="20"/>
              </w:rPr>
              <w:t xml:space="preserve">mark), </w:t>
            </w:r>
            <w:r w:rsidRPr="000A045E">
              <w:rPr>
                <w:rFonts w:ascii="Times New Roman" w:hAnsi="Times New Roman" w:cs="Times New Roman"/>
                <w:b/>
                <w:sz w:val="20"/>
                <w:u w:val="single"/>
              </w:rPr>
              <w:t>a teda nie sú daňovými výdavkami:</w:t>
            </w:r>
            <w:r w:rsidRPr="000A045E">
              <w:rPr>
                <w:rFonts w:ascii="Times New Roman" w:hAnsi="Times New Roman" w:cs="Times New Roman"/>
                <w:sz w:val="20"/>
              </w:rPr>
              <w:t xml:space="preserve"> </w:t>
            </w:r>
          </w:p>
          <w:p w:rsidR="00D32E4A" w:rsidRPr="000A045E" w:rsidP="00BF6F02">
            <w:pPr>
              <w:bidi w:val="0"/>
              <w:jc w:val="both"/>
              <w:rPr>
                <w:rFonts w:ascii="Times New Roman" w:hAnsi="Times New Roman" w:cs="Times New Roman"/>
                <w:sz w:val="20"/>
              </w:rPr>
            </w:pPr>
          </w:p>
          <w:p w:rsidR="00D32E4A" w:rsidRPr="000A045E" w:rsidP="00BF6F02">
            <w:pPr>
              <w:bidi w:val="0"/>
              <w:jc w:val="both"/>
              <w:rPr>
                <w:rFonts w:ascii="Times New Roman" w:hAnsi="Times New Roman" w:cs="Times New Roman"/>
                <w:sz w:val="20"/>
              </w:rPr>
            </w:pPr>
            <w:r w:rsidRPr="000A045E">
              <w:rPr>
                <w:rFonts w:ascii="Times New Roman" w:hAnsi="Times New Roman" w:cs="Times New Roman"/>
                <w:b/>
                <w:sz w:val="20"/>
              </w:rPr>
              <w:t>Sadzby dane a daňové pásma</w:t>
            </w:r>
            <w:r w:rsidRPr="000A045E">
              <w:rPr>
                <w:rFonts w:ascii="Times New Roman" w:hAnsi="Times New Roman" w:cs="Times New Roman"/>
                <w:sz w:val="20"/>
              </w:rPr>
              <w:t xml:space="preserve"> (§</w:t>
            </w:r>
            <w:r w:rsidR="0007141F">
              <w:rPr>
                <w:rFonts w:ascii="Times New Roman" w:hAnsi="Times New Roman" w:cs="Times New Roman"/>
                <w:sz w:val="20"/>
              </w:rPr>
              <w:t xml:space="preserve"> </w:t>
            </w:r>
            <w:r w:rsidRPr="000A045E">
              <w:rPr>
                <w:rFonts w:ascii="Times New Roman" w:hAnsi="Times New Roman" w:cs="Times New Roman"/>
                <w:sz w:val="20"/>
              </w:rPr>
              <w:t>15 písm. a). Ide o neselektívne súčasti daňového systému, ktoré vyjadrujú celospoločenskú úroveň a progresivitu zdanenia (progresivita sa vníma ako implicitná súčasť zdaňovania príjmov fyzických osôb). Aj v prípade aktuálnych daňových zmien, ktoré znovuzavádzajú viacero sadzieb a daňových pás</w:t>
            </w:r>
            <w:r w:rsidR="0007141F">
              <w:rPr>
                <w:rFonts w:ascii="Times New Roman" w:hAnsi="Times New Roman" w:cs="Times New Roman"/>
                <w:sz w:val="20"/>
              </w:rPr>
              <w:t>i</w:t>
            </w:r>
            <w:r w:rsidRPr="000A045E">
              <w:rPr>
                <w:rFonts w:ascii="Times New Roman" w:hAnsi="Times New Roman" w:cs="Times New Roman"/>
                <w:sz w:val="20"/>
              </w:rPr>
              <w:t>em hovoríme o zmene ben</w:t>
            </w:r>
            <w:r w:rsidR="0007141F">
              <w:rPr>
                <w:rFonts w:ascii="Times New Roman" w:hAnsi="Times New Roman" w:cs="Times New Roman"/>
                <w:sz w:val="20"/>
              </w:rPr>
              <w:t>č</w:t>
            </w:r>
            <w:r w:rsidRPr="000A045E">
              <w:rPr>
                <w:rFonts w:ascii="Times New Roman" w:hAnsi="Times New Roman" w:cs="Times New Roman"/>
                <w:sz w:val="20"/>
              </w:rPr>
              <w:t>marku, bez vplyvu na výšku daňových výdavkov.</w:t>
            </w:r>
          </w:p>
          <w:p w:rsidR="00D32E4A" w:rsidRPr="000A045E" w:rsidP="00BF6F02">
            <w:pPr>
              <w:bidi w:val="0"/>
              <w:jc w:val="both"/>
              <w:rPr>
                <w:rFonts w:ascii="Times New Roman" w:hAnsi="Times New Roman" w:cs="Times New Roman"/>
                <w:sz w:val="20"/>
              </w:rPr>
            </w:pPr>
          </w:p>
          <w:p w:rsidR="00D32E4A" w:rsidRPr="000A045E" w:rsidP="00BF6F02">
            <w:pPr>
              <w:bidi w:val="0"/>
              <w:jc w:val="both"/>
              <w:rPr>
                <w:rFonts w:ascii="Times New Roman" w:hAnsi="Times New Roman" w:cs="Times New Roman"/>
                <w:sz w:val="20"/>
              </w:rPr>
            </w:pPr>
            <w:r w:rsidRPr="000A045E">
              <w:rPr>
                <w:rFonts w:ascii="Times New Roman" w:hAnsi="Times New Roman" w:cs="Times New Roman"/>
                <w:b/>
                <w:sz w:val="20"/>
              </w:rPr>
              <w:t>Základná nezdaniteľná časť základu dane (NČZD) na daňovníka</w:t>
            </w:r>
            <w:r w:rsidRPr="000A045E">
              <w:rPr>
                <w:rFonts w:ascii="Times New Roman" w:hAnsi="Times New Roman" w:cs="Times New Roman"/>
                <w:sz w:val="20"/>
              </w:rPr>
              <w:t xml:space="preserve"> (§ 11 ods. 2 písm. a). Nakoľko nespĺňa podmienku selektívneho opatrenia pre určitú skupinu daňovníkov (nárok vzniká každému daňovníkovi), nemôže byť definovaná ako daňový výdavok. Spolu so sadzbou dane tvoria základnú štruktúru zdanenia. </w:t>
            </w:r>
          </w:p>
          <w:p w:rsidR="00D32E4A" w:rsidRPr="000A045E" w:rsidP="00BF6F02">
            <w:pPr>
              <w:bidi w:val="0"/>
              <w:jc w:val="both"/>
              <w:rPr>
                <w:rFonts w:ascii="Times New Roman" w:hAnsi="Times New Roman" w:cs="Times New Roman"/>
                <w:sz w:val="20"/>
              </w:rPr>
            </w:pPr>
          </w:p>
          <w:p w:rsidR="00D32E4A" w:rsidRPr="0007141F" w:rsidP="00BF6F02">
            <w:pPr>
              <w:bidi w:val="0"/>
              <w:jc w:val="both"/>
              <w:rPr>
                <w:rFonts w:ascii="Times New Roman" w:hAnsi="Times New Roman" w:cs="Times New Roman"/>
                <w:b/>
                <w:sz w:val="20"/>
              </w:rPr>
            </w:pPr>
            <w:r w:rsidRPr="000A045E">
              <w:rPr>
                <w:rFonts w:ascii="Times New Roman" w:hAnsi="Times New Roman" w:cs="Times New Roman"/>
                <w:b/>
                <w:sz w:val="20"/>
              </w:rPr>
              <w:t>Degresivita NČZD</w:t>
            </w:r>
            <w:r w:rsidRPr="000A045E">
              <w:rPr>
                <w:rFonts w:ascii="Times New Roman" w:hAnsi="Times New Roman" w:cs="Times New Roman"/>
                <w:sz w:val="20"/>
              </w:rPr>
              <w:t xml:space="preserve"> zavedená v roku 2007 (§ 11 ods.</w:t>
            </w:r>
            <w:r w:rsidR="0007141F">
              <w:rPr>
                <w:rFonts w:ascii="Times New Roman" w:hAnsi="Times New Roman" w:cs="Times New Roman"/>
                <w:sz w:val="20"/>
              </w:rPr>
              <w:t xml:space="preserve"> </w:t>
            </w:r>
            <w:r w:rsidRPr="000A045E">
              <w:rPr>
                <w:rFonts w:ascii="Times New Roman" w:hAnsi="Times New Roman" w:cs="Times New Roman"/>
                <w:sz w:val="20"/>
              </w:rPr>
              <w:t>2 písm. b) by mohla byť vnímaná ako selektívne obmedzenie NČZD pre vysokopríjmových daňovníkov, a teda chápaná ako negatívny daňový výdavok. No ak vychádzame z predpokladu, že za ben</w:t>
            </w:r>
            <w:r w:rsidR="0007141F">
              <w:rPr>
                <w:rFonts w:ascii="Times New Roman" w:hAnsi="Times New Roman" w:cs="Times New Roman"/>
                <w:sz w:val="20"/>
              </w:rPr>
              <w:t>č</w:t>
            </w:r>
            <w:r w:rsidRPr="000A045E">
              <w:rPr>
                <w:rFonts w:ascii="Times New Roman" w:hAnsi="Times New Roman" w:cs="Times New Roman"/>
                <w:sz w:val="20"/>
              </w:rPr>
              <w:t>mark pokladáme všetky daňové sadzby a pásma, degresivita NČZD predstavuje iba ďalšiu úpravu ben</w:t>
            </w:r>
            <w:r w:rsidR="0007141F">
              <w:rPr>
                <w:rFonts w:ascii="Times New Roman" w:hAnsi="Times New Roman" w:cs="Times New Roman"/>
                <w:sz w:val="20"/>
              </w:rPr>
              <w:t>č</w:t>
            </w:r>
            <w:r w:rsidRPr="000A045E">
              <w:rPr>
                <w:rFonts w:ascii="Times New Roman" w:hAnsi="Times New Roman" w:cs="Times New Roman"/>
                <w:sz w:val="20"/>
              </w:rPr>
              <w:t>marku. Logiku tohto argumentu možno ilustrovať príkladom. V prípade, ak by sa prijala daňová reforma s dvomi sadzbami a tromi daňovými pásmami (prvé nulové by bolo vo výške dnešnej NČZD), stále je možné dosiahnuť identické daňové zaťaženie ako dnes (s jednou sadzbou a degresívnou NČZD). Najvyššia daňová sadzba by pritom plnila identickú úlohu ako degresivita NČZD, a preto by sme tieto dv</w:t>
            </w:r>
            <w:r w:rsidR="0007141F">
              <w:rPr>
                <w:rFonts w:ascii="Times New Roman" w:hAnsi="Times New Roman" w:cs="Times New Roman"/>
                <w:sz w:val="20"/>
              </w:rPr>
              <w:t>e</w:t>
            </w:r>
            <w:r w:rsidRPr="000A045E">
              <w:rPr>
                <w:rFonts w:ascii="Times New Roman" w:hAnsi="Times New Roman" w:cs="Times New Roman"/>
                <w:sz w:val="20"/>
              </w:rPr>
              <w:t xml:space="preserve"> alternatívy mali z pohľadu daňových výdavkov klasifikovať rovnako. </w:t>
            </w:r>
            <w:r w:rsidRPr="000A045E">
              <w:rPr>
                <w:rFonts w:ascii="Times New Roman" w:hAnsi="Times New Roman" w:cs="Times New Roman"/>
                <w:b/>
                <w:sz w:val="20"/>
              </w:rPr>
              <w:t>Degresívna NČZD je v podstate alternatívou druhej, vyššej sadzby dane, a preto argument o selektívnosti neplatí</w:t>
            </w:r>
            <w:r w:rsidR="0007141F">
              <w:rPr>
                <w:rFonts w:ascii="Times New Roman" w:hAnsi="Times New Roman" w:cs="Times New Roman"/>
                <w:b/>
                <w:sz w:val="20"/>
              </w:rPr>
              <w:t>.</w:t>
            </w:r>
          </w:p>
          <w:p w:rsidR="00D32E4A" w:rsidRPr="000A045E" w:rsidP="00BF6F02">
            <w:pPr>
              <w:bidi w:val="0"/>
              <w:jc w:val="both"/>
              <w:rPr>
                <w:rFonts w:ascii="Times New Roman" w:hAnsi="Times New Roman" w:cs="Times New Roman"/>
                <w:b/>
                <w:color w:val="FF0000"/>
                <w:sz w:val="20"/>
              </w:rPr>
            </w:pPr>
          </w:p>
          <w:p w:rsidR="00D32E4A" w:rsidRPr="000A045E" w:rsidP="00BF6F02">
            <w:pPr>
              <w:bidi w:val="0"/>
              <w:jc w:val="both"/>
              <w:rPr>
                <w:rFonts w:ascii="Times New Roman" w:hAnsi="Times New Roman" w:cs="Times New Roman"/>
                <w:sz w:val="20"/>
              </w:rPr>
            </w:pPr>
            <w:r w:rsidRPr="000A045E">
              <w:rPr>
                <w:rFonts w:ascii="Times New Roman" w:hAnsi="Times New Roman" w:cs="Times New Roman"/>
                <w:sz w:val="20"/>
              </w:rPr>
              <w:t xml:space="preserve">Oslobodenie príjmov vychádzajúce z </w:t>
            </w:r>
            <w:r w:rsidRPr="000A045E">
              <w:rPr>
                <w:rFonts w:ascii="Times New Roman" w:hAnsi="Times New Roman" w:cs="Times New Roman"/>
                <w:b/>
                <w:sz w:val="20"/>
              </w:rPr>
              <w:t>rešpektovania medzinárodných zmlúv</w:t>
            </w:r>
            <w:r w:rsidRPr="000A045E">
              <w:rPr>
                <w:rFonts w:ascii="Times New Roman" w:hAnsi="Times New Roman" w:cs="Times New Roman"/>
                <w:sz w:val="20"/>
              </w:rPr>
              <w:t xml:space="preserve"> v oblasti daní a iných medzinárodných zmlúv (zmluvy o zamedzení dvojitého zdanenia).</w:t>
            </w:r>
          </w:p>
          <w:p w:rsidR="00D32E4A" w:rsidRPr="000A045E" w:rsidP="00BF6F02">
            <w:pPr>
              <w:bidi w:val="0"/>
              <w:jc w:val="both"/>
              <w:rPr>
                <w:rFonts w:ascii="Times New Roman" w:hAnsi="Times New Roman" w:cs="Times New Roman"/>
                <w:b/>
                <w:color w:val="FF0000"/>
                <w:sz w:val="20"/>
              </w:rPr>
            </w:pPr>
          </w:p>
          <w:p w:rsidR="00D32E4A" w:rsidRPr="000A045E" w:rsidP="00BF6F02">
            <w:pPr>
              <w:bidi w:val="0"/>
              <w:rPr>
                <w:rFonts w:ascii="Times New Roman" w:hAnsi="Times New Roman" w:cs="Times New Roman"/>
              </w:rPr>
            </w:pPr>
          </w:p>
        </w:tc>
      </w:tr>
    </w:tbl>
    <w:p w:rsidR="00D32E4A" w:rsidRPr="000A045E" w:rsidP="00D32E4A">
      <w:pPr>
        <w:bidi w:val="0"/>
        <w:rPr>
          <w:rFonts w:ascii="Times New Roman" w:hAnsi="Times New Roman" w:cs="Times New Roman"/>
          <w:color w:val="000000"/>
          <w:szCs w:val="22"/>
        </w:rPr>
      </w:pPr>
    </w:p>
    <w:p w:rsidR="00D32E4A" w:rsidRPr="000A045E" w:rsidP="000A045E">
      <w:pPr>
        <w:autoSpaceDE w:val="0"/>
        <w:autoSpaceDN w:val="0"/>
        <w:bidi w:val="0"/>
        <w:adjustRightInd w:val="0"/>
        <w:ind w:firstLine="708"/>
        <w:jc w:val="both"/>
        <w:rPr>
          <w:rFonts w:ascii="Times New Roman" w:hAnsi="Times New Roman" w:cs="Times New Roman"/>
          <w:color w:val="000000"/>
          <w:szCs w:val="22"/>
        </w:rPr>
      </w:pPr>
      <w:r w:rsidRPr="000A045E">
        <w:rPr>
          <w:rFonts w:ascii="Times New Roman" w:hAnsi="Times New Roman" w:cs="Times New Roman"/>
          <w:color w:val="000000"/>
          <w:szCs w:val="22"/>
        </w:rPr>
        <w:t>Daňové výdavky je možné rozdeliť do niekoľkých základných skupín podľa toho, akým spôsobom sa v daňovej legislatíve daňové úľa</w:t>
      </w:r>
      <w:r w:rsidR="000A045E">
        <w:rPr>
          <w:rFonts w:ascii="Times New Roman" w:hAnsi="Times New Roman" w:cs="Times New Roman"/>
          <w:color w:val="000000"/>
          <w:szCs w:val="22"/>
        </w:rPr>
        <w:t>vy a špeciálne režimy uplatňujú</w:t>
      </w:r>
      <w:r w:rsidRPr="000A045E">
        <w:rPr>
          <w:rFonts w:ascii="Times New Roman" w:hAnsi="Times New Roman" w:cs="Times New Roman"/>
          <w:color w:val="000000"/>
          <w:szCs w:val="22"/>
        </w:rPr>
        <w:t xml:space="preserve">: </w:t>
      </w:r>
    </w:p>
    <w:p w:rsidR="00D32E4A" w:rsidRPr="000A045E" w:rsidP="00D32E4A">
      <w:pPr>
        <w:bidi w:val="0"/>
        <w:rPr>
          <w:rFonts w:ascii="Times New Roman" w:hAnsi="Times New Roman" w:cs="Times New Roman"/>
          <w:sz w:val="28"/>
        </w:rPr>
      </w:pPr>
    </w:p>
    <w:p w:rsidR="00D32E4A" w:rsidRPr="000A045E" w:rsidP="00782B39">
      <w:pPr>
        <w:pStyle w:val="ListParagraph"/>
        <w:numPr>
          <w:numId w:val="13"/>
        </w:numPr>
        <w:bidi w:val="0"/>
        <w:spacing w:after="120"/>
        <w:ind w:left="330"/>
        <w:contextualSpacing w:val="0"/>
        <w:jc w:val="both"/>
        <w:rPr>
          <w:rFonts w:ascii="Times New Roman" w:hAnsi="Times New Roman" w:cs="Times New Roman"/>
          <w:b/>
        </w:rPr>
      </w:pPr>
      <w:r w:rsidRPr="000A045E">
        <w:rPr>
          <w:rFonts w:ascii="Times New Roman" w:hAnsi="Times New Roman" w:cs="Times New Roman"/>
          <w:b/>
        </w:rPr>
        <w:t>Zdaniteľné osoby</w:t>
      </w:r>
    </w:p>
    <w:p w:rsidR="00D32E4A" w:rsidRPr="000A045E" w:rsidP="000A045E">
      <w:pPr>
        <w:bidi w:val="0"/>
        <w:ind w:firstLine="708"/>
        <w:jc w:val="both"/>
        <w:rPr>
          <w:rFonts w:ascii="Times New Roman" w:hAnsi="Times New Roman" w:cs="Times New Roman"/>
          <w:color w:val="000000"/>
        </w:rPr>
      </w:pPr>
      <w:r w:rsidRPr="000A045E">
        <w:rPr>
          <w:rFonts w:ascii="Times New Roman" w:hAnsi="Times New Roman" w:cs="Times New Roman"/>
          <w:color w:val="000000"/>
        </w:rPr>
        <w:t xml:space="preserve">V niektorých prípadoch daňová legislatíva definuje skupiny osôb, ktoré sú oslobodené od dane.  </w:t>
      </w:r>
    </w:p>
    <w:p w:rsidR="00D32E4A" w:rsidRPr="000A045E" w:rsidP="000A045E">
      <w:pPr>
        <w:bidi w:val="0"/>
        <w:jc w:val="both"/>
        <w:rPr>
          <w:rFonts w:ascii="Times New Roman" w:hAnsi="Times New Roman" w:cs="Times New Roman"/>
          <w:color w:val="000000"/>
        </w:rPr>
      </w:pPr>
      <w:r w:rsidRPr="000A045E" w:rsidR="000A045E">
        <w:rPr>
          <w:rFonts w:ascii="Times New Roman" w:hAnsi="Times New Roman" w:cs="Times New Roman"/>
          <w:color w:val="000000"/>
        </w:rPr>
        <w:t xml:space="preserve"> </w:t>
      </w:r>
    </w:p>
    <w:p w:rsidR="00D32E4A" w:rsidRPr="000A045E" w:rsidP="00782B39">
      <w:pPr>
        <w:pStyle w:val="ListParagraph"/>
        <w:numPr>
          <w:numId w:val="14"/>
        </w:numPr>
        <w:bidi w:val="0"/>
        <w:spacing w:after="120"/>
        <w:ind w:left="426" w:hanging="142"/>
        <w:contextualSpacing w:val="0"/>
        <w:jc w:val="both"/>
        <w:rPr>
          <w:rFonts w:ascii="Times New Roman" w:hAnsi="Times New Roman" w:cs="Times New Roman"/>
          <w:color w:val="000000"/>
        </w:rPr>
      </w:pPr>
      <w:r w:rsidRPr="000A045E">
        <w:rPr>
          <w:rFonts w:ascii="Times New Roman" w:hAnsi="Times New Roman" w:cs="Times New Roman"/>
          <w:b/>
          <w:i/>
        </w:rPr>
        <w:t>Priamo</w:t>
      </w:r>
      <w:r w:rsidRPr="000A045E">
        <w:rPr>
          <w:rFonts w:ascii="Times New Roman" w:hAnsi="Times New Roman" w:cs="Times New Roman"/>
          <w:color w:val="000000"/>
        </w:rPr>
        <w:t xml:space="preserve"> </w:t>
      </w:r>
    </w:p>
    <w:p w:rsidR="00D32E4A" w:rsidP="000A045E">
      <w:pPr>
        <w:pStyle w:val="ListParagraph"/>
        <w:bidi w:val="0"/>
        <w:spacing w:after="120"/>
        <w:ind w:left="0" w:firstLine="708"/>
        <w:jc w:val="both"/>
        <w:rPr>
          <w:rFonts w:ascii="Times New Roman" w:hAnsi="Times New Roman" w:cs="Times New Roman"/>
          <w:color w:val="000000"/>
        </w:rPr>
      </w:pPr>
      <w:r w:rsidRPr="000A045E">
        <w:rPr>
          <w:rFonts w:ascii="Times New Roman" w:hAnsi="Times New Roman" w:cs="Times New Roman"/>
          <w:color w:val="000000"/>
        </w:rPr>
        <w:t>Zákon priamo identifikuje fyzické alebo právnické osoby nepodliehajúce zdaneniu.</w:t>
      </w:r>
    </w:p>
    <w:p w:rsidR="00BF6F02" w:rsidRPr="000A045E" w:rsidP="000A045E">
      <w:pPr>
        <w:pStyle w:val="ListParagraph"/>
        <w:bidi w:val="0"/>
        <w:spacing w:after="120"/>
        <w:ind w:left="0" w:firstLine="708"/>
        <w:jc w:val="both"/>
        <w:rPr>
          <w:rFonts w:ascii="Times New Roman" w:hAnsi="Times New Roman" w:cs="Times New Roman"/>
          <w:color w:val="000000"/>
        </w:rPr>
      </w:pPr>
    </w:p>
    <w:p w:rsidR="00D32E4A" w:rsidRPr="000A045E" w:rsidP="00782B39">
      <w:pPr>
        <w:pStyle w:val="ListParagraph"/>
        <w:numPr>
          <w:numId w:val="14"/>
        </w:numPr>
        <w:bidi w:val="0"/>
        <w:spacing w:after="120"/>
        <w:ind w:left="426" w:hanging="142"/>
        <w:contextualSpacing w:val="0"/>
        <w:jc w:val="both"/>
        <w:rPr>
          <w:rFonts w:ascii="Times New Roman" w:hAnsi="Times New Roman" w:cs="Times New Roman"/>
          <w:color w:val="000000"/>
        </w:rPr>
      </w:pPr>
      <w:r w:rsidRPr="000A045E">
        <w:rPr>
          <w:rFonts w:ascii="Times New Roman" w:hAnsi="Times New Roman" w:cs="Times New Roman"/>
          <w:b/>
          <w:i/>
        </w:rPr>
        <w:t>Nepriamo</w:t>
      </w:r>
    </w:p>
    <w:p w:rsidR="00D32E4A" w:rsidRPr="000A045E" w:rsidP="000A045E">
      <w:pPr>
        <w:pStyle w:val="ListParagraph"/>
        <w:bidi w:val="0"/>
        <w:spacing w:after="120"/>
        <w:ind w:left="0" w:firstLine="708"/>
        <w:jc w:val="both"/>
        <w:rPr>
          <w:rFonts w:ascii="Times New Roman" w:hAnsi="Times New Roman" w:cs="Times New Roman"/>
          <w:color w:val="000000"/>
        </w:rPr>
      </w:pPr>
      <w:r w:rsidRPr="000A045E">
        <w:rPr>
          <w:rFonts w:ascii="Times New Roman" w:hAnsi="Times New Roman" w:cs="Times New Roman"/>
        </w:rPr>
        <w:t xml:space="preserve">Zákon stanovuje </w:t>
      </w:r>
      <w:r w:rsidRPr="000A045E">
        <w:rPr>
          <w:rFonts w:ascii="Times New Roman" w:hAnsi="Times New Roman" w:cs="Times New Roman"/>
          <w:color w:val="000000"/>
        </w:rPr>
        <w:t>podmienku, ktor</w:t>
      </w:r>
      <w:r w:rsidR="0007141F">
        <w:rPr>
          <w:rFonts w:ascii="Times New Roman" w:hAnsi="Times New Roman" w:cs="Times New Roman"/>
          <w:color w:val="000000"/>
        </w:rPr>
        <w:t>ú</w:t>
      </w:r>
      <w:r w:rsidRPr="000A045E">
        <w:rPr>
          <w:rFonts w:ascii="Times New Roman" w:hAnsi="Times New Roman" w:cs="Times New Roman"/>
          <w:color w:val="000000"/>
        </w:rPr>
        <w:t xml:space="preserve"> daná skupina osôb musí splniť (limit príjmov pre registráciu na DPH alebo limit príjmov pre povinnosť platiť sociálne odvody). </w:t>
      </w:r>
    </w:p>
    <w:p w:rsidR="000A045E" w:rsidP="000A045E">
      <w:pPr>
        <w:pStyle w:val="ListParagraph"/>
        <w:bidi w:val="0"/>
        <w:spacing w:after="120"/>
        <w:ind w:left="0" w:firstLine="708"/>
        <w:jc w:val="both"/>
        <w:rPr>
          <w:rFonts w:ascii="Times New Roman" w:hAnsi="Times New Roman" w:cs="Times New Roman"/>
          <w:color w:val="000000"/>
        </w:rPr>
      </w:pPr>
    </w:p>
    <w:p w:rsidR="00B052BD" w:rsidP="000A045E">
      <w:pPr>
        <w:pStyle w:val="ListParagraph"/>
        <w:bidi w:val="0"/>
        <w:spacing w:after="120"/>
        <w:ind w:left="0" w:firstLine="708"/>
        <w:jc w:val="both"/>
        <w:rPr>
          <w:rFonts w:ascii="Times New Roman" w:hAnsi="Times New Roman" w:cs="Times New Roman"/>
          <w:color w:val="000000"/>
        </w:rPr>
      </w:pPr>
    </w:p>
    <w:p w:rsidR="00B052BD" w:rsidRPr="000A045E" w:rsidP="000A045E">
      <w:pPr>
        <w:pStyle w:val="ListParagraph"/>
        <w:bidi w:val="0"/>
        <w:spacing w:after="120"/>
        <w:ind w:left="0" w:firstLine="708"/>
        <w:jc w:val="both"/>
        <w:rPr>
          <w:rFonts w:ascii="Times New Roman" w:hAnsi="Times New Roman" w:cs="Times New Roman"/>
          <w:color w:val="000000"/>
        </w:rPr>
      </w:pPr>
    </w:p>
    <w:p w:rsidR="00D32E4A" w:rsidRPr="000A045E" w:rsidP="00782B39">
      <w:pPr>
        <w:pStyle w:val="ListParagraph"/>
        <w:numPr>
          <w:numId w:val="14"/>
        </w:numPr>
        <w:bidi w:val="0"/>
        <w:spacing w:after="120"/>
        <w:ind w:left="426" w:hanging="142"/>
        <w:contextualSpacing w:val="0"/>
        <w:jc w:val="both"/>
        <w:rPr>
          <w:rFonts w:ascii="Times New Roman" w:hAnsi="Times New Roman" w:cs="Times New Roman"/>
          <w:color w:val="000000"/>
        </w:rPr>
      </w:pPr>
      <w:r w:rsidRPr="000A045E">
        <w:rPr>
          <w:rFonts w:ascii="Times New Roman" w:hAnsi="Times New Roman" w:cs="Times New Roman"/>
          <w:b/>
          <w:i/>
        </w:rPr>
        <w:t>Špecifickým prípadom</w:t>
      </w:r>
    </w:p>
    <w:p w:rsidR="00D32E4A" w:rsidP="000A045E">
      <w:pPr>
        <w:pStyle w:val="ListParagraph"/>
        <w:bidi w:val="0"/>
        <w:spacing w:after="120"/>
        <w:ind w:left="0" w:firstLine="708"/>
        <w:jc w:val="both"/>
        <w:rPr>
          <w:rFonts w:ascii="Times New Roman" w:hAnsi="Times New Roman" w:cs="Times New Roman"/>
          <w:color w:val="000000"/>
        </w:rPr>
      </w:pPr>
      <w:r w:rsidRPr="000A045E">
        <w:rPr>
          <w:rFonts w:ascii="Times New Roman" w:hAnsi="Times New Roman" w:cs="Times New Roman"/>
          <w:color w:val="000000"/>
        </w:rPr>
        <w:t>Sociálne a zdravotné poistenie naopak definuje okruh povinne poistených osôb (osobný rozsah), a teda nie výnimky. V takomto prípade je pomerne zložité určiť, ktoré nezaťažené skupiny osôb by mali byť zdaňované, a teda patriť do ben</w:t>
      </w:r>
      <w:r w:rsidR="0007141F">
        <w:rPr>
          <w:rFonts w:ascii="Times New Roman" w:hAnsi="Times New Roman" w:cs="Times New Roman"/>
          <w:color w:val="000000"/>
        </w:rPr>
        <w:t>č</w:t>
      </w:r>
      <w:r w:rsidRPr="000A045E">
        <w:rPr>
          <w:rFonts w:ascii="Times New Roman" w:hAnsi="Times New Roman" w:cs="Times New Roman"/>
          <w:color w:val="000000"/>
        </w:rPr>
        <w:t>marku.</w:t>
      </w:r>
    </w:p>
    <w:p w:rsidR="000A045E" w:rsidRPr="000A045E" w:rsidP="000A045E">
      <w:pPr>
        <w:pStyle w:val="ListParagraph"/>
        <w:bidi w:val="0"/>
        <w:spacing w:after="120"/>
        <w:ind w:left="0" w:firstLine="708"/>
        <w:jc w:val="both"/>
        <w:rPr>
          <w:rFonts w:ascii="Times New Roman" w:hAnsi="Times New Roman" w:cs="Times New Roman"/>
          <w:color w:val="000000"/>
        </w:rPr>
      </w:pPr>
    </w:p>
    <w:p w:rsidR="00D32E4A" w:rsidRPr="000A045E" w:rsidP="00782B39">
      <w:pPr>
        <w:pStyle w:val="ListParagraph"/>
        <w:numPr>
          <w:numId w:val="13"/>
        </w:numPr>
        <w:bidi w:val="0"/>
        <w:spacing w:after="120"/>
        <w:ind w:left="440" w:hanging="425"/>
        <w:contextualSpacing w:val="0"/>
        <w:jc w:val="both"/>
        <w:rPr>
          <w:rFonts w:ascii="Times New Roman" w:hAnsi="Times New Roman" w:cs="Times New Roman"/>
          <w:b/>
        </w:rPr>
      </w:pPr>
      <w:r w:rsidRPr="000A045E">
        <w:rPr>
          <w:rFonts w:ascii="Times New Roman" w:hAnsi="Times New Roman" w:cs="Times New Roman"/>
          <w:b/>
        </w:rPr>
        <w:t xml:space="preserve">Základ dane </w:t>
      </w:r>
      <w:r w:rsidR="000A045E">
        <w:rPr>
          <w:rFonts w:ascii="Times New Roman" w:hAnsi="Times New Roman" w:cs="Times New Roman"/>
          <w:b/>
        </w:rPr>
        <w:t xml:space="preserve"> </w:t>
      </w:r>
    </w:p>
    <w:p w:rsidR="00D32E4A" w:rsidRPr="00E12138" w:rsidP="00E12138">
      <w:pPr>
        <w:bidi w:val="0"/>
        <w:ind w:firstLine="709"/>
        <w:jc w:val="both"/>
        <w:rPr>
          <w:rFonts w:ascii="Times New Roman" w:hAnsi="Times New Roman" w:cs="Times New Roman"/>
          <w:color w:val="000000"/>
          <w:szCs w:val="22"/>
        </w:rPr>
      </w:pPr>
      <w:r w:rsidRPr="00E12138">
        <w:rPr>
          <w:rFonts w:ascii="Times New Roman" w:hAnsi="Times New Roman" w:cs="Times New Roman"/>
          <w:color w:val="000000"/>
          <w:szCs w:val="22"/>
        </w:rPr>
        <w:t>Daňové zákony, na rozdiel od poistných fondov, priamo nedefinujú zdaniteľné osoby, ale zameriavajú sa primárne na zdaniteľný základ (príjem, pridaná hodnota, spotreba, majetok, transakcia). Výnimky môžu vo všeobecnosti nadobúdať tri formy:</w:t>
      </w:r>
    </w:p>
    <w:p w:rsidR="000A045E" w:rsidRPr="000A045E" w:rsidP="000A045E">
      <w:pPr>
        <w:bidi w:val="0"/>
        <w:ind w:firstLine="709"/>
        <w:jc w:val="both"/>
        <w:rPr>
          <w:rFonts w:ascii="Times New Roman" w:hAnsi="Times New Roman" w:cs="Times New Roman"/>
          <w:color w:val="000000"/>
          <w:sz w:val="22"/>
          <w:szCs w:val="22"/>
        </w:rPr>
      </w:pPr>
    </w:p>
    <w:p w:rsidR="00D32E4A" w:rsidRPr="000A045E" w:rsidP="00782B39">
      <w:pPr>
        <w:pStyle w:val="ListParagraph"/>
        <w:numPr>
          <w:numId w:val="15"/>
        </w:numPr>
        <w:bidi w:val="0"/>
        <w:spacing w:after="120"/>
        <w:ind w:left="426" w:hanging="142"/>
        <w:contextualSpacing w:val="0"/>
        <w:jc w:val="both"/>
        <w:rPr>
          <w:rFonts w:ascii="Times New Roman" w:hAnsi="Times New Roman" w:cs="Times New Roman"/>
          <w:b/>
          <w:i/>
        </w:rPr>
      </w:pPr>
      <w:r w:rsidRPr="000A045E">
        <w:rPr>
          <w:rFonts w:ascii="Times New Roman" w:hAnsi="Times New Roman" w:cs="Times New Roman"/>
          <w:b/>
          <w:i/>
        </w:rPr>
        <w:t>Výnimky z predmetu dane a oslobodenia od dane</w:t>
      </w:r>
    </w:p>
    <w:p w:rsidR="00D32E4A" w:rsidRPr="00E12138" w:rsidP="00E12138">
      <w:pPr>
        <w:bidi w:val="0"/>
        <w:ind w:firstLine="709"/>
        <w:jc w:val="both"/>
        <w:rPr>
          <w:rFonts w:ascii="Times New Roman" w:hAnsi="Times New Roman" w:cs="Times New Roman"/>
          <w:color w:val="000000"/>
          <w:szCs w:val="22"/>
        </w:rPr>
      </w:pPr>
      <w:r w:rsidRPr="00E12138">
        <w:rPr>
          <w:rFonts w:ascii="Times New Roman" w:hAnsi="Times New Roman" w:cs="Times New Roman"/>
          <w:color w:val="000000"/>
          <w:szCs w:val="22"/>
        </w:rPr>
        <w:t xml:space="preserve">Základným a zrejme najviac rozšíreným typom daňových výdavkov sú oslobodenia zo základu dane. V praxi to znamená že vo všeobecne definovanom základe dane existujú špecifické položky, ktoré buď </w:t>
      </w:r>
      <w:r w:rsidRPr="00E12138">
        <w:rPr>
          <w:rFonts w:ascii="Times New Roman" w:hAnsi="Times New Roman" w:cs="Times New Roman"/>
          <w:b/>
          <w:color w:val="000000"/>
          <w:szCs w:val="22"/>
        </w:rPr>
        <w:t>nie sú predmetom</w:t>
      </w:r>
      <w:r w:rsidRPr="00E12138">
        <w:rPr>
          <w:rFonts w:ascii="Times New Roman" w:hAnsi="Times New Roman" w:cs="Times New Roman"/>
          <w:color w:val="000000"/>
          <w:szCs w:val="22"/>
        </w:rPr>
        <w:t xml:space="preserve"> dane alebo sú </w:t>
      </w:r>
      <w:r w:rsidRPr="00E12138">
        <w:rPr>
          <w:rFonts w:ascii="Times New Roman" w:hAnsi="Times New Roman" w:cs="Times New Roman"/>
          <w:b/>
          <w:color w:val="000000"/>
          <w:szCs w:val="22"/>
        </w:rPr>
        <w:t>od dane oslobodené</w:t>
      </w:r>
      <w:r w:rsidRPr="00E12138">
        <w:rPr>
          <w:rFonts w:ascii="Times New Roman" w:hAnsi="Times New Roman" w:cs="Times New Roman"/>
          <w:color w:val="000000"/>
          <w:szCs w:val="22"/>
        </w:rPr>
        <w:t xml:space="preserve">. Je potrebné citlivo rozlišovať, či ide o objektívne príčiny (napr. medzinárodné dohody o zamedzení dvojitého zdanenia) alebo ide skutočne o selektívnu úľavu s vplyvom na príjmy verejnej správy. </w:t>
      </w:r>
    </w:p>
    <w:p w:rsidR="000A045E" w:rsidRPr="000A045E" w:rsidP="000A045E">
      <w:pPr>
        <w:bidi w:val="0"/>
        <w:ind w:firstLine="709"/>
        <w:jc w:val="both"/>
        <w:rPr>
          <w:rFonts w:ascii="Times New Roman" w:hAnsi="Times New Roman" w:cs="Times New Roman"/>
          <w:color w:val="000000"/>
          <w:sz w:val="22"/>
          <w:szCs w:val="22"/>
        </w:rPr>
      </w:pPr>
    </w:p>
    <w:p w:rsidR="00D32E4A" w:rsidRPr="000A045E" w:rsidP="00782B39">
      <w:pPr>
        <w:pStyle w:val="ListParagraph"/>
        <w:numPr>
          <w:numId w:val="15"/>
        </w:numPr>
        <w:bidi w:val="0"/>
        <w:spacing w:after="120"/>
        <w:ind w:left="426" w:hanging="142"/>
        <w:contextualSpacing w:val="0"/>
        <w:jc w:val="both"/>
        <w:rPr>
          <w:rFonts w:ascii="Times New Roman" w:hAnsi="Times New Roman" w:cs="Times New Roman"/>
          <w:b/>
          <w:i/>
        </w:rPr>
      </w:pPr>
      <w:r w:rsidRPr="000A045E">
        <w:rPr>
          <w:rFonts w:ascii="Times New Roman" w:hAnsi="Times New Roman" w:cs="Times New Roman"/>
          <w:b/>
          <w:i/>
        </w:rPr>
        <w:t xml:space="preserve">Nezdaniteľné časti základu dane a iné zníženia základu dane  </w:t>
      </w:r>
    </w:p>
    <w:p w:rsidR="00D32E4A" w:rsidRPr="00E12138" w:rsidP="00E12138">
      <w:pPr>
        <w:bidi w:val="0"/>
        <w:ind w:firstLine="709"/>
        <w:jc w:val="both"/>
        <w:rPr>
          <w:rFonts w:ascii="Times New Roman" w:hAnsi="Times New Roman" w:cs="Times New Roman"/>
          <w:color w:val="000000"/>
          <w:szCs w:val="22"/>
        </w:rPr>
      </w:pPr>
      <w:r w:rsidRPr="00E12138">
        <w:rPr>
          <w:rFonts w:ascii="Times New Roman" w:hAnsi="Times New Roman" w:cs="Times New Roman"/>
          <w:color w:val="000000"/>
          <w:szCs w:val="22"/>
        </w:rPr>
        <w:t>Najmä v prípade dane z príjmov existujú položky definované zákonom, ktoré selektívne znižujú vypočítaný základ dane. Ide o tzv. nezdaniteľné časti základu dane. V prípade sociálneho a zdravotného poistenia možno do tejto kategórie zaradiť koeficient, ktorým sa upravuje vymeriavací základ pre SZČO (do roku 2012 vo výške 2</w:t>
      </w:r>
      <w:r w:rsidR="00EA3A44">
        <w:rPr>
          <w:rFonts w:ascii="Times New Roman" w:hAnsi="Times New Roman" w:cs="Times New Roman"/>
          <w:color w:val="000000"/>
          <w:szCs w:val="22"/>
        </w:rPr>
        <w:t>,</w:t>
      </w:r>
      <w:r w:rsidRPr="00E12138">
        <w:rPr>
          <w:rFonts w:ascii="Times New Roman" w:hAnsi="Times New Roman" w:cs="Times New Roman"/>
          <w:color w:val="000000"/>
          <w:szCs w:val="22"/>
        </w:rPr>
        <w:t xml:space="preserve"> resp. 2,14), prípadne sumu poistného zaplateného v predošlom období, o ktorú si SZČO môže znížiť vymeriavací základ v danom roku. </w:t>
      </w:r>
    </w:p>
    <w:p w:rsidR="000A045E" w:rsidRPr="000A045E" w:rsidP="000A045E">
      <w:pPr>
        <w:bidi w:val="0"/>
        <w:ind w:firstLine="709"/>
        <w:jc w:val="both"/>
        <w:rPr>
          <w:rFonts w:ascii="Times New Roman" w:hAnsi="Times New Roman" w:cs="Times New Roman"/>
          <w:color w:val="000000"/>
          <w:sz w:val="22"/>
          <w:szCs w:val="22"/>
        </w:rPr>
      </w:pPr>
    </w:p>
    <w:p w:rsidR="00D32E4A" w:rsidRPr="000A045E" w:rsidP="00782B39">
      <w:pPr>
        <w:pStyle w:val="ListParagraph"/>
        <w:numPr>
          <w:numId w:val="15"/>
        </w:numPr>
        <w:bidi w:val="0"/>
        <w:spacing w:after="120"/>
        <w:ind w:left="426" w:hanging="142"/>
        <w:contextualSpacing w:val="0"/>
        <w:jc w:val="both"/>
        <w:rPr>
          <w:rFonts w:ascii="Times New Roman" w:hAnsi="Times New Roman" w:cs="Times New Roman"/>
          <w:b/>
          <w:i/>
        </w:rPr>
      </w:pPr>
      <w:r w:rsidRPr="000A045E">
        <w:rPr>
          <w:rFonts w:ascii="Times New Roman" w:hAnsi="Times New Roman" w:cs="Times New Roman"/>
          <w:b/>
          <w:i/>
        </w:rPr>
        <w:t xml:space="preserve">Iné  </w:t>
      </w:r>
    </w:p>
    <w:p w:rsidR="00D32E4A" w:rsidRPr="00E12138" w:rsidP="000A045E">
      <w:pPr>
        <w:bidi w:val="0"/>
        <w:ind w:firstLine="708"/>
        <w:jc w:val="both"/>
        <w:rPr>
          <w:rFonts w:ascii="Times New Roman" w:hAnsi="Times New Roman" w:cs="Times New Roman"/>
          <w:color w:val="000000"/>
          <w:szCs w:val="22"/>
        </w:rPr>
      </w:pPr>
      <w:r w:rsidRPr="00E12138">
        <w:rPr>
          <w:rFonts w:ascii="Times New Roman" w:hAnsi="Times New Roman" w:cs="Times New Roman"/>
          <w:color w:val="000000"/>
          <w:szCs w:val="22"/>
        </w:rPr>
        <w:t>Poslednú skupinu tvoria opatrenia s vplyvom na základ dane, ktoré nie je možné zaradiť medzi predošlé kategórie. Patrí sem napríklad umožnenie iného ako rovnomerného odpisovania</w:t>
      </w:r>
      <w:r>
        <w:rPr>
          <w:rStyle w:val="FootnoteReference"/>
          <w:rFonts w:ascii="Times New Roman" w:hAnsi="Times New Roman"/>
          <w:color w:val="000000"/>
          <w:szCs w:val="22"/>
          <w:rtl w:val="0"/>
        </w:rPr>
        <w:footnoteReference w:id="16"/>
      </w:r>
      <w:r w:rsidRPr="00E12138">
        <w:rPr>
          <w:rFonts w:ascii="Times New Roman" w:hAnsi="Times New Roman" w:cs="Times New Roman"/>
          <w:color w:val="000000"/>
          <w:szCs w:val="22"/>
        </w:rPr>
        <w:t xml:space="preserve"> (zrýchlené odpisovanie) alebo preferenčný režim pre finančný leasing. No patria sem aj niektoré negatívne daňové výdavky, napríklad nesúlad medzi maximálnym vymeriavacím základom pre platenie odvodov a maximálnym vymeriavacím základom, ktorý sa berie do úvahy pri výpočte dôchodku, či existencia minimálneho vymeriavacieho základu.</w:t>
      </w:r>
    </w:p>
    <w:p w:rsidR="00D32E4A" w:rsidRPr="000A045E" w:rsidP="00D32E4A">
      <w:pPr>
        <w:bidi w:val="0"/>
        <w:jc w:val="both"/>
        <w:rPr>
          <w:rFonts w:ascii="Times New Roman" w:hAnsi="Times New Roman" w:cs="Times New Roman"/>
          <w:color w:val="000000"/>
          <w:sz w:val="22"/>
          <w:szCs w:val="22"/>
        </w:rPr>
      </w:pPr>
    </w:p>
    <w:p w:rsidR="00D32E4A" w:rsidRPr="000A045E" w:rsidP="00782B39">
      <w:pPr>
        <w:pStyle w:val="ListParagraph"/>
        <w:numPr>
          <w:numId w:val="13"/>
        </w:numPr>
        <w:bidi w:val="0"/>
        <w:spacing w:after="120"/>
        <w:ind w:left="426" w:hanging="426"/>
        <w:contextualSpacing w:val="0"/>
        <w:jc w:val="both"/>
        <w:rPr>
          <w:rFonts w:ascii="Times New Roman" w:hAnsi="Times New Roman" w:cs="Times New Roman"/>
          <w:b/>
        </w:rPr>
      </w:pPr>
      <w:r w:rsidRPr="000A045E">
        <w:rPr>
          <w:rFonts w:ascii="Times New Roman" w:hAnsi="Times New Roman" w:cs="Times New Roman"/>
          <w:b/>
        </w:rPr>
        <w:t>Sadzba dane</w:t>
      </w:r>
    </w:p>
    <w:p w:rsidR="00D32E4A" w:rsidRPr="00E12138" w:rsidP="000A045E">
      <w:pPr>
        <w:bidi w:val="0"/>
        <w:ind w:firstLine="709"/>
        <w:jc w:val="both"/>
        <w:rPr>
          <w:rFonts w:ascii="Times New Roman" w:hAnsi="Times New Roman" w:cs="Times New Roman"/>
          <w:color w:val="000000"/>
        </w:rPr>
      </w:pPr>
      <w:r w:rsidRPr="00E12138">
        <w:rPr>
          <w:rFonts w:ascii="Times New Roman" w:hAnsi="Times New Roman" w:cs="Times New Roman"/>
          <w:color w:val="000000"/>
        </w:rPr>
        <w:t>Ďalšou často využívanou formou daňových výdavkov sú znížené sadzby dane.  Typickým príkladom môže byť daň z pridanej hodnoty, ktorá má v súčasnosti dve sadzby</w:t>
      </w:r>
      <w:r w:rsidR="00EA3A44">
        <w:rPr>
          <w:rFonts w:ascii="Times New Roman" w:hAnsi="Times New Roman" w:cs="Times New Roman"/>
          <w:color w:val="000000"/>
        </w:rPr>
        <w:t xml:space="preserve"> </w:t>
      </w:r>
      <w:r w:rsidRPr="00E12138">
        <w:rPr>
          <w:rFonts w:ascii="Times New Roman" w:hAnsi="Times New Roman" w:cs="Times New Roman"/>
          <w:color w:val="000000"/>
        </w:rPr>
        <w:t>(20% a 10%). Keďže zákon priamo definuje základnú, a teda ben</w:t>
      </w:r>
      <w:r w:rsidR="00EA3A44">
        <w:rPr>
          <w:rFonts w:ascii="Times New Roman" w:hAnsi="Times New Roman" w:cs="Times New Roman"/>
          <w:color w:val="000000"/>
        </w:rPr>
        <w:t>č</w:t>
      </w:r>
      <w:r w:rsidRPr="00E12138">
        <w:rPr>
          <w:rFonts w:ascii="Times New Roman" w:hAnsi="Times New Roman" w:cs="Times New Roman"/>
          <w:color w:val="000000"/>
        </w:rPr>
        <w:t>markovú sadzbu</w:t>
      </w:r>
      <w:r>
        <w:rPr>
          <w:rFonts w:ascii="Times New Roman" w:hAnsi="Times New Roman" w:cs="Times New Roman"/>
          <w:color w:val="000000"/>
          <w:vertAlign w:val="superscript"/>
          <w:rtl w:val="0"/>
        </w:rPr>
        <w:footnoteReference w:id="17"/>
      </w:r>
      <w:r w:rsidRPr="00E12138">
        <w:rPr>
          <w:rFonts w:ascii="Times New Roman" w:hAnsi="Times New Roman" w:cs="Times New Roman"/>
          <w:color w:val="000000"/>
        </w:rPr>
        <w:t>, daňový výdavok je možné určiť jednoznačne. V prípade dane z prímov však môže byť situácia oveľa komplikovanejšia (viď</w:t>
      </w:r>
      <w:r w:rsidR="00EA3A44">
        <w:rPr>
          <w:rFonts w:ascii="Times New Roman" w:hAnsi="Times New Roman" w:cs="Times New Roman"/>
          <w:color w:val="000000"/>
        </w:rPr>
        <w:t>.</w:t>
      </w:r>
      <w:r w:rsidRPr="00E12138">
        <w:rPr>
          <w:rFonts w:ascii="Times New Roman" w:hAnsi="Times New Roman" w:cs="Times New Roman"/>
          <w:color w:val="000000"/>
        </w:rPr>
        <w:t xml:space="preserve"> predchádzajúci box)</w:t>
      </w:r>
      <w:r w:rsidR="00EA3A44">
        <w:rPr>
          <w:rFonts w:ascii="Times New Roman" w:hAnsi="Times New Roman" w:cs="Times New Roman"/>
          <w:color w:val="000000"/>
        </w:rPr>
        <w:t>.</w:t>
      </w:r>
    </w:p>
    <w:p w:rsidR="000A045E" w:rsidP="000A045E">
      <w:pPr>
        <w:bidi w:val="0"/>
        <w:ind w:firstLine="709"/>
        <w:jc w:val="both"/>
        <w:rPr>
          <w:rFonts w:ascii="Times New Roman" w:hAnsi="Times New Roman" w:cs="Times New Roman"/>
          <w:color w:val="000000"/>
          <w:sz w:val="22"/>
          <w:szCs w:val="22"/>
        </w:rPr>
      </w:pPr>
    </w:p>
    <w:p w:rsidR="00B052BD" w:rsidP="000A045E">
      <w:pPr>
        <w:bidi w:val="0"/>
        <w:ind w:firstLine="709"/>
        <w:jc w:val="both"/>
        <w:rPr>
          <w:rFonts w:ascii="Times New Roman" w:hAnsi="Times New Roman" w:cs="Times New Roman"/>
          <w:color w:val="000000"/>
          <w:sz w:val="22"/>
          <w:szCs w:val="22"/>
        </w:rPr>
      </w:pPr>
    </w:p>
    <w:p w:rsidR="00B052BD" w:rsidRPr="000A045E" w:rsidP="000A045E">
      <w:pPr>
        <w:bidi w:val="0"/>
        <w:ind w:firstLine="709"/>
        <w:jc w:val="both"/>
        <w:rPr>
          <w:rFonts w:ascii="Times New Roman" w:hAnsi="Times New Roman" w:cs="Times New Roman"/>
          <w:color w:val="000000"/>
          <w:sz w:val="22"/>
          <w:szCs w:val="22"/>
        </w:rPr>
      </w:pPr>
    </w:p>
    <w:p w:rsidR="00D32E4A" w:rsidRPr="000A045E" w:rsidP="00782B39">
      <w:pPr>
        <w:pStyle w:val="ListParagraph"/>
        <w:numPr>
          <w:numId w:val="13"/>
        </w:numPr>
        <w:bidi w:val="0"/>
        <w:spacing w:after="120"/>
        <w:ind w:left="709" w:hanging="425"/>
        <w:contextualSpacing w:val="0"/>
        <w:jc w:val="both"/>
        <w:rPr>
          <w:rFonts w:ascii="Times New Roman" w:hAnsi="Times New Roman" w:cs="Times New Roman"/>
          <w:b/>
        </w:rPr>
      </w:pPr>
      <w:r w:rsidRPr="000A045E">
        <w:rPr>
          <w:rFonts w:ascii="Times New Roman" w:hAnsi="Times New Roman" w:cs="Times New Roman"/>
          <w:b/>
        </w:rPr>
        <w:t>Daňová povinnosť</w:t>
      </w:r>
    </w:p>
    <w:p w:rsidR="00D32E4A" w:rsidP="00E12138">
      <w:pPr>
        <w:autoSpaceDE w:val="0"/>
        <w:autoSpaceDN w:val="0"/>
        <w:bidi w:val="0"/>
        <w:adjustRightInd w:val="0"/>
        <w:ind w:firstLine="708"/>
        <w:jc w:val="both"/>
        <w:rPr>
          <w:rFonts w:ascii="Times New Roman" w:hAnsi="Times New Roman" w:cs="Times New Roman"/>
          <w:color w:val="000000"/>
          <w:szCs w:val="22"/>
        </w:rPr>
      </w:pPr>
      <w:r w:rsidRPr="00E12138">
        <w:rPr>
          <w:rFonts w:ascii="Times New Roman" w:hAnsi="Times New Roman" w:cs="Times New Roman"/>
          <w:color w:val="000000"/>
          <w:szCs w:val="22"/>
        </w:rPr>
        <w:t>Daňové úľavy, ktoré znižujú konečnú daňovú povinnosť daňového subjektu, môžu mať nasledujúce formy:</w:t>
      </w:r>
    </w:p>
    <w:p w:rsidR="00D32E4A" w:rsidRPr="000A045E" w:rsidP="00D32E4A">
      <w:pPr>
        <w:autoSpaceDE w:val="0"/>
        <w:autoSpaceDN w:val="0"/>
        <w:bidi w:val="0"/>
        <w:adjustRightInd w:val="0"/>
        <w:jc w:val="both"/>
        <w:rPr>
          <w:rFonts w:ascii="Times New Roman" w:hAnsi="Times New Roman" w:cs="Times New Roman"/>
          <w:color w:val="000000"/>
          <w:sz w:val="22"/>
          <w:szCs w:val="22"/>
        </w:rPr>
      </w:pPr>
    </w:p>
    <w:p w:rsidR="00D32E4A" w:rsidRPr="000A045E" w:rsidP="00782B39">
      <w:pPr>
        <w:pStyle w:val="ListParagraph"/>
        <w:numPr>
          <w:numId w:val="12"/>
        </w:numPr>
        <w:bidi w:val="0"/>
        <w:spacing w:after="120"/>
        <w:ind w:left="426" w:hanging="142"/>
        <w:contextualSpacing w:val="0"/>
        <w:jc w:val="both"/>
        <w:rPr>
          <w:rFonts w:ascii="Times New Roman" w:hAnsi="Times New Roman" w:cs="Times New Roman"/>
          <w:b/>
          <w:i/>
        </w:rPr>
      </w:pPr>
      <w:r w:rsidRPr="000A045E">
        <w:rPr>
          <w:rFonts w:ascii="Times New Roman" w:hAnsi="Times New Roman" w:cs="Times New Roman"/>
          <w:b/>
          <w:i/>
        </w:rPr>
        <w:t xml:space="preserve">Daňový bonus </w:t>
      </w:r>
    </w:p>
    <w:p w:rsidR="00D32E4A" w:rsidRPr="00E12138" w:rsidP="00E12138">
      <w:pPr>
        <w:autoSpaceDE w:val="0"/>
        <w:autoSpaceDN w:val="0"/>
        <w:bidi w:val="0"/>
        <w:adjustRightInd w:val="0"/>
        <w:ind w:firstLine="708"/>
        <w:jc w:val="both"/>
        <w:rPr>
          <w:rFonts w:ascii="Times New Roman" w:hAnsi="Times New Roman" w:cs="Times New Roman"/>
          <w:color w:val="000000"/>
          <w:szCs w:val="22"/>
        </w:rPr>
      </w:pPr>
      <w:r w:rsidRPr="00E12138">
        <w:rPr>
          <w:rFonts w:ascii="Times New Roman" w:hAnsi="Times New Roman" w:cs="Times New Roman"/>
          <w:color w:val="000000"/>
          <w:szCs w:val="22"/>
        </w:rPr>
        <w:t xml:space="preserve">Ide o úľavu na konečnej daňovej povinnosti, určenú selektívne pre vybranú skupinu. Od roku 2004 sa uplatňuje daňový bonus na nezaopatrené dieťa a od roku 2009 zamestnanecká prémia. Obe tieto úľavy môžu nadobúdať aj formu transferu. </w:t>
      </w:r>
    </w:p>
    <w:p w:rsidR="00E12138" w:rsidRPr="000A045E" w:rsidP="00E12138">
      <w:pPr>
        <w:autoSpaceDE w:val="0"/>
        <w:autoSpaceDN w:val="0"/>
        <w:bidi w:val="0"/>
        <w:adjustRightInd w:val="0"/>
        <w:ind w:firstLine="708"/>
        <w:jc w:val="both"/>
        <w:rPr>
          <w:rFonts w:ascii="Times New Roman" w:hAnsi="Times New Roman" w:cs="Times New Roman"/>
          <w:color w:val="000000"/>
          <w:sz w:val="22"/>
          <w:szCs w:val="22"/>
        </w:rPr>
      </w:pPr>
    </w:p>
    <w:p w:rsidR="00D32E4A" w:rsidRPr="000A045E" w:rsidP="00782B39">
      <w:pPr>
        <w:pStyle w:val="ListParagraph"/>
        <w:numPr>
          <w:numId w:val="12"/>
        </w:numPr>
        <w:bidi w:val="0"/>
        <w:spacing w:after="120"/>
        <w:ind w:left="426" w:hanging="142"/>
        <w:contextualSpacing w:val="0"/>
        <w:jc w:val="both"/>
        <w:rPr>
          <w:rFonts w:ascii="Times New Roman" w:hAnsi="Times New Roman" w:cs="Times New Roman"/>
          <w:b/>
          <w:i/>
        </w:rPr>
      </w:pPr>
      <w:r w:rsidRPr="000A045E">
        <w:rPr>
          <w:rFonts w:ascii="Times New Roman" w:hAnsi="Times New Roman" w:cs="Times New Roman"/>
          <w:b/>
          <w:i/>
        </w:rPr>
        <w:t xml:space="preserve">Daňové prázdniny a stimuly </w:t>
      </w:r>
    </w:p>
    <w:p w:rsidR="00D32E4A" w:rsidRPr="00E12138" w:rsidP="00E12138">
      <w:pPr>
        <w:autoSpaceDE w:val="0"/>
        <w:autoSpaceDN w:val="0"/>
        <w:bidi w:val="0"/>
        <w:adjustRightInd w:val="0"/>
        <w:ind w:firstLine="708"/>
        <w:jc w:val="both"/>
        <w:rPr>
          <w:rFonts w:ascii="Times New Roman" w:hAnsi="Times New Roman" w:cs="Times New Roman"/>
          <w:color w:val="000000"/>
          <w:szCs w:val="22"/>
        </w:rPr>
      </w:pPr>
      <w:r w:rsidRPr="00E12138">
        <w:rPr>
          <w:rFonts w:ascii="Times New Roman" w:hAnsi="Times New Roman" w:cs="Times New Roman"/>
          <w:color w:val="000000"/>
          <w:szCs w:val="22"/>
        </w:rPr>
        <w:t xml:space="preserve">Spoločnosťou </w:t>
      </w:r>
      <w:r w:rsidRPr="00E12138" w:rsidR="00E12138">
        <w:rPr>
          <w:rFonts w:ascii="Times New Roman" w:hAnsi="Times New Roman" w:cs="Times New Roman"/>
          <w:color w:val="000000"/>
          <w:szCs w:val="22"/>
        </w:rPr>
        <w:t>zrejme</w:t>
      </w:r>
      <w:r w:rsidRPr="00E12138">
        <w:rPr>
          <w:rFonts w:ascii="Times New Roman" w:hAnsi="Times New Roman" w:cs="Times New Roman"/>
          <w:color w:val="000000"/>
          <w:szCs w:val="22"/>
        </w:rPr>
        <w:t xml:space="preserve"> najviac vnímanou formou daňových výdavkov sú daňové stimuly alebo prázdniny v prípade dane z príjmov právnických osôb poskytované vybraným podnikom. </w:t>
      </w:r>
    </w:p>
    <w:p w:rsidR="00E12138" w:rsidRPr="000A045E" w:rsidP="00E12138">
      <w:pPr>
        <w:autoSpaceDE w:val="0"/>
        <w:autoSpaceDN w:val="0"/>
        <w:bidi w:val="0"/>
        <w:adjustRightInd w:val="0"/>
        <w:ind w:firstLine="708"/>
        <w:jc w:val="both"/>
        <w:rPr>
          <w:rFonts w:ascii="Times New Roman" w:hAnsi="Times New Roman" w:cs="Times New Roman"/>
          <w:color w:val="000000"/>
          <w:sz w:val="22"/>
          <w:szCs w:val="22"/>
        </w:rPr>
      </w:pPr>
    </w:p>
    <w:p w:rsidR="00D32E4A" w:rsidRPr="000A045E" w:rsidP="00782B39">
      <w:pPr>
        <w:pStyle w:val="ListParagraph"/>
        <w:numPr>
          <w:numId w:val="12"/>
        </w:numPr>
        <w:bidi w:val="0"/>
        <w:spacing w:after="120"/>
        <w:ind w:left="426" w:hanging="142"/>
        <w:contextualSpacing w:val="0"/>
        <w:jc w:val="both"/>
        <w:rPr>
          <w:rFonts w:ascii="Times New Roman" w:hAnsi="Times New Roman" w:cs="Times New Roman"/>
          <w:b/>
          <w:i/>
        </w:rPr>
      </w:pPr>
      <w:r w:rsidRPr="000A045E">
        <w:rPr>
          <w:rFonts w:ascii="Times New Roman" w:hAnsi="Times New Roman" w:cs="Times New Roman"/>
          <w:b/>
          <w:i/>
        </w:rPr>
        <w:t>Iné</w:t>
      </w:r>
    </w:p>
    <w:p w:rsidR="00D32E4A" w:rsidRPr="00E12138" w:rsidP="00E12138">
      <w:pPr>
        <w:autoSpaceDE w:val="0"/>
        <w:autoSpaceDN w:val="0"/>
        <w:bidi w:val="0"/>
        <w:adjustRightInd w:val="0"/>
        <w:ind w:firstLine="708"/>
        <w:jc w:val="both"/>
        <w:rPr>
          <w:rFonts w:ascii="Times New Roman" w:hAnsi="Times New Roman" w:cs="Times New Roman"/>
          <w:color w:val="000000"/>
          <w:szCs w:val="22"/>
        </w:rPr>
      </w:pPr>
      <w:r w:rsidRPr="00E12138">
        <w:rPr>
          <w:rFonts w:ascii="Times New Roman" w:hAnsi="Times New Roman" w:cs="Times New Roman"/>
          <w:color w:val="000000"/>
          <w:szCs w:val="22"/>
        </w:rPr>
        <w:t>Do tejto skupiny patrí napríklad tzv. asignácia daňovej povinnosti, teda použitie podielu zaplatenej dane fyzickej alebo právnickej osoby na osobitné účely.</w:t>
      </w:r>
    </w:p>
    <w:tbl>
      <w:tblPr>
        <w:tblStyle w:val="TableNormal"/>
        <w:tblpPr w:leftFromText="141" w:rightFromText="141" w:vertAnchor="text" w:tblpXSpec="center" w:tblpY="1"/>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303"/>
      </w:tblGrid>
      <w:tr>
        <w:tblPrEx>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47"/>
        </w:trPr>
        <w:tc>
          <w:tcPr>
            <w:tcW w:w="9301"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D32E4A" w:rsidRPr="00F4037B" w:rsidP="00F4037B">
            <w:pPr>
              <w:bidi w:val="0"/>
              <w:rPr>
                <w:rFonts w:ascii="Times New Roman" w:hAnsi="Times New Roman"/>
                <w:b/>
                <w:i/>
                <w:sz w:val="20"/>
                <w:szCs w:val="20"/>
              </w:rPr>
            </w:pPr>
            <w:r w:rsidRPr="00F4037B">
              <w:rPr>
                <w:rFonts w:ascii="Times New Roman" w:hAnsi="Times New Roman"/>
                <w:b/>
                <w:i/>
                <w:sz w:val="20"/>
                <w:szCs w:val="20"/>
              </w:rPr>
              <w:t xml:space="preserve">BOX  - </w:t>
            </w:r>
            <w:r w:rsidRPr="00F4037B">
              <w:rPr>
                <w:rFonts w:ascii="Times New Roman" w:hAnsi="Times New Roman"/>
                <w:b/>
                <w:i/>
              </w:rPr>
              <w:t xml:space="preserve"> </w:t>
            </w:r>
            <w:r w:rsidRPr="00F4037B">
              <w:rPr>
                <w:rFonts w:ascii="Times New Roman" w:hAnsi="Times New Roman"/>
                <w:b/>
                <w:i/>
                <w:sz w:val="20"/>
                <w:szCs w:val="20"/>
              </w:rPr>
              <w:t>Problém agregovania daňových výdavkov</w:t>
            </w:r>
          </w:p>
          <w:p w:rsidR="00D32E4A" w:rsidRPr="00E12138" w:rsidP="00F4037B">
            <w:pPr>
              <w:bidi w:val="0"/>
              <w:rPr>
                <w:rFonts w:ascii="Times New Roman" w:hAnsi="Times New Roman" w:cs="Times New Roman"/>
                <w:b/>
                <w:sz w:val="18"/>
                <w:szCs w:val="20"/>
              </w:rPr>
            </w:pPr>
          </w:p>
          <w:p w:rsidR="00D32E4A" w:rsidRPr="00E12138" w:rsidP="00F4037B">
            <w:pPr>
              <w:bidi w:val="0"/>
              <w:jc w:val="both"/>
              <w:rPr>
                <w:rFonts w:ascii="Times New Roman" w:hAnsi="Times New Roman" w:cs="Times New Roman"/>
                <w:color w:val="000000"/>
                <w:sz w:val="22"/>
              </w:rPr>
            </w:pPr>
            <w:r w:rsidRPr="00E12138">
              <w:rPr>
                <w:rFonts w:ascii="Times New Roman" w:hAnsi="Times New Roman" w:cs="Times New Roman"/>
                <w:color w:val="000000"/>
                <w:sz w:val="20"/>
                <w:szCs w:val="22"/>
              </w:rPr>
              <w:t xml:space="preserve">Daňové výdavky sa často navzájom ovplyvňujú, a preto </w:t>
            </w:r>
            <w:r w:rsidRPr="00E12138">
              <w:rPr>
                <w:rFonts w:ascii="Times New Roman" w:hAnsi="Times New Roman" w:cs="Times New Roman"/>
                <w:b/>
                <w:color w:val="000000"/>
                <w:sz w:val="20"/>
                <w:szCs w:val="22"/>
              </w:rPr>
              <w:t>nie je možne daňové výdavky kvantifikované ceteris paribus mechanicky spočítavať pre získanie správnej agregovanej sumy poskytovaných daňových výdavkov</w:t>
            </w:r>
            <w:r w:rsidRPr="00E12138">
              <w:rPr>
                <w:rFonts w:ascii="Times New Roman" w:hAnsi="Times New Roman" w:cs="Times New Roman"/>
                <w:color w:val="000000"/>
                <w:sz w:val="20"/>
                <w:szCs w:val="22"/>
              </w:rPr>
              <w:t xml:space="preserve">. Najlepšie to možno ilustrovať na jednoduchom príklade v prípade dane z príjmov fyzických osôb (DPFO) : </w:t>
            </w:r>
          </w:p>
          <w:p w:rsidR="00D32E4A" w:rsidRPr="00E12138" w:rsidP="00F4037B">
            <w:pPr>
              <w:bidi w:val="0"/>
              <w:rPr>
                <w:rFonts w:ascii="Times New Roman" w:hAnsi="Times New Roman" w:cs="Times New Roman"/>
                <w:sz w:val="20"/>
              </w:rPr>
            </w:pPr>
            <w:r w:rsidRPr="000A045E">
              <w:rPr>
                <w:rFonts w:ascii="Times New Roman" w:hAnsi="Times New Roman" w:cs="Times New Roman"/>
              </w:rPr>
              <w:tab/>
            </w:r>
          </w:p>
          <w:tbl>
            <w:tblPr>
              <w:tblStyle w:val="TableNormal"/>
              <w:tblW w:w="9087" w:type="dxa"/>
              <w:tblCellMar>
                <w:left w:w="0" w:type="dxa"/>
                <w:right w:w="0" w:type="dxa"/>
              </w:tblCellMar>
              <w:tblLook w:val="00A0"/>
            </w:tblPr>
            <w:tblGrid>
              <w:gridCol w:w="1979"/>
              <w:gridCol w:w="1184"/>
              <w:gridCol w:w="1185"/>
              <w:gridCol w:w="1185"/>
              <w:gridCol w:w="1184"/>
              <w:gridCol w:w="1185"/>
              <w:gridCol w:w="1185"/>
            </w:tblGrid>
            <w:tr>
              <w:tblPrEx>
                <w:tblW w:w="9087" w:type="dxa"/>
                <w:tblCellMar>
                  <w:left w:w="0" w:type="dxa"/>
                  <w:right w:w="0" w:type="dxa"/>
                </w:tblCellMar>
                <w:tblLook w:val="00A0"/>
              </w:tblPrEx>
              <w:trPr>
                <w:trHeight w:val="322"/>
              </w:trPr>
              <w:tc>
                <w:tcPr>
                  <w:tcW w:w="9085" w:type="dxa"/>
                  <w:gridSpan w:val="7"/>
                  <w:tcBorders>
                    <w:top w:val="none" w:sz="0" w:space="0" w:color="auto"/>
                    <w:left w:val="none" w:sz="0" w:space="0" w:color="auto"/>
                    <w:bottom w:val="none" w:sz="0" w:space="0" w:color="auto"/>
                    <w:right w:val="none" w:sz="0" w:space="0" w:color="auto"/>
                  </w:tcBorders>
                  <w:shd w:val="clear" w:color="000000" w:fill="000000"/>
                  <w:noWrap/>
                  <w:tcMar>
                    <w:top w:w="15" w:type="dxa"/>
                    <w:left w:w="15" w:type="dxa"/>
                    <w:bottom w:w="0" w:type="dxa"/>
                    <w:right w:w="15" w:type="dxa"/>
                  </w:tcMar>
                  <w:textDirection w:val="lrTb"/>
                  <w:vAlign w:val="center"/>
                </w:tcPr>
                <w:p w:rsidR="00D32E4A" w:rsidRPr="00823453" w:rsidP="00F4037B">
                  <w:pPr>
                    <w:bidi w:val="0"/>
                    <w:rPr>
                      <w:rFonts w:ascii="Times New Roman" w:hAnsi="Times New Roman" w:cs="Times New Roman"/>
                      <w:b/>
                      <w:bCs/>
                      <w:color w:val="FFFFFF"/>
                      <w:sz w:val="18"/>
                      <w:szCs w:val="18"/>
                    </w:rPr>
                  </w:pPr>
                  <w:r w:rsidRPr="00823453">
                    <w:rPr>
                      <w:rFonts w:ascii="Times New Roman" w:hAnsi="Times New Roman" w:cs="Times New Roman"/>
                      <w:b/>
                      <w:bCs/>
                      <w:color w:val="FFFFFF"/>
                      <w:sz w:val="18"/>
                      <w:szCs w:val="18"/>
                    </w:rPr>
                    <w:t xml:space="preserve"> Agregácia daňových výdavkov (eur, mesačne)</w:t>
                  </w:r>
                </w:p>
              </w:tc>
            </w:tr>
            <w:tr>
              <w:tblPrEx>
                <w:tblW w:w="9087" w:type="dxa"/>
                <w:tblCellMar>
                  <w:left w:w="0" w:type="dxa"/>
                  <w:right w:w="0" w:type="dxa"/>
                </w:tblCellMar>
                <w:tblLook w:val="00A0"/>
              </w:tblPrEx>
              <w:trPr>
                <w:trHeight w:val="835"/>
              </w:trPr>
              <w:tc>
                <w:tcPr>
                  <w:tcW w:w="1979" w:type="dxa"/>
                  <w:tcBorders>
                    <w:top w:val="none" w:sz="0" w:space="0" w:color="auto"/>
                    <w:left w:val="none" w:sz="0" w:space="0" w:color="auto"/>
                    <w:bottom w:val="none" w:sz="0" w:space="0" w:color="auto"/>
                    <w:right w:val="none" w:sz="0" w:space="0" w:color="auto"/>
                  </w:tcBorders>
                  <w:shd w:val="clear" w:color="000000" w:fill="D9D9D9"/>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p>
              </w:tc>
              <w:tc>
                <w:tcPr>
                  <w:tcW w:w="1184" w:type="dxa"/>
                  <w:tcBorders>
                    <w:top w:val="none" w:sz="0" w:space="0" w:color="auto"/>
                    <w:left w:val="none" w:sz="0" w:space="0" w:color="auto"/>
                    <w:bottom w:val="none" w:sz="0" w:space="0" w:color="auto"/>
                    <w:right w:val="none" w:sz="0" w:space="0" w:color="auto"/>
                  </w:tcBorders>
                  <w:shd w:val="clear" w:color="000000" w:fill="D9D9D9"/>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hpotetickstém</w:t>
                  </w:r>
                </w:p>
              </w:tc>
              <w:tc>
                <w:tcPr>
                  <w:tcW w:w="1185" w:type="dxa"/>
                  <w:tcBorders>
                    <w:top w:val="none" w:sz="0" w:space="0" w:color="auto"/>
                    <w:left w:val="none" w:sz="0" w:space="0" w:color="auto"/>
                    <w:bottom w:val="none" w:sz="0" w:space="0" w:color="auto"/>
                    <w:right w:val="none" w:sz="0" w:space="0" w:color="auto"/>
                  </w:tcBorders>
                  <w:shd w:val="clear" w:color="000000" w:fill="D9D9D9"/>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zrušenie NČZD č.</w:t>
                  </w:r>
                  <w:r w:rsidR="00EA3A44">
                    <w:rPr>
                      <w:rFonts w:ascii="Times New Roman" w:hAnsi="Times New Roman" w:cs="Times New Roman"/>
                      <w:b/>
                      <w:bCs/>
                      <w:color w:val="000000"/>
                      <w:sz w:val="18"/>
                      <w:szCs w:val="18"/>
                    </w:rPr>
                    <w:t xml:space="preserve"> </w:t>
                  </w:r>
                  <w:r w:rsidRPr="00823453">
                    <w:rPr>
                      <w:rFonts w:ascii="Times New Roman" w:hAnsi="Times New Roman" w:cs="Times New Roman"/>
                      <w:b/>
                      <w:bCs/>
                      <w:color w:val="000000"/>
                      <w:sz w:val="18"/>
                      <w:szCs w:val="18"/>
                    </w:rPr>
                    <w:t>2</w:t>
                  </w:r>
                </w:p>
              </w:tc>
              <w:tc>
                <w:tcPr>
                  <w:tcW w:w="1185" w:type="dxa"/>
                  <w:tcBorders>
                    <w:top w:val="none" w:sz="0" w:space="0" w:color="auto"/>
                    <w:left w:val="none" w:sz="0" w:space="0" w:color="auto"/>
                    <w:bottom w:val="none" w:sz="0" w:space="0" w:color="auto"/>
                    <w:right w:val="none" w:sz="0" w:space="0" w:color="auto"/>
                  </w:tcBorders>
                  <w:shd w:val="clear" w:color="000000" w:fill="D9D9D9"/>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zrušenie NČZD č.</w:t>
                  </w:r>
                  <w:r w:rsidR="00EA3A44">
                    <w:rPr>
                      <w:rFonts w:ascii="Times New Roman" w:hAnsi="Times New Roman" w:cs="Times New Roman"/>
                      <w:b/>
                      <w:bCs/>
                      <w:color w:val="000000"/>
                      <w:sz w:val="18"/>
                      <w:szCs w:val="18"/>
                    </w:rPr>
                    <w:t xml:space="preserve"> </w:t>
                  </w:r>
                  <w:r w:rsidRPr="00823453">
                    <w:rPr>
                      <w:rFonts w:ascii="Times New Roman" w:hAnsi="Times New Roman" w:cs="Times New Roman"/>
                      <w:b/>
                      <w:bCs/>
                      <w:color w:val="000000"/>
                      <w:sz w:val="18"/>
                      <w:szCs w:val="18"/>
                    </w:rPr>
                    <w:t>3</w:t>
                  </w:r>
                </w:p>
              </w:tc>
              <w:tc>
                <w:tcPr>
                  <w:tcW w:w="1184" w:type="dxa"/>
                  <w:tcBorders>
                    <w:top w:val="none" w:sz="0" w:space="0" w:color="auto"/>
                    <w:left w:val="none" w:sz="0" w:space="0" w:color="auto"/>
                    <w:bottom w:val="none" w:sz="0" w:space="0" w:color="auto"/>
                    <w:right w:val="none" w:sz="0" w:space="0" w:color="auto"/>
                  </w:tcBorders>
                  <w:shd w:val="clear" w:color="000000" w:fill="D9D9D9"/>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zrušenie odpočít. odvodov</w:t>
                  </w:r>
                </w:p>
              </w:tc>
              <w:tc>
                <w:tcPr>
                  <w:tcW w:w="1185" w:type="dxa"/>
                  <w:tcBorders>
                    <w:top w:val="none" w:sz="0" w:space="0" w:color="auto"/>
                    <w:left w:val="none" w:sz="0" w:space="0" w:color="auto"/>
                    <w:bottom w:val="none" w:sz="0" w:space="0" w:color="auto"/>
                    <w:right w:val="none" w:sz="0" w:space="0" w:color="auto"/>
                  </w:tcBorders>
                  <w:shd w:val="clear" w:color="000000" w:fill="D9D9D9"/>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zrušenie oslobodenia príjmu 2</w:t>
                  </w:r>
                </w:p>
              </w:tc>
              <w:tc>
                <w:tcPr>
                  <w:tcW w:w="1185" w:type="dxa"/>
                  <w:tcBorders>
                    <w:top w:val="none" w:sz="0" w:space="0" w:color="auto"/>
                    <w:left w:val="double" w:sz="6" w:space="0" w:color="auto"/>
                    <w:bottom w:val="none" w:sz="0" w:space="0" w:color="auto"/>
                    <w:right w:val="none" w:sz="0" w:space="0" w:color="auto"/>
                  </w:tcBorders>
                  <w:shd w:val="clear" w:color="000000" w:fill="D9D9D9"/>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 xml:space="preserve">kombinácia všetkých </w:t>
                  </w:r>
                </w:p>
              </w:tc>
            </w:tr>
            <w:tr>
              <w:tblPrEx>
                <w:tblW w:w="9087" w:type="dxa"/>
                <w:tblCellMar>
                  <w:left w:w="0" w:type="dxa"/>
                  <w:right w:w="0" w:type="dxa"/>
                </w:tblCellMar>
                <w:tblLook w:val="00A0"/>
              </w:tblPrEx>
              <w:trPr>
                <w:trHeight w:val="322"/>
              </w:trPr>
              <w:tc>
                <w:tcPr>
                  <w:tcW w:w="1979"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bottom"/>
                </w:tcPr>
                <w:p w:rsidR="00D32E4A" w:rsidRPr="00823453" w:rsidP="00F4037B">
                  <w:pPr>
                    <w:bidi w:val="0"/>
                    <w:rPr>
                      <w:rFonts w:ascii="Times New Roman" w:hAnsi="Times New Roman" w:cs="Times New Roman"/>
                      <w:color w:val="000000"/>
                      <w:sz w:val="18"/>
                      <w:szCs w:val="18"/>
                    </w:rPr>
                  </w:pPr>
                  <w:r w:rsidRPr="00823453">
                    <w:rPr>
                      <w:rFonts w:ascii="Times New Roman" w:hAnsi="Times New Roman" w:cs="Times New Roman"/>
                      <w:color w:val="000000"/>
                      <w:sz w:val="18"/>
                      <w:szCs w:val="18"/>
                    </w:rPr>
                    <w:t>Príjem 1</w:t>
                  </w:r>
                </w:p>
              </w:tc>
              <w:tc>
                <w:tcPr>
                  <w:tcW w:w="1184" w:type="dxa"/>
                  <w:tcBorders>
                    <w:top w:val="none" w:sz="0" w:space="0" w:color="auto"/>
                    <w:left w:val="none" w:sz="0" w:space="0" w:color="auto"/>
                    <w:bottom w:val="none" w:sz="0" w:space="0" w:color="auto"/>
                    <w:right w:val="none" w:sz="0" w:space="0" w:color="auto"/>
                  </w:tcBorders>
                  <w:shd w:val="clear" w:color="000000" w:fill="F2F2F2"/>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703</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703</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703</w:t>
                  </w:r>
                </w:p>
              </w:tc>
              <w:tc>
                <w:tcPr>
                  <w:tcW w:w="1184"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703</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703</w:t>
                  </w:r>
                </w:p>
              </w:tc>
              <w:tc>
                <w:tcPr>
                  <w:tcW w:w="1185" w:type="dxa"/>
                  <w:tcBorders>
                    <w:top w:val="none" w:sz="0" w:space="0" w:color="auto"/>
                    <w:left w:val="double" w:sz="6"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703</w:t>
                  </w:r>
                </w:p>
              </w:tc>
            </w:tr>
            <w:tr>
              <w:tblPrEx>
                <w:tblW w:w="9087" w:type="dxa"/>
                <w:tblCellMar>
                  <w:left w:w="0" w:type="dxa"/>
                  <w:right w:w="0" w:type="dxa"/>
                </w:tblCellMar>
                <w:tblLook w:val="00A0"/>
              </w:tblPrEx>
              <w:trPr>
                <w:trHeight w:val="322"/>
              </w:trPr>
              <w:tc>
                <w:tcPr>
                  <w:tcW w:w="1979"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bottom"/>
                </w:tcPr>
                <w:p w:rsidR="00D32E4A" w:rsidRPr="00823453" w:rsidP="00F4037B">
                  <w:pPr>
                    <w:bidi w:val="0"/>
                    <w:rPr>
                      <w:rFonts w:ascii="Times New Roman" w:hAnsi="Times New Roman" w:cs="Times New Roman"/>
                      <w:color w:val="000000"/>
                      <w:sz w:val="18"/>
                      <w:szCs w:val="18"/>
                    </w:rPr>
                  </w:pPr>
                  <w:r w:rsidRPr="00823453">
                    <w:rPr>
                      <w:rFonts w:ascii="Times New Roman" w:hAnsi="Times New Roman" w:cs="Times New Roman"/>
                      <w:color w:val="000000"/>
                      <w:sz w:val="18"/>
                      <w:szCs w:val="18"/>
                    </w:rPr>
                    <w:t>Príjem 2 - oslobodený</w:t>
                  </w:r>
                </w:p>
              </w:tc>
              <w:tc>
                <w:tcPr>
                  <w:tcW w:w="1184" w:type="dxa"/>
                  <w:tcBorders>
                    <w:top w:val="none" w:sz="0" w:space="0" w:color="auto"/>
                    <w:left w:val="none" w:sz="0" w:space="0" w:color="auto"/>
                    <w:bottom w:val="none" w:sz="0" w:space="0" w:color="auto"/>
                    <w:right w:val="none" w:sz="0" w:space="0" w:color="auto"/>
                  </w:tcBorders>
                  <w:shd w:val="clear" w:color="000000" w:fill="F2F2F2"/>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0</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0</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0</w:t>
                  </w:r>
                </w:p>
              </w:tc>
              <w:tc>
                <w:tcPr>
                  <w:tcW w:w="1184"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0</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10</w:t>
                  </w:r>
                </w:p>
              </w:tc>
              <w:tc>
                <w:tcPr>
                  <w:tcW w:w="1185" w:type="dxa"/>
                  <w:tcBorders>
                    <w:top w:val="none" w:sz="0" w:space="0" w:color="auto"/>
                    <w:left w:val="double" w:sz="6"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100</w:t>
                  </w:r>
                </w:p>
              </w:tc>
            </w:tr>
            <w:tr>
              <w:tblPrEx>
                <w:tblW w:w="9087" w:type="dxa"/>
                <w:tblCellMar>
                  <w:left w:w="0" w:type="dxa"/>
                  <w:right w:w="0" w:type="dxa"/>
                </w:tblCellMar>
                <w:tblLook w:val="00A0"/>
              </w:tblPrEx>
              <w:trPr>
                <w:trHeight w:val="322"/>
              </w:trPr>
              <w:tc>
                <w:tcPr>
                  <w:tcW w:w="1979"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bottom"/>
                </w:tcPr>
                <w:p w:rsidR="00D32E4A" w:rsidRPr="00823453" w:rsidP="00F4037B">
                  <w:pPr>
                    <w:bidi w:val="0"/>
                    <w:rPr>
                      <w:rFonts w:ascii="Times New Roman" w:hAnsi="Times New Roman" w:cs="Times New Roman"/>
                      <w:color w:val="000000"/>
                      <w:sz w:val="18"/>
                      <w:szCs w:val="18"/>
                    </w:rPr>
                  </w:pPr>
                  <w:r w:rsidRPr="00823453">
                    <w:rPr>
                      <w:rFonts w:ascii="Times New Roman" w:hAnsi="Times New Roman" w:cs="Times New Roman"/>
                      <w:color w:val="000000"/>
                      <w:sz w:val="18"/>
                      <w:szCs w:val="18"/>
                    </w:rPr>
                    <w:t>Odvody</w:t>
                  </w:r>
                </w:p>
              </w:tc>
              <w:tc>
                <w:tcPr>
                  <w:tcW w:w="1184" w:type="dxa"/>
                  <w:tcBorders>
                    <w:top w:val="none" w:sz="0" w:space="0" w:color="auto"/>
                    <w:left w:val="none" w:sz="0" w:space="0" w:color="auto"/>
                    <w:bottom w:val="none" w:sz="0" w:space="0" w:color="auto"/>
                    <w:right w:val="none" w:sz="0" w:space="0" w:color="auto"/>
                  </w:tcBorders>
                  <w:shd w:val="clear" w:color="000000" w:fill="F2F2F2"/>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94</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94</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94</w:t>
                  </w:r>
                </w:p>
              </w:tc>
              <w:tc>
                <w:tcPr>
                  <w:tcW w:w="1184"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zrušené</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108</w:t>
                  </w:r>
                </w:p>
              </w:tc>
              <w:tc>
                <w:tcPr>
                  <w:tcW w:w="1185" w:type="dxa"/>
                  <w:tcBorders>
                    <w:top w:val="none" w:sz="0" w:space="0" w:color="auto"/>
                    <w:left w:val="double" w:sz="6"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zrušené</w:t>
                  </w:r>
                </w:p>
              </w:tc>
            </w:tr>
            <w:tr>
              <w:tblPrEx>
                <w:tblW w:w="9087" w:type="dxa"/>
                <w:tblCellMar>
                  <w:left w:w="0" w:type="dxa"/>
                  <w:right w:w="0" w:type="dxa"/>
                </w:tblCellMar>
                <w:tblLook w:val="00A0"/>
              </w:tblPrEx>
              <w:trPr>
                <w:trHeight w:val="322"/>
              </w:trPr>
              <w:tc>
                <w:tcPr>
                  <w:tcW w:w="1979"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bottom"/>
                </w:tcPr>
                <w:p w:rsidR="00D32E4A" w:rsidRPr="00823453" w:rsidP="00F4037B">
                  <w:pPr>
                    <w:bidi w:val="0"/>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 xml:space="preserve">Čiatkový zákld e </w:t>
                  </w:r>
                </w:p>
              </w:tc>
              <w:tc>
                <w:tcPr>
                  <w:tcW w:w="1184" w:type="dxa"/>
                  <w:tcBorders>
                    <w:top w:val="none" w:sz="0" w:space="0" w:color="auto"/>
                    <w:left w:val="none" w:sz="0" w:space="0" w:color="auto"/>
                    <w:bottom w:val="none" w:sz="0" w:space="0" w:color="auto"/>
                    <w:right w:val="none" w:sz="0" w:space="0" w:color="auto"/>
                  </w:tcBorders>
                  <w:shd w:val="clear" w:color="000000" w:fill="F2F2F2"/>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0</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09</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609</w:t>
                  </w:r>
                </w:p>
              </w:tc>
              <w:tc>
                <w:tcPr>
                  <w:tcW w:w="1184"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703</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695</w:t>
                  </w:r>
                </w:p>
              </w:tc>
              <w:tc>
                <w:tcPr>
                  <w:tcW w:w="1185" w:type="dxa"/>
                  <w:tcBorders>
                    <w:top w:val="none" w:sz="0" w:space="0" w:color="auto"/>
                    <w:left w:val="double" w:sz="6"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803</w:t>
                  </w:r>
                </w:p>
              </w:tc>
            </w:tr>
            <w:tr>
              <w:tblPrEx>
                <w:tblW w:w="9087" w:type="dxa"/>
                <w:tblCellMar>
                  <w:left w:w="0" w:type="dxa"/>
                  <w:right w:w="0" w:type="dxa"/>
                </w:tblCellMar>
                <w:tblLook w:val="00A0"/>
              </w:tblPrEx>
              <w:trPr>
                <w:trHeight w:val="322"/>
              </w:trPr>
              <w:tc>
                <w:tcPr>
                  <w:tcW w:w="1979" w:type="dxa"/>
                  <w:tcBorders>
                    <w:top w:val="single" w:sz="4"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bottom"/>
                </w:tcPr>
                <w:p w:rsidR="00D32E4A" w:rsidRPr="00823453" w:rsidP="00F4037B">
                  <w:pPr>
                    <w:bidi w:val="0"/>
                    <w:rPr>
                      <w:rFonts w:ascii="Times New Roman" w:hAnsi="Times New Roman" w:cs="Times New Roman"/>
                      <w:color w:val="000000"/>
                      <w:sz w:val="18"/>
                      <w:szCs w:val="18"/>
                    </w:rPr>
                  </w:pPr>
                  <w:r w:rsidRPr="00823453">
                    <w:rPr>
                      <w:rFonts w:ascii="Times New Roman" w:hAnsi="Times New Roman" w:cs="Times New Roman"/>
                      <w:color w:val="000000"/>
                      <w:sz w:val="18"/>
                      <w:szCs w:val="18"/>
                    </w:rPr>
                    <w:t>NČZD č.</w:t>
                  </w:r>
                  <w:r w:rsidR="00EA3A44">
                    <w:rPr>
                      <w:rFonts w:ascii="Times New Roman" w:hAnsi="Times New Roman" w:cs="Times New Roman"/>
                      <w:color w:val="000000"/>
                      <w:sz w:val="18"/>
                      <w:szCs w:val="18"/>
                    </w:rPr>
                    <w:t xml:space="preserve"> </w:t>
                  </w:r>
                  <w:r w:rsidRPr="00823453">
                    <w:rPr>
                      <w:rFonts w:ascii="Times New Roman" w:hAnsi="Times New Roman" w:cs="Times New Roman"/>
                      <w:color w:val="000000"/>
                      <w:sz w:val="18"/>
                      <w:szCs w:val="18"/>
                    </w:rPr>
                    <w:t>1 - nárok 297 eur</w:t>
                  </w:r>
                </w:p>
              </w:tc>
              <w:tc>
                <w:tcPr>
                  <w:tcW w:w="1184" w:type="dxa"/>
                  <w:tcBorders>
                    <w:top w:val="single" w:sz="4" w:space="0" w:color="auto"/>
                    <w:left w:val="none" w:sz="0" w:space="0" w:color="auto"/>
                    <w:bottom w:val="none" w:sz="0" w:space="0" w:color="auto"/>
                    <w:right w:val="none" w:sz="0" w:space="0" w:color="auto"/>
                  </w:tcBorders>
                  <w:shd w:val="clear" w:color="000000" w:fill="F2F2F2"/>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297</w:t>
                  </w:r>
                </w:p>
              </w:tc>
              <w:tc>
                <w:tcPr>
                  <w:tcW w:w="1185" w:type="dxa"/>
                  <w:tcBorders>
                    <w:top w:val="single" w:sz="4"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297</w:t>
                  </w:r>
                </w:p>
              </w:tc>
              <w:tc>
                <w:tcPr>
                  <w:tcW w:w="1185" w:type="dxa"/>
                  <w:tcBorders>
                    <w:top w:val="single" w:sz="4"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297</w:t>
                  </w:r>
                </w:p>
              </w:tc>
              <w:tc>
                <w:tcPr>
                  <w:tcW w:w="1184" w:type="dxa"/>
                  <w:tcBorders>
                    <w:top w:val="single" w:sz="4"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27</w:t>
                  </w:r>
                </w:p>
              </w:tc>
              <w:tc>
                <w:tcPr>
                  <w:tcW w:w="1185" w:type="dxa"/>
                  <w:tcBorders>
                    <w:top w:val="single" w:sz="4"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297</w:t>
                  </w:r>
                </w:p>
              </w:tc>
              <w:tc>
                <w:tcPr>
                  <w:tcW w:w="1185" w:type="dxa"/>
                  <w:tcBorders>
                    <w:top w:val="single" w:sz="4" w:space="0" w:color="auto"/>
                    <w:left w:val="double" w:sz="6"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297</w:t>
                  </w:r>
                </w:p>
              </w:tc>
            </w:tr>
            <w:tr>
              <w:tblPrEx>
                <w:tblW w:w="9087" w:type="dxa"/>
                <w:tblCellMar>
                  <w:left w:w="0" w:type="dxa"/>
                  <w:right w:w="0" w:type="dxa"/>
                </w:tblCellMar>
                <w:tblLook w:val="00A0"/>
              </w:tblPrEx>
              <w:trPr>
                <w:trHeight w:val="322"/>
              </w:trPr>
              <w:tc>
                <w:tcPr>
                  <w:tcW w:w="1979"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bottom"/>
                </w:tcPr>
                <w:p w:rsidR="00D32E4A" w:rsidRPr="00823453" w:rsidP="00F4037B">
                  <w:pPr>
                    <w:bidi w:val="0"/>
                    <w:rPr>
                      <w:rFonts w:ascii="Times New Roman" w:hAnsi="Times New Roman" w:cs="Times New Roman"/>
                      <w:color w:val="000000"/>
                      <w:sz w:val="18"/>
                      <w:szCs w:val="18"/>
                    </w:rPr>
                  </w:pPr>
                  <w:r w:rsidRPr="00823453">
                    <w:rPr>
                      <w:rFonts w:ascii="Times New Roman" w:hAnsi="Times New Roman" w:cs="Times New Roman"/>
                      <w:color w:val="000000"/>
                      <w:sz w:val="18"/>
                      <w:szCs w:val="18"/>
                    </w:rPr>
                    <w:t>NČZD č.</w:t>
                  </w:r>
                  <w:r w:rsidR="00EA3A44">
                    <w:rPr>
                      <w:rFonts w:ascii="Times New Roman" w:hAnsi="Times New Roman" w:cs="Times New Roman"/>
                      <w:color w:val="000000"/>
                      <w:sz w:val="18"/>
                      <w:szCs w:val="18"/>
                    </w:rPr>
                    <w:t xml:space="preserve"> </w:t>
                  </w:r>
                  <w:r w:rsidRPr="00823453">
                    <w:rPr>
                      <w:rFonts w:ascii="Times New Roman" w:hAnsi="Times New Roman" w:cs="Times New Roman"/>
                      <w:color w:val="000000"/>
                      <w:sz w:val="18"/>
                      <w:szCs w:val="18"/>
                    </w:rPr>
                    <w:t>2 - nárok 297 eur</w:t>
                  </w:r>
                </w:p>
              </w:tc>
              <w:tc>
                <w:tcPr>
                  <w:tcW w:w="1184" w:type="dxa"/>
                  <w:tcBorders>
                    <w:top w:val="none" w:sz="0" w:space="0" w:color="auto"/>
                    <w:left w:val="none" w:sz="0" w:space="0" w:color="auto"/>
                    <w:bottom w:val="none" w:sz="0" w:space="0" w:color="auto"/>
                    <w:right w:val="none" w:sz="0" w:space="0" w:color="auto"/>
                  </w:tcBorders>
                  <w:shd w:val="clear" w:color="000000" w:fill="F2F2F2"/>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297</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zrušené</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297</w:t>
                  </w:r>
                </w:p>
              </w:tc>
              <w:tc>
                <w:tcPr>
                  <w:tcW w:w="1184"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297</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297</w:t>
                  </w:r>
                </w:p>
              </w:tc>
              <w:tc>
                <w:tcPr>
                  <w:tcW w:w="1185" w:type="dxa"/>
                  <w:tcBorders>
                    <w:top w:val="none" w:sz="0" w:space="0" w:color="auto"/>
                    <w:left w:val="double" w:sz="6"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zrušené</w:t>
                  </w:r>
                </w:p>
              </w:tc>
            </w:tr>
            <w:tr>
              <w:tblPrEx>
                <w:tblW w:w="9087" w:type="dxa"/>
                <w:tblCellMar>
                  <w:left w:w="0" w:type="dxa"/>
                  <w:right w:w="0" w:type="dxa"/>
                </w:tblCellMar>
                <w:tblLook w:val="00A0"/>
              </w:tblPrEx>
              <w:trPr>
                <w:trHeight w:val="322"/>
              </w:trPr>
              <w:tc>
                <w:tcPr>
                  <w:tcW w:w="1979"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bottom"/>
                </w:tcPr>
                <w:p w:rsidR="00D32E4A" w:rsidRPr="00823453" w:rsidP="00F4037B">
                  <w:pPr>
                    <w:bidi w:val="0"/>
                    <w:rPr>
                      <w:rFonts w:ascii="Times New Roman" w:hAnsi="Times New Roman" w:cs="Times New Roman"/>
                      <w:color w:val="000000"/>
                      <w:sz w:val="18"/>
                      <w:szCs w:val="18"/>
                    </w:rPr>
                  </w:pPr>
                  <w:r w:rsidRPr="00823453">
                    <w:rPr>
                      <w:rFonts w:ascii="Times New Roman" w:hAnsi="Times New Roman" w:cs="Times New Roman"/>
                      <w:color w:val="000000"/>
                      <w:sz w:val="18"/>
                      <w:szCs w:val="18"/>
                    </w:rPr>
                    <w:t>NČZD č.</w:t>
                  </w:r>
                  <w:r w:rsidR="00EA3A44">
                    <w:rPr>
                      <w:rFonts w:ascii="Times New Roman" w:hAnsi="Times New Roman" w:cs="Times New Roman"/>
                      <w:color w:val="000000"/>
                      <w:sz w:val="18"/>
                      <w:szCs w:val="18"/>
                    </w:rPr>
                    <w:t xml:space="preserve"> </w:t>
                  </w:r>
                  <w:r w:rsidRPr="00823453">
                    <w:rPr>
                      <w:rFonts w:ascii="Times New Roman" w:hAnsi="Times New Roman" w:cs="Times New Roman"/>
                      <w:color w:val="000000"/>
                      <w:sz w:val="18"/>
                      <w:szCs w:val="18"/>
                    </w:rPr>
                    <w:t>3 - nárok 33 eur</w:t>
                  </w:r>
                </w:p>
              </w:tc>
              <w:tc>
                <w:tcPr>
                  <w:tcW w:w="1184" w:type="dxa"/>
                  <w:tcBorders>
                    <w:top w:val="none" w:sz="0" w:space="0" w:color="auto"/>
                    <w:left w:val="none" w:sz="0" w:space="0" w:color="auto"/>
                    <w:bottom w:val="none" w:sz="0" w:space="0" w:color="auto"/>
                    <w:right w:val="none" w:sz="0" w:space="0" w:color="auto"/>
                  </w:tcBorders>
                  <w:shd w:val="clear" w:color="000000" w:fill="F2F2F2"/>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15</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sz w:val="18"/>
                      <w:szCs w:val="18"/>
                      <w:highlight w:val="lightGray"/>
                    </w:rPr>
                  </w:pPr>
                  <w:r w:rsidRPr="00823453">
                    <w:rPr>
                      <w:rFonts w:ascii="Times New Roman" w:hAnsi="Times New Roman" w:cs="Times New Roman"/>
                      <w:b/>
                      <w:bCs/>
                      <w:sz w:val="18"/>
                      <w:szCs w:val="18"/>
                      <w:highlight w:val="lightGray"/>
                    </w:rPr>
                    <w:t>33</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sz w:val="18"/>
                      <w:szCs w:val="18"/>
                      <w:highlight w:val="lightGray"/>
                    </w:rPr>
                  </w:pPr>
                  <w:r w:rsidRPr="00823453">
                    <w:rPr>
                      <w:rFonts w:ascii="Times New Roman" w:hAnsi="Times New Roman" w:cs="Times New Roman"/>
                      <w:sz w:val="18"/>
                      <w:szCs w:val="18"/>
                    </w:rPr>
                    <w:t>zrušené</w:t>
                  </w:r>
                </w:p>
              </w:tc>
              <w:tc>
                <w:tcPr>
                  <w:tcW w:w="1184"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sz w:val="18"/>
                      <w:szCs w:val="18"/>
                      <w:highlight w:val="lightGray"/>
                    </w:rPr>
                  </w:pPr>
                  <w:r w:rsidRPr="00823453">
                    <w:rPr>
                      <w:rFonts w:ascii="Times New Roman" w:hAnsi="Times New Roman" w:cs="Times New Roman"/>
                      <w:b/>
                      <w:bCs/>
                      <w:sz w:val="18"/>
                      <w:szCs w:val="18"/>
                      <w:highlight w:val="lightGray"/>
                    </w:rPr>
                    <w:t>33</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sz w:val="18"/>
                      <w:szCs w:val="18"/>
                      <w:highlight w:val="lightGray"/>
                    </w:rPr>
                  </w:pPr>
                  <w:r w:rsidRPr="00823453">
                    <w:rPr>
                      <w:rFonts w:ascii="Times New Roman" w:hAnsi="Times New Roman" w:cs="Times New Roman"/>
                      <w:b/>
                      <w:bCs/>
                      <w:sz w:val="18"/>
                      <w:szCs w:val="18"/>
                      <w:highlight w:val="lightGray"/>
                    </w:rPr>
                    <w:t>33</w:t>
                  </w:r>
                </w:p>
              </w:tc>
              <w:tc>
                <w:tcPr>
                  <w:tcW w:w="1185" w:type="dxa"/>
                  <w:tcBorders>
                    <w:top w:val="none" w:sz="0" w:space="0" w:color="auto"/>
                    <w:left w:val="double" w:sz="6"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color w:val="000000"/>
                      <w:sz w:val="18"/>
                      <w:szCs w:val="18"/>
                    </w:rPr>
                  </w:pPr>
                  <w:r w:rsidRPr="00823453">
                    <w:rPr>
                      <w:rFonts w:ascii="Times New Roman" w:hAnsi="Times New Roman" w:cs="Times New Roman"/>
                      <w:color w:val="000000"/>
                      <w:sz w:val="18"/>
                      <w:szCs w:val="18"/>
                    </w:rPr>
                    <w:t>zrušené</w:t>
                  </w:r>
                </w:p>
              </w:tc>
            </w:tr>
            <w:tr>
              <w:tblPrEx>
                <w:tblW w:w="9087" w:type="dxa"/>
                <w:tblCellMar>
                  <w:left w:w="0" w:type="dxa"/>
                  <w:right w:w="0" w:type="dxa"/>
                </w:tblCellMar>
                <w:tblLook w:val="00A0"/>
              </w:tblPrEx>
              <w:trPr>
                <w:trHeight w:val="322"/>
              </w:trPr>
              <w:tc>
                <w:tcPr>
                  <w:tcW w:w="1979" w:type="dxa"/>
                  <w:tcBorders>
                    <w:top w:val="none" w:sz="0" w:space="0" w:color="auto"/>
                    <w:left w:val="none" w:sz="0" w:space="0" w:color="auto"/>
                    <w:bottom w:val="single" w:sz="4" w:space="0" w:color="auto"/>
                    <w:right w:val="none" w:sz="0" w:space="0" w:color="auto"/>
                  </w:tcBorders>
                  <w:shd w:val="clear" w:color="000000" w:fill="FFFFFF"/>
                  <w:noWrap/>
                  <w:tcMar>
                    <w:top w:w="15" w:type="dxa"/>
                    <w:left w:w="15" w:type="dxa"/>
                    <w:bottom w:w="0" w:type="dxa"/>
                    <w:right w:w="15" w:type="dxa"/>
                  </w:tcMar>
                  <w:textDirection w:val="lrTb"/>
                  <w:vAlign w:val="bottom"/>
                </w:tcPr>
                <w:p w:rsidR="00D32E4A" w:rsidRPr="00823453" w:rsidP="00F4037B">
                  <w:pPr>
                    <w:bidi w:val="0"/>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Uplatnená suma NČZD</w:t>
                  </w:r>
                </w:p>
              </w:tc>
              <w:tc>
                <w:tcPr>
                  <w:tcW w:w="1184" w:type="dxa"/>
                  <w:tcBorders>
                    <w:top w:val="none" w:sz="0" w:space="0" w:color="auto"/>
                    <w:left w:val="none" w:sz="0" w:space="0" w:color="auto"/>
                    <w:bottom w:val="single" w:sz="4" w:space="0" w:color="auto"/>
                    <w:right w:val="none" w:sz="0" w:space="0" w:color="auto"/>
                  </w:tcBorders>
                  <w:shd w:val="clear" w:color="000000" w:fill="F2F2F2"/>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609</w:t>
                  </w:r>
                </w:p>
              </w:tc>
              <w:tc>
                <w:tcPr>
                  <w:tcW w:w="1185" w:type="dxa"/>
                  <w:tcBorders>
                    <w:top w:val="none" w:sz="0" w:space="0" w:color="auto"/>
                    <w:left w:val="none" w:sz="0" w:space="0" w:color="auto"/>
                    <w:bottom w:val="single" w:sz="4"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330</w:t>
                  </w:r>
                </w:p>
              </w:tc>
              <w:tc>
                <w:tcPr>
                  <w:tcW w:w="1185" w:type="dxa"/>
                  <w:tcBorders>
                    <w:top w:val="none" w:sz="0" w:space="0" w:color="auto"/>
                    <w:left w:val="none" w:sz="0" w:space="0" w:color="auto"/>
                    <w:bottom w:val="single" w:sz="4"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594</w:t>
                  </w:r>
                </w:p>
              </w:tc>
              <w:tc>
                <w:tcPr>
                  <w:tcW w:w="1184" w:type="dxa"/>
                  <w:tcBorders>
                    <w:top w:val="none" w:sz="0" w:space="0" w:color="auto"/>
                    <w:left w:val="none" w:sz="0" w:space="0" w:color="auto"/>
                    <w:bottom w:val="single" w:sz="4"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627</w:t>
                  </w:r>
                </w:p>
              </w:tc>
              <w:tc>
                <w:tcPr>
                  <w:tcW w:w="1185" w:type="dxa"/>
                  <w:tcBorders>
                    <w:top w:val="none" w:sz="0" w:space="0" w:color="auto"/>
                    <w:left w:val="none" w:sz="0" w:space="0" w:color="auto"/>
                    <w:bottom w:val="single" w:sz="4"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627</w:t>
                  </w:r>
                </w:p>
              </w:tc>
              <w:tc>
                <w:tcPr>
                  <w:tcW w:w="1185" w:type="dxa"/>
                  <w:tcBorders>
                    <w:top w:val="none" w:sz="0" w:space="0" w:color="auto"/>
                    <w:left w:val="double" w:sz="6" w:space="0" w:color="auto"/>
                    <w:bottom w:val="single" w:sz="4"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297</w:t>
                  </w:r>
                </w:p>
              </w:tc>
            </w:tr>
            <w:tr>
              <w:tblPrEx>
                <w:tblW w:w="9087" w:type="dxa"/>
                <w:tblCellMar>
                  <w:left w:w="0" w:type="dxa"/>
                  <w:right w:w="0" w:type="dxa"/>
                </w:tblCellMar>
                <w:tblLook w:val="00A0"/>
              </w:tblPrEx>
              <w:trPr>
                <w:trHeight w:val="322"/>
              </w:trPr>
              <w:tc>
                <w:tcPr>
                  <w:tcW w:w="1979" w:type="dxa"/>
                  <w:tcBorders>
                    <w:top w:val="none" w:sz="0" w:space="0" w:color="auto"/>
                    <w:left w:val="none" w:sz="0" w:space="0" w:color="auto"/>
                    <w:bottom w:val="single" w:sz="4" w:space="0" w:color="auto"/>
                    <w:right w:val="none" w:sz="0" w:space="0" w:color="auto"/>
                  </w:tcBorders>
                  <w:shd w:val="clear" w:color="000000" w:fill="FFFFFF"/>
                  <w:noWrap/>
                  <w:tcMar>
                    <w:top w:w="15" w:type="dxa"/>
                    <w:left w:w="15" w:type="dxa"/>
                    <w:bottom w:w="0" w:type="dxa"/>
                    <w:right w:w="15" w:type="dxa"/>
                  </w:tcMar>
                  <w:textDirection w:val="lrTb"/>
                  <w:vAlign w:val="bottom"/>
                </w:tcPr>
                <w:p w:rsidR="00D32E4A" w:rsidRPr="00823453" w:rsidP="00F4037B">
                  <w:pPr>
                    <w:bidi w:val="0"/>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Zákld DPFO</w:t>
                  </w:r>
                </w:p>
              </w:tc>
              <w:tc>
                <w:tcPr>
                  <w:tcW w:w="1184" w:type="dxa"/>
                  <w:tcBorders>
                    <w:top w:val="none" w:sz="0" w:space="0" w:color="auto"/>
                    <w:left w:val="none" w:sz="0" w:space="0" w:color="auto"/>
                    <w:bottom w:val="single" w:sz="4" w:space="0" w:color="auto"/>
                    <w:right w:val="none" w:sz="0" w:space="0" w:color="auto"/>
                  </w:tcBorders>
                  <w:shd w:val="clear" w:color="000000" w:fill="F2F2F2"/>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p>
              </w:tc>
              <w:tc>
                <w:tcPr>
                  <w:tcW w:w="1185" w:type="dxa"/>
                  <w:tcBorders>
                    <w:top w:val="none" w:sz="0" w:space="0" w:color="auto"/>
                    <w:left w:val="none" w:sz="0" w:space="0" w:color="auto"/>
                    <w:bottom w:val="single" w:sz="4"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29</w:t>
                  </w:r>
                </w:p>
              </w:tc>
              <w:tc>
                <w:tcPr>
                  <w:tcW w:w="1185" w:type="dxa"/>
                  <w:tcBorders>
                    <w:top w:val="none" w:sz="0" w:space="0" w:color="auto"/>
                    <w:left w:val="none" w:sz="0" w:space="0" w:color="auto"/>
                    <w:bottom w:val="single" w:sz="4"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1</w:t>
                  </w:r>
                </w:p>
              </w:tc>
              <w:tc>
                <w:tcPr>
                  <w:tcW w:w="1184" w:type="dxa"/>
                  <w:tcBorders>
                    <w:top w:val="none" w:sz="0" w:space="0" w:color="auto"/>
                    <w:left w:val="none" w:sz="0" w:space="0" w:color="auto"/>
                    <w:bottom w:val="single" w:sz="4"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p>
              </w:tc>
              <w:tc>
                <w:tcPr>
                  <w:tcW w:w="1185" w:type="dxa"/>
                  <w:tcBorders>
                    <w:top w:val="none" w:sz="0" w:space="0" w:color="auto"/>
                    <w:left w:val="none" w:sz="0" w:space="0" w:color="auto"/>
                    <w:bottom w:val="single" w:sz="4"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9</w:t>
                  </w:r>
                </w:p>
              </w:tc>
              <w:tc>
                <w:tcPr>
                  <w:tcW w:w="1185" w:type="dxa"/>
                  <w:tcBorders>
                    <w:top w:val="none" w:sz="0" w:space="0" w:color="auto"/>
                    <w:left w:val="double" w:sz="6"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0</w:t>
                  </w:r>
                </w:p>
              </w:tc>
            </w:tr>
            <w:tr>
              <w:tblPrEx>
                <w:tblW w:w="9087" w:type="dxa"/>
                <w:tblCellMar>
                  <w:left w:w="0" w:type="dxa"/>
                  <w:right w:w="0" w:type="dxa"/>
                </w:tblCellMar>
                <w:tblLook w:val="00A0"/>
              </w:tblPrEx>
              <w:trPr>
                <w:trHeight w:val="322"/>
              </w:trPr>
              <w:tc>
                <w:tcPr>
                  <w:tcW w:w="1979" w:type="dxa"/>
                  <w:tcBorders>
                    <w:top w:val="single" w:sz="4" w:space="0" w:color="auto"/>
                    <w:left w:val="none" w:sz="0" w:space="0" w:color="auto"/>
                    <w:bottom w:val="single" w:sz="4" w:space="0" w:color="auto"/>
                    <w:right w:val="none" w:sz="0" w:space="0" w:color="auto"/>
                  </w:tcBorders>
                  <w:shd w:val="clear" w:color="000000" w:fill="D9D9D9"/>
                  <w:noWrap/>
                  <w:tcMar>
                    <w:top w:w="15" w:type="dxa"/>
                    <w:left w:w="15" w:type="dxa"/>
                    <w:bottom w:w="0" w:type="dxa"/>
                    <w:right w:w="15" w:type="dxa"/>
                  </w:tcMar>
                  <w:textDirection w:val="lrTb"/>
                  <w:vAlign w:val="bottom"/>
                </w:tcPr>
                <w:p w:rsidR="00D32E4A" w:rsidRPr="00823453" w:rsidP="00F4037B">
                  <w:pPr>
                    <w:bidi w:val="0"/>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Vplyv na DPFO</w:t>
                  </w:r>
                </w:p>
              </w:tc>
              <w:tc>
                <w:tcPr>
                  <w:tcW w:w="1184" w:type="dxa"/>
                  <w:tcBorders>
                    <w:top w:val="single" w:sz="4" w:space="0" w:color="auto"/>
                    <w:left w:val="none" w:sz="0" w:space="0" w:color="auto"/>
                    <w:bottom w:val="single" w:sz="4" w:space="0" w:color="auto"/>
                    <w:right w:val="none" w:sz="0" w:space="0" w:color="auto"/>
                  </w:tcBorders>
                  <w:shd w:val="clear" w:color="000000" w:fill="D9D9D9"/>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 </w:t>
                  </w:r>
                </w:p>
              </w:tc>
              <w:tc>
                <w:tcPr>
                  <w:tcW w:w="1185" w:type="dxa"/>
                  <w:tcBorders>
                    <w:top w:val="single" w:sz="4" w:space="0" w:color="auto"/>
                    <w:left w:val="none" w:sz="0" w:space="0" w:color="auto"/>
                    <w:bottom w:val="single" w:sz="4" w:space="0" w:color="auto"/>
                    <w:right w:val="none" w:sz="0" w:space="0" w:color="auto"/>
                  </w:tcBorders>
                  <w:shd w:val="clear" w:color="000000" w:fill="D9D9D9"/>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sz w:val="18"/>
                      <w:szCs w:val="18"/>
                    </w:rPr>
                  </w:pPr>
                  <w:r w:rsidRPr="00823453">
                    <w:rPr>
                      <w:rFonts w:ascii="Times New Roman" w:hAnsi="Times New Roman" w:cs="Times New Roman"/>
                      <w:b/>
                      <w:bCs/>
                      <w:sz w:val="18"/>
                      <w:szCs w:val="18"/>
                    </w:rPr>
                    <w:t>+53.0</w:t>
                  </w:r>
                </w:p>
              </w:tc>
              <w:tc>
                <w:tcPr>
                  <w:tcW w:w="1185" w:type="dxa"/>
                  <w:tcBorders>
                    <w:top w:val="single" w:sz="4" w:space="0" w:color="auto"/>
                    <w:left w:val="none" w:sz="0" w:space="0" w:color="auto"/>
                    <w:bottom w:val="single" w:sz="4" w:space="0" w:color="auto"/>
                    <w:right w:val="none" w:sz="0" w:space="0" w:color="auto"/>
                  </w:tcBorders>
                  <w:shd w:val="clear" w:color="000000" w:fill="D9D9D9"/>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sz w:val="18"/>
                      <w:szCs w:val="18"/>
                    </w:rPr>
                  </w:pPr>
                  <w:r w:rsidRPr="00823453">
                    <w:rPr>
                      <w:rFonts w:ascii="Times New Roman" w:hAnsi="Times New Roman" w:cs="Times New Roman"/>
                      <w:b/>
                      <w:bCs/>
                      <w:sz w:val="18"/>
                      <w:szCs w:val="18"/>
                    </w:rPr>
                    <w:t>+2.8</w:t>
                  </w:r>
                </w:p>
              </w:tc>
              <w:tc>
                <w:tcPr>
                  <w:tcW w:w="1184" w:type="dxa"/>
                  <w:tcBorders>
                    <w:top w:val="single" w:sz="4" w:space="0" w:color="auto"/>
                    <w:left w:val="none" w:sz="0" w:space="0" w:color="auto"/>
                    <w:bottom w:val="single" w:sz="4" w:space="0" w:color="auto"/>
                    <w:right w:val="none" w:sz="0" w:space="0" w:color="auto"/>
                  </w:tcBorders>
                  <w:shd w:val="clear" w:color="000000" w:fill="D9D9D9"/>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sz w:val="18"/>
                      <w:szCs w:val="18"/>
                    </w:rPr>
                  </w:pPr>
                  <w:r w:rsidRPr="00823453">
                    <w:rPr>
                      <w:rFonts w:ascii="Times New Roman" w:hAnsi="Times New Roman" w:cs="Times New Roman"/>
                      <w:b/>
                      <w:bCs/>
                      <w:sz w:val="18"/>
                      <w:szCs w:val="18"/>
                    </w:rPr>
                    <w:t>+14.5</w:t>
                  </w:r>
                </w:p>
              </w:tc>
              <w:tc>
                <w:tcPr>
                  <w:tcW w:w="1185" w:type="dxa"/>
                  <w:tcBorders>
                    <w:top w:val="single" w:sz="4" w:space="0" w:color="auto"/>
                    <w:left w:val="none" w:sz="0" w:space="0" w:color="auto"/>
                    <w:bottom w:val="single" w:sz="4" w:space="0" w:color="auto"/>
                    <w:right w:val="none" w:sz="0" w:space="0" w:color="auto"/>
                  </w:tcBorders>
                  <w:shd w:val="clear" w:color="000000" w:fill="D9D9D9"/>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sz w:val="18"/>
                      <w:szCs w:val="18"/>
                    </w:rPr>
                  </w:pPr>
                  <w:r w:rsidRPr="00823453">
                    <w:rPr>
                      <w:rFonts w:ascii="Times New Roman" w:hAnsi="Times New Roman" w:cs="Times New Roman"/>
                      <w:b/>
                      <w:bCs/>
                      <w:sz w:val="18"/>
                      <w:szCs w:val="18"/>
                    </w:rPr>
                    <w:t>+13.</w:t>
                  </w:r>
                  <w:r w:rsidR="00823453">
                    <w:rPr>
                      <w:rFonts w:ascii="Times New Roman" w:hAnsi="Times New Roman" w:cs="Times New Roman"/>
                      <w:b/>
                      <w:bCs/>
                      <w:sz w:val="18"/>
                      <w:szCs w:val="18"/>
                    </w:rPr>
                    <w:t>0</w:t>
                  </w:r>
                </w:p>
              </w:tc>
              <w:tc>
                <w:tcPr>
                  <w:tcW w:w="1185" w:type="dxa"/>
                  <w:tcBorders>
                    <w:top w:val="single" w:sz="4" w:space="0" w:color="auto"/>
                    <w:left w:val="double" w:sz="6" w:space="0" w:color="auto"/>
                    <w:bottom w:val="single" w:sz="4" w:space="0" w:color="auto"/>
                    <w:right w:val="none" w:sz="0" w:space="0" w:color="auto"/>
                  </w:tcBorders>
                  <w:shd w:val="clear" w:color="000000" w:fill="A6A6A6"/>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sz w:val="18"/>
                      <w:szCs w:val="18"/>
                    </w:rPr>
                  </w:pPr>
                  <w:r w:rsidRPr="00823453">
                    <w:rPr>
                      <w:rFonts w:ascii="Times New Roman" w:hAnsi="Times New Roman" w:cs="Times New Roman"/>
                      <w:b/>
                      <w:bCs/>
                      <w:sz w:val="18"/>
                      <w:szCs w:val="18"/>
                    </w:rPr>
                    <w:t>+96.2</w:t>
                  </w:r>
                </w:p>
              </w:tc>
            </w:tr>
            <w:tr>
              <w:tblPrEx>
                <w:tblW w:w="9087" w:type="dxa"/>
                <w:tblCellMar>
                  <w:left w:w="0" w:type="dxa"/>
                  <w:right w:w="0" w:type="dxa"/>
                </w:tblCellMar>
                <w:tblLook w:val="00A0"/>
              </w:tblPrEx>
              <w:trPr>
                <w:trHeight w:val="322"/>
              </w:trPr>
              <w:tc>
                <w:tcPr>
                  <w:tcW w:w="6715" w:type="dxa"/>
                  <w:gridSpan w:val="5"/>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center"/>
                </w:tcPr>
                <w:p w:rsidR="00D32E4A" w:rsidRPr="00823453" w:rsidP="00F4037B">
                  <w:pPr>
                    <w:bidi w:val="0"/>
                    <w:jc w:val="right"/>
                    <w:rPr>
                      <w:rFonts w:ascii="Times New Roman" w:hAnsi="Times New Roman" w:cs="Times New Roman"/>
                      <w:i/>
                      <w:iCs/>
                      <w:color w:val="000000"/>
                      <w:sz w:val="18"/>
                      <w:szCs w:val="18"/>
                    </w:rPr>
                  </w:pPr>
                  <w:r w:rsidRPr="00823453">
                    <w:rPr>
                      <w:rFonts w:ascii="Times New Roman" w:hAnsi="Times New Roman" w:cs="Times New Roman"/>
                      <w:i/>
                      <w:iCs/>
                      <w:color w:val="000000"/>
                      <w:sz w:val="18"/>
                      <w:szCs w:val="18"/>
                    </w:rPr>
                    <w:t>mechanický súčet jednotlivých opatrení  =</w:t>
                  </w:r>
                </w:p>
              </w:tc>
              <w:tc>
                <w:tcPr>
                  <w:tcW w:w="1185" w:type="dxa"/>
                  <w:tcBorders>
                    <w:top w:val="none" w:sz="0" w:space="0" w:color="auto"/>
                    <w:left w:val="none" w:sz="0" w:space="0" w:color="auto"/>
                    <w:bottom w:val="none" w:sz="0" w:space="0" w:color="auto"/>
                    <w:right w:val="none" w:sz="0" w:space="0" w:color="auto"/>
                  </w:tcBorders>
                  <w:shd w:val="clear" w:color="000000" w:fill="A6A6A6"/>
                  <w:noWrap/>
                  <w:tcMar>
                    <w:top w:w="15" w:type="dxa"/>
                    <w:left w:w="15" w:type="dxa"/>
                    <w:bottom w:w="0" w:type="dxa"/>
                    <w:right w:w="15" w:type="dxa"/>
                  </w:tcMar>
                  <w:textDirection w:val="lrTb"/>
                  <w:vAlign w:val="center"/>
                </w:tcPr>
                <w:p w:rsidR="00D32E4A" w:rsidRPr="00823453" w:rsidP="00F4037B">
                  <w:pPr>
                    <w:bidi w:val="0"/>
                    <w:jc w:val="center"/>
                    <w:rPr>
                      <w:rFonts w:ascii="Times New Roman" w:hAnsi="Times New Roman" w:cs="Times New Roman"/>
                      <w:b/>
                      <w:bCs/>
                      <w:color w:val="000000"/>
                      <w:sz w:val="18"/>
                      <w:szCs w:val="18"/>
                    </w:rPr>
                  </w:pPr>
                  <w:r w:rsidRPr="00823453">
                    <w:rPr>
                      <w:rFonts w:ascii="Times New Roman" w:hAnsi="Times New Roman" w:cs="Times New Roman"/>
                      <w:b/>
                      <w:bCs/>
                      <w:color w:val="000000"/>
                      <w:sz w:val="18"/>
                      <w:szCs w:val="18"/>
                    </w:rPr>
                    <w:t>+83.3</w:t>
                  </w:r>
                </w:p>
              </w:tc>
              <w:tc>
                <w:tcPr>
                  <w:tcW w:w="1185" w:type="dxa"/>
                  <w:tcBorders>
                    <w:top w:val="none" w:sz="0" w:space="0" w:color="auto"/>
                    <w:left w:val="none" w:sz="0" w:space="0" w:color="auto"/>
                    <w:bottom w:val="none" w:sz="0" w:space="0" w:color="auto"/>
                    <w:right w:val="none" w:sz="0" w:space="0" w:color="auto"/>
                  </w:tcBorders>
                  <w:shd w:val="clear" w:color="000000" w:fill="FFFFFF"/>
                  <w:noWrap/>
                  <w:tcMar>
                    <w:top w:w="15" w:type="dxa"/>
                    <w:left w:w="15" w:type="dxa"/>
                    <w:bottom w:w="0" w:type="dxa"/>
                    <w:right w:w="15" w:type="dxa"/>
                  </w:tcMar>
                  <w:textDirection w:val="lrTb"/>
                  <w:vAlign w:val="bottom"/>
                </w:tcPr>
                <w:p w:rsidR="00D32E4A" w:rsidRPr="00823453" w:rsidP="00F4037B">
                  <w:pPr>
                    <w:bidi w:val="0"/>
                    <w:rPr>
                      <w:rFonts w:ascii="Times New Roman" w:hAnsi="Times New Roman" w:cs="Times New Roman"/>
                      <w:color w:val="000000"/>
                      <w:sz w:val="18"/>
                      <w:szCs w:val="18"/>
                    </w:rPr>
                  </w:pPr>
                  <w:r w:rsidRPr="00823453">
                    <w:rPr>
                      <w:rFonts w:ascii="Times New Roman" w:hAnsi="Times New Roman" w:cs="Times New Roman"/>
                      <w:color w:val="000000"/>
                      <w:sz w:val="18"/>
                      <w:szCs w:val="18"/>
                    </w:rPr>
                    <w:t> </w:t>
                  </w:r>
                </w:p>
              </w:tc>
            </w:tr>
          </w:tbl>
          <w:p w:rsidR="00D32E4A" w:rsidRPr="000A045E" w:rsidP="00DC7838">
            <w:pPr>
              <w:bidi w:val="0"/>
              <w:jc w:val="both"/>
              <w:rPr>
                <w:rFonts w:ascii="Times New Roman" w:hAnsi="Times New Roman" w:cs="Times New Roman"/>
              </w:rPr>
            </w:pPr>
          </w:p>
          <w:p w:rsidR="00D32E4A" w:rsidRPr="00823453" w:rsidP="00DC7838">
            <w:pPr>
              <w:autoSpaceDE w:val="0"/>
              <w:autoSpaceDN w:val="0"/>
              <w:bidi w:val="0"/>
              <w:adjustRightInd w:val="0"/>
              <w:jc w:val="both"/>
              <w:rPr>
                <w:rFonts w:ascii="Times New Roman" w:hAnsi="Times New Roman" w:cs="Times New Roman"/>
                <w:color w:val="000000"/>
                <w:sz w:val="22"/>
              </w:rPr>
            </w:pPr>
            <w:r w:rsidRPr="00823453">
              <w:rPr>
                <w:rFonts w:ascii="Times New Roman" w:hAnsi="Times New Roman" w:cs="Times New Roman"/>
                <w:color w:val="000000"/>
                <w:sz w:val="20"/>
                <w:szCs w:val="22"/>
              </w:rPr>
              <w:t>Hypotetický daňový systém poskytuje tri nezdaniteľné časti základu dane (č. 1-3), oslobodzuje odvody od platenia dane a oslobodzuje jeden druh príjmu (príjem 2). Vzhľadom na nízke príjmy daňovníka si tento v plnej miere (33 eur) nedokáže uplatniť tretiu nezdaniteľnú časť základu dane.</w:t>
            </w:r>
          </w:p>
          <w:p w:rsidR="00D32E4A" w:rsidRPr="00823453" w:rsidP="00DC7838">
            <w:pPr>
              <w:autoSpaceDE w:val="0"/>
              <w:autoSpaceDN w:val="0"/>
              <w:bidi w:val="0"/>
              <w:adjustRightInd w:val="0"/>
              <w:jc w:val="both"/>
              <w:rPr>
                <w:rFonts w:ascii="Times New Roman" w:hAnsi="Times New Roman" w:cs="Times New Roman"/>
                <w:color w:val="000000"/>
                <w:sz w:val="22"/>
              </w:rPr>
            </w:pPr>
          </w:p>
          <w:p w:rsidR="00D32E4A" w:rsidRPr="00823453" w:rsidP="00DC7838">
            <w:pPr>
              <w:autoSpaceDE w:val="0"/>
              <w:autoSpaceDN w:val="0"/>
              <w:bidi w:val="0"/>
              <w:adjustRightInd w:val="0"/>
              <w:jc w:val="both"/>
              <w:rPr>
                <w:rFonts w:ascii="Times New Roman" w:hAnsi="Times New Roman" w:cs="Times New Roman"/>
                <w:color w:val="000000"/>
                <w:sz w:val="22"/>
              </w:rPr>
            </w:pPr>
            <w:r w:rsidRPr="00823453">
              <w:rPr>
                <w:rFonts w:ascii="Times New Roman" w:hAnsi="Times New Roman" w:cs="Times New Roman"/>
                <w:color w:val="000000"/>
                <w:sz w:val="20"/>
                <w:szCs w:val="22"/>
              </w:rPr>
              <w:t>V prípade zrušenia ktoréhokoľvek iného daňového výdavku nastáva situácia, kedy si daňovník dokáže spomínanú nezdaniteľnú časť (č.</w:t>
            </w:r>
            <w:r w:rsidR="00EA3A44">
              <w:rPr>
                <w:rFonts w:ascii="Times New Roman" w:hAnsi="Times New Roman" w:cs="Times New Roman"/>
                <w:color w:val="000000"/>
                <w:sz w:val="20"/>
                <w:szCs w:val="22"/>
              </w:rPr>
              <w:t xml:space="preserve"> </w:t>
            </w:r>
            <w:r w:rsidRPr="00823453">
              <w:rPr>
                <w:rFonts w:ascii="Times New Roman" w:hAnsi="Times New Roman" w:cs="Times New Roman"/>
                <w:color w:val="000000"/>
                <w:sz w:val="20"/>
                <w:szCs w:val="22"/>
              </w:rPr>
              <w:t xml:space="preserve">3) uplatniť a čiastočne tak kompenzovať negatívny vplyv na disponibilný príjem vyplývajúci zo zrušenia inej nezdaniteľnej časti. </w:t>
            </w:r>
          </w:p>
          <w:p w:rsidR="00D32E4A" w:rsidRPr="00823453" w:rsidP="00DC7838">
            <w:pPr>
              <w:autoSpaceDE w:val="0"/>
              <w:autoSpaceDN w:val="0"/>
              <w:bidi w:val="0"/>
              <w:adjustRightInd w:val="0"/>
              <w:jc w:val="both"/>
              <w:rPr>
                <w:rFonts w:ascii="Times New Roman" w:hAnsi="Times New Roman" w:cs="Times New Roman"/>
                <w:color w:val="000000"/>
                <w:sz w:val="22"/>
              </w:rPr>
            </w:pPr>
          </w:p>
          <w:p w:rsidR="00D32E4A" w:rsidRPr="00823453" w:rsidP="00DC7838">
            <w:pPr>
              <w:autoSpaceDE w:val="0"/>
              <w:autoSpaceDN w:val="0"/>
              <w:bidi w:val="0"/>
              <w:adjustRightInd w:val="0"/>
              <w:jc w:val="both"/>
              <w:rPr>
                <w:rFonts w:ascii="Times New Roman" w:hAnsi="Times New Roman" w:cs="Times New Roman"/>
                <w:color w:val="000000"/>
                <w:sz w:val="22"/>
              </w:rPr>
            </w:pPr>
            <w:r w:rsidRPr="00823453">
              <w:rPr>
                <w:rFonts w:ascii="Times New Roman" w:hAnsi="Times New Roman" w:cs="Times New Roman"/>
                <w:color w:val="000000"/>
                <w:sz w:val="20"/>
                <w:szCs w:val="22"/>
              </w:rPr>
              <w:t>V</w:t>
            </w:r>
            <w:r w:rsidR="00EA3A44">
              <w:rPr>
                <w:rFonts w:ascii="Times New Roman" w:hAnsi="Times New Roman" w:cs="Times New Roman"/>
                <w:color w:val="000000"/>
                <w:sz w:val="20"/>
                <w:szCs w:val="22"/>
              </w:rPr>
              <w:t> </w:t>
            </w:r>
            <w:r w:rsidRPr="00823453">
              <w:rPr>
                <w:rFonts w:ascii="Times New Roman" w:hAnsi="Times New Roman" w:cs="Times New Roman"/>
                <w:color w:val="000000"/>
                <w:sz w:val="20"/>
                <w:szCs w:val="22"/>
              </w:rPr>
              <w:t>prípade</w:t>
            </w:r>
            <w:r w:rsidR="00EA3A44">
              <w:rPr>
                <w:rFonts w:ascii="Times New Roman" w:hAnsi="Times New Roman" w:cs="Times New Roman"/>
                <w:color w:val="000000"/>
                <w:sz w:val="20"/>
                <w:szCs w:val="22"/>
              </w:rPr>
              <w:t>,</w:t>
            </w:r>
            <w:r w:rsidRPr="00823453">
              <w:rPr>
                <w:rFonts w:ascii="Times New Roman" w:hAnsi="Times New Roman" w:cs="Times New Roman"/>
                <w:color w:val="000000"/>
                <w:sz w:val="20"/>
                <w:szCs w:val="22"/>
              </w:rPr>
              <w:t xml:space="preserve"> ak uvažujeme so zrušením individuálneho daňového výdavku</w:t>
            </w:r>
            <w:r w:rsidR="00EA3A44">
              <w:rPr>
                <w:rFonts w:ascii="Times New Roman" w:hAnsi="Times New Roman" w:cs="Times New Roman"/>
                <w:color w:val="000000"/>
                <w:sz w:val="20"/>
                <w:szCs w:val="22"/>
              </w:rPr>
              <w:t>,</w:t>
            </w:r>
            <w:r w:rsidRPr="00823453">
              <w:rPr>
                <w:rFonts w:ascii="Times New Roman" w:hAnsi="Times New Roman" w:cs="Times New Roman"/>
                <w:color w:val="000000"/>
                <w:sz w:val="20"/>
                <w:szCs w:val="22"/>
              </w:rPr>
              <w:t xml:space="preserve"> tak tento prístup verne zobrazuje veľkosť dodatočných príjmov pre verejnú správu (bez zohľadnenia potenciálnych dynamických efektov). V prípade zrušenia NČZD č. 2 by tak verejná správa získala príjmy vo výške 53</w:t>
            </w:r>
            <w:r w:rsidR="00EA3A44">
              <w:rPr>
                <w:rFonts w:ascii="Times New Roman" w:hAnsi="Times New Roman" w:cs="Times New Roman"/>
                <w:color w:val="000000"/>
                <w:sz w:val="20"/>
                <w:szCs w:val="22"/>
              </w:rPr>
              <w:t xml:space="preserve"> eur</w:t>
            </w:r>
            <w:r w:rsidRPr="00823453">
              <w:rPr>
                <w:rFonts w:ascii="Times New Roman" w:hAnsi="Times New Roman" w:cs="Times New Roman"/>
                <w:color w:val="000000"/>
                <w:sz w:val="20"/>
                <w:szCs w:val="22"/>
              </w:rPr>
              <w:t xml:space="preserve">. </w:t>
            </w:r>
          </w:p>
          <w:p w:rsidR="00D32E4A" w:rsidRPr="00823453" w:rsidP="00DC7838">
            <w:pPr>
              <w:autoSpaceDE w:val="0"/>
              <w:autoSpaceDN w:val="0"/>
              <w:bidi w:val="0"/>
              <w:adjustRightInd w:val="0"/>
              <w:jc w:val="both"/>
              <w:rPr>
                <w:rFonts w:ascii="Times New Roman" w:hAnsi="Times New Roman" w:cs="Times New Roman"/>
                <w:color w:val="000000"/>
                <w:sz w:val="22"/>
              </w:rPr>
            </w:pPr>
          </w:p>
          <w:p w:rsidR="00D32E4A" w:rsidRPr="000A045E" w:rsidP="00EA3A44">
            <w:pPr>
              <w:bidi w:val="0"/>
              <w:jc w:val="both"/>
              <w:rPr>
                <w:rFonts w:ascii="Times New Roman" w:hAnsi="Times New Roman" w:cs="Times New Roman"/>
              </w:rPr>
            </w:pPr>
            <w:r w:rsidRPr="00823453">
              <w:rPr>
                <w:rFonts w:ascii="Times New Roman" w:hAnsi="Times New Roman" w:cs="Times New Roman"/>
                <w:color w:val="000000"/>
                <w:sz w:val="20"/>
                <w:szCs w:val="22"/>
              </w:rPr>
              <w:t>Jednotlivo vypočítané daňové výdavky preto nie je možné navzájom mechanicky spočítavať pre získanie presnej agregátnej sumy</w:t>
            </w:r>
            <w:r w:rsidR="00EA3A44">
              <w:rPr>
                <w:rFonts w:ascii="Times New Roman" w:hAnsi="Times New Roman" w:cs="Times New Roman"/>
                <w:color w:val="000000"/>
                <w:sz w:val="20"/>
                <w:szCs w:val="22"/>
              </w:rPr>
              <w:t xml:space="preserve"> poskytnutých daňových výdavkov, </w:t>
            </w:r>
            <w:r w:rsidRPr="00823453">
              <w:rPr>
                <w:rFonts w:ascii="Times New Roman" w:hAnsi="Times New Roman" w:cs="Times New Roman"/>
                <w:color w:val="000000"/>
                <w:sz w:val="20"/>
                <w:szCs w:val="22"/>
              </w:rPr>
              <w:t xml:space="preserve">resp. ušlých príjmov verejnej správy, keďže niektoré efekty sa týmto spôsobom započítavajú viackrát. V uvedenom príklade je mechanický súčet jednotlivých daňových výdavkov vo výške 83,3 </w:t>
            </w:r>
            <w:r w:rsidR="00EA3A44">
              <w:rPr>
                <w:rFonts w:ascii="Times New Roman" w:hAnsi="Times New Roman" w:cs="Times New Roman"/>
                <w:color w:val="000000"/>
                <w:sz w:val="20"/>
                <w:szCs w:val="22"/>
              </w:rPr>
              <w:t xml:space="preserve">eur, </w:t>
            </w:r>
            <w:r w:rsidRPr="00823453">
              <w:rPr>
                <w:rFonts w:ascii="Times New Roman" w:hAnsi="Times New Roman" w:cs="Times New Roman"/>
                <w:color w:val="000000"/>
                <w:sz w:val="20"/>
                <w:szCs w:val="22"/>
              </w:rPr>
              <w:t>pričom skutočne poskytnutá suma daňových výdavkov je vo výške 96,2</w:t>
            </w:r>
            <w:r w:rsidR="00EA3A44">
              <w:rPr>
                <w:rFonts w:ascii="Times New Roman" w:hAnsi="Times New Roman" w:cs="Times New Roman"/>
                <w:color w:val="000000"/>
                <w:sz w:val="20"/>
                <w:szCs w:val="22"/>
              </w:rPr>
              <w:t xml:space="preserve"> eur</w:t>
            </w:r>
            <w:r w:rsidRPr="00823453">
              <w:rPr>
                <w:rFonts w:ascii="Times New Roman" w:hAnsi="Times New Roman" w:cs="Times New Roman"/>
                <w:color w:val="000000"/>
                <w:sz w:val="20"/>
                <w:szCs w:val="22"/>
              </w:rPr>
              <w:t>.</w:t>
            </w:r>
          </w:p>
        </w:tc>
      </w:tr>
    </w:tbl>
    <w:p w:rsidR="00D32E4A" w:rsidRPr="000A045E" w:rsidP="00D32E4A">
      <w:pPr>
        <w:bidi w:val="0"/>
        <w:jc w:val="both"/>
        <w:rPr>
          <w:rFonts w:ascii="Times New Roman" w:hAnsi="Times New Roman" w:cs="Times New Roman"/>
          <w:color w:val="000000"/>
          <w:sz w:val="22"/>
          <w:szCs w:val="22"/>
        </w:rPr>
      </w:pPr>
    </w:p>
    <w:p w:rsidR="00D32E4A" w:rsidRPr="00823453" w:rsidP="00823453">
      <w:pPr>
        <w:bidi w:val="0"/>
        <w:ind w:firstLine="708"/>
        <w:jc w:val="both"/>
        <w:rPr>
          <w:rFonts w:ascii="Times New Roman" w:hAnsi="Times New Roman" w:cs="Times New Roman"/>
          <w:color w:val="000000"/>
          <w:szCs w:val="22"/>
        </w:rPr>
      </w:pPr>
      <w:r w:rsidRPr="00823453">
        <w:rPr>
          <w:rFonts w:ascii="Times New Roman" w:hAnsi="Times New Roman" w:cs="Times New Roman"/>
          <w:color w:val="000000"/>
          <w:szCs w:val="22"/>
        </w:rPr>
        <w:t xml:space="preserve">Subjekty verejnej správy sú povinné zostavovať svoj rozpočet najmenej na tri rozpočtové roky, pričom súčasťou návrhu rozpočtu je aj schválený rozpočet na bežný rozpočtový rok, údaje o očakávanej skutočnosti bežného rozpočtového roka a údaje o skutočnom plnení rozpočtu za predchádzajúce dva rozpočtové roky. Údaje za daňové výdavky preto uvádzame za rovnaký časový horizont. </w:t>
      </w:r>
    </w:p>
    <w:p w:rsidR="00D32E4A" w:rsidRPr="00823453" w:rsidP="00D32E4A">
      <w:pPr>
        <w:bidi w:val="0"/>
        <w:jc w:val="both"/>
        <w:rPr>
          <w:rFonts w:ascii="Times New Roman" w:hAnsi="Times New Roman" w:cs="Times New Roman"/>
          <w:color w:val="000000"/>
          <w:szCs w:val="22"/>
        </w:rPr>
      </w:pPr>
    </w:p>
    <w:p w:rsidR="00D32E4A" w:rsidRPr="00823453" w:rsidP="00823453">
      <w:pPr>
        <w:bidi w:val="0"/>
        <w:ind w:firstLine="708"/>
        <w:jc w:val="both"/>
        <w:rPr>
          <w:rFonts w:ascii="Times New Roman" w:hAnsi="Times New Roman" w:cs="Times New Roman"/>
          <w:color w:val="000000"/>
          <w:szCs w:val="22"/>
        </w:rPr>
      </w:pPr>
      <w:r w:rsidRPr="00823453">
        <w:rPr>
          <w:rFonts w:ascii="Times New Roman" w:hAnsi="Times New Roman" w:cs="Times New Roman"/>
          <w:color w:val="000000"/>
          <w:szCs w:val="22"/>
        </w:rPr>
        <w:t>V zmysle definície ústavného zákona sa za daňové výdavky považujú len opatrenia, ktoré znižujú príjmy z daní a z poistného a príspevkov platených do poistných fondov</w:t>
      </w:r>
      <w:r w:rsidRPr="00823453">
        <w:rPr>
          <w:rFonts w:ascii="Times New Roman" w:hAnsi="Times New Roman" w:cs="Times New Roman"/>
          <w:b/>
          <w:color w:val="000000"/>
          <w:szCs w:val="22"/>
        </w:rPr>
        <w:t>. Podľa tejto definície by do daňových výdavkov nemali byť zahrnuté negatívne daňové výdavky, ktoré naopak daňové príjmy zvyšujú</w:t>
      </w:r>
      <w:r w:rsidRPr="00823453">
        <w:rPr>
          <w:rFonts w:ascii="Times New Roman" w:hAnsi="Times New Roman" w:cs="Times New Roman"/>
          <w:color w:val="000000"/>
          <w:szCs w:val="22"/>
        </w:rPr>
        <w:t>. Podľa MF SR sú pre informovanú diskusiu dôležité obidve, pre lepšiu orientáciu ich preto uvádzame aj samostatne.</w:t>
      </w:r>
      <w:r w:rsidRPr="00823453">
        <w:rPr>
          <w:rFonts w:ascii="Times New Roman" w:hAnsi="Times New Roman" w:cs="Times New Roman"/>
          <w:color w:val="000000"/>
          <w:szCs w:val="22"/>
        </w:rPr>
        <w:t xml:space="preserve"> </w:t>
      </w:r>
    </w:p>
    <w:p w:rsidR="00D32E4A" w:rsidRPr="000A045E" w:rsidP="00D32E4A">
      <w:pPr>
        <w:bidi w:val="0"/>
        <w:jc w:val="both"/>
        <w:rPr>
          <w:rFonts w:ascii="Times New Roman" w:hAnsi="Times New Roman" w:cs="Times New Roman"/>
          <w:color w:val="000000"/>
          <w:sz w:val="22"/>
          <w:szCs w:val="22"/>
        </w:rPr>
      </w:pPr>
    </w:p>
    <w:tbl>
      <w:tblPr>
        <w:tblStyle w:val="TableNormal"/>
        <w:tblW w:w="9464" w:type="dxa"/>
        <w:jc w:val="center"/>
      </w:tblPr>
      <w:tblGrid>
        <w:gridCol w:w="3639"/>
        <w:gridCol w:w="966"/>
        <w:gridCol w:w="966"/>
        <w:gridCol w:w="931"/>
        <w:gridCol w:w="942"/>
        <w:gridCol w:w="993"/>
        <w:gridCol w:w="973"/>
        <w:gridCol w:w="54"/>
      </w:tblGrid>
      <w:tr>
        <w:tblPrEx>
          <w:tblW w:w="9464" w:type="dxa"/>
          <w:jc w:val="center"/>
        </w:tblPrEx>
        <w:trPr>
          <w:trHeight w:val="454"/>
          <w:jc w:val="center"/>
        </w:trPr>
        <w:tc>
          <w:tcPr>
            <w:tcW w:w="3639" w:type="dxa"/>
            <w:tcBorders>
              <w:top w:val="none" w:sz="0" w:space="0" w:color="auto"/>
              <w:left w:val="none" w:sz="0" w:space="0" w:color="auto"/>
              <w:bottom w:val="single" w:sz="4" w:space="0" w:color="auto"/>
              <w:right w:val="none" w:sz="0" w:space="0" w:color="auto"/>
            </w:tcBorders>
            <w:shd w:val="clear" w:color="auto" w:fill="A6A6A6"/>
            <w:noWrap/>
            <w:textDirection w:val="lrTb"/>
            <w:vAlign w:val="center"/>
          </w:tcPr>
          <w:p w:rsidR="00D32E4A" w:rsidRPr="00823453" w:rsidP="00EA3A44">
            <w:pPr>
              <w:bidi w:val="0"/>
              <w:rPr>
                <w:rFonts w:ascii="Times New Roman" w:hAnsi="Times New Roman" w:cs="Times New Roman"/>
                <w:color w:val="000000" w:themeColor="tx1" w:themeShade="FF"/>
                <w:sz w:val="16"/>
                <w:szCs w:val="16"/>
              </w:rPr>
            </w:pPr>
            <w:r w:rsidRPr="00823453">
              <w:rPr>
                <w:rFonts w:ascii="Times New Roman" w:hAnsi="Times New Roman" w:cs="Times New Roman"/>
                <w:b/>
                <w:bCs/>
                <w:color w:val="000000" w:themeColor="tx1" w:themeShade="FF"/>
                <w:sz w:val="16"/>
                <w:szCs w:val="16"/>
                <w:lang w:eastAsia="en-US"/>
              </w:rPr>
              <w:t>Prehľad daňových výdavkov podľa typu dane alebo poistného (ESA</w:t>
            </w:r>
            <w:r w:rsidR="00EA3A44">
              <w:rPr>
                <w:rFonts w:ascii="Times New Roman" w:hAnsi="Times New Roman" w:cs="Times New Roman"/>
                <w:b/>
                <w:bCs/>
                <w:color w:val="000000" w:themeColor="tx1" w:themeShade="FF"/>
                <w:sz w:val="16"/>
                <w:szCs w:val="16"/>
                <w:lang w:eastAsia="en-US"/>
              </w:rPr>
              <w:t xml:space="preserve"> </w:t>
            </w:r>
            <w:r w:rsidRPr="00823453">
              <w:rPr>
                <w:rFonts w:ascii="Times New Roman" w:hAnsi="Times New Roman" w:cs="Times New Roman"/>
                <w:b/>
                <w:bCs/>
                <w:color w:val="000000" w:themeColor="tx1" w:themeShade="FF"/>
                <w:sz w:val="16"/>
                <w:szCs w:val="16"/>
                <w:lang w:eastAsia="en-US"/>
              </w:rPr>
              <w:t xml:space="preserve">95, tis. </w:t>
            </w:r>
            <w:r w:rsidR="00EA3A44">
              <w:rPr>
                <w:rFonts w:ascii="Times New Roman" w:hAnsi="Times New Roman" w:cs="Times New Roman"/>
                <w:b/>
                <w:bCs/>
                <w:color w:val="000000" w:themeColor="tx1" w:themeShade="FF"/>
                <w:sz w:val="16"/>
                <w:szCs w:val="16"/>
                <w:lang w:eastAsia="en-US"/>
              </w:rPr>
              <w:t>e</w:t>
            </w:r>
            <w:r w:rsidRPr="00823453">
              <w:rPr>
                <w:rFonts w:ascii="Times New Roman" w:hAnsi="Times New Roman" w:cs="Times New Roman"/>
                <w:b/>
                <w:bCs/>
                <w:color w:val="000000" w:themeColor="tx1" w:themeShade="FF"/>
                <w:sz w:val="16"/>
                <w:szCs w:val="16"/>
                <w:lang w:eastAsia="en-US"/>
              </w:rPr>
              <w:t>ur)*</w:t>
            </w:r>
          </w:p>
        </w:tc>
        <w:tc>
          <w:tcPr>
            <w:tcW w:w="966" w:type="dxa"/>
            <w:tcBorders>
              <w:top w:val="none" w:sz="0" w:space="0" w:color="auto"/>
              <w:left w:val="none" w:sz="0" w:space="0" w:color="auto"/>
              <w:bottom w:val="single" w:sz="4" w:space="0" w:color="auto"/>
              <w:right w:val="none" w:sz="0" w:space="0" w:color="auto"/>
            </w:tcBorders>
            <w:shd w:val="clear" w:color="auto" w:fill="A6A6A6"/>
            <w:noWrap/>
            <w:textDirection w:val="lrTb"/>
            <w:vAlign w:val="center"/>
          </w:tcPr>
          <w:p w:rsidR="00D32E4A" w:rsidRPr="00823453" w:rsidP="00DC7838">
            <w:pPr>
              <w:bidi w:val="0"/>
              <w:jc w:val="center"/>
              <w:rPr>
                <w:rFonts w:ascii="Times New Roman" w:hAnsi="Times New Roman" w:cs="Times New Roman"/>
                <w:b/>
                <w:bCs/>
                <w:color w:val="000000"/>
                <w:sz w:val="16"/>
                <w:szCs w:val="16"/>
              </w:rPr>
            </w:pPr>
            <w:r w:rsidRPr="00823453">
              <w:rPr>
                <w:rFonts w:ascii="Times New Roman" w:hAnsi="Times New Roman" w:cs="Times New Roman"/>
                <w:b/>
                <w:bCs/>
                <w:color w:val="000000"/>
                <w:sz w:val="16"/>
                <w:szCs w:val="16"/>
              </w:rPr>
              <w:t>2010</w:t>
            </w:r>
          </w:p>
        </w:tc>
        <w:tc>
          <w:tcPr>
            <w:tcW w:w="966" w:type="dxa"/>
            <w:tcBorders>
              <w:top w:val="none" w:sz="0" w:space="0" w:color="auto"/>
              <w:left w:val="none" w:sz="0" w:space="0" w:color="auto"/>
              <w:bottom w:val="single" w:sz="4" w:space="0" w:color="auto"/>
              <w:right w:val="none" w:sz="0" w:space="0" w:color="auto"/>
            </w:tcBorders>
            <w:shd w:val="clear" w:color="auto" w:fill="A6A6A6"/>
            <w:noWrap/>
            <w:textDirection w:val="lrTb"/>
            <w:vAlign w:val="center"/>
          </w:tcPr>
          <w:p w:rsidR="00D32E4A" w:rsidRPr="00823453" w:rsidP="00DC7838">
            <w:pPr>
              <w:bidi w:val="0"/>
              <w:jc w:val="center"/>
              <w:rPr>
                <w:rFonts w:ascii="Times New Roman" w:hAnsi="Times New Roman" w:cs="Times New Roman"/>
                <w:b/>
                <w:bCs/>
                <w:color w:val="000000"/>
                <w:sz w:val="16"/>
                <w:szCs w:val="16"/>
              </w:rPr>
            </w:pPr>
            <w:r w:rsidRPr="00823453">
              <w:rPr>
                <w:rFonts w:ascii="Times New Roman" w:hAnsi="Times New Roman" w:cs="Times New Roman"/>
                <w:b/>
                <w:bCs/>
                <w:color w:val="000000"/>
                <w:sz w:val="16"/>
                <w:szCs w:val="16"/>
              </w:rPr>
              <w:t>2011</w:t>
            </w:r>
          </w:p>
        </w:tc>
        <w:tc>
          <w:tcPr>
            <w:tcW w:w="931" w:type="dxa"/>
            <w:tcBorders>
              <w:top w:val="none" w:sz="0" w:space="0" w:color="auto"/>
              <w:left w:val="none" w:sz="0" w:space="0" w:color="auto"/>
              <w:bottom w:val="single" w:sz="4" w:space="0" w:color="auto"/>
              <w:right w:val="none" w:sz="0" w:space="0" w:color="auto"/>
            </w:tcBorders>
            <w:shd w:val="clear" w:color="auto" w:fill="A6A6A6"/>
            <w:noWrap/>
            <w:textDirection w:val="lrTb"/>
            <w:vAlign w:val="center"/>
          </w:tcPr>
          <w:p w:rsidR="00D32E4A" w:rsidRPr="00823453" w:rsidP="00DC7838">
            <w:pPr>
              <w:bidi w:val="0"/>
              <w:jc w:val="center"/>
              <w:rPr>
                <w:rFonts w:ascii="Times New Roman" w:hAnsi="Times New Roman" w:cs="Times New Roman"/>
                <w:b/>
                <w:bCs/>
                <w:color w:val="000000"/>
                <w:sz w:val="16"/>
                <w:szCs w:val="16"/>
              </w:rPr>
            </w:pPr>
            <w:r w:rsidRPr="00823453">
              <w:rPr>
                <w:rFonts w:ascii="Times New Roman" w:hAnsi="Times New Roman" w:cs="Times New Roman"/>
                <w:b/>
                <w:bCs/>
                <w:color w:val="000000"/>
                <w:sz w:val="16"/>
                <w:szCs w:val="16"/>
              </w:rPr>
              <w:t>2012</w:t>
            </w:r>
          </w:p>
        </w:tc>
        <w:tc>
          <w:tcPr>
            <w:tcW w:w="942" w:type="dxa"/>
            <w:tcBorders>
              <w:top w:val="none" w:sz="0" w:space="0" w:color="auto"/>
              <w:left w:val="none" w:sz="0" w:space="0" w:color="auto"/>
              <w:bottom w:val="single" w:sz="4" w:space="0" w:color="auto"/>
              <w:right w:val="none" w:sz="0" w:space="0" w:color="auto"/>
            </w:tcBorders>
            <w:shd w:val="clear" w:color="auto" w:fill="A6A6A6"/>
            <w:noWrap/>
            <w:textDirection w:val="lrTb"/>
            <w:vAlign w:val="center"/>
          </w:tcPr>
          <w:p w:rsidR="00D32E4A" w:rsidRPr="00823453" w:rsidP="00DC7838">
            <w:pPr>
              <w:bidi w:val="0"/>
              <w:jc w:val="center"/>
              <w:rPr>
                <w:rFonts w:ascii="Times New Roman" w:hAnsi="Times New Roman" w:cs="Times New Roman"/>
                <w:b/>
                <w:bCs/>
                <w:color w:val="000000"/>
                <w:sz w:val="16"/>
                <w:szCs w:val="16"/>
              </w:rPr>
            </w:pPr>
            <w:r w:rsidRPr="00823453">
              <w:rPr>
                <w:rFonts w:ascii="Times New Roman" w:hAnsi="Times New Roman" w:cs="Times New Roman"/>
                <w:b/>
                <w:bCs/>
                <w:color w:val="000000"/>
                <w:sz w:val="16"/>
                <w:szCs w:val="16"/>
              </w:rPr>
              <w:t>2013</w:t>
            </w:r>
          </w:p>
        </w:tc>
        <w:tc>
          <w:tcPr>
            <w:tcW w:w="993" w:type="dxa"/>
            <w:tcBorders>
              <w:top w:val="none" w:sz="0" w:space="0" w:color="auto"/>
              <w:left w:val="none" w:sz="0" w:space="0" w:color="auto"/>
              <w:bottom w:val="single" w:sz="4" w:space="0" w:color="auto"/>
              <w:right w:val="none" w:sz="0" w:space="0" w:color="auto"/>
            </w:tcBorders>
            <w:shd w:val="clear" w:color="auto" w:fill="A6A6A6"/>
            <w:noWrap/>
            <w:textDirection w:val="lrTb"/>
            <w:vAlign w:val="center"/>
          </w:tcPr>
          <w:p w:rsidR="00D32E4A" w:rsidRPr="00823453" w:rsidP="00DC7838">
            <w:pPr>
              <w:bidi w:val="0"/>
              <w:jc w:val="center"/>
              <w:rPr>
                <w:rFonts w:ascii="Times New Roman" w:hAnsi="Times New Roman" w:cs="Times New Roman"/>
                <w:b/>
                <w:bCs/>
                <w:color w:val="000000"/>
                <w:sz w:val="16"/>
                <w:szCs w:val="16"/>
              </w:rPr>
            </w:pPr>
            <w:r w:rsidRPr="00823453">
              <w:rPr>
                <w:rFonts w:ascii="Times New Roman" w:hAnsi="Times New Roman" w:cs="Times New Roman"/>
                <w:b/>
                <w:bCs/>
                <w:color w:val="000000"/>
                <w:sz w:val="16"/>
                <w:szCs w:val="16"/>
              </w:rPr>
              <w:t>2014</w:t>
            </w:r>
          </w:p>
        </w:tc>
        <w:tc>
          <w:tcPr>
            <w:tcW w:w="1027" w:type="dxa"/>
            <w:gridSpan w:val="2"/>
            <w:tcBorders>
              <w:top w:val="none" w:sz="0" w:space="0" w:color="auto"/>
              <w:left w:val="none" w:sz="0" w:space="0" w:color="auto"/>
              <w:bottom w:val="single" w:sz="4" w:space="0" w:color="auto"/>
              <w:right w:val="none" w:sz="0" w:space="0" w:color="auto"/>
            </w:tcBorders>
            <w:shd w:val="clear" w:color="auto" w:fill="A6A6A6"/>
            <w:noWrap/>
            <w:textDirection w:val="lrTb"/>
            <w:vAlign w:val="center"/>
          </w:tcPr>
          <w:p w:rsidR="00D32E4A" w:rsidRPr="00823453" w:rsidP="00DC7838">
            <w:pPr>
              <w:bidi w:val="0"/>
              <w:jc w:val="center"/>
              <w:rPr>
                <w:rFonts w:ascii="Times New Roman" w:hAnsi="Times New Roman" w:cs="Times New Roman"/>
                <w:b/>
                <w:bCs/>
                <w:color w:val="000000"/>
                <w:sz w:val="16"/>
                <w:szCs w:val="16"/>
              </w:rPr>
            </w:pPr>
            <w:r w:rsidRPr="00823453">
              <w:rPr>
                <w:rFonts w:ascii="Times New Roman" w:hAnsi="Times New Roman" w:cs="Times New Roman"/>
                <w:b/>
                <w:bCs/>
                <w:color w:val="000000"/>
                <w:sz w:val="16"/>
                <w:szCs w:val="16"/>
              </w:rPr>
              <w:t>2015</w:t>
            </w:r>
          </w:p>
        </w:tc>
      </w:tr>
      <w:tr>
        <w:tblPrEx>
          <w:tblW w:w="9464" w:type="dxa"/>
          <w:jc w:val="center"/>
        </w:tblPrEx>
        <w:trPr>
          <w:trHeight w:val="270"/>
          <w:jc w:val="center"/>
        </w:trPr>
        <w:tc>
          <w:tcPr>
            <w:tcW w:w="3639" w:type="dxa"/>
            <w:tcBorders>
              <w:top w:val="single" w:sz="4"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color w:val="000000"/>
                <w:sz w:val="16"/>
                <w:szCs w:val="16"/>
              </w:rPr>
            </w:pPr>
            <w:r w:rsidRPr="00823453">
              <w:rPr>
                <w:rFonts w:ascii="Times New Roman" w:hAnsi="Times New Roman" w:cs="Times New Roman"/>
                <w:color w:val="000000"/>
                <w:sz w:val="16"/>
                <w:szCs w:val="16"/>
                <w:lang w:eastAsia="en-US"/>
              </w:rPr>
              <w:t>Daň z príjmov fyzických osôb</w:t>
            </w:r>
          </w:p>
        </w:tc>
        <w:tc>
          <w:tcPr>
            <w:tcW w:w="966" w:type="dxa"/>
            <w:tcBorders>
              <w:top w:val="single" w:sz="4"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474 231</w:t>
            </w:r>
          </w:p>
        </w:tc>
        <w:tc>
          <w:tcPr>
            <w:tcW w:w="966" w:type="dxa"/>
            <w:tcBorders>
              <w:top w:val="single" w:sz="4"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451 031</w:t>
            </w:r>
          </w:p>
        </w:tc>
        <w:tc>
          <w:tcPr>
            <w:tcW w:w="931" w:type="dxa"/>
            <w:tcBorders>
              <w:top w:val="single" w:sz="4"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368 021</w:t>
            </w:r>
          </w:p>
        </w:tc>
        <w:tc>
          <w:tcPr>
            <w:tcW w:w="942" w:type="dxa"/>
            <w:tcBorders>
              <w:top w:val="single" w:sz="4"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370 521</w:t>
            </w:r>
          </w:p>
        </w:tc>
        <w:tc>
          <w:tcPr>
            <w:tcW w:w="993" w:type="dxa"/>
            <w:tcBorders>
              <w:top w:val="single" w:sz="4"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375 429</w:t>
            </w:r>
          </w:p>
        </w:tc>
        <w:tc>
          <w:tcPr>
            <w:tcW w:w="1027" w:type="dxa"/>
            <w:gridSpan w:val="2"/>
            <w:tcBorders>
              <w:top w:val="single" w:sz="4"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383 732</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color w:val="000000"/>
                <w:sz w:val="16"/>
                <w:szCs w:val="16"/>
              </w:rPr>
            </w:pPr>
            <w:r w:rsidRPr="00823453">
              <w:rPr>
                <w:rFonts w:ascii="Times New Roman" w:hAnsi="Times New Roman" w:cs="Times New Roman"/>
                <w:color w:val="000000"/>
                <w:sz w:val="16"/>
                <w:szCs w:val="16"/>
                <w:lang w:eastAsia="en-US"/>
              </w:rPr>
              <w:t>Daň z príjmov právnických osôb</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116 740</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98 940</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108 755</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123 999</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124 535</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133 147</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color w:val="000000"/>
                <w:sz w:val="16"/>
                <w:szCs w:val="16"/>
              </w:rPr>
            </w:pPr>
            <w:r w:rsidRPr="00823453">
              <w:rPr>
                <w:rFonts w:ascii="Times New Roman" w:hAnsi="Times New Roman" w:cs="Times New Roman"/>
                <w:color w:val="000000"/>
                <w:sz w:val="16"/>
                <w:szCs w:val="16"/>
              </w:rPr>
              <w:t>Daň z pridanej hodnoty</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145 545</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156 054</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155 035</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159 293</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167 725</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178 222</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color w:val="000000"/>
                <w:sz w:val="16"/>
                <w:szCs w:val="16"/>
              </w:rPr>
            </w:pPr>
            <w:r w:rsidRPr="00823453">
              <w:rPr>
                <w:rFonts w:ascii="Times New Roman" w:hAnsi="Times New Roman" w:cs="Times New Roman"/>
                <w:color w:val="000000"/>
                <w:sz w:val="16"/>
                <w:szCs w:val="16"/>
              </w:rPr>
              <w:t>Spotrebné dane</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210 657</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118 037</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135 074</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131 856</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129 894</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128 541</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color w:val="000000"/>
                <w:sz w:val="16"/>
                <w:szCs w:val="16"/>
              </w:rPr>
            </w:pPr>
            <w:r w:rsidRPr="00823453">
              <w:rPr>
                <w:rFonts w:ascii="Times New Roman" w:hAnsi="Times New Roman" w:cs="Times New Roman"/>
                <w:color w:val="000000"/>
                <w:sz w:val="16"/>
                <w:szCs w:val="16"/>
              </w:rPr>
              <w:t>Daň z nehnuteľností</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13 353</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13 768</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14 456</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15 179</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15 938</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16 735</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color w:val="000000"/>
                <w:sz w:val="16"/>
                <w:szCs w:val="16"/>
              </w:rPr>
            </w:pPr>
            <w:r w:rsidRPr="00823453">
              <w:rPr>
                <w:rFonts w:ascii="Times New Roman" w:hAnsi="Times New Roman" w:cs="Times New Roman"/>
                <w:color w:val="000000"/>
                <w:sz w:val="16"/>
                <w:szCs w:val="16"/>
              </w:rPr>
              <w:t>Sociálne poistenie</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198 804</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133 208</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134 345</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-68 171</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-100 072</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-123 854</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 xml:space="preserve"> - z toho daňové výdavky</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261 270</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197 737</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203 175</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99 774</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79 516</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69 734</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 xml:space="preserve"> - z toho negatívne daňové výdavky</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-62 466</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-64 529</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-68 830</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-167 945</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-179 588</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-193 588</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color w:val="000000"/>
                <w:sz w:val="16"/>
                <w:szCs w:val="16"/>
              </w:rPr>
            </w:pPr>
            <w:r w:rsidRPr="00823453">
              <w:rPr>
                <w:rFonts w:ascii="Times New Roman" w:hAnsi="Times New Roman" w:cs="Times New Roman"/>
                <w:color w:val="000000"/>
                <w:sz w:val="16"/>
                <w:szCs w:val="16"/>
              </w:rPr>
              <w:t xml:space="preserve">Zdravotné poistenie </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226 494</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204 998</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211 325</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121 734</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121 544</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color w:val="000000"/>
                <w:sz w:val="16"/>
                <w:szCs w:val="16"/>
              </w:rPr>
            </w:pPr>
            <w:r w:rsidRPr="00823453">
              <w:rPr>
                <w:rFonts w:ascii="Times New Roman" w:hAnsi="Times New Roman" w:cs="Times New Roman"/>
                <w:color w:val="000000"/>
                <w:sz w:val="16"/>
                <w:szCs w:val="16"/>
              </w:rPr>
              <w:t>125 827</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b/>
                <w:bCs/>
                <w:color w:val="000000"/>
                <w:sz w:val="16"/>
                <w:szCs w:val="16"/>
              </w:rPr>
            </w:pPr>
            <w:r w:rsidRPr="00823453">
              <w:rPr>
                <w:rFonts w:ascii="Times New Roman" w:hAnsi="Times New Roman" w:cs="Times New Roman"/>
                <w:b/>
                <w:bCs/>
                <w:color w:val="000000"/>
                <w:sz w:val="16"/>
                <w:szCs w:val="16"/>
              </w:rPr>
              <w:t>Orientačná výška daňových výdavkov*</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1 385 823</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1 176 037</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1 127 011</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854 411</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834 993</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842 350</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 xml:space="preserve"> - z toho daňové výdavky</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1 448 289</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1 240 566</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1 195 841</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1 022 356</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1 014 581</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1 035 938</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 xml:space="preserve"> - z toho negatívne daňové výdavky</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-62 466</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-64 529</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-68 830</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-167 945</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-179 588</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-193 588</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b/>
                <w:bCs/>
                <w:color w:val="000000"/>
                <w:sz w:val="16"/>
                <w:szCs w:val="16"/>
              </w:rPr>
            </w:pPr>
            <w:r w:rsidRPr="00823453">
              <w:rPr>
                <w:rFonts w:ascii="Times New Roman" w:hAnsi="Times New Roman" w:cs="Times New Roman"/>
                <w:b/>
                <w:bCs/>
                <w:color w:val="000000"/>
                <w:sz w:val="16"/>
                <w:szCs w:val="16"/>
              </w:rPr>
              <w:t>Orientačná výška daňových výdavkov v % HDP*</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2.1</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1.7</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1.6</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1.1</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1.1</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1.0</w:t>
            </w:r>
          </w:p>
        </w:tc>
      </w:tr>
      <w:tr>
        <w:tblPrEx>
          <w:tblW w:w="9464" w:type="dxa"/>
          <w:jc w:val="center"/>
        </w:tblPrEx>
        <w:trPr>
          <w:trHeight w:val="270"/>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 xml:space="preserve"> - z toho daňové výdavky</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2.2</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1.8</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1.7</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1.4</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1.3</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1.2</w:t>
            </w:r>
          </w:p>
        </w:tc>
      </w:tr>
      <w:tr>
        <w:tblPrEx>
          <w:tblW w:w="9464" w:type="dxa"/>
          <w:jc w:val="center"/>
        </w:tblPrEx>
        <w:trPr>
          <w:trHeight w:val="285"/>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 xml:space="preserve"> - z toho negatívne daňové výdavky</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-0.1</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-0.1</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-0.1</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-0.2</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-0.2</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-0.2</w:t>
            </w:r>
          </w:p>
        </w:tc>
      </w:tr>
      <w:tr>
        <w:tblPrEx>
          <w:tblW w:w="9464" w:type="dxa"/>
          <w:jc w:val="center"/>
        </w:tblPrEx>
        <w:trPr>
          <w:trHeight w:val="285"/>
          <w:jc w:val="center"/>
        </w:trPr>
        <w:tc>
          <w:tcPr>
            <w:tcW w:w="3639" w:type="dxa"/>
            <w:tcBorders>
              <w:top w:val="single" w:sz="8"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b/>
                <w:bCs/>
                <w:color w:val="000000"/>
                <w:sz w:val="16"/>
                <w:szCs w:val="16"/>
              </w:rPr>
              <w:t>Zmena výšky daňových výdavkov*</w:t>
            </w:r>
          </w:p>
        </w:tc>
        <w:tc>
          <w:tcPr>
            <w:tcW w:w="966" w:type="dxa"/>
            <w:tcBorders>
              <w:top w:val="single" w:sz="8"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w:t>
            </w:r>
          </w:p>
        </w:tc>
        <w:tc>
          <w:tcPr>
            <w:tcW w:w="966" w:type="dxa"/>
            <w:tcBorders>
              <w:top w:val="single" w:sz="8"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-209 787</w:t>
            </w:r>
          </w:p>
        </w:tc>
        <w:tc>
          <w:tcPr>
            <w:tcW w:w="931" w:type="dxa"/>
            <w:tcBorders>
              <w:top w:val="single" w:sz="8"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-49 025</w:t>
            </w:r>
          </w:p>
        </w:tc>
        <w:tc>
          <w:tcPr>
            <w:tcW w:w="942" w:type="dxa"/>
            <w:tcBorders>
              <w:top w:val="single" w:sz="8"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-272 601</w:t>
            </w:r>
          </w:p>
        </w:tc>
        <w:tc>
          <w:tcPr>
            <w:tcW w:w="993" w:type="dxa"/>
            <w:tcBorders>
              <w:top w:val="single" w:sz="8"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-19 418</w:t>
            </w:r>
          </w:p>
        </w:tc>
        <w:tc>
          <w:tcPr>
            <w:tcW w:w="1027" w:type="dxa"/>
            <w:gridSpan w:val="2"/>
            <w:tcBorders>
              <w:top w:val="single" w:sz="8"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7 357</w:t>
            </w:r>
          </w:p>
        </w:tc>
      </w:tr>
      <w:tr>
        <w:tblPrEx>
          <w:tblW w:w="9464" w:type="dxa"/>
          <w:jc w:val="center"/>
        </w:tblPrEx>
        <w:trPr>
          <w:trHeight w:val="285"/>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 xml:space="preserve"> - z toho daňové výdavky</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-207 723</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-44 724</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-173 485</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-7 775</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21 357</w:t>
            </w:r>
          </w:p>
        </w:tc>
      </w:tr>
      <w:tr>
        <w:tblPrEx>
          <w:tblW w:w="9464" w:type="dxa"/>
          <w:jc w:val="center"/>
        </w:tblPrEx>
        <w:trPr>
          <w:trHeight w:val="285"/>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 xml:space="preserve"> - z toho negatívne daňové výdavky</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-2 063</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-4 301</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-99 116</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-11 643</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-14 000</w:t>
            </w:r>
          </w:p>
        </w:tc>
      </w:tr>
      <w:tr>
        <w:tblPrEx>
          <w:tblW w:w="9464" w:type="dxa"/>
          <w:jc w:val="center"/>
        </w:tblPrEx>
        <w:trPr>
          <w:trHeight w:val="285"/>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b/>
                <w:bCs/>
                <w:color w:val="000000"/>
                <w:sz w:val="16"/>
                <w:szCs w:val="16"/>
              </w:rPr>
              <w:t>Zmena výška daňových výdavkov v % HDP*</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-0.4</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-0.1</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-0.4</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-0.1</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b/>
                <w:bCs/>
                <w:sz w:val="16"/>
                <w:szCs w:val="16"/>
              </w:rPr>
            </w:pPr>
            <w:r w:rsidRPr="00823453">
              <w:rPr>
                <w:rFonts w:ascii="Times New Roman" w:hAnsi="Times New Roman" w:cs="Times New Roman"/>
                <w:b/>
                <w:bCs/>
                <w:sz w:val="16"/>
                <w:szCs w:val="16"/>
              </w:rPr>
              <w:t>0.0</w:t>
            </w:r>
          </w:p>
        </w:tc>
      </w:tr>
      <w:tr>
        <w:tblPrEx>
          <w:tblW w:w="9464" w:type="dxa"/>
          <w:jc w:val="center"/>
        </w:tblPrEx>
        <w:trPr>
          <w:trHeight w:val="285"/>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 xml:space="preserve"> - z toho daňové výdavky</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-0.4</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-0.1</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-0.3</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-0.1</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0.0</w:t>
            </w:r>
          </w:p>
        </w:tc>
      </w:tr>
      <w:tr>
        <w:tblPrEx>
          <w:tblW w:w="9464" w:type="dxa"/>
          <w:jc w:val="center"/>
        </w:tblPrEx>
        <w:trPr>
          <w:trHeight w:val="285"/>
          <w:jc w:val="center"/>
        </w:trPr>
        <w:tc>
          <w:tcPr>
            <w:tcW w:w="3639"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i/>
                <w:iCs/>
                <w:color w:val="000000"/>
                <w:sz w:val="16"/>
                <w:szCs w:val="16"/>
              </w:rPr>
            </w:pPr>
            <w:r w:rsidRPr="00823453">
              <w:rPr>
                <w:rFonts w:ascii="Times New Roman" w:hAnsi="Times New Roman" w:cs="Times New Roman"/>
                <w:i/>
                <w:iCs/>
                <w:color w:val="000000"/>
                <w:sz w:val="16"/>
                <w:szCs w:val="16"/>
              </w:rPr>
              <w:t xml:space="preserve"> - z toho negatívne daňové výdavky</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w:t>
            </w:r>
          </w:p>
        </w:tc>
        <w:tc>
          <w:tcPr>
            <w:tcW w:w="966"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0.0</w:t>
            </w:r>
          </w:p>
        </w:tc>
        <w:tc>
          <w:tcPr>
            <w:tcW w:w="931"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0.0</w:t>
            </w:r>
          </w:p>
        </w:tc>
        <w:tc>
          <w:tcPr>
            <w:tcW w:w="942"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-0.1</w:t>
            </w:r>
          </w:p>
        </w:tc>
        <w:tc>
          <w:tcPr>
            <w:tcW w:w="993" w:type="dxa"/>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0.0</w:t>
            </w:r>
          </w:p>
        </w:tc>
        <w:tc>
          <w:tcPr>
            <w:tcW w:w="1027" w:type="dxa"/>
            <w:gridSpan w:val="2"/>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jc w:val="center"/>
              <w:rPr>
                <w:rFonts w:ascii="Times New Roman" w:hAnsi="Times New Roman" w:cs="Times New Roman"/>
                <w:i/>
                <w:iCs/>
                <w:sz w:val="16"/>
                <w:szCs w:val="16"/>
              </w:rPr>
            </w:pPr>
            <w:r w:rsidRPr="00823453">
              <w:rPr>
                <w:rFonts w:ascii="Times New Roman" w:hAnsi="Times New Roman" w:cs="Times New Roman"/>
                <w:i/>
                <w:iCs/>
                <w:sz w:val="16"/>
                <w:szCs w:val="16"/>
              </w:rPr>
              <w:t>0.0</w:t>
            </w:r>
          </w:p>
        </w:tc>
      </w:tr>
      <w:tr>
        <w:tblPrEx>
          <w:tblW w:w="9464" w:type="dxa"/>
          <w:jc w:val="center"/>
        </w:tblPrEx>
        <w:trPr>
          <w:gridAfter w:val="1"/>
          <w:wAfter w:w="54" w:type="dxa"/>
          <w:trHeight w:val="270"/>
          <w:jc w:val="center"/>
        </w:trPr>
        <w:tc>
          <w:tcPr>
            <w:tcW w:w="9410" w:type="dxa"/>
            <w:gridSpan w:val="7"/>
            <w:tcBorders>
              <w:top w:val="single" w:sz="8" w:space="0" w:color="auto"/>
              <w:left w:val="none" w:sz="0" w:space="0" w:color="auto"/>
              <w:bottom w:val="none" w:sz="0" w:space="0" w:color="auto"/>
              <w:right w:val="none" w:sz="0" w:space="0" w:color="auto"/>
            </w:tcBorders>
            <w:noWrap/>
            <w:textDirection w:val="lrTb"/>
            <w:vAlign w:val="center"/>
          </w:tcPr>
          <w:p w:rsidR="00D32E4A" w:rsidRPr="00823453" w:rsidP="00DC7838">
            <w:pPr>
              <w:bidi w:val="0"/>
              <w:rPr>
                <w:rFonts w:ascii="Times New Roman" w:hAnsi="Times New Roman" w:cs="Times New Roman"/>
                <w:sz w:val="14"/>
                <w:szCs w:val="16"/>
              </w:rPr>
            </w:pPr>
            <w:r w:rsidRPr="00823453">
              <w:rPr>
                <w:rFonts w:ascii="Times New Roman" w:hAnsi="Times New Roman" w:cs="Times New Roman"/>
                <w:i/>
                <w:iCs/>
                <w:color w:val="000000"/>
                <w:sz w:val="14"/>
                <w:szCs w:val="16"/>
              </w:rPr>
              <w:t>* Pokiaľ pri zrušení daňového výdavku dochádza k rozloženiu vplyvu na viac rokov, uvádza sa plný efekt opatreni</w:t>
            </w:r>
            <w:r w:rsidR="00EA3A44">
              <w:rPr>
                <w:rFonts w:ascii="Times New Roman" w:hAnsi="Times New Roman" w:cs="Times New Roman"/>
                <w:i/>
                <w:iCs/>
                <w:color w:val="000000"/>
                <w:sz w:val="14"/>
                <w:szCs w:val="16"/>
              </w:rPr>
              <w:t>a.</w:t>
            </w:r>
          </w:p>
        </w:tc>
      </w:tr>
      <w:tr>
        <w:tblPrEx>
          <w:tblW w:w="9464" w:type="dxa"/>
          <w:jc w:val="center"/>
        </w:tblPrEx>
        <w:trPr>
          <w:gridAfter w:val="1"/>
          <w:wAfter w:w="54" w:type="dxa"/>
          <w:trHeight w:val="270"/>
          <w:jc w:val="center"/>
        </w:trPr>
        <w:tc>
          <w:tcPr>
            <w:tcW w:w="9410" w:type="dxa"/>
            <w:gridSpan w:val="7"/>
            <w:tcBorders>
              <w:top w:val="none" w:sz="0" w:space="0" w:color="auto"/>
              <w:left w:val="none" w:sz="0" w:space="0" w:color="auto"/>
              <w:bottom w:val="none" w:sz="0" w:space="0" w:color="auto"/>
              <w:right w:val="none" w:sz="0" w:space="0" w:color="auto"/>
            </w:tcBorders>
            <w:noWrap/>
            <w:textDirection w:val="lrTb"/>
            <w:vAlign w:val="center"/>
          </w:tcPr>
          <w:p w:rsidR="00D32E4A" w:rsidRPr="00823453" w:rsidP="00DC7838">
            <w:pPr>
              <w:bidi w:val="0"/>
              <w:ind w:left="170" w:hanging="170"/>
              <w:rPr>
                <w:rFonts w:ascii="Times New Roman" w:hAnsi="Times New Roman" w:cs="Times New Roman"/>
                <w:i/>
                <w:iCs/>
                <w:color w:val="000000"/>
                <w:sz w:val="14"/>
                <w:szCs w:val="16"/>
              </w:rPr>
            </w:pPr>
            <w:r w:rsidRPr="00823453">
              <w:rPr>
                <w:rFonts w:ascii="Times New Roman" w:hAnsi="Times New Roman" w:cs="Times New Roman"/>
                <w:i/>
                <w:iCs/>
                <w:color w:val="000000"/>
                <w:sz w:val="14"/>
                <w:szCs w:val="16"/>
              </w:rPr>
              <w:t>* * Vypočítané ako súčet samostatne kvantifikovaných daňových výdavkov, čo je spojené s chybou vznikajúcou pri daňových výdavkoch, ktoré sa navzájom ovplyvňujú.</w:t>
            </w:r>
          </w:p>
        </w:tc>
      </w:tr>
    </w:tbl>
    <w:p w:rsidR="00D32E4A" w:rsidRPr="000A045E" w:rsidP="00D32E4A">
      <w:pPr>
        <w:bidi w:val="0"/>
        <w:jc w:val="both"/>
        <w:rPr>
          <w:rFonts w:ascii="Times New Roman" w:hAnsi="Times New Roman" w:cs="Times New Roman"/>
          <w:color w:val="000000"/>
          <w:sz w:val="22"/>
          <w:szCs w:val="22"/>
        </w:rPr>
      </w:pPr>
    </w:p>
    <w:p w:rsidR="00D32E4A" w:rsidRPr="00157493" w:rsidP="00823453">
      <w:pPr>
        <w:bidi w:val="0"/>
        <w:ind w:firstLine="708"/>
        <w:jc w:val="both"/>
        <w:rPr>
          <w:rFonts w:ascii="Times New Roman" w:hAnsi="Times New Roman" w:cs="Times New Roman"/>
          <w:color w:val="000000"/>
          <w:szCs w:val="22"/>
        </w:rPr>
      </w:pPr>
      <w:r w:rsidRPr="00157493">
        <w:rPr>
          <w:rFonts w:ascii="Times New Roman" w:hAnsi="Times New Roman" w:cs="Times New Roman"/>
          <w:color w:val="000000"/>
          <w:szCs w:val="22"/>
        </w:rPr>
        <w:t xml:space="preserve">Celková výška daňových výdavkov je kvôli vzájomnému ovplyvňovaniu jednotlivých výdavkov len orientačná. </w:t>
      </w:r>
      <w:r w:rsidRPr="00157493">
        <w:rPr>
          <w:rFonts w:ascii="Times New Roman" w:hAnsi="Times New Roman" w:cs="Times New Roman"/>
          <w:b/>
          <w:color w:val="000000"/>
          <w:szCs w:val="22"/>
        </w:rPr>
        <w:t>V roku 2010 dosiahla úroveň daňových výdavkov 1,5 mld. eur (2,2 % HDP), v ďalších</w:t>
      </w:r>
      <w:r w:rsidRPr="00157493">
        <w:rPr>
          <w:rFonts w:ascii="Times New Roman" w:hAnsi="Times New Roman" w:cs="Times New Roman"/>
          <w:color w:val="000000"/>
          <w:szCs w:val="22"/>
        </w:rPr>
        <w:t xml:space="preserve"> </w:t>
      </w:r>
      <w:r w:rsidRPr="00157493">
        <w:rPr>
          <w:rFonts w:ascii="Times New Roman" w:hAnsi="Times New Roman" w:cs="Times New Roman"/>
          <w:b/>
          <w:color w:val="000000"/>
          <w:szCs w:val="22"/>
        </w:rPr>
        <w:t>rokoch (2011 a 2012) dochádza k poklesu daňových výdavkov kumulatívne približne vo výške 0,5 % HDP (253 mil. eur).</w:t>
      </w:r>
      <w:r w:rsidRPr="00157493">
        <w:rPr>
          <w:rFonts w:ascii="Times New Roman" w:hAnsi="Times New Roman" w:cs="Times New Roman"/>
          <w:color w:val="000000"/>
          <w:szCs w:val="22"/>
        </w:rPr>
        <w:t xml:space="preserve"> Tento pokles je zapríčinený najmä rozširovaním daňových základní v prípade dane z príjmov fyzických osôb, spotrebných daní a sociálnych odvodov:</w:t>
      </w:r>
    </w:p>
    <w:p w:rsidR="00D32E4A" w:rsidRPr="00157493" w:rsidP="00D32E4A">
      <w:pPr>
        <w:bidi w:val="0"/>
        <w:rPr>
          <w:rFonts w:ascii="Times New Roman" w:hAnsi="Times New Roman" w:cs="Times New Roman"/>
          <w:color w:val="000000"/>
          <w:szCs w:val="22"/>
        </w:rPr>
      </w:pPr>
    </w:p>
    <w:p w:rsidR="00D32E4A" w:rsidRPr="00157493" w:rsidP="00782B39">
      <w:pPr>
        <w:numPr>
          <w:numId w:val="11"/>
        </w:numPr>
        <w:bidi w:val="0"/>
        <w:jc w:val="both"/>
        <w:rPr>
          <w:rFonts w:ascii="Times New Roman" w:hAnsi="Times New Roman" w:cs="Times New Roman"/>
          <w:color w:val="000000"/>
          <w:szCs w:val="22"/>
        </w:rPr>
      </w:pPr>
      <w:r w:rsidRPr="00157493">
        <w:rPr>
          <w:rFonts w:ascii="Times New Roman" w:hAnsi="Times New Roman" w:cs="Times New Roman"/>
          <w:color w:val="000000"/>
          <w:szCs w:val="22"/>
        </w:rPr>
        <w:t xml:space="preserve">V prípade </w:t>
      </w:r>
      <w:r w:rsidRPr="00157493">
        <w:rPr>
          <w:rFonts w:ascii="Times New Roman" w:hAnsi="Times New Roman" w:cs="Times New Roman"/>
          <w:b/>
          <w:color w:val="000000"/>
          <w:szCs w:val="22"/>
        </w:rPr>
        <w:t>dane z príjmov fyzických osôb</w:t>
      </w:r>
      <w:r w:rsidRPr="00157493">
        <w:rPr>
          <w:rFonts w:ascii="Times New Roman" w:hAnsi="Times New Roman" w:cs="Times New Roman"/>
          <w:color w:val="000000"/>
          <w:szCs w:val="22"/>
        </w:rPr>
        <w:t xml:space="preserve"> došlo v roku 2012 k zníženiu daňových výdavkov najmä kvôli zrušeniu uplatňovania nezdaniteľných častí na n</w:t>
      </w:r>
      <w:r w:rsidR="00A03BAE">
        <w:rPr>
          <w:rFonts w:ascii="Times New Roman" w:hAnsi="Times New Roman" w:cs="Times New Roman"/>
          <w:color w:val="000000"/>
          <w:szCs w:val="22"/>
        </w:rPr>
        <w:t>eaktívne príjmy (23,5 mil. eur)</w:t>
      </w:r>
      <w:r w:rsidRPr="00157493">
        <w:rPr>
          <w:rFonts w:ascii="Times New Roman" w:hAnsi="Times New Roman" w:cs="Times New Roman"/>
          <w:color w:val="000000"/>
          <w:szCs w:val="22"/>
        </w:rPr>
        <w:t>. Zároveň sa prejavilo zrušenie nezdaniteľnej časti základu dane na účelové sporenie a doplnkové dôchodkové sporenie (52,8 mil. eur).</w:t>
      </w:r>
    </w:p>
    <w:p w:rsidR="00D32E4A" w:rsidRPr="00157493" w:rsidP="00782B39">
      <w:pPr>
        <w:numPr>
          <w:numId w:val="11"/>
        </w:numPr>
        <w:bidi w:val="0"/>
        <w:jc w:val="both"/>
        <w:rPr>
          <w:rFonts w:ascii="Times New Roman" w:hAnsi="Times New Roman" w:cs="Times New Roman"/>
          <w:color w:val="000000"/>
          <w:szCs w:val="22"/>
        </w:rPr>
      </w:pPr>
      <w:r w:rsidRPr="00157493">
        <w:rPr>
          <w:rFonts w:ascii="Times New Roman" w:hAnsi="Times New Roman" w:cs="Times New Roman"/>
          <w:color w:val="000000"/>
          <w:szCs w:val="22"/>
        </w:rPr>
        <w:t xml:space="preserve">V oblasti </w:t>
      </w:r>
      <w:r w:rsidRPr="00157493">
        <w:rPr>
          <w:rFonts w:ascii="Times New Roman" w:hAnsi="Times New Roman" w:cs="Times New Roman"/>
          <w:b/>
          <w:color w:val="000000"/>
          <w:szCs w:val="22"/>
        </w:rPr>
        <w:t>spotrebných daní</w:t>
      </w:r>
      <w:r w:rsidRPr="00157493">
        <w:rPr>
          <w:rFonts w:ascii="Times New Roman" w:hAnsi="Times New Roman" w:cs="Times New Roman"/>
          <w:color w:val="000000"/>
          <w:szCs w:val="22"/>
        </w:rPr>
        <w:t xml:space="preserve"> došlo k zrušeniu daňových zvýhodnení pre naftu používanú najmä v poľnohospodárstve a železničnej doprave, tzv. červenej nafty </w:t>
      </w:r>
      <w:r w:rsidR="00A03BAE">
        <w:rPr>
          <w:rFonts w:ascii="Times New Roman" w:hAnsi="Times New Roman" w:cs="Times New Roman"/>
          <w:color w:val="000000"/>
          <w:szCs w:val="22"/>
        </w:rPr>
        <w:br/>
      </w:r>
      <w:r w:rsidRPr="00157493">
        <w:rPr>
          <w:rFonts w:ascii="Times New Roman" w:hAnsi="Times New Roman" w:cs="Times New Roman"/>
          <w:color w:val="000000"/>
          <w:szCs w:val="22"/>
        </w:rPr>
        <w:t>(46 mil. eur) a zrušení daňových zvýhodnení pre biogénne látky primiešané v pohonných látkach, tzv. biopalivá (42 mil. eur)</w:t>
      </w:r>
      <w:r w:rsidR="00A03BAE">
        <w:rPr>
          <w:rFonts w:ascii="Times New Roman" w:hAnsi="Times New Roman" w:cs="Times New Roman"/>
          <w:color w:val="000000"/>
          <w:szCs w:val="22"/>
        </w:rPr>
        <w:t>.</w:t>
      </w:r>
    </w:p>
    <w:p w:rsidR="00D32E4A" w:rsidRPr="00157493" w:rsidP="00782B39">
      <w:pPr>
        <w:numPr>
          <w:numId w:val="11"/>
        </w:numPr>
        <w:bidi w:val="0"/>
        <w:jc w:val="both"/>
        <w:rPr>
          <w:rFonts w:ascii="Times New Roman" w:hAnsi="Times New Roman" w:cs="Times New Roman"/>
          <w:color w:val="000000"/>
          <w:szCs w:val="22"/>
        </w:rPr>
      </w:pPr>
      <w:r w:rsidRPr="00157493">
        <w:rPr>
          <w:rFonts w:ascii="Times New Roman" w:hAnsi="Times New Roman" w:cs="Times New Roman"/>
          <w:color w:val="000000"/>
          <w:szCs w:val="22"/>
        </w:rPr>
        <w:t>Zjednocovanie vymeriavacích základov medzi sociálnym a zdravotným poistením, ktoré sa mali</w:t>
      </w:r>
      <w:r w:rsidR="00A03BAE">
        <w:rPr>
          <w:rFonts w:ascii="Times New Roman" w:hAnsi="Times New Roman" w:cs="Times New Roman"/>
          <w:color w:val="000000"/>
          <w:szCs w:val="22"/>
        </w:rPr>
        <w:t xml:space="preserve"> priblížiť k príjmom definovaným </w:t>
      </w:r>
      <w:r w:rsidRPr="00157493">
        <w:rPr>
          <w:rFonts w:ascii="Times New Roman" w:hAnsi="Times New Roman" w:cs="Times New Roman"/>
          <w:color w:val="000000"/>
          <w:szCs w:val="22"/>
        </w:rPr>
        <w:t xml:space="preserve">podľa zákona o dani z príjmov znamenalo, že došlo </w:t>
      </w:r>
      <w:r w:rsidRPr="00157493">
        <w:rPr>
          <w:rFonts w:ascii="Times New Roman" w:hAnsi="Times New Roman" w:cs="Times New Roman"/>
          <w:b/>
          <w:color w:val="000000"/>
          <w:szCs w:val="22"/>
        </w:rPr>
        <w:t>k rozšíreniu doteraz najužšej daňovej základne v sociálnych odvodoch</w:t>
      </w:r>
      <w:r w:rsidRPr="00157493">
        <w:rPr>
          <w:rFonts w:ascii="Times New Roman" w:hAnsi="Times New Roman" w:cs="Times New Roman"/>
          <w:color w:val="000000"/>
          <w:szCs w:val="22"/>
        </w:rPr>
        <w:t xml:space="preserve">. Celkový vplyv z rozšírenia sa odhaduje na úrovni asi 58 mil. eur. </w:t>
      </w:r>
    </w:p>
    <w:p w:rsidR="00D32E4A" w:rsidRPr="00157493" w:rsidP="00D32E4A">
      <w:pPr>
        <w:bidi w:val="0"/>
        <w:rPr>
          <w:rFonts w:ascii="Times New Roman" w:hAnsi="Times New Roman" w:cs="Times New Roman"/>
          <w:color w:val="000000"/>
          <w:szCs w:val="22"/>
        </w:rPr>
      </w:pPr>
    </w:p>
    <w:p w:rsidR="00D32E4A" w:rsidRPr="00157493" w:rsidP="00823453">
      <w:pPr>
        <w:bidi w:val="0"/>
        <w:ind w:firstLine="708"/>
        <w:jc w:val="both"/>
        <w:rPr>
          <w:rFonts w:ascii="Times New Roman" w:hAnsi="Times New Roman" w:cs="Times New Roman"/>
          <w:color w:val="000000"/>
          <w:szCs w:val="22"/>
        </w:rPr>
      </w:pPr>
      <w:r w:rsidR="00A03BAE">
        <w:rPr>
          <w:rFonts w:ascii="Times New Roman" w:hAnsi="Times New Roman" w:cs="Times New Roman"/>
          <w:color w:val="000000"/>
          <w:szCs w:val="22"/>
        </w:rPr>
        <w:t>Návrh r</w:t>
      </w:r>
      <w:r w:rsidRPr="00157493">
        <w:rPr>
          <w:rFonts w:ascii="Times New Roman" w:hAnsi="Times New Roman" w:cs="Times New Roman"/>
          <w:color w:val="000000"/>
          <w:szCs w:val="22"/>
        </w:rPr>
        <w:t>ozpočt</w:t>
      </w:r>
      <w:r w:rsidR="00A03BAE">
        <w:rPr>
          <w:rFonts w:ascii="Times New Roman" w:hAnsi="Times New Roman" w:cs="Times New Roman"/>
          <w:color w:val="000000"/>
          <w:szCs w:val="22"/>
        </w:rPr>
        <w:t>u</w:t>
      </w:r>
      <w:r w:rsidRPr="00157493">
        <w:rPr>
          <w:rFonts w:ascii="Times New Roman" w:hAnsi="Times New Roman" w:cs="Times New Roman"/>
          <w:color w:val="000000"/>
          <w:szCs w:val="22"/>
        </w:rPr>
        <w:t xml:space="preserve"> verejnej správy na roky 2013 až 2015 predpokladá prijatie konsolidačných opatrení, ktoré významne znižujú úroveň daňových výdavkov. </w:t>
      </w:r>
      <w:r w:rsidRPr="00157493">
        <w:rPr>
          <w:rFonts w:ascii="Times New Roman" w:hAnsi="Times New Roman" w:cs="Times New Roman"/>
          <w:b/>
          <w:color w:val="000000"/>
          <w:szCs w:val="22"/>
        </w:rPr>
        <w:t>V roku 2013 poklesnú daňové výdavky o ďalších 0,3 % HDP (174 mil. eur).</w:t>
      </w:r>
      <w:r w:rsidRPr="00157493">
        <w:rPr>
          <w:rFonts w:ascii="Times New Roman" w:hAnsi="Times New Roman" w:cs="Times New Roman"/>
          <w:color w:val="000000"/>
          <w:szCs w:val="22"/>
        </w:rPr>
        <w:t xml:space="preserve"> Medzi najvýznamnejšie opatrenia, ktoré spôsobili tento pokles</w:t>
      </w:r>
      <w:r w:rsidR="00A03BAE">
        <w:rPr>
          <w:rFonts w:ascii="Times New Roman" w:hAnsi="Times New Roman" w:cs="Times New Roman"/>
          <w:color w:val="000000"/>
          <w:szCs w:val="22"/>
        </w:rPr>
        <w:t>,</w:t>
      </w:r>
      <w:r w:rsidRPr="00157493">
        <w:rPr>
          <w:rFonts w:ascii="Times New Roman" w:hAnsi="Times New Roman" w:cs="Times New Roman"/>
          <w:color w:val="000000"/>
          <w:szCs w:val="22"/>
        </w:rPr>
        <w:t xml:space="preserve"> patria: </w:t>
      </w:r>
    </w:p>
    <w:p w:rsidR="00D32E4A" w:rsidRPr="00157493" w:rsidP="00D32E4A">
      <w:pPr>
        <w:bidi w:val="0"/>
        <w:rPr>
          <w:rFonts w:ascii="Times New Roman" w:hAnsi="Times New Roman" w:cs="Times New Roman"/>
          <w:color w:val="000000"/>
          <w:szCs w:val="22"/>
        </w:rPr>
      </w:pPr>
    </w:p>
    <w:p w:rsidR="00D32E4A" w:rsidRPr="00157493" w:rsidP="00782B39">
      <w:pPr>
        <w:numPr>
          <w:numId w:val="11"/>
        </w:numPr>
        <w:bidi w:val="0"/>
        <w:jc w:val="both"/>
        <w:rPr>
          <w:rFonts w:ascii="Times New Roman" w:hAnsi="Times New Roman" w:cs="Times New Roman"/>
          <w:color w:val="000000"/>
          <w:szCs w:val="22"/>
        </w:rPr>
      </w:pPr>
      <w:r w:rsidRPr="00157493">
        <w:rPr>
          <w:rFonts w:ascii="Times New Roman" w:hAnsi="Times New Roman" w:cs="Times New Roman"/>
          <w:color w:val="000000"/>
          <w:szCs w:val="22"/>
        </w:rPr>
        <w:t xml:space="preserve">Obmedzenie zvýhodnení v sociálnych a zdravotných odvodoch pre príjmy z </w:t>
      </w:r>
      <w:r w:rsidRPr="00157493">
        <w:rPr>
          <w:rFonts w:ascii="Times New Roman" w:hAnsi="Times New Roman" w:cs="Times New Roman"/>
          <w:b/>
          <w:color w:val="000000"/>
          <w:szCs w:val="22"/>
        </w:rPr>
        <w:t xml:space="preserve">dohôd o prácach vykonávaných mimo pracovný pomer </w:t>
      </w:r>
      <w:r w:rsidRPr="00157493">
        <w:rPr>
          <w:rFonts w:ascii="Times New Roman" w:hAnsi="Times New Roman" w:cs="Times New Roman"/>
          <w:color w:val="000000"/>
          <w:szCs w:val="22"/>
        </w:rPr>
        <w:t xml:space="preserve">sa odhaduje na úrovni </w:t>
      </w:r>
      <w:r w:rsidRPr="00157493">
        <w:rPr>
          <w:rFonts w:ascii="Times New Roman" w:hAnsi="Times New Roman" w:cs="Times New Roman"/>
          <w:b/>
          <w:color w:val="000000"/>
          <w:szCs w:val="22"/>
        </w:rPr>
        <w:t>133 mil. eur</w:t>
      </w:r>
      <w:r w:rsidRPr="00A03BAE">
        <w:rPr>
          <w:rFonts w:ascii="Times New Roman" w:hAnsi="Times New Roman" w:cs="Times New Roman"/>
          <w:color w:val="000000"/>
          <w:szCs w:val="22"/>
        </w:rPr>
        <w:t>.</w:t>
      </w:r>
      <w:r w:rsidRPr="00157493">
        <w:rPr>
          <w:rFonts w:ascii="Times New Roman" w:hAnsi="Times New Roman" w:cs="Times New Roman"/>
          <w:b/>
          <w:color w:val="000000"/>
          <w:szCs w:val="22"/>
        </w:rPr>
        <w:t xml:space="preserve"> </w:t>
      </w:r>
      <w:r w:rsidRPr="00157493">
        <w:rPr>
          <w:rFonts w:ascii="Times New Roman" w:hAnsi="Times New Roman" w:cs="Times New Roman"/>
          <w:color w:val="000000"/>
          <w:szCs w:val="22"/>
        </w:rPr>
        <w:t>Súčasné takmer plné oslobodenie od platenia odvodov sa priblíži k úrovni daňovo-odvodového zaťaženia zamestnancov. Napriek tomuto opatreniu budú ponechané výnimky pre vybrané skupiny fyzických osôb s príjmami z dohôd. Ich odvodové zaťaženie bude vo väčšine prípadov nižšie ako u zamestnancov, no oproti roku 2012 dôjde aj u nich k výraznému zvýšeniu odvodov.</w:t>
      </w:r>
    </w:p>
    <w:p w:rsidR="00D32E4A" w:rsidP="00782B39">
      <w:pPr>
        <w:numPr>
          <w:numId w:val="11"/>
        </w:numPr>
        <w:bidi w:val="0"/>
        <w:jc w:val="both"/>
        <w:rPr>
          <w:rFonts w:ascii="Times New Roman" w:hAnsi="Times New Roman" w:cs="Times New Roman"/>
          <w:color w:val="000000"/>
          <w:szCs w:val="22"/>
        </w:rPr>
      </w:pPr>
      <w:r w:rsidRPr="00157493">
        <w:rPr>
          <w:rFonts w:ascii="Times New Roman" w:hAnsi="Times New Roman" w:cs="Times New Roman"/>
          <w:color w:val="000000"/>
          <w:szCs w:val="22"/>
        </w:rPr>
        <w:t xml:space="preserve">V prípade zdravotného poistenia vychádzame z predpokladu, že charakter zdravotného poistenia je totožný s daňou </w:t>
      </w:r>
      <w:r w:rsidR="00A03BAE">
        <w:rPr>
          <w:rFonts w:ascii="Times New Roman" w:hAnsi="Times New Roman" w:cs="Times New Roman"/>
          <w:color w:val="000000"/>
          <w:szCs w:val="22"/>
        </w:rPr>
        <w:t xml:space="preserve">z </w:t>
      </w:r>
      <w:r w:rsidRPr="00157493">
        <w:rPr>
          <w:rFonts w:ascii="Times New Roman" w:hAnsi="Times New Roman" w:cs="Times New Roman"/>
          <w:color w:val="000000"/>
          <w:szCs w:val="22"/>
        </w:rPr>
        <w:t>príjmov a takto sme definovali aj ben</w:t>
      </w:r>
      <w:r w:rsidR="00A03BAE">
        <w:rPr>
          <w:rFonts w:ascii="Times New Roman" w:hAnsi="Times New Roman" w:cs="Times New Roman"/>
          <w:color w:val="000000"/>
          <w:szCs w:val="22"/>
        </w:rPr>
        <w:t>č</w:t>
      </w:r>
      <w:r w:rsidRPr="00157493">
        <w:rPr>
          <w:rFonts w:ascii="Times New Roman" w:hAnsi="Times New Roman" w:cs="Times New Roman"/>
          <w:color w:val="000000"/>
          <w:szCs w:val="22"/>
        </w:rPr>
        <w:t>mark. Rozdiel medzi daňou z príjmov a zdravotným poistením spočíva v tom, že zdravotné poistenie má hornú hranicu pre platenie odvodov a užšiu základňu. Z pohľadu definície daňových výdavkov a stanoveného ben</w:t>
      </w:r>
      <w:r w:rsidR="00A03BAE">
        <w:rPr>
          <w:rFonts w:ascii="Times New Roman" w:hAnsi="Times New Roman" w:cs="Times New Roman"/>
          <w:color w:val="000000"/>
          <w:szCs w:val="22"/>
        </w:rPr>
        <w:t>č</w:t>
      </w:r>
      <w:r w:rsidRPr="00157493">
        <w:rPr>
          <w:rFonts w:ascii="Times New Roman" w:hAnsi="Times New Roman" w:cs="Times New Roman"/>
          <w:color w:val="000000"/>
          <w:szCs w:val="22"/>
        </w:rPr>
        <w:t xml:space="preserve">marku (neohraničené zdaňovanie príjmov), </w:t>
      </w:r>
      <w:r w:rsidRPr="00157493">
        <w:rPr>
          <w:rFonts w:ascii="Times New Roman" w:hAnsi="Times New Roman" w:cs="Times New Roman"/>
          <w:b/>
          <w:color w:val="000000"/>
          <w:szCs w:val="22"/>
        </w:rPr>
        <w:t xml:space="preserve">predstavuje úľava pre poistencov s príjmom nad maximálnym vymeriavacím základom pre zdravotné poistenie daňový výdavok (52 mil. </w:t>
      </w:r>
      <w:r w:rsidR="00A03BAE">
        <w:rPr>
          <w:rFonts w:ascii="Times New Roman" w:hAnsi="Times New Roman" w:cs="Times New Roman"/>
          <w:b/>
          <w:color w:val="000000"/>
          <w:szCs w:val="22"/>
        </w:rPr>
        <w:t>e</w:t>
      </w:r>
      <w:r w:rsidRPr="00157493">
        <w:rPr>
          <w:rFonts w:ascii="Times New Roman" w:hAnsi="Times New Roman" w:cs="Times New Roman"/>
          <w:b/>
          <w:color w:val="000000"/>
          <w:szCs w:val="22"/>
        </w:rPr>
        <w:t>ur)</w:t>
      </w:r>
      <w:r w:rsidRPr="00157493">
        <w:rPr>
          <w:rFonts w:ascii="Times New Roman" w:hAnsi="Times New Roman" w:cs="Times New Roman"/>
          <w:color w:val="000000"/>
          <w:szCs w:val="22"/>
        </w:rPr>
        <w:t xml:space="preserve">. </w:t>
      </w: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P="00F15DAE">
      <w:pPr>
        <w:bidi w:val="0"/>
        <w:jc w:val="both"/>
        <w:rPr>
          <w:rFonts w:ascii="Times New Roman" w:hAnsi="Times New Roman" w:cs="Times New Roman"/>
          <w:color w:val="000000"/>
          <w:szCs w:val="22"/>
        </w:rPr>
      </w:pPr>
    </w:p>
    <w:p w:rsidR="00F15DAE" w:rsidRPr="00157493" w:rsidP="00F15DAE">
      <w:pPr>
        <w:bidi w:val="0"/>
        <w:jc w:val="both"/>
        <w:rPr>
          <w:rFonts w:ascii="Times New Roman" w:hAnsi="Times New Roman" w:cs="Times New Roman"/>
          <w:color w:val="000000"/>
          <w:szCs w:val="22"/>
        </w:rPr>
      </w:pPr>
    </w:p>
    <w:p w:rsidR="00D32E4A" w:rsidRPr="000A045E" w:rsidP="00D32E4A">
      <w:pPr>
        <w:bidi w:val="0"/>
        <w:rPr>
          <w:rFonts w:ascii="Times New Roman" w:hAnsi="Times New Roman" w:cs="Times New Roman"/>
          <w:color w:val="000000"/>
          <w:sz w:val="22"/>
          <w:szCs w:val="22"/>
        </w:rPr>
      </w:pPr>
    </w:p>
    <w:tbl>
      <w:tblPr>
        <w:tblStyle w:val="TableNormal"/>
        <w:tblW w:w="0" w:type="auto"/>
        <w:jc w:val="center"/>
        <w:tblLayout w:type="fixed"/>
        <w:tblLook w:val="04A0"/>
      </w:tblPr>
      <w:tblGrid>
        <w:gridCol w:w="4786"/>
        <w:gridCol w:w="784"/>
        <w:gridCol w:w="713"/>
        <w:gridCol w:w="713"/>
        <w:gridCol w:w="764"/>
        <w:gridCol w:w="764"/>
        <w:gridCol w:w="764"/>
      </w:tblGrid>
      <w:tr>
        <w:tblPrEx>
          <w:tblW w:w="0" w:type="auto"/>
          <w:jc w:val="center"/>
          <w:tblLayout w:type="fixed"/>
          <w:tblLook w:val="04A0"/>
        </w:tblPrEx>
        <w:trPr>
          <w:trHeight w:val="399"/>
          <w:jc w:val="center"/>
        </w:trPr>
        <w:tc>
          <w:tcPr>
            <w:tcW w:w="9288" w:type="dxa"/>
            <w:gridSpan w:val="7"/>
            <w:tcBorders>
              <w:top w:val="none" w:sz="0" w:space="0" w:color="auto"/>
              <w:left w:val="nil"/>
              <w:bottom w:val="none" w:sz="0" w:space="0" w:color="auto"/>
              <w:right w:val="nil"/>
            </w:tcBorders>
            <w:shd w:val="clear" w:color="auto" w:fill="A6A6A6"/>
            <w:noWrap/>
            <w:textDirection w:val="lrTb"/>
            <w:vAlign w:val="center"/>
          </w:tcPr>
          <w:p w:rsidR="006F6B97" w:rsidRPr="006F6B97" w:rsidP="006F6B97">
            <w:pPr>
              <w:bidi w:val="0"/>
              <w:rPr>
                <w:rFonts w:ascii="Times New Roman" w:hAnsi="Times New Roman" w:cs="Times New Roman"/>
                <w:b/>
                <w:bCs/>
                <w:color w:val="000000"/>
                <w:sz w:val="14"/>
                <w:szCs w:val="14"/>
                <w:lang w:eastAsia="en-US"/>
              </w:rPr>
            </w:pPr>
            <w:r w:rsidRPr="006F6B97">
              <w:rPr>
                <w:rFonts w:ascii="Times New Roman" w:hAnsi="Times New Roman" w:cs="Times New Roman"/>
                <w:b/>
                <w:bCs/>
                <w:color w:val="000000" w:themeColor="tx1" w:themeShade="FF"/>
                <w:sz w:val="14"/>
                <w:szCs w:val="14"/>
                <w:lang w:eastAsia="en-US"/>
              </w:rPr>
              <w:t>Detailný prehľad daňových výdavkov podľa typu dane alebo poistného (ESA 95, tis. eur)*</w:t>
            </w:r>
          </w:p>
        </w:tc>
      </w:tr>
      <w:tr>
        <w:tblPrEx>
          <w:tblW w:w="0" w:type="auto"/>
          <w:jc w:val="center"/>
          <w:tblLayout w:type="fixed"/>
          <w:tblLook w:val="04A0"/>
        </w:tblPrEx>
        <w:trPr>
          <w:trHeight w:val="399"/>
          <w:jc w:val="center"/>
        </w:trPr>
        <w:tc>
          <w:tcPr>
            <w:tcW w:w="4786" w:type="dxa"/>
            <w:tcBorders>
              <w:top w:val="none" w:sz="0" w:space="0" w:color="auto"/>
              <w:left w:val="nil"/>
              <w:bottom w:val="single" w:sz="4" w:space="0" w:color="auto"/>
              <w:right w:val="nil"/>
            </w:tcBorders>
            <w:shd w:val="clear" w:color="auto" w:fill="BFBFBF"/>
            <w:noWrap/>
            <w:textDirection w:val="lrTb"/>
            <w:vAlign w:val="center"/>
          </w:tcPr>
          <w:p w:rsidR="006F6B97" w:rsidRPr="006F6B97" w:rsidP="00DC7838">
            <w:pPr>
              <w:bidi w:val="0"/>
              <w:rPr>
                <w:rFonts w:ascii="Times New Roman" w:hAnsi="Times New Roman" w:cs="Times New Roman"/>
                <w:color w:val="000000" w:themeColor="tx1" w:themeShade="FF"/>
                <w:sz w:val="14"/>
                <w:szCs w:val="14"/>
                <w:lang w:eastAsia="en-US"/>
              </w:rPr>
            </w:pPr>
          </w:p>
        </w:tc>
        <w:tc>
          <w:tcPr>
            <w:tcW w:w="784" w:type="dxa"/>
            <w:tcBorders>
              <w:top w:val="none" w:sz="0" w:space="0" w:color="auto"/>
              <w:left w:val="nil"/>
              <w:bottom w:val="single" w:sz="4" w:space="0" w:color="auto"/>
              <w:right w:val="nil"/>
            </w:tcBorders>
            <w:shd w:val="clear" w:color="auto" w:fill="BFBFBF"/>
            <w:noWrap/>
            <w:textDirection w:val="lrTb"/>
            <w:vAlign w:val="center"/>
          </w:tcPr>
          <w:p w:rsidR="006F6B97" w:rsidRPr="006F6B97" w:rsidP="008F31DB">
            <w:pPr>
              <w:bidi w:val="0"/>
              <w:jc w:val="center"/>
              <w:rPr>
                <w:rFonts w:ascii="Times New Roman" w:hAnsi="Times New Roman" w:cs="Times New Roman"/>
                <w:b/>
                <w:bCs/>
                <w:color w:val="000000"/>
                <w:sz w:val="14"/>
                <w:szCs w:val="14"/>
                <w:lang w:eastAsia="en-US"/>
              </w:rPr>
            </w:pPr>
            <w:r w:rsidRPr="006F6B97">
              <w:rPr>
                <w:rFonts w:ascii="Times New Roman" w:hAnsi="Times New Roman" w:cs="Times New Roman"/>
                <w:b/>
                <w:bCs/>
                <w:color w:val="000000"/>
                <w:sz w:val="14"/>
                <w:szCs w:val="14"/>
                <w:lang w:eastAsia="en-US"/>
              </w:rPr>
              <w:t>2010</w:t>
            </w:r>
          </w:p>
        </w:tc>
        <w:tc>
          <w:tcPr>
            <w:tcW w:w="713" w:type="dxa"/>
            <w:tcBorders>
              <w:top w:val="none" w:sz="0" w:space="0" w:color="auto"/>
              <w:left w:val="nil"/>
              <w:bottom w:val="single" w:sz="4" w:space="0" w:color="auto"/>
              <w:right w:val="nil"/>
            </w:tcBorders>
            <w:shd w:val="clear" w:color="auto" w:fill="BFBFBF"/>
            <w:noWrap/>
            <w:textDirection w:val="lrTb"/>
            <w:vAlign w:val="center"/>
          </w:tcPr>
          <w:p w:rsidR="006F6B97" w:rsidRPr="006F6B97" w:rsidP="008F31DB">
            <w:pPr>
              <w:bidi w:val="0"/>
              <w:jc w:val="center"/>
              <w:rPr>
                <w:rFonts w:ascii="Times New Roman" w:hAnsi="Times New Roman" w:cs="Times New Roman"/>
                <w:b/>
                <w:bCs/>
                <w:color w:val="000000"/>
                <w:sz w:val="14"/>
                <w:szCs w:val="14"/>
                <w:lang w:eastAsia="en-US"/>
              </w:rPr>
            </w:pPr>
            <w:r w:rsidRPr="006F6B97">
              <w:rPr>
                <w:rFonts w:ascii="Times New Roman" w:hAnsi="Times New Roman" w:cs="Times New Roman"/>
                <w:b/>
                <w:bCs/>
                <w:color w:val="000000"/>
                <w:sz w:val="14"/>
                <w:szCs w:val="14"/>
                <w:lang w:eastAsia="en-US"/>
              </w:rPr>
              <w:t>2011</w:t>
            </w:r>
          </w:p>
        </w:tc>
        <w:tc>
          <w:tcPr>
            <w:tcW w:w="713" w:type="dxa"/>
            <w:tcBorders>
              <w:top w:val="none" w:sz="0" w:space="0" w:color="auto"/>
              <w:left w:val="nil"/>
              <w:bottom w:val="single" w:sz="4" w:space="0" w:color="auto"/>
              <w:right w:val="nil"/>
            </w:tcBorders>
            <w:shd w:val="clear" w:color="auto" w:fill="BFBFBF"/>
            <w:noWrap/>
            <w:textDirection w:val="lrTb"/>
            <w:vAlign w:val="center"/>
          </w:tcPr>
          <w:p w:rsidR="006F6B97" w:rsidRPr="006F6B97" w:rsidP="008F31DB">
            <w:pPr>
              <w:bidi w:val="0"/>
              <w:jc w:val="center"/>
              <w:rPr>
                <w:rFonts w:ascii="Times New Roman" w:hAnsi="Times New Roman" w:cs="Times New Roman"/>
                <w:b/>
                <w:bCs/>
                <w:color w:val="000000"/>
                <w:sz w:val="14"/>
                <w:szCs w:val="14"/>
                <w:lang w:eastAsia="en-US"/>
              </w:rPr>
            </w:pPr>
            <w:r w:rsidRPr="006F6B97">
              <w:rPr>
                <w:rFonts w:ascii="Times New Roman" w:hAnsi="Times New Roman" w:cs="Times New Roman"/>
                <w:b/>
                <w:bCs/>
                <w:color w:val="000000"/>
                <w:sz w:val="14"/>
                <w:szCs w:val="14"/>
                <w:lang w:eastAsia="en-US"/>
              </w:rPr>
              <w:t>2012</w:t>
            </w:r>
          </w:p>
        </w:tc>
        <w:tc>
          <w:tcPr>
            <w:tcW w:w="764" w:type="dxa"/>
            <w:tcBorders>
              <w:top w:val="none" w:sz="0" w:space="0" w:color="auto"/>
              <w:left w:val="nil"/>
              <w:bottom w:val="single" w:sz="4" w:space="0" w:color="auto"/>
              <w:right w:val="nil"/>
            </w:tcBorders>
            <w:shd w:val="clear" w:color="auto" w:fill="BFBFBF"/>
            <w:noWrap/>
            <w:textDirection w:val="lrTb"/>
            <w:vAlign w:val="center"/>
          </w:tcPr>
          <w:p w:rsidR="006F6B97" w:rsidRPr="006F6B97" w:rsidP="008F31DB">
            <w:pPr>
              <w:bidi w:val="0"/>
              <w:jc w:val="center"/>
              <w:rPr>
                <w:rFonts w:ascii="Times New Roman" w:hAnsi="Times New Roman" w:cs="Times New Roman"/>
                <w:b/>
                <w:bCs/>
                <w:color w:val="000000"/>
                <w:sz w:val="14"/>
                <w:szCs w:val="14"/>
                <w:lang w:eastAsia="en-US"/>
              </w:rPr>
            </w:pPr>
            <w:r w:rsidRPr="006F6B97">
              <w:rPr>
                <w:rFonts w:ascii="Times New Roman" w:hAnsi="Times New Roman" w:cs="Times New Roman"/>
                <w:b/>
                <w:bCs/>
                <w:color w:val="000000"/>
                <w:sz w:val="14"/>
                <w:szCs w:val="14"/>
                <w:lang w:eastAsia="en-US"/>
              </w:rPr>
              <w:t>2013</w:t>
            </w:r>
          </w:p>
        </w:tc>
        <w:tc>
          <w:tcPr>
            <w:tcW w:w="764" w:type="dxa"/>
            <w:tcBorders>
              <w:top w:val="none" w:sz="0" w:space="0" w:color="auto"/>
              <w:left w:val="nil"/>
              <w:bottom w:val="single" w:sz="4" w:space="0" w:color="auto"/>
              <w:right w:val="nil"/>
            </w:tcBorders>
            <w:shd w:val="clear" w:color="auto" w:fill="BFBFBF"/>
            <w:noWrap/>
            <w:textDirection w:val="lrTb"/>
            <w:vAlign w:val="center"/>
          </w:tcPr>
          <w:p w:rsidR="006F6B97" w:rsidRPr="006F6B97" w:rsidP="008F31DB">
            <w:pPr>
              <w:bidi w:val="0"/>
              <w:jc w:val="center"/>
              <w:rPr>
                <w:rFonts w:ascii="Times New Roman" w:hAnsi="Times New Roman" w:cs="Times New Roman"/>
                <w:b/>
                <w:bCs/>
                <w:color w:val="000000"/>
                <w:sz w:val="14"/>
                <w:szCs w:val="14"/>
                <w:lang w:eastAsia="en-US"/>
              </w:rPr>
            </w:pPr>
            <w:r w:rsidRPr="006F6B97">
              <w:rPr>
                <w:rFonts w:ascii="Times New Roman" w:hAnsi="Times New Roman" w:cs="Times New Roman"/>
                <w:b/>
                <w:bCs/>
                <w:color w:val="000000"/>
                <w:sz w:val="14"/>
                <w:szCs w:val="14"/>
                <w:lang w:eastAsia="en-US"/>
              </w:rPr>
              <w:t>2014</w:t>
            </w:r>
          </w:p>
        </w:tc>
        <w:tc>
          <w:tcPr>
            <w:tcW w:w="764" w:type="dxa"/>
            <w:tcBorders>
              <w:top w:val="none" w:sz="0" w:space="0" w:color="auto"/>
              <w:left w:val="nil"/>
              <w:bottom w:val="single" w:sz="4" w:space="0" w:color="auto"/>
              <w:right w:val="nil"/>
            </w:tcBorders>
            <w:shd w:val="clear" w:color="auto" w:fill="BFBFBF"/>
            <w:noWrap/>
            <w:textDirection w:val="lrTb"/>
            <w:vAlign w:val="center"/>
          </w:tcPr>
          <w:p w:rsidR="006F6B97" w:rsidRPr="006F6B97" w:rsidP="008F31DB">
            <w:pPr>
              <w:bidi w:val="0"/>
              <w:jc w:val="center"/>
              <w:rPr>
                <w:rFonts w:ascii="Times New Roman" w:hAnsi="Times New Roman" w:cs="Times New Roman"/>
                <w:b/>
                <w:bCs/>
                <w:color w:val="000000"/>
                <w:sz w:val="14"/>
                <w:szCs w:val="14"/>
                <w:lang w:eastAsia="en-US"/>
              </w:rPr>
            </w:pPr>
            <w:r w:rsidRPr="006F6B97">
              <w:rPr>
                <w:rFonts w:ascii="Times New Roman" w:hAnsi="Times New Roman" w:cs="Times New Roman"/>
                <w:b/>
                <w:bCs/>
                <w:color w:val="000000"/>
                <w:sz w:val="14"/>
                <w:szCs w:val="14"/>
                <w:lang w:eastAsia="en-US"/>
              </w:rPr>
              <w:t>2015</w:t>
            </w:r>
          </w:p>
        </w:tc>
      </w:tr>
      <w:tr>
        <w:tblPrEx>
          <w:tblW w:w="0" w:type="auto"/>
          <w:jc w:val="center"/>
          <w:tblLayout w:type="fixed"/>
          <w:tblLook w:val="04A0"/>
        </w:tblPrEx>
        <w:trPr>
          <w:trHeight w:val="270"/>
          <w:jc w:val="center"/>
        </w:trPr>
        <w:tc>
          <w:tcPr>
            <w:tcW w:w="4786" w:type="dxa"/>
            <w:tcBorders>
              <w:top w:val="single" w:sz="4" w:space="0" w:color="auto"/>
              <w:left w:val="nil"/>
              <w:bottom w:val="nil"/>
              <w:right w:val="nil"/>
            </w:tcBorders>
            <w:noWrap/>
            <w:textDirection w:val="lrTb"/>
            <w:vAlign w:val="center"/>
            <w:hideMark/>
          </w:tcPr>
          <w:p w:rsidR="00D32E4A" w:rsidRPr="006F6B97" w:rsidP="00DC7838">
            <w:pPr>
              <w:bidi w:val="0"/>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Daň z príjmov fyzických osôb</w:t>
            </w:r>
          </w:p>
        </w:tc>
        <w:tc>
          <w:tcPr>
            <w:tcW w:w="784" w:type="dxa"/>
            <w:tcBorders>
              <w:top w:val="single" w:sz="4" w:space="0" w:color="auto"/>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474 231</w:t>
            </w:r>
          </w:p>
        </w:tc>
        <w:tc>
          <w:tcPr>
            <w:tcW w:w="713" w:type="dxa"/>
            <w:tcBorders>
              <w:top w:val="single" w:sz="4" w:space="0" w:color="auto"/>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451 031</w:t>
            </w:r>
          </w:p>
        </w:tc>
        <w:tc>
          <w:tcPr>
            <w:tcW w:w="713" w:type="dxa"/>
            <w:tcBorders>
              <w:top w:val="single" w:sz="4" w:space="0" w:color="auto"/>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368 021</w:t>
            </w:r>
          </w:p>
        </w:tc>
        <w:tc>
          <w:tcPr>
            <w:tcW w:w="764" w:type="dxa"/>
            <w:tcBorders>
              <w:top w:val="single" w:sz="4" w:space="0" w:color="auto"/>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370 521</w:t>
            </w:r>
          </w:p>
        </w:tc>
        <w:tc>
          <w:tcPr>
            <w:tcW w:w="764" w:type="dxa"/>
            <w:tcBorders>
              <w:top w:val="single" w:sz="4" w:space="0" w:color="auto"/>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375 429</w:t>
            </w:r>
          </w:p>
        </w:tc>
        <w:tc>
          <w:tcPr>
            <w:tcW w:w="764" w:type="dxa"/>
            <w:tcBorders>
              <w:top w:val="single" w:sz="4" w:space="0" w:color="auto"/>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383 732</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6F6B97">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B1 - Výnimky z predmetu dane a oslobodenia od dane</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8 630</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8 393</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4 353</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4 535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4 712</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4 868</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6F6B97">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 xml:space="preserve">B2 - Nezdaniteľné časti základu dane a iné zníženia základu dane  </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171 072</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151 242</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76 735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73 822</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73 355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75 478</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6F6B97">
            <w:pPr>
              <w:bidi w:val="0"/>
              <w:ind w:firstLine="140" w:firstLineChars="100"/>
              <w:rPr>
                <w:rFonts w:ascii="Times New Roman" w:hAnsi="Times New Roman" w:cs="Times New Roman"/>
                <w:sz w:val="14"/>
                <w:szCs w:val="14"/>
              </w:rPr>
            </w:pPr>
            <w:r w:rsidR="00A03BAE">
              <w:rPr>
                <w:rFonts w:ascii="Times New Roman" w:hAnsi="Times New Roman" w:cs="Times New Roman"/>
                <w:sz w:val="14"/>
                <w:szCs w:val="14"/>
              </w:rPr>
              <w:t xml:space="preserve"> - z toho</w:t>
            </w:r>
            <w:r w:rsidRPr="006F6B97">
              <w:rPr>
                <w:rFonts w:ascii="Times New Roman" w:hAnsi="Times New Roman" w:cs="Times New Roman"/>
                <w:sz w:val="14"/>
                <w:szCs w:val="14"/>
              </w:rPr>
              <w:t xml:space="preserve">:  NČZD na manželku </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80 613</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74 910</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76 735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73 012</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64 405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66 119</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6F6B97">
            <w:pPr>
              <w:bidi w:val="0"/>
              <w:ind w:firstLine="140" w:firstLineChars="100"/>
              <w:rPr>
                <w:rFonts w:ascii="Times New Roman" w:hAnsi="Times New Roman" w:cs="Times New Roman"/>
                <w:sz w:val="14"/>
                <w:szCs w:val="14"/>
              </w:rPr>
            </w:pPr>
            <w:r w:rsidR="00A03BAE">
              <w:rPr>
                <w:rFonts w:ascii="Times New Roman" w:hAnsi="Times New Roman" w:cs="Times New Roman"/>
                <w:sz w:val="14"/>
                <w:szCs w:val="14"/>
              </w:rPr>
              <w:t xml:space="preserve"> - z toho</w:t>
            </w:r>
            <w:r w:rsidRPr="006F6B97">
              <w:rPr>
                <w:rFonts w:ascii="Times New Roman" w:hAnsi="Times New Roman" w:cs="Times New Roman"/>
                <w:sz w:val="14"/>
                <w:szCs w:val="14"/>
              </w:rPr>
              <w:t>:  NČZD na DDS, životné poistenie a účelové sporenie.</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67 694</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52 845</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0</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6F6B97">
            <w:pPr>
              <w:bidi w:val="0"/>
              <w:ind w:firstLine="140" w:firstLineChars="100"/>
              <w:rPr>
                <w:rFonts w:ascii="Times New Roman" w:hAnsi="Times New Roman" w:cs="Times New Roman"/>
                <w:sz w:val="14"/>
                <w:szCs w:val="14"/>
              </w:rPr>
            </w:pPr>
            <w:r w:rsidR="00A03BAE">
              <w:rPr>
                <w:rFonts w:ascii="Times New Roman" w:hAnsi="Times New Roman" w:cs="Times New Roman"/>
                <w:sz w:val="14"/>
                <w:szCs w:val="14"/>
              </w:rPr>
              <w:t xml:space="preserve"> - z toho</w:t>
            </w:r>
            <w:r w:rsidRPr="006F6B97">
              <w:rPr>
                <w:rFonts w:ascii="Times New Roman" w:hAnsi="Times New Roman" w:cs="Times New Roman"/>
                <w:sz w:val="14"/>
                <w:szCs w:val="14"/>
              </w:rPr>
              <w:t>:  NČZD pre dobrovoľné príspevky (2</w:t>
            </w:r>
            <w:r w:rsidR="00A03BAE">
              <w:rPr>
                <w:rFonts w:ascii="Times New Roman" w:hAnsi="Times New Roman" w:cs="Times New Roman"/>
                <w:sz w:val="14"/>
                <w:szCs w:val="14"/>
              </w:rPr>
              <w:t xml:space="preserve"> </w:t>
            </w:r>
            <w:r w:rsidRPr="006F6B97">
              <w:rPr>
                <w:rFonts w:ascii="Times New Roman" w:hAnsi="Times New Roman" w:cs="Times New Roman"/>
                <w:sz w:val="14"/>
                <w:szCs w:val="14"/>
              </w:rPr>
              <w:t xml:space="preserve">%) do </w:t>
            </w:r>
            <w:r w:rsidRPr="006F6B97" w:rsidR="00F15DAE">
              <w:rPr>
                <w:rFonts w:ascii="Times New Roman" w:hAnsi="Times New Roman" w:cs="Times New Roman"/>
                <w:sz w:val="14"/>
                <w:szCs w:val="14"/>
              </w:rPr>
              <w:t>2</w:t>
            </w:r>
            <w:r w:rsidRPr="006F6B97">
              <w:rPr>
                <w:rFonts w:ascii="Times New Roman" w:hAnsi="Times New Roman" w:cs="Times New Roman"/>
                <w:sz w:val="14"/>
                <w:szCs w:val="14"/>
              </w:rPr>
              <w:t>. piliera</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0</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0</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810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8 950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9 360</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6F6B97">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D1 - Daňový bonus</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278 975</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274 871</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268 433</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272 252</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277 037</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281 629</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A03BAE">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 xml:space="preserve"> - z toho:  Daňový bonus na nezaopatrené dieťa</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254 820</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258 713</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261 564</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265 587</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270 337</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275 684</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A03BAE">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 xml:space="preserve"> - z toho:  Zamestnanecká prémia</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24 155</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16 158</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6 869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6 664</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6 700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sz w:val="14"/>
                <w:szCs w:val="14"/>
              </w:rPr>
            </w:pPr>
            <w:r w:rsidRPr="006F6B97">
              <w:rPr>
                <w:rFonts w:ascii="Times New Roman" w:hAnsi="Times New Roman" w:cs="Times New Roman"/>
                <w:i/>
                <w:iCs/>
                <w:sz w:val="14"/>
                <w:szCs w:val="14"/>
              </w:rPr>
              <w:t>5 944</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A03BAE">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D3 - Iné:  Asignácia dane - použitie 2% zaplatenej dane na osobitné účely</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15 553</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16 526</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18 500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19 912</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20 324</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sz w:val="14"/>
                <w:szCs w:val="14"/>
              </w:rPr>
            </w:pPr>
            <w:r w:rsidRPr="006F6B97">
              <w:rPr>
                <w:rFonts w:ascii="Times New Roman" w:hAnsi="Times New Roman" w:cs="Times New Roman"/>
                <w:sz w:val="14"/>
                <w:szCs w:val="14"/>
              </w:rPr>
              <w:t>21 757</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DC7838">
            <w:pPr>
              <w:bidi w:val="0"/>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Daň z príjmov právnických osôb</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116 740</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98 940</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108 755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123 999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124 535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133 147</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6F6B97">
            <w:pPr>
              <w:bidi w:val="0"/>
              <w:ind w:firstLine="140" w:firstLineChars="100"/>
              <w:rPr>
                <w:rFonts w:ascii="Times New Roman" w:hAnsi="Times New Roman" w:cs="Times New Roman"/>
                <w:color w:val="000000"/>
                <w:sz w:val="14"/>
                <w:szCs w:val="14"/>
              </w:rPr>
            </w:pPr>
            <w:r w:rsidRPr="006F6B97">
              <w:rPr>
                <w:rFonts w:ascii="Times New Roman" w:hAnsi="Times New Roman" w:cs="Times New Roman"/>
                <w:color w:val="000000"/>
                <w:sz w:val="14"/>
                <w:szCs w:val="14"/>
              </w:rPr>
              <w:t xml:space="preserve">B3 - Iné </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51 348</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34 965</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44 699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57 608</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61 064</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65 232</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6F6B97">
            <w:pPr>
              <w:bidi w:val="0"/>
              <w:ind w:firstLine="140" w:firstLineChars="100"/>
              <w:rPr>
                <w:rFonts w:ascii="Times New Roman" w:hAnsi="Times New Roman" w:cs="Times New Roman"/>
                <w:color w:val="000000"/>
                <w:sz w:val="14"/>
                <w:szCs w:val="14"/>
              </w:rPr>
            </w:pPr>
            <w:r w:rsidRPr="006F6B97">
              <w:rPr>
                <w:rFonts w:ascii="Times New Roman" w:hAnsi="Times New Roman" w:cs="Times New Roman"/>
                <w:color w:val="000000"/>
                <w:sz w:val="14"/>
                <w:szCs w:val="14"/>
              </w:rPr>
              <w:t>D2 - Daňové prázdniny a stimuly</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36 800</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38 531</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39 993</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42 353</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44 885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47 938</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A03BAE">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D3 - Iné: Asignácia dane - použitie 2</w:t>
            </w:r>
            <w:r w:rsidR="00574C7A">
              <w:rPr>
                <w:rFonts w:ascii="Times New Roman" w:hAnsi="Times New Roman" w:cs="Times New Roman"/>
                <w:sz w:val="14"/>
                <w:szCs w:val="14"/>
              </w:rPr>
              <w:t xml:space="preserve"> </w:t>
            </w:r>
            <w:r w:rsidRPr="006F6B97">
              <w:rPr>
                <w:rFonts w:ascii="Times New Roman" w:hAnsi="Times New Roman" w:cs="Times New Roman"/>
                <w:sz w:val="14"/>
                <w:szCs w:val="14"/>
              </w:rPr>
              <w:t>% zaplatenej dane na osobitné účely</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28 592</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25 444</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24 063</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24 038</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18 587</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19 977</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DC7838">
            <w:pPr>
              <w:bidi w:val="0"/>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Daň z pridanej hodnoty</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145 545</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156 054</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155 035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159 293</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167 725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178 222</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6F6B97">
            <w:pPr>
              <w:bidi w:val="0"/>
              <w:ind w:firstLine="140" w:firstLineChars="100"/>
              <w:rPr>
                <w:rFonts w:ascii="Times New Roman" w:hAnsi="Times New Roman" w:cs="Times New Roman"/>
                <w:color w:val="000000"/>
                <w:sz w:val="14"/>
                <w:szCs w:val="14"/>
              </w:rPr>
            </w:pPr>
            <w:r w:rsidRPr="006F6B97">
              <w:rPr>
                <w:rFonts w:ascii="Times New Roman" w:hAnsi="Times New Roman" w:cs="Times New Roman"/>
                <w:color w:val="000000"/>
                <w:sz w:val="14"/>
                <w:szCs w:val="14"/>
              </w:rPr>
              <w:t>C - Sadzba dane</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145 545</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156 054</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155 035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159 293</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167 725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178 222</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A03BAE">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 xml:space="preserve"> - z toho:  znížená sadzba DPH na lieky</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125 124</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135 616</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134 731</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138 431</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145 759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154 881</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DC7838">
            <w:pPr>
              <w:bidi w:val="0"/>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Spotrebné dane</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210 657</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118 037</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135 074</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131 856</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129 894</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128 541</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6F6B97">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B1 - Výnimky z predmetu dane a oslobodenia od dane</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59 922</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53 439</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69 589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65 527</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62 342</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59 605</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6F6B97">
            <w:pPr>
              <w:bidi w:val="0"/>
              <w:ind w:firstLine="140" w:firstLineChars="100"/>
              <w:rPr>
                <w:rFonts w:ascii="Times New Roman" w:hAnsi="Times New Roman" w:cs="Times New Roman"/>
                <w:color w:val="000000"/>
                <w:sz w:val="14"/>
                <w:szCs w:val="14"/>
              </w:rPr>
            </w:pPr>
            <w:r w:rsidRPr="006F6B97">
              <w:rPr>
                <w:rFonts w:ascii="Times New Roman" w:hAnsi="Times New Roman" w:cs="Times New Roman"/>
                <w:color w:val="000000"/>
                <w:sz w:val="14"/>
                <w:szCs w:val="14"/>
              </w:rPr>
              <w:t>C - Sadzba dane</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150 735</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64 599</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65 485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66 329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67 552</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68 936</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A03BAE">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 xml:space="preserve"> - z toho:  znížená sadzba na tiché víno</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47 724</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48 297</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48 876</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49 463</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50 056</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50 657</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A03BAE">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 xml:space="preserve"> - z toho:  znížená sadzba na  "červenú naftu"</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45 760</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0</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0</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DC7838">
            <w:pPr>
              <w:bidi w:val="0"/>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Daň z nehnuteľností</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13 353</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13 768</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14 456</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15 179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15 938</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16 735</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6F6B97">
            <w:pPr>
              <w:bidi w:val="0"/>
              <w:ind w:firstLine="140" w:firstLineChars="100"/>
              <w:rPr>
                <w:rFonts w:ascii="Times New Roman" w:hAnsi="Times New Roman" w:cs="Times New Roman"/>
                <w:color w:val="000000"/>
                <w:sz w:val="14"/>
                <w:szCs w:val="14"/>
              </w:rPr>
            </w:pPr>
            <w:r w:rsidRPr="006F6B97">
              <w:rPr>
                <w:rFonts w:ascii="Times New Roman" w:hAnsi="Times New Roman" w:cs="Times New Roman"/>
                <w:color w:val="000000"/>
                <w:sz w:val="14"/>
                <w:szCs w:val="14"/>
              </w:rPr>
              <w:t>Pozemky</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3 738</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3 854</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4 047</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4 249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4 462</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4 685</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6F6B97">
            <w:pPr>
              <w:bidi w:val="0"/>
              <w:ind w:firstLine="140" w:firstLineChars="100"/>
              <w:rPr>
                <w:rFonts w:ascii="Times New Roman" w:hAnsi="Times New Roman" w:cs="Times New Roman"/>
                <w:color w:val="000000"/>
                <w:sz w:val="14"/>
                <w:szCs w:val="14"/>
              </w:rPr>
            </w:pPr>
            <w:r w:rsidRPr="006F6B97">
              <w:rPr>
                <w:rFonts w:ascii="Times New Roman" w:hAnsi="Times New Roman" w:cs="Times New Roman"/>
                <w:color w:val="000000"/>
                <w:sz w:val="14"/>
                <w:szCs w:val="14"/>
              </w:rPr>
              <w:t>Stavby</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8 944</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9 222</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9 683</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10 167</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10 675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11 209</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6F6B97">
            <w:pPr>
              <w:bidi w:val="0"/>
              <w:ind w:firstLine="140" w:firstLineChars="100"/>
              <w:rPr>
                <w:rFonts w:ascii="Times New Roman" w:hAnsi="Times New Roman" w:cs="Times New Roman"/>
                <w:color w:val="000000"/>
                <w:sz w:val="14"/>
                <w:szCs w:val="14"/>
              </w:rPr>
            </w:pPr>
            <w:r w:rsidRPr="006F6B97">
              <w:rPr>
                <w:rFonts w:ascii="Times New Roman" w:hAnsi="Times New Roman" w:cs="Times New Roman"/>
                <w:color w:val="000000"/>
                <w:sz w:val="14"/>
                <w:szCs w:val="14"/>
              </w:rPr>
              <w:t>Byty a nebytové priestory</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671</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692</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726</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763</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801</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841</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DC7838">
            <w:pPr>
              <w:bidi w:val="0"/>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Sociálne poistenie</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198 804</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133 208</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134 345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-68 171</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-100 072</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-123 854</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6F6B97">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B1 - Výnimky z predmetu dane a oslobodenia od dane</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209 246</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142 288</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146 201</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49 185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51 497</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54 327</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A03BAE">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 xml:space="preserve"> - z toho: dohody o prácach vykonávaných mimo pracovný pomer</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133 092</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141 853</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145 755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48 723</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51 018</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53 824</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6F6B97">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 xml:space="preserve">B2 - Nezdaniteľné časti základu dane a iné zníženia základu dane  </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52 024</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55 449</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56 974</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50 589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28 019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15 407</w:t>
            </w:r>
          </w:p>
        </w:tc>
      </w:tr>
      <w:tr>
        <w:tblPrEx>
          <w:tblW w:w="0" w:type="auto"/>
          <w:jc w:val="center"/>
          <w:tblLayout w:type="fixed"/>
          <w:tblLook w:val="04A0"/>
        </w:tblPrEx>
        <w:trPr>
          <w:trHeight w:val="255"/>
          <w:jc w:val="center"/>
        </w:trPr>
        <w:tc>
          <w:tcPr>
            <w:tcW w:w="4786" w:type="dxa"/>
            <w:tcBorders>
              <w:top w:val="nil"/>
              <w:left w:val="nil"/>
              <w:bottom w:val="nil"/>
              <w:right w:val="nil"/>
            </w:tcBorders>
            <w:noWrap/>
            <w:textDirection w:val="lrTb"/>
            <w:vAlign w:val="center"/>
            <w:hideMark/>
          </w:tcPr>
          <w:p w:rsidR="00D32E4A" w:rsidRPr="006F6B97" w:rsidP="00A03BAE">
            <w:pPr>
              <w:bidi w:val="0"/>
              <w:ind w:firstLine="140" w:firstLineChars="100"/>
              <w:rPr>
                <w:rFonts w:ascii="Times New Roman" w:hAnsi="Times New Roman" w:cs="Times New Roman"/>
                <w:color w:val="000000"/>
                <w:sz w:val="14"/>
                <w:szCs w:val="14"/>
              </w:rPr>
            </w:pPr>
            <w:r w:rsidRPr="006F6B97">
              <w:rPr>
                <w:rFonts w:ascii="Times New Roman" w:hAnsi="Times New Roman" w:cs="Times New Roman"/>
                <w:color w:val="000000"/>
                <w:sz w:val="14"/>
                <w:szCs w:val="14"/>
              </w:rPr>
              <w:t>B3 - Iné: nesúlad max. vymeriavací základ pre poistné a pre výpočet dávok</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-62 466</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-64 529</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-68 830</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-167 945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-179 588</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-193 588</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DC7838">
            <w:pPr>
              <w:bidi w:val="0"/>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 xml:space="preserve">Zdravotné poistenie </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226 494</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204 998</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211 325</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121 734</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121 544</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b/>
                <w:bCs/>
                <w:color w:val="000000"/>
                <w:sz w:val="14"/>
                <w:szCs w:val="14"/>
              </w:rPr>
            </w:pPr>
            <w:r w:rsidRPr="006F6B97">
              <w:rPr>
                <w:rFonts w:ascii="Times New Roman" w:hAnsi="Times New Roman" w:cs="Times New Roman"/>
                <w:b/>
                <w:bCs/>
                <w:color w:val="000000"/>
                <w:sz w:val="14"/>
                <w:szCs w:val="14"/>
              </w:rPr>
              <w:t>125 827</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6F6B97">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B1 - Výnimky z predmetu dane a oslobodenia od dane</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75 338</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48 368</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49 699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13 671</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14 384</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15 470</w:t>
            </w:r>
          </w:p>
        </w:tc>
      </w:tr>
      <w:tr>
        <w:tblPrEx>
          <w:tblW w:w="0" w:type="auto"/>
          <w:jc w:val="center"/>
          <w:tblLayout w:type="fixed"/>
          <w:tblLook w:val="04A0"/>
        </w:tblPrEx>
        <w:trPr>
          <w:trHeight w:val="255"/>
          <w:jc w:val="center"/>
        </w:trPr>
        <w:tc>
          <w:tcPr>
            <w:tcW w:w="4786" w:type="dxa"/>
            <w:tcBorders>
              <w:top w:val="nil"/>
              <w:left w:val="nil"/>
              <w:bottom w:val="nil"/>
              <w:right w:val="nil"/>
            </w:tcBorders>
            <w:textDirection w:val="lrTb"/>
            <w:vAlign w:val="center"/>
            <w:hideMark/>
          </w:tcPr>
          <w:p w:rsidR="00D32E4A" w:rsidRPr="006F6B97" w:rsidP="00A03BAE">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 xml:space="preserve"> - z toho: dohody o prácach vykonávaných mimo pracovný pomer</w:t>
            </w:r>
          </w:p>
        </w:tc>
        <w:tc>
          <w:tcPr>
            <w:tcW w:w="78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45 381</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48 368</w:t>
            </w:r>
          </w:p>
        </w:tc>
        <w:tc>
          <w:tcPr>
            <w:tcW w:w="713"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49 699</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13 671</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14 384</w:t>
            </w:r>
          </w:p>
        </w:tc>
        <w:tc>
          <w:tcPr>
            <w:tcW w:w="764" w:type="dxa"/>
            <w:tcBorders>
              <w:top w:val="nil"/>
              <w:left w:val="nil"/>
              <w:bottom w:val="nil"/>
              <w:right w:val="nil"/>
            </w:tcBorders>
            <w:noWrap/>
            <w:textDirection w:val="lrTb"/>
            <w:vAlign w:val="center"/>
            <w:hideMark/>
          </w:tcPr>
          <w:p w:rsidR="00D32E4A" w:rsidRPr="006F6B97" w:rsidP="00DC7838">
            <w:pPr>
              <w:bidi w:val="0"/>
              <w:jc w:val="center"/>
              <w:rPr>
                <w:rFonts w:ascii="Times New Roman" w:hAnsi="Times New Roman" w:cs="Times New Roman"/>
                <w:i/>
                <w:iCs/>
                <w:color w:val="000000"/>
                <w:sz w:val="14"/>
                <w:szCs w:val="14"/>
              </w:rPr>
            </w:pPr>
            <w:r w:rsidRPr="006F6B97">
              <w:rPr>
                <w:rFonts w:ascii="Times New Roman" w:hAnsi="Times New Roman" w:cs="Times New Roman"/>
                <w:i/>
                <w:iCs/>
                <w:color w:val="000000"/>
                <w:sz w:val="14"/>
                <w:szCs w:val="14"/>
              </w:rPr>
              <w:t>15 470</w:t>
            </w:r>
          </w:p>
        </w:tc>
      </w:tr>
      <w:tr>
        <w:tblPrEx>
          <w:tblW w:w="0" w:type="auto"/>
          <w:jc w:val="center"/>
          <w:tblLayout w:type="fixed"/>
          <w:tblLook w:val="04A0"/>
        </w:tblPrEx>
        <w:trPr>
          <w:trHeight w:val="255"/>
          <w:jc w:val="center"/>
        </w:trPr>
        <w:tc>
          <w:tcPr>
            <w:tcW w:w="4786" w:type="dxa"/>
            <w:tcBorders>
              <w:top w:val="nil"/>
              <w:left w:val="nil"/>
              <w:bottom w:val="none" w:sz="0" w:space="0" w:color="auto"/>
              <w:right w:val="nil"/>
            </w:tcBorders>
            <w:noWrap/>
            <w:textDirection w:val="lrTb"/>
            <w:vAlign w:val="center"/>
            <w:hideMark/>
          </w:tcPr>
          <w:p w:rsidR="00D32E4A" w:rsidRPr="006F6B97" w:rsidP="006F6B97">
            <w:pPr>
              <w:bidi w:val="0"/>
              <w:ind w:firstLine="140" w:firstLineChars="100"/>
              <w:rPr>
                <w:rFonts w:ascii="Times New Roman" w:hAnsi="Times New Roman" w:cs="Times New Roman"/>
                <w:sz w:val="14"/>
                <w:szCs w:val="14"/>
              </w:rPr>
            </w:pPr>
            <w:r w:rsidRPr="006F6B97">
              <w:rPr>
                <w:rFonts w:ascii="Times New Roman" w:hAnsi="Times New Roman" w:cs="Times New Roman"/>
                <w:sz w:val="14"/>
                <w:szCs w:val="14"/>
              </w:rPr>
              <w:t xml:space="preserve">B2 - Nezdaniteľné časti základu dane a iné zníženia základu dane  </w:t>
            </w:r>
          </w:p>
        </w:tc>
        <w:tc>
          <w:tcPr>
            <w:tcW w:w="784" w:type="dxa"/>
            <w:tcBorders>
              <w:top w:val="nil"/>
              <w:left w:val="nil"/>
              <w:bottom w:val="none" w:sz="0"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16 022</w:t>
            </w:r>
          </w:p>
        </w:tc>
        <w:tc>
          <w:tcPr>
            <w:tcW w:w="713" w:type="dxa"/>
            <w:tcBorders>
              <w:top w:val="nil"/>
              <w:left w:val="nil"/>
              <w:bottom w:val="none" w:sz="0"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17 077</w:t>
            </w:r>
          </w:p>
        </w:tc>
        <w:tc>
          <w:tcPr>
            <w:tcW w:w="713" w:type="dxa"/>
            <w:tcBorders>
              <w:top w:val="nil"/>
              <w:left w:val="nil"/>
              <w:bottom w:val="none" w:sz="0"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17 547</w:t>
            </w:r>
          </w:p>
        </w:tc>
        <w:tc>
          <w:tcPr>
            <w:tcW w:w="764" w:type="dxa"/>
            <w:tcBorders>
              <w:top w:val="nil"/>
              <w:left w:val="nil"/>
              <w:bottom w:val="none" w:sz="0"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15 677</w:t>
            </w:r>
          </w:p>
        </w:tc>
        <w:tc>
          <w:tcPr>
            <w:tcW w:w="764" w:type="dxa"/>
            <w:tcBorders>
              <w:top w:val="nil"/>
              <w:left w:val="nil"/>
              <w:bottom w:val="none" w:sz="0"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9 016</w:t>
            </w:r>
          </w:p>
        </w:tc>
        <w:tc>
          <w:tcPr>
            <w:tcW w:w="764" w:type="dxa"/>
            <w:tcBorders>
              <w:top w:val="nil"/>
              <w:left w:val="nil"/>
              <w:bottom w:val="none" w:sz="0"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5 282</w:t>
            </w:r>
          </w:p>
        </w:tc>
      </w:tr>
      <w:tr>
        <w:tblPrEx>
          <w:tblW w:w="0" w:type="auto"/>
          <w:jc w:val="center"/>
          <w:tblLayout w:type="fixed"/>
          <w:tblLook w:val="04A0"/>
        </w:tblPrEx>
        <w:trPr>
          <w:trHeight w:val="255"/>
          <w:jc w:val="center"/>
        </w:trPr>
        <w:tc>
          <w:tcPr>
            <w:tcW w:w="4786" w:type="dxa"/>
            <w:tcBorders>
              <w:top w:val="nil"/>
              <w:left w:val="nil"/>
              <w:bottom w:val="single" w:sz="4" w:space="0" w:color="auto"/>
              <w:right w:val="nil"/>
            </w:tcBorders>
            <w:noWrap/>
            <w:textDirection w:val="lrTb"/>
            <w:vAlign w:val="center"/>
            <w:hideMark/>
          </w:tcPr>
          <w:p w:rsidR="00D32E4A" w:rsidRPr="006F6B97" w:rsidP="00A03BAE">
            <w:pPr>
              <w:bidi w:val="0"/>
              <w:ind w:firstLine="140" w:firstLineChars="100"/>
              <w:rPr>
                <w:rFonts w:ascii="Times New Roman" w:hAnsi="Times New Roman" w:cs="Times New Roman"/>
                <w:color w:val="000000"/>
                <w:sz w:val="14"/>
                <w:szCs w:val="14"/>
              </w:rPr>
            </w:pPr>
            <w:r w:rsidRPr="006F6B97">
              <w:rPr>
                <w:rFonts w:ascii="Times New Roman" w:hAnsi="Times New Roman" w:cs="Times New Roman"/>
                <w:color w:val="000000"/>
                <w:sz w:val="14"/>
                <w:szCs w:val="14"/>
              </w:rPr>
              <w:t>B3 - Iné: maximálny vymeriavací základ</w:t>
            </w:r>
          </w:p>
        </w:tc>
        <w:tc>
          <w:tcPr>
            <w:tcW w:w="784" w:type="dxa"/>
            <w:tcBorders>
              <w:top w:val="nil"/>
              <w:left w:val="nil"/>
              <w:bottom w:val="single" w:sz="4"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135 134</w:t>
            </w:r>
          </w:p>
        </w:tc>
        <w:tc>
          <w:tcPr>
            <w:tcW w:w="713" w:type="dxa"/>
            <w:tcBorders>
              <w:top w:val="nil"/>
              <w:left w:val="nil"/>
              <w:bottom w:val="single" w:sz="4"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139 552</w:t>
            </w:r>
          </w:p>
        </w:tc>
        <w:tc>
          <w:tcPr>
            <w:tcW w:w="713" w:type="dxa"/>
            <w:tcBorders>
              <w:top w:val="nil"/>
              <w:left w:val="nil"/>
              <w:bottom w:val="single" w:sz="4"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144 079</w:t>
            </w:r>
          </w:p>
        </w:tc>
        <w:tc>
          <w:tcPr>
            <w:tcW w:w="764" w:type="dxa"/>
            <w:tcBorders>
              <w:top w:val="nil"/>
              <w:left w:val="nil"/>
              <w:bottom w:val="single" w:sz="4"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92 386</w:t>
            </w:r>
          </w:p>
        </w:tc>
        <w:tc>
          <w:tcPr>
            <w:tcW w:w="764" w:type="dxa"/>
            <w:tcBorders>
              <w:top w:val="nil"/>
              <w:left w:val="nil"/>
              <w:bottom w:val="single" w:sz="4"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98 143</w:t>
            </w:r>
          </w:p>
        </w:tc>
        <w:tc>
          <w:tcPr>
            <w:tcW w:w="764" w:type="dxa"/>
            <w:tcBorders>
              <w:top w:val="nil"/>
              <w:left w:val="nil"/>
              <w:bottom w:val="single" w:sz="4" w:space="0" w:color="auto"/>
              <w:right w:val="nil"/>
            </w:tcBorders>
            <w:noWrap/>
            <w:textDirection w:val="lrTb"/>
            <w:vAlign w:val="center"/>
            <w:hideMark/>
          </w:tcPr>
          <w:p w:rsidR="00D32E4A" w:rsidRPr="006F6B97" w:rsidP="00DC7838">
            <w:pPr>
              <w:bidi w:val="0"/>
              <w:jc w:val="center"/>
              <w:rPr>
                <w:rFonts w:ascii="Times New Roman" w:hAnsi="Times New Roman" w:cs="Times New Roman"/>
                <w:color w:val="000000"/>
                <w:sz w:val="14"/>
                <w:szCs w:val="14"/>
              </w:rPr>
            </w:pPr>
            <w:r w:rsidRPr="006F6B97">
              <w:rPr>
                <w:rFonts w:ascii="Times New Roman" w:hAnsi="Times New Roman" w:cs="Times New Roman"/>
                <w:color w:val="000000"/>
                <w:sz w:val="14"/>
                <w:szCs w:val="14"/>
              </w:rPr>
              <w:t>105 075</w:t>
            </w:r>
          </w:p>
        </w:tc>
      </w:tr>
      <w:tr>
        <w:tblPrEx>
          <w:tblW w:w="0" w:type="auto"/>
          <w:jc w:val="center"/>
          <w:tblLayout w:type="fixed"/>
          <w:tblLook w:val="04A0"/>
        </w:tblPrEx>
        <w:trPr>
          <w:trHeight w:val="255"/>
          <w:jc w:val="center"/>
        </w:trPr>
        <w:tc>
          <w:tcPr>
            <w:tcW w:w="9288" w:type="dxa"/>
            <w:gridSpan w:val="7"/>
            <w:tcBorders>
              <w:top w:val="single" w:sz="4" w:space="0" w:color="auto"/>
              <w:left w:val="nil"/>
              <w:bottom w:val="nil"/>
              <w:right w:val="nil"/>
            </w:tcBorders>
            <w:noWrap/>
            <w:textDirection w:val="lrTb"/>
            <w:vAlign w:val="top"/>
            <w:hideMark/>
          </w:tcPr>
          <w:p w:rsidR="00D32E4A" w:rsidRPr="006F6B97" w:rsidP="00DC7838">
            <w:pPr>
              <w:bidi w:val="0"/>
              <w:jc w:val="right"/>
              <w:rPr>
                <w:rFonts w:ascii="Times New Roman" w:hAnsi="Times New Roman" w:cs="Times New Roman"/>
                <w:sz w:val="14"/>
                <w:szCs w:val="14"/>
                <w:lang w:eastAsia="en-US"/>
              </w:rPr>
            </w:pPr>
          </w:p>
        </w:tc>
      </w:tr>
    </w:tbl>
    <w:p w:rsidR="00D32E4A" w:rsidRPr="000A045E" w:rsidP="00D32E4A">
      <w:pPr>
        <w:bidi w:val="0"/>
        <w:rPr>
          <w:rFonts w:ascii="Times New Roman" w:hAnsi="Times New Roman" w:cs="Times New Roman"/>
        </w:rPr>
      </w:pPr>
    </w:p>
    <w:p w:rsidR="00EF3B2E" w:rsidRPr="000A045E" w:rsidP="00EF3B2E">
      <w:pPr>
        <w:bidi w:val="0"/>
        <w:rPr>
          <w:rFonts w:ascii="Times New Roman" w:hAnsi="Times New Roman" w:cs="Times New Roman"/>
          <w:color w:val="0070C0"/>
        </w:rPr>
      </w:pPr>
    </w:p>
    <w:p w:rsidR="00EF3B2E" w:rsidRPr="000A045E" w:rsidP="00EF3B2E">
      <w:pPr>
        <w:bidi w:val="0"/>
        <w:rPr>
          <w:rFonts w:ascii="Times New Roman" w:hAnsi="Times New Roman" w:cs="Times New Roman"/>
          <w:color w:val="0070C0"/>
        </w:rPr>
      </w:pPr>
    </w:p>
    <w:p w:rsidR="00EF3B2E" w:rsidRPr="000561B5" w:rsidP="00EF3B2E">
      <w:pPr>
        <w:bidi w:val="0"/>
        <w:rPr>
          <w:color w:val="0070C0"/>
        </w:rPr>
      </w:pPr>
    </w:p>
    <w:p w:rsidR="00EF3B2E" w:rsidRPr="000561B5" w:rsidP="00EF3B2E">
      <w:pPr>
        <w:bidi w:val="0"/>
        <w:rPr>
          <w:color w:val="0070C0"/>
        </w:rPr>
      </w:pPr>
    </w:p>
    <w:p w:rsidR="00EF3B2E" w:rsidRPr="000561B5" w:rsidP="00EF3B2E">
      <w:pPr>
        <w:bidi w:val="0"/>
        <w:rPr>
          <w:color w:val="0070C0"/>
        </w:rPr>
      </w:pPr>
    </w:p>
    <w:p w:rsidR="00EF3B2E" w:rsidP="00EF3B2E">
      <w:pPr>
        <w:bidi w:val="0"/>
        <w:rPr>
          <w:color w:val="0070C0"/>
        </w:rPr>
      </w:pPr>
    </w:p>
    <w:p w:rsidR="00A02145" w:rsidP="00EF3B2E">
      <w:pPr>
        <w:bidi w:val="0"/>
        <w:rPr>
          <w:color w:val="0070C0"/>
        </w:rPr>
      </w:pPr>
    </w:p>
    <w:p w:rsidR="00A02145" w:rsidP="00EF3B2E">
      <w:pPr>
        <w:bidi w:val="0"/>
        <w:rPr>
          <w:color w:val="0070C0"/>
        </w:rPr>
      </w:pPr>
    </w:p>
    <w:p w:rsidR="00A02145" w:rsidP="00EF3B2E">
      <w:pPr>
        <w:bidi w:val="0"/>
        <w:rPr>
          <w:color w:val="0070C0"/>
        </w:rPr>
      </w:pPr>
    </w:p>
    <w:p w:rsidR="00A02145" w:rsidRPr="000561B5" w:rsidP="00EF3B2E">
      <w:pPr>
        <w:bidi w:val="0"/>
        <w:rPr>
          <w:color w:val="0070C0"/>
        </w:rPr>
      </w:pPr>
    </w:p>
    <w:p w:rsidR="00EF3B2E" w:rsidRPr="000561B5" w:rsidP="00EF3B2E">
      <w:pPr>
        <w:bidi w:val="0"/>
        <w:rPr>
          <w:color w:val="0070C0"/>
        </w:rPr>
      </w:pPr>
    </w:p>
    <w:p w:rsidR="009C536E" w:rsidRPr="00D83F50" w:rsidP="00191D5C">
      <w:pPr>
        <w:pStyle w:val="Heading1"/>
        <w:numPr>
          <w:numId w:val="6"/>
        </w:numPr>
        <w:bidi w:val="0"/>
        <w:spacing w:before="0" w:after="0"/>
        <w:ind w:left="426" w:hanging="426"/>
        <w:rPr>
          <w:rFonts w:ascii="Times New Roman" w:hAnsi="Times New Roman" w:cs="Times New Roman"/>
          <w:sz w:val="28"/>
          <w:szCs w:val="24"/>
        </w:rPr>
      </w:pPr>
      <w:bookmarkStart w:id="47" w:name="_Toc337237754"/>
      <w:r w:rsidRPr="00D83F50">
        <w:rPr>
          <w:rFonts w:ascii="Times New Roman" w:hAnsi="Times New Roman" w:cs="Times New Roman"/>
          <w:sz w:val="28"/>
          <w:szCs w:val="24"/>
        </w:rPr>
        <w:t>Rozpočtovanie výdavkov štátneho rozpočtu</w:t>
      </w:r>
      <w:bookmarkEnd w:id="42"/>
      <w:bookmarkEnd w:id="43"/>
      <w:bookmarkEnd w:id="44"/>
      <w:bookmarkEnd w:id="45"/>
      <w:bookmarkEnd w:id="47"/>
    </w:p>
    <w:p w:rsidR="00A94C4E" w:rsidRPr="000561B5" w:rsidP="005D1A7E">
      <w:pPr>
        <w:bidi w:val="0"/>
        <w:rPr>
          <w:rFonts w:ascii="Times New Roman" w:hAnsi="Times New Roman" w:cs="Times New Roman"/>
          <w:color w:val="0070C0"/>
        </w:rPr>
      </w:pPr>
    </w:p>
    <w:p w:rsidR="00783807" w:rsidRPr="009A2D31" w:rsidP="00783807">
      <w:pPr>
        <w:pStyle w:val="Heading2"/>
        <w:bidi w:val="0"/>
        <w:spacing w:before="0" w:after="0"/>
        <w:rPr>
          <w:rFonts w:ascii="Times New Roman" w:hAnsi="Times New Roman"/>
          <w:i w:val="0"/>
          <w:iCs w:val="0"/>
          <w:sz w:val="24"/>
          <w:szCs w:val="24"/>
        </w:rPr>
      </w:pPr>
      <w:bookmarkStart w:id="48" w:name="_Toc219860188"/>
      <w:bookmarkStart w:id="49" w:name="_Toc282686544"/>
      <w:bookmarkStart w:id="50" w:name="_Toc337237755"/>
      <w:r w:rsidRPr="009A2D31" w:rsidR="00FA4300">
        <w:rPr>
          <w:rFonts w:ascii="Times New Roman" w:hAnsi="Times New Roman"/>
          <w:i w:val="0"/>
          <w:iCs w:val="0"/>
          <w:sz w:val="24"/>
          <w:szCs w:val="24"/>
        </w:rPr>
        <w:t>4</w:t>
      </w:r>
      <w:r w:rsidRPr="009A2D31">
        <w:rPr>
          <w:rFonts w:ascii="Times New Roman" w:hAnsi="Times New Roman"/>
          <w:i w:val="0"/>
          <w:iCs w:val="0"/>
          <w:sz w:val="24"/>
          <w:szCs w:val="24"/>
        </w:rPr>
        <w:t>.1. Kvantifikácia výdavkov štátneho rozpočtu</w:t>
      </w:r>
      <w:bookmarkEnd w:id="48"/>
      <w:bookmarkEnd w:id="49"/>
      <w:bookmarkEnd w:id="50"/>
    </w:p>
    <w:p w:rsidR="00072B94" w:rsidRPr="009A2D31" w:rsidP="00072B94">
      <w:pPr>
        <w:bidi w:val="0"/>
        <w:ind w:firstLine="709"/>
        <w:jc w:val="both"/>
        <w:rPr>
          <w:rFonts w:ascii="Times New Roman" w:hAnsi="Times New Roman"/>
        </w:rPr>
      </w:pPr>
      <w:bookmarkStart w:id="51" w:name="RANGE_A1_H36"/>
      <w:bookmarkEnd w:id="51"/>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36"/>
        <w:gridCol w:w="1012"/>
        <w:gridCol w:w="1012"/>
        <w:gridCol w:w="1011"/>
        <w:gridCol w:w="1011"/>
        <w:gridCol w:w="1011"/>
        <w:gridCol w:w="1011"/>
        <w:gridCol w:w="100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66"/>
        </w:trPr>
        <w:tc>
          <w:tcPr>
            <w:tcW w:w="1159"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9A2D31" w:rsidP="003B1959">
            <w:pPr>
              <w:bidi w:val="0"/>
              <w:rPr>
                <w:rFonts w:ascii="Times New Roman" w:hAnsi="Times New Roman"/>
                <w:b/>
                <w:bCs/>
                <w:sz w:val="14"/>
                <w:szCs w:val="14"/>
              </w:rPr>
            </w:pPr>
            <w:r w:rsidRPr="009A2D31">
              <w:rPr>
                <w:rFonts w:ascii="Times New Roman" w:hAnsi="Times New Roman"/>
                <w:b/>
                <w:bCs/>
                <w:sz w:val="14"/>
                <w:szCs w:val="14"/>
              </w:rPr>
              <w:t>v tis. eur</w:t>
            </w:r>
          </w:p>
        </w:tc>
        <w:tc>
          <w:tcPr>
            <w:tcW w:w="549"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072B94" w:rsidRPr="009A2D31" w:rsidP="003B1959">
            <w:pPr>
              <w:bidi w:val="0"/>
              <w:jc w:val="center"/>
              <w:rPr>
                <w:rFonts w:ascii="Times New Roman" w:hAnsi="Times New Roman"/>
                <w:b/>
                <w:bCs/>
                <w:sz w:val="14"/>
                <w:szCs w:val="14"/>
              </w:rPr>
            </w:pPr>
            <w:r w:rsidRPr="009A2D31">
              <w:rPr>
                <w:rFonts w:ascii="Times New Roman" w:hAnsi="Times New Roman"/>
                <w:b/>
                <w:bCs/>
                <w:sz w:val="14"/>
                <w:szCs w:val="14"/>
              </w:rPr>
              <w:t>2010 S</w:t>
            </w:r>
          </w:p>
        </w:tc>
        <w:tc>
          <w:tcPr>
            <w:tcW w:w="549"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9A2D31" w:rsidP="003B1959">
            <w:pPr>
              <w:bidi w:val="0"/>
              <w:jc w:val="center"/>
              <w:rPr>
                <w:rFonts w:ascii="Times New Roman" w:hAnsi="Times New Roman"/>
                <w:b/>
                <w:bCs/>
                <w:sz w:val="14"/>
                <w:szCs w:val="14"/>
              </w:rPr>
            </w:pPr>
            <w:r w:rsidRPr="009A2D31">
              <w:rPr>
                <w:rFonts w:ascii="Times New Roman" w:hAnsi="Times New Roman"/>
                <w:b/>
                <w:bCs/>
                <w:sz w:val="14"/>
                <w:szCs w:val="14"/>
              </w:rPr>
              <w:t>2011 S</w:t>
            </w:r>
          </w:p>
        </w:tc>
        <w:tc>
          <w:tcPr>
            <w:tcW w:w="549"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072B94" w:rsidRPr="009A2D31" w:rsidP="003B1959">
            <w:pPr>
              <w:bidi w:val="0"/>
              <w:jc w:val="center"/>
              <w:rPr>
                <w:rFonts w:ascii="Times New Roman" w:hAnsi="Times New Roman"/>
                <w:b/>
                <w:bCs/>
                <w:sz w:val="14"/>
                <w:szCs w:val="14"/>
              </w:rPr>
            </w:pPr>
            <w:r w:rsidRPr="009A2D31">
              <w:rPr>
                <w:rFonts w:ascii="Times New Roman" w:hAnsi="Times New Roman"/>
                <w:b/>
                <w:bCs/>
                <w:sz w:val="14"/>
                <w:szCs w:val="14"/>
              </w:rPr>
              <w:t>2012 R</w:t>
            </w:r>
          </w:p>
        </w:tc>
        <w:tc>
          <w:tcPr>
            <w:tcW w:w="549"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9A2D31" w:rsidP="003B1959">
            <w:pPr>
              <w:bidi w:val="0"/>
              <w:jc w:val="center"/>
              <w:rPr>
                <w:rFonts w:ascii="Times New Roman" w:hAnsi="Times New Roman"/>
                <w:b/>
                <w:bCs/>
                <w:sz w:val="14"/>
                <w:szCs w:val="14"/>
              </w:rPr>
            </w:pPr>
            <w:r w:rsidRPr="009A2D31">
              <w:rPr>
                <w:rFonts w:ascii="Times New Roman" w:hAnsi="Times New Roman"/>
                <w:b/>
                <w:bCs/>
                <w:sz w:val="14"/>
                <w:szCs w:val="14"/>
              </w:rPr>
              <w:t>2012 OS</w:t>
            </w:r>
          </w:p>
        </w:tc>
        <w:tc>
          <w:tcPr>
            <w:tcW w:w="549"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9A2D31" w:rsidP="003B1959">
            <w:pPr>
              <w:bidi w:val="0"/>
              <w:jc w:val="center"/>
              <w:rPr>
                <w:rFonts w:ascii="Times New Roman" w:hAnsi="Times New Roman"/>
                <w:b/>
                <w:bCs/>
                <w:sz w:val="14"/>
                <w:szCs w:val="14"/>
              </w:rPr>
            </w:pPr>
            <w:r w:rsidRPr="009A2D31">
              <w:rPr>
                <w:rFonts w:ascii="Times New Roman" w:hAnsi="Times New Roman"/>
                <w:b/>
                <w:bCs/>
                <w:sz w:val="14"/>
                <w:szCs w:val="14"/>
              </w:rPr>
              <w:t>2013 N</w:t>
            </w:r>
          </w:p>
        </w:tc>
        <w:tc>
          <w:tcPr>
            <w:tcW w:w="549"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9A2D31" w:rsidP="003B1959">
            <w:pPr>
              <w:bidi w:val="0"/>
              <w:jc w:val="center"/>
              <w:rPr>
                <w:rFonts w:ascii="Times New Roman" w:hAnsi="Times New Roman"/>
                <w:b/>
                <w:bCs/>
                <w:sz w:val="14"/>
                <w:szCs w:val="14"/>
              </w:rPr>
            </w:pPr>
            <w:r w:rsidRPr="009A2D31">
              <w:rPr>
                <w:rFonts w:ascii="Times New Roman" w:hAnsi="Times New Roman"/>
                <w:b/>
                <w:bCs/>
                <w:sz w:val="14"/>
                <w:szCs w:val="14"/>
              </w:rPr>
              <w:t>2014 N</w:t>
            </w:r>
          </w:p>
        </w:tc>
        <w:tc>
          <w:tcPr>
            <w:tcW w:w="547"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072B94" w:rsidRPr="009A2D31" w:rsidP="003B1959">
            <w:pPr>
              <w:bidi w:val="0"/>
              <w:jc w:val="center"/>
              <w:rPr>
                <w:rFonts w:ascii="Times New Roman" w:hAnsi="Times New Roman"/>
                <w:b/>
                <w:bCs/>
                <w:sz w:val="14"/>
                <w:szCs w:val="14"/>
              </w:rPr>
            </w:pPr>
            <w:r w:rsidRPr="009A2D31">
              <w:rPr>
                <w:rFonts w:ascii="Times New Roman" w:hAnsi="Times New Roman"/>
                <w:b/>
                <w:bCs/>
                <w:sz w:val="14"/>
                <w:szCs w:val="14"/>
              </w:rPr>
              <w:t>2015 N</w:t>
            </w:r>
          </w:p>
        </w:tc>
      </w:tr>
      <w:tr>
        <w:tblPrEx>
          <w:tblW w:w="5000" w:type="pct"/>
          <w:tblCellMar>
            <w:left w:w="0" w:type="dxa"/>
            <w:right w:w="0" w:type="dxa"/>
          </w:tblCellMar>
          <w:tblLook w:val="04A0"/>
        </w:tblPrEx>
        <w:trPr>
          <w:trHeight w:val="392"/>
        </w:trPr>
        <w:tc>
          <w:tcPr>
            <w:tcW w:w="1159"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0A6090" w:rsidRPr="009A2D31" w:rsidP="000A6090">
            <w:pPr>
              <w:bidi w:val="0"/>
              <w:rPr>
                <w:rFonts w:ascii="Times New Roman" w:hAnsi="Times New Roman"/>
                <w:b/>
                <w:bCs/>
                <w:sz w:val="14"/>
                <w:szCs w:val="14"/>
              </w:rPr>
            </w:pPr>
            <w:r w:rsidRPr="009A2D31">
              <w:rPr>
                <w:rFonts w:ascii="Times New Roman" w:hAnsi="Times New Roman"/>
                <w:b/>
                <w:bCs/>
                <w:sz w:val="14"/>
                <w:szCs w:val="14"/>
              </w:rPr>
              <w:t>Výdavky štátneho rozpočtu</w:t>
            </w:r>
          </w:p>
        </w:tc>
        <w:tc>
          <w:tcPr>
            <w:tcW w:w="54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0A6090" w:rsidRPr="009A2D31" w:rsidP="00225C03">
            <w:pPr>
              <w:bidi w:val="0"/>
              <w:jc w:val="center"/>
              <w:rPr>
                <w:rFonts w:ascii="Times New Roman" w:hAnsi="Times New Roman"/>
                <w:b/>
                <w:bCs/>
                <w:sz w:val="14"/>
                <w:szCs w:val="14"/>
              </w:rPr>
            </w:pPr>
            <w:r w:rsidR="00225C03">
              <w:rPr>
                <w:rFonts w:ascii="Times New Roman" w:hAnsi="Times New Roman"/>
                <w:b/>
                <w:bCs/>
                <w:sz w:val="14"/>
                <w:szCs w:val="14"/>
              </w:rPr>
              <w:t xml:space="preserve">       </w:t>
            </w:r>
            <w:r w:rsidRPr="009A2D31">
              <w:rPr>
                <w:rFonts w:ascii="Times New Roman" w:hAnsi="Times New Roman"/>
                <w:b/>
                <w:bCs/>
                <w:sz w:val="14"/>
                <w:szCs w:val="14"/>
              </w:rPr>
              <w:t>15 337 011</w:t>
            </w:r>
          </w:p>
        </w:tc>
        <w:tc>
          <w:tcPr>
            <w:tcW w:w="549"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0A6090" w:rsidRPr="009A2D31" w:rsidP="000A6090">
            <w:pPr>
              <w:bidi w:val="0"/>
              <w:jc w:val="right"/>
              <w:rPr>
                <w:rFonts w:ascii="Times New Roman" w:hAnsi="Times New Roman"/>
                <w:b/>
                <w:bCs/>
                <w:sz w:val="14"/>
                <w:szCs w:val="14"/>
              </w:rPr>
            </w:pPr>
            <w:r w:rsidRPr="009A2D31">
              <w:rPr>
                <w:rFonts w:ascii="Times New Roman" w:hAnsi="Times New Roman"/>
                <w:b/>
                <w:bCs/>
                <w:sz w:val="14"/>
                <w:szCs w:val="14"/>
              </w:rPr>
              <w:t>15 278 042</w:t>
            </w:r>
          </w:p>
        </w:tc>
        <w:tc>
          <w:tcPr>
            <w:tcW w:w="54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0A6090" w:rsidRPr="009A2D31" w:rsidP="00225C03">
            <w:pPr>
              <w:tabs>
                <w:tab w:val="left" w:pos="730"/>
              </w:tabs>
              <w:bidi w:val="0"/>
              <w:jc w:val="center"/>
              <w:rPr>
                <w:rFonts w:ascii="Times New Roman" w:hAnsi="Times New Roman"/>
                <w:b/>
                <w:bCs/>
                <w:sz w:val="14"/>
                <w:szCs w:val="14"/>
              </w:rPr>
            </w:pPr>
            <w:r w:rsidR="00225C03">
              <w:rPr>
                <w:rFonts w:ascii="Times New Roman" w:hAnsi="Times New Roman"/>
                <w:b/>
                <w:bCs/>
                <w:sz w:val="14"/>
                <w:szCs w:val="14"/>
              </w:rPr>
              <w:t xml:space="preserve">     </w:t>
            </w:r>
            <w:r w:rsidRPr="009A2D31">
              <w:rPr>
                <w:rFonts w:ascii="Times New Roman" w:hAnsi="Times New Roman"/>
                <w:b/>
                <w:bCs/>
                <w:sz w:val="14"/>
                <w:szCs w:val="14"/>
              </w:rPr>
              <w:t>17 299 98</w:t>
            </w:r>
            <w:r w:rsidR="00025F5A">
              <w:rPr>
                <w:rFonts w:ascii="Times New Roman" w:hAnsi="Times New Roman"/>
                <w:b/>
                <w:bCs/>
                <w:sz w:val="14"/>
                <w:szCs w:val="14"/>
              </w:rPr>
              <w:t>0</w:t>
            </w:r>
          </w:p>
        </w:tc>
        <w:tc>
          <w:tcPr>
            <w:tcW w:w="549"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0A6090" w:rsidRPr="009A2D31" w:rsidP="000A6090">
            <w:pPr>
              <w:bidi w:val="0"/>
              <w:jc w:val="right"/>
              <w:rPr>
                <w:rFonts w:ascii="Times New Roman" w:hAnsi="Times New Roman"/>
                <w:b/>
                <w:bCs/>
                <w:sz w:val="14"/>
                <w:szCs w:val="14"/>
              </w:rPr>
            </w:pPr>
            <w:r w:rsidRPr="009A2D31">
              <w:rPr>
                <w:rFonts w:ascii="Times New Roman" w:hAnsi="Times New Roman"/>
                <w:b/>
                <w:bCs/>
                <w:sz w:val="14"/>
                <w:szCs w:val="14"/>
              </w:rPr>
              <w:t>16 527 807</w:t>
            </w:r>
          </w:p>
        </w:tc>
        <w:tc>
          <w:tcPr>
            <w:tcW w:w="549"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tcPr>
          <w:p w:rsidR="000A6090" w:rsidRPr="00EA671A" w:rsidP="000A6090">
            <w:pPr>
              <w:bidi w:val="0"/>
              <w:jc w:val="right"/>
              <w:rPr>
                <w:rFonts w:ascii="Times New Roman" w:hAnsi="Times New Roman" w:cs="Times New Roman"/>
                <w:b/>
                <w:bCs/>
                <w:color w:val="000000"/>
                <w:sz w:val="14"/>
                <w:szCs w:val="16"/>
              </w:rPr>
            </w:pPr>
            <w:r w:rsidRPr="00EA671A">
              <w:rPr>
                <w:rFonts w:ascii="Times New Roman" w:hAnsi="Times New Roman" w:cs="Times New Roman"/>
                <w:b/>
                <w:bCs/>
                <w:color w:val="000000"/>
                <w:sz w:val="14"/>
                <w:szCs w:val="16"/>
              </w:rPr>
              <w:t>17 235 215</w:t>
            </w:r>
          </w:p>
        </w:tc>
        <w:tc>
          <w:tcPr>
            <w:tcW w:w="549"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tcPr>
          <w:p w:rsidR="000A6090" w:rsidRPr="00EA671A" w:rsidP="000A6090">
            <w:pPr>
              <w:bidi w:val="0"/>
              <w:jc w:val="right"/>
              <w:rPr>
                <w:rFonts w:ascii="Times New Roman" w:hAnsi="Times New Roman" w:cs="Times New Roman"/>
                <w:b/>
                <w:bCs/>
                <w:color w:val="000000"/>
                <w:sz w:val="14"/>
                <w:szCs w:val="16"/>
              </w:rPr>
            </w:pPr>
            <w:r w:rsidRPr="00EA671A">
              <w:rPr>
                <w:rFonts w:ascii="Times New Roman" w:hAnsi="Times New Roman" w:cs="Times New Roman"/>
                <w:b/>
                <w:bCs/>
                <w:color w:val="000000"/>
                <w:sz w:val="14"/>
                <w:szCs w:val="16"/>
              </w:rPr>
              <w:t>16 564 028</w:t>
            </w:r>
          </w:p>
        </w:tc>
        <w:tc>
          <w:tcPr>
            <w:tcW w:w="547"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tcPr>
          <w:p w:rsidR="000A6090" w:rsidRPr="00EA671A" w:rsidP="000A6090">
            <w:pPr>
              <w:bidi w:val="0"/>
              <w:jc w:val="right"/>
              <w:rPr>
                <w:rFonts w:ascii="Times New Roman" w:hAnsi="Times New Roman" w:cs="Times New Roman"/>
                <w:b/>
                <w:bCs/>
                <w:color w:val="000000"/>
                <w:sz w:val="14"/>
                <w:szCs w:val="16"/>
              </w:rPr>
            </w:pPr>
            <w:r w:rsidRPr="00EA671A">
              <w:rPr>
                <w:rFonts w:ascii="Times New Roman" w:hAnsi="Times New Roman" w:cs="Times New Roman"/>
                <w:b/>
                <w:bCs/>
                <w:color w:val="000000"/>
                <w:sz w:val="14"/>
                <w:szCs w:val="16"/>
              </w:rPr>
              <w:t>16 341 035</w:t>
            </w:r>
          </w:p>
        </w:tc>
      </w:tr>
      <w:tr>
        <w:tblPrEx>
          <w:tblW w:w="5000" w:type="pct"/>
          <w:tblCellMar>
            <w:left w:w="0" w:type="dxa"/>
            <w:right w:w="0" w:type="dxa"/>
          </w:tblCellMar>
          <w:tblLook w:val="04A0"/>
        </w:tblPrEx>
        <w:trPr>
          <w:trHeight w:val="266"/>
        </w:trPr>
        <w:tc>
          <w:tcPr>
            <w:tcW w:w="11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9A2D31" w:rsidP="003B1959">
            <w:pPr>
              <w:bidi w:val="0"/>
              <w:rPr>
                <w:rFonts w:ascii="Times New Roman" w:hAnsi="Times New Roman"/>
                <w:sz w:val="14"/>
                <w:szCs w:val="14"/>
              </w:rPr>
            </w:pPr>
            <w:r w:rsidRPr="009A2D31">
              <w:rPr>
                <w:rFonts w:ascii="Times New Roman" w:hAnsi="Times New Roman"/>
                <w:sz w:val="14"/>
                <w:szCs w:val="14"/>
              </w:rPr>
              <w:t>Z toho:</w:t>
            </w:r>
          </w:p>
        </w:tc>
        <w:tc>
          <w:tcPr>
            <w:tcW w:w="549" w:type="pct"/>
            <w:tcBorders>
              <w:top w:val="single" w:sz="4" w:space="0" w:color="auto"/>
              <w:left w:val="single" w:sz="4" w:space="0" w:color="auto"/>
              <w:bottom w:val="single" w:sz="4" w:space="0" w:color="auto"/>
              <w:right w:val="single" w:sz="4" w:space="0" w:color="auto"/>
            </w:tcBorders>
            <w:textDirection w:val="lrTb"/>
            <w:vAlign w:val="center"/>
          </w:tcPr>
          <w:p w:rsidR="00072B94" w:rsidRPr="009A2D31" w:rsidP="000A6090">
            <w:pPr>
              <w:bidi w:val="0"/>
              <w:jc w:val="right"/>
              <w:rPr>
                <w:rFonts w:ascii="Times New Roman" w:hAnsi="Times New Roman"/>
                <w:sz w:val="14"/>
                <w:szCs w:val="14"/>
              </w:rPr>
            </w:pP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9A2D31" w:rsidP="000A6090">
            <w:pPr>
              <w:bidi w:val="0"/>
              <w:jc w:val="right"/>
              <w:rPr>
                <w:rFonts w:ascii="Times New Roman" w:hAnsi="Times New Roman"/>
                <w:sz w:val="14"/>
                <w:szCs w:val="14"/>
              </w:rPr>
            </w:pPr>
          </w:p>
        </w:tc>
        <w:tc>
          <w:tcPr>
            <w:tcW w:w="549" w:type="pct"/>
            <w:tcBorders>
              <w:top w:val="single" w:sz="4" w:space="0" w:color="auto"/>
              <w:left w:val="single" w:sz="4" w:space="0" w:color="auto"/>
              <w:bottom w:val="single" w:sz="4" w:space="0" w:color="auto"/>
              <w:right w:val="single" w:sz="4" w:space="0" w:color="auto"/>
            </w:tcBorders>
            <w:textDirection w:val="lrTb"/>
            <w:vAlign w:val="center"/>
          </w:tcPr>
          <w:p w:rsidR="00072B94" w:rsidRPr="009A2D31" w:rsidP="00025F5A">
            <w:pPr>
              <w:tabs>
                <w:tab w:val="left" w:pos="730"/>
              </w:tabs>
              <w:bidi w:val="0"/>
              <w:jc w:val="right"/>
              <w:rPr>
                <w:rFonts w:ascii="Times New Roman" w:hAnsi="Times New Roman"/>
                <w:bCs/>
                <w:sz w:val="14"/>
                <w:szCs w:val="14"/>
                <w:lang w:eastAsia="sk-SK"/>
              </w:rPr>
            </w:pP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9A2D31" w:rsidP="000A6090">
            <w:pPr>
              <w:bidi w:val="0"/>
              <w:jc w:val="right"/>
              <w:rPr>
                <w:rFonts w:ascii="Times New Roman" w:hAnsi="Times New Roman"/>
                <w:sz w:val="14"/>
                <w:szCs w:val="14"/>
              </w:rPr>
            </w:pP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9A2D31" w:rsidP="000A6090">
            <w:pPr>
              <w:bidi w:val="0"/>
              <w:jc w:val="right"/>
              <w:rPr>
                <w:rFonts w:ascii="Times New Roman" w:hAnsi="Times New Roman"/>
                <w:sz w:val="14"/>
                <w:szCs w:val="14"/>
              </w:rPr>
            </w:pP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9A2D31" w:rsidP="000A6090">
            <w:pPr>
              <w:bidi w:val="0"/>
              <w:jc w:val="right"/>
              <w:rPr>
                <w:rFonts w:ascii="Times New Roman" w:hAnsi="Times New Roman"/>
                <w:sz w:val="14"/>
                <w:szCs w:val="14"/>
              </w:rPr>
            </w:pPr>
          </w:p>
        </w:tc>
        <w:tc>
          <w:tcPr>
            <w:tcW w:w="54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072B94" w:rsidRPr="009A2D31" w:rsidP="000A6090">
            <w:pPr>
              <w:bidi w:val="0"/>
              <w:jc w:val="right"/>
              <w:rPr>
                <w:rFonts w:ascii="Times New Roman" w:hAnsi="Times New Roman"/>
                <w:sz w:val="14"/>
                <w:szCs w:val="14"/>
              </w:rPr>
            </w:pPr>
          </w:p>
        </w:tc>
      </w:tr>
      <w:tr>
        <w:tblPrEx>
          <w:tblW w:w="5000" w:type="pct"/>
          <w:tblCellMar>
            <w:left w:w="0" w:type="dxa"/>
            <w:right w:w="0" w:type="dxa"/>
          </w:tblCellMar>
          <w:tblLook w:val="04A0"/>
        </w:tblPrEx>
        <w:trPr>
          <w:trHeight w:val="266"/>
        </w:trPr>
        <w:tc>
          <w:tcPr>
            <w:tcW w:w="11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3B1959">
            <w:pPr>
              <w:bidi w:val="0"/>
              <w:ind w:left="284" w:hanging="284"/>
              <w:rPr>
                <w:rFonts w:ascii="Times New Roman" w:hAnsi="Times New Roman"/>
                <w:sz w:val="14"/>
                <w:szCs w:val="14"/>
              </w:rPr>
            </w:pPr>
            <w:r w:rsidRPr="00F143CC">
              <w:rPr>
                <w:rFonts w:ascii="Times New Roman" w:hAnsi="Times New Roman"/>
                <w:sz w:val="14"/>
                <w:szCs w:val="14"/>
              </w:rPr>
              <w:t xml:space="preserve">        Výdavky na obsluhu štátneho dlhu</w:t>
            </w:r>
          </w:p>
        </w:tc>
        <w:tc>
          <w:tcPr>
            <w:tcW w:w="549"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F143CC" w:rsidP="00225C03">
            <w:pPr>
              <w:bidi w:val="0"/>
              <w:jc w:val="center"/>
              <w:rPr>
                <w:rFonts w:ascii="Times New Roman" w:hAnsi="Times New Roman"/>
                <w:sz w:val="14"/>
                <w:szCs w:val="14"/>
              </w:rPr>
            </w:pPr>
            <w:r w:rsidR="00225C03">
              <w:rPr>
                <w:rFonts w:ascii="Times New Roman" w:hAnsi="Times New Roman"/>
                <w:sz w:val="14"/>
                <w:szCs w:val="14"/>
              </w:rPr>
              <w:t xml:space="preserve">            </w:t>
            </w:r>
            <w:r w:rsidRPr="00F143CC">
              <w:rPr>
                <w:rFonts w:ascii="Times New Roman" w:hAnsi="Times New Roman"/>
                <w:sz w:val="14"/>
                <w:szCs w:val="14"/>
              </w:rPr>
              <w:t>864 075</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sz w:val="14"/>
                <w:szCs w:val="14"/>
              </w:rPr>
            </w:pPr>
            <w:r w:rsidRPr="00F143CC">
              <w:rPr>
                <w:rFonts w:ascii="Times New Roman" w:hAnsi="Times New Roman"/>
                <w:sz w:val="14"/>
                <w:szCs w:val="14"/>
              </w:rPr>
              <w:t>1 006 647</w:t>
            </w:r>
          </w:p>
        </w:tc>
        <w:tc>
          <w:tcPr>
            <w:tcW w:w="549"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F143CC" w:rsidP="00225C03">
            <w:pPr>
              <w:tabs>
                <w:tab w:val="left" w:pos="730"/>
              </w:tabs>
              <w:bidi w:val="0"/>
              <w:jc w:val="center"/>
              <w:rPr>
                <w:rFonts w:ascii="Times New Roman" w:hAnsi="Times New Roman"/>
                <w:bCs/>
                <w:sz w:val="14"/>
                <w:szCs w:val="14"/>
                <w:lang w:eastAsia="sk-SK"/>
              </w:rPr>
            </w:pPr>
            <w:r w:rsidR="00225C03">
              <w:rPr>
                <w:rFonts w:ascii="Times New Roman" w:hAnsi="Times New Roman"/>
                <w:bCs/>
                <w:sz w:val="14"/>
                <w:szCs w:val="14"/>
                <w:lang w:eastAsia="sk-SK"/>
              </w:rPr>
              <w:t xml:space="preserve">       </w:t>
            </w:r>
            <w:r w:rsidRPr="00F143CC">
              <w:rPr>
                <w:rFonts w:ascii="Times New Roman" w:hAnsi="Times New Roman"/>
                <w:bCs/>
                <w:sz w:val="14"/>
                <w:szCs w:val="14"/>
                <w:lang w:eastAsia="sk-SK"/>
              </w:rPr>
              <w:t>1 386 679</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sz w:val="14"/>
                <w:szCs w:val="14"/>
              </w:rPr>
            </w:pPr>
            <w:r w:rsidRPr="00F143CC">
              <w:rPr>
                <w:rFonts w:ascii="Times New Roman" w:hAnsi="Times New Roman"/>
                <w:sz w:val="14"/>
                <w:szCs w:val="14"/>
              </w:rPr>
              <w:t>1 349 888</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sz w:val="14"/>
                <w:szCs w:val="14"/>
              </w:rPr>
            </w:pPr>
            <w:r w:rsidR="00603536">
              <w:rPr>
                <w:rFonts w:ascii="Times New Roman" w:hAnsi="Times New Roman"/>
                <w:sz w:val="14"/>
                <w:szCs w:val="14"/>
              </w:rPr>
              <w:t>1 326 366</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603536">
            <w:pPr>
              <w:bidi w:val="0"/>
              <w:jc w:val="right"/>
              <w:rPr>
                <w:rFonts w:ascii="Times New Roman" w:hAnsi="Times New Roman"/>
                <w:sz w:val="14"/>
                <w:szCs w:val="14"/>
              </w:rPr>
            </w:pPr>
            <w:r w:rsidRPr="00F143CC">
              <w:rPr>
                <w:rFonts w:ascii="Times New Roman" w:hAnsi="Times New Roman"/>
                <w:sz w:val="14"/>
                <w:szCs w:val="14"/>
              </w:rPr>
              <w:t>1 51</w:t>
            </w:r>
            <w:r w:rsidR="00603536">
              <w:rPr>
                <w:rFonts w:ascii="Times New Roman" w:hAnsi="Times New Roman"/>
                <w:sz w:val="14"/>
                <w:szCs w:val="14"/>
              </w:rPr>
              <w:t>7</w:t>
            </w:r>
            <w:r w:rsidRPr="00F143CC">
              <w:rPr>
                <w:rFonts w:ascii="Times New Roman" w:hAnsi="Times New Roman"/>
                <w:sz w:val="14"/>
                <w:szCs w:val="14"/>
              </w:rPr>
              <w:t xml:space="preserve"> </w:t>
            </w:r>
            <w:r w:rsidR="00603536">
              <w:rPr>
                <w:rFonts w:ascii="Times New Roman" w:hAnsi="Times New Roman"/>
                <w:sz w:val="14"/>
                <w:szCs w:val="14"/>
              </w:rPr>
              <w:t>326</w:t>
            </w:r>
          </w:p>
        </w:tc>
        <w:tc>
          <w:tcPr>
            <w:tcW w:w="54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603536">
            <w:pPr>
              <w:bidi w:val="0"/>
              <w:jc w:val="right"/>
              <w:rPr>
                <w:rFonts w:ascii="Times New Roman" w:hAnsi="Times New Roman"/>
                <w:sz w:val="14"/>
                <w:szCs w:val="14"/>
              </w:rPr>
            </w:pPr>
            <w:r w:rsidRPr="00F143CC">
              <w:rPr>
                <w:rFonts w:ascii="Times New Roman" w:hAnsi="Times New Roman"/>
                <w:sz w:val="14"/>
                <w:szCs w:val="14"/>
              </w:rPr>
              <w:t>1 6</w:t>
            </w:r>
            <w:r w:rsidR="00603536">
              <w:rPr>
                <w:rFonts w:ascii="Times New Roman" w:hAnsi="Times New Roman"/>
                <w:sz w:val="14"/>
                <w:szCs w:val="14"/>
              </w:rPr>
              <w:t>7</w:t>
            </w:r>
            <w:r w:rsidRPr="00F143CC">
              <w:rPr>
                <w:rFonts w:ascii="Times New Roman" w:hAnsi="Times New Roman"/>
                <w:sz w:val="14"/>
                <w:szCs w:val="14"/>
              </w:rPr>
              <w:t xml:space="preserve">8 </w:t>
            </w:r>
            <w:r w:rsidR="00603536">
              <w:rPr>
                <w:rFonts w:ascii="Times New Roman" w:hAnsi="Times New Roman"/>
                <w:sz w:val="14"/>
                <w:szCs w:val="14"/>
              </w:rPr>
              <w:t>102</w:t>
            </w:r>
          </w:p>
        </w:tc>
      </w:tr>
      <w:tr>
        <w:tblPrEx>
          <w:tblW w:w="5000" w:type="pct"/>
          <w:tblCellMar>
            <w:left w:w="0" w:type="dxa"/>
            <w:right w:w="0" w:type="dxa"/>
          </w:tblCellMar>
          <w:tblLook w:val="04A0"/>
        </w:tblPrEx>
        <w:trPr>
          <w:trHeight w:val="266"/>
        </w:trPr>
        <w:tc>
          <w:tcPr>
            <w:tcW w:w="115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3B1959">
            <w:pPr>
              <w:bidi w:val="0"/>
              <w:ind w:firstLine="63"/>
              <w:rPr>
                <w:rFonts w:ascii="Times New Roman" w:hAnsi="Times New Roman"/>
                <w:sz w:val="14"/>
                <w:szCs w:val="14"/>
              </w:rPr>
            </w:pPr>
            <w:r w:rsidRPr="00F143CC">
              <w:rPr>
                <w:rFonts w:ascii="Times New Roman" w:hAnsi="Times New Roman"/>
                <w:sz w:val="14"/>
                <w:szCs w:val="14"/>
              </w:rPr>
              <w:t xml:space="preserve">      Zdroje  EÚ</w:t>
            </w:r>
          </w:p>
        </w:tc>
        <w:tc>
          <w:tcPr>
            <w:tcW w:w="549"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F143CC" w:rsidP="00225C03">
            <w:pPr>
              <w:bidi w:val="0"/>
              <w:jc w:val="center"/>
              <w:rPr>
                <w:rFonts w:ascii="Times New Roman" w:hAnsi="Times New Roman"/>
                <w:sz w:val="14"/>
                <w:szCs w:val="14"/>
              </w:rPr>
            </w:pPr>
            <w:r w:rsidR="00225C03">
              <w:rPr>
                <w:rFonts w:ascii="Times New Roman" w:hAnsi="Times New Roman"/>
                <w:sz w:val="14"/>
                <w:szCs w:val="14"/>
              </w:rPr>
              <w:t xml:space="preserve">     </w:t>
            </w:r>
            <w:r w:rsidR="005B0B9B">
              <w:rPr>
                <w:rFonts w:ascii="Times New Roman" w:hAnsi="Times New Roman"/>
                <w:sz w:val="14"/>
                <w:szCs w:val="14"/>
              </w:rPr>
              <w:t xml:space="preserve"> </w:t>
            </w:r>
            <w:r w:rsidR="00225C03">
              <w:rPr>
                <w:rFonts w:ascii="Times New Roman" w:hAnsi="Times New Roman"/>
                <w:sz w:val="14"/>
                <w:szCs w:val="14"/>
              </w:rPr>
              <w:t xml:space="preserve">   </w:t>
            </w:r>
            <w:r w:rsidRPr="00F143CC">
              <w:rPr>
                <w:rFonts w:ascii="Times New Roman" w:hAnsi="Times New Roman"/>
                <w:sz w:val="14"/>
                <w:szCs w:val="14"/>
              </w:rPr>
              <w:t>1 892 656</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sz w:val="14"/>
                <w:szCs w:val="14"/>
              </w:rPr>
            </w:pPr>
            <w:r w:rsidRPr="00F143CC">
              <w:rPr>
                <w:rFonts w:ascii="Times New Roman" w:hAnsi="Times New Roman"/>
                <w:sz w:val="14"/>
                <w:szCs w:val="14"/>
              </w:rPr>
              <w:t>2 091 380</w:t>
            </w:r>
          </w:p>
        </w:tc>
        <w:tc>
          <w:tcPr>
            <w:tcW w:w="549"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F143CC" w:rsidP="00225C03">
            <w:pPr>
              <w:tabs>
                <w:tab w:val="left" w:pos="730"/>
              </w:tabs>
              <w:bidi w:val="0"/>
              <w:jc w:val="center"/>
              <w:rPr>
                <w:rFonts w:ascii="Times New Roman" w:hAnsi="Times New Roman"/>
                <w:sz w:val="14"/>
                <w:szCs w:val="14"/>
              </w:rPr>
            </w:pPr>
            <w:r w:rsidR="00225C03">
              <w:rPr>
                <w:rFonts w:ascii="Times New Roman" w:hAnsi="Times New Roman"/>
                <w:sz w:val="14"/>
                <w:szCs w:val="14"/>
              </w:rPr>
              <w:t xml:space="preserve">    </w:t>
            </w:r>
            <w:r w:rsidR="005B0B9B">
              <w:rPr>
                <w:rFonts w:ascii="Times New Roman" w:hAnsi="Times New Roman"/>
                <w:sz w:val="14"/>
                <w:szCs w:val="14"/>
              </w:rPr>
              <w:t xml:space="preserve"> </w:t>
            </w:r>
            <w:r w:rsidR="00225C03">
              <w:rPr>
                <w:rFonts w:ascii="Times New Roman" w:hAnsi="Times New Roman"/>
                <w:sz w:val="14"/>
                <w:szCs w:val="14"/>
              </w:rPr>
              <w:t xml:space="preserve">  </w:t>
            </w:r>
            <w:r w:rsidRPr="00F143CC">
              <w:rPr>
                <w:rFonts w:ascii="Times New Roman" w:hAnsi="Times New Roman"/>
                <w:sz w:val="14"/>
                <w:szCs w:val="14"/>
              </w:rPr>
              <w:t>3 082 986</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sz w:val="14"/>
                <w:szCs w:val="14"/>
              </w:rPr>
            </w:pPr>
            <w:r w:rsidRPr="00F143CC">
              <w:rPr>
                <w:rFonts w:ascii="Times New Roman" w:hAnsi="Times New Roman"/>
                <w:sz w:val="14"/>
                <w:szCs w:val="14"/>
              </w:rPr>
              <w:t>2 350 387</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iCs/>
                <w:sz w:val="14"/>
                <w:szCs w:val="14"/>
              </w:rPr>
            </w:pPr>
            <w:r w:rsidRPr="00F143CC">
              <w:rPr>
                <w:rFonts w:ascii="Times New Roman" w:hAnsi="Times New Roman"/>
                <w:iCs/>
                <w:sz w:val="14"/>
                <w:szCs w:val="14"/>
              </w:rPr>
              <w:t>3 563 656</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iCs/>
                <w:sz w:val="14"/>
                <w:szCs w:val="14"/>
              </w:rPr>
            </w:pPr>
            <w:r w:rsidRPr="00F143CC">
              <w:rPr>
                <w:rFonts w:ascii="Times New Roman" w:hAnsi="Times New Roman"/>
                <w:iCs/>
                <w:sz w:val="14"/>
                <w:szCs w:val="14"/>
              </w:rPr>
              <w:t>2 887 970</w:t>
            </w:r>
          </w:p>
        </w:tc>
        <w:tc>
          <w:tcPr>
            <w:tcW w:w="54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iCs/>
                <w:sz w:val="14"/>
                <w:szCs w:val="14"/>
              </w:rPr>
            </w:pPr>
            <w:r w:rsidRPr="00F143CC">
              <w:rPr>
                <w:rFonts w:ascii="Times New Roman" w:hAnsi="Times New Roman"/>
                <w:iCs/>
                <w:sz w:val="14"/>
                <w:szCs w:val="14"/>
              </w:rPr>
              <w:t>2 176 438</w:t>
            </w:r>
          </w:p>
        </w:tc>
      </w:tr>
      <w:tr>
        <w:tblPrEx>
          <w:tblW w:w="5000" w:type="pct"/>
          <w:tblCellMar>
            <w:left w:w="0" w:type="dxa"/>
            <w:right w:w="0" w:type="dxa"/>
          </w:tblCellMar>
          <w:tblLook w:val="04A0"/>
        </w:tblPrEx>
        <w:trPr>
          <w:trHeight w:val="266"/>
        </w:trPr>
        <w:tc>
          <w:tcPr>
            <w:tcW w:w="1159"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textDirection w:val="lrTb"/>
            <w:vAlign w:val="center"/>
            <w:hideMark/>
          </w:tcPr>
          <w:p w:rsidR="00072B94" w:rsidRPr="00F143CC" w:rsidP="003B1959">
            <w:pPr>
              <w:bidi w:val="0"/>
              <w:ind w:firstLine="140"/>
              <w:rPr>
                <w:rFonts w:ascii="Times New Roman" w:hAnsi="Times New Roman"/>
                <w:sz w:val="14"/>
                <w:szCs w:val="14"/>
              </w:rPr>
            </w:pPr>
            <w:r w:rsidRPr="00F143CC">
              <w:rPr>
                <w:rFonts w:ascii="Times New Roman" w:hAnsi="Times New Roman"/>
                <w:sz w:val="14"/>
                <w:szCs w:val="14"/>
              </w:rPr>
              <w:t>    Spolufinancovanie</w:t>
            </w:r>
          </w:p>
        </w:tc>
        <w:tc>
          <w:tcPr>
            <w:tcW w:w="549"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F143CC" w:rsidP="00225C03">
            <w:pPr>
              <w:bidi w:val="0"/>
              <w:jc w:val="center"/>
              <w:rPr>
                <w:rFonts w:ascii="Times New Roman" w:hAnsi="Times New Roman"/>
                <w:sz w:val="14"/>
                <w:szCs w:val="14"/>
              </w:rPr>
            </w:pPr>
            <w:r w:rsidR="00225C03">
              <w:rPr>
                <w:rFonts w:ascii="Times New Roman" w:hAnsi="Times New Roman"/>
                <w:sz w:val="14"/>
                <w:szCs w:val="14"/>
              </w:rPr>
              <w:t xml:space="preserve">            </w:t>
            </w:r>
            <w:r w:rsidRPr="00F143CC">
              <w:rPr>
                <w:rFonts w:ascii="Times New Roman" w:hAnsi="Times New Roman"/>
                <w:sz w:val="14"/>
                <w:szCs w:val="14"/>
              </w:rPr>
              <w:t>409 951</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sz w:val="14"/>
                <w:szCs w:val="14"/>
              </w:rPr>
            </w:pPr>
            <w:r w:rsidRPr="00F143CC">
              <w:rPr>
                <w:rFonts w:ascii="Times New Roman" w:hAnsi="Times New Roman"/>
                <w:sz w:val="14"/>
                <w:szCs w:val="14"/>
              </w:rPr>
              <w:t>454 155</w:t>
            </w:r>
          </w:p>
        </w:tc>
        <w:tc>
          <w:tcPr>
            <w:tcW w:w="549"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F143CC" w:rsidP="00225C03">
            <w:pPr>
              <w:tabs>
                <w:tab w:val="left" w:pos="730"/>
              </w:tabs>
              <w:bidi w:val="0"/>
              <w:jc w:val="center"/>
              <w:rPr>
                <w:rFonts w:ascii="Times New Roman" w:hAnsi="Times New Roman"/>
                <w:sz w:val="14"/>
                <w:szCs w:val="14"/>
              </w:rPr>
            </w:pPr>
            <w:r w:rsidR="00225C03">
              <w:rPr>
                <w:rFonts w:ascii="Times New Roman" w:hAnsi="Times New Roman"/>
                <w:sz w:val="14"/>
                <w:szCs w:val="14"/>
              </w:rPr>
              <w:t xml:space="preserve">          </w:t>
            </w:r>
            <w:r w:rsidRPr="00F143CC">
              <w:rPr>
                <w:rFonts w:ascii="Times New Roman" w:hAnsi="Times New Roman"/>
                <w:sz w:val="14"/>
                <w:szCs w:val="14"/>
              </w:rPr>
              <w:t>636 839</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sz w:val="14"/>
                <w:szCs w:val="14"/>
              </w:rPr>
            </w:pPr>
            <w:r w:rsidRPr="00F143CC">
              <w:rPr>
                <w:rFonts w:ascii="Times New Roman" w:hAnsi="Times New Roman"/>
                <w:sz w:val="14"/>
                <w:szCs w:val="14"/>
              </w:rPr>
              <w:t>535 576</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iCs/>
                <w:sz w:val="14"/>
                <w:szCs w:val="14"/>
              </w:rPr>
            </w:pPr>
            <w:r w:rsidRPr="00F143CC">
              <w:rPr>
                <w:rFonts w:ascii="Times New Roman" w:hAnsi="Times New Roman"/>
                <w:iCs/>
                <w:sz w:val="14"/>
                <w:szCs w:val="14"/>
              </w:rPr>
              <w:t>639 007</w:t>
            </w:r>
          </w:p>
        </w:tc>
        <w:tc>
          <w:tcPr>
            <w:tcW w:w="5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iCs/>
                <w:sz w:val="14"/>
                <w:szCs w:val="14"/>
              </w:rPr>
            </w:pPr>
            <w:r w:rsidRPr="00F143CC">
              <w:rPr>
                <w:rFonts w:ascii="Times New Roman" w:hAnsi="Times New Roman"/>
                <w:iCs/>
                <w:sz w:val="14"/>
                <w:szCs w:val="14"/>
              </w:rPr>
              <w:t>481 183</w:t>
            </w:r>
          </w:p>
        </w:tc>
        <w:tc>
          <w:tcPr>
            <w:tcW w:w="54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072B94" w:rsidRPr="00F143CC" w:rsidP="000A6090">
            <w:pPr>
              <w:bidi w:val="0"/>
              <w:jc w:val="right"/>
              <w:rPr>
                <w:rFonts w:ascii="Times New Roman" w:hAnsi="Times New Roman"/>
                <w:iCs/>
                <w:sz w:val="14"/>
                <w:szCs w:val="14"/>
              </w:rPr>
            </w:pPr>
            <w:r w:rsidRPr="00F143CC">
              <w:rPr>
                <w:rFonts w:ascii="Times New Roman" w:hAnsi="Times New Roman"/>
                <w:iCs/>
                <w:sz w:val="14"/>
                <w:szCs w:val="14"/>
              </w:rPr>
              <w:t>381 455</w:t>
            </w:r>
          </w:p>
        </w:tc>
      </w:tr>
    </w:tbl>
    <w:p w:rsidR="00072B94" w:rsidRPr="009A2D31" w:rsidP="00072B94">
      <w:pPr>
        <w:bidi w:val="0"/>
        <w:ind w:firstLine="709"/>
        <w:jc w:val="both"/>
        <w:rPr>
          <w:rFonts w:ascii="Times New Roman" w:hAnsi="Times New Roman"/>
        </w:rPr>
      </w:pPr>
    </w:p>
    <w:p w:rsidR="00072B94" w:rsidP="00072B94">
      <w:pPr>
        <w:bidi w:val="0"/>
        <w:ind w:firstLine="709"/>
        <w:jc w:val="both"/>
        <w:rPr>
          <w:rFonts w:ascii="Times New Roman" w:hAnsi="Times New Roman"/>
        </w:rPr>
      </w:pPr>
      <w:r w:rsidRPr="009A2D31">
        <w:rPr>
          <w:rFonts w:ascii="Times New Roman" w:hAnsi="Times New Roman"/>
        </w:rPr>
        <w:t xml:space="preserve">Celkové výdavky štátneho rozpočtu sa rozpočtujú </w:t>
      </w:r>
      <w:r>
        <w:rPr>
          <w:rFonts w:ascii="Times New Roman" w:hAnsi="Times New Roman"/>
        </w:rPr>
        <w:t xml:space="preserve">v roku 2013 </w:t>
      </w:r>
      <w:r w:rsidRPr="009A2D31">
        <w:rPr>
          <w:rFonts w:ascii="Times New Roman" w:hAnsi="Times New Roman"/>
        </w:rPr>
        <w:t xml:space="preserve">v objeme </w:t>
      </w:r>
      <w:r w:rsidR="00404DFF">
        <w:rPr>
          <w:rFonts w:ascii="Times New Roman" w:hAnsi="Times New Roman"/>
        </w:rPr>
        <w:br/>
      </w:r>
      <w:r w:rsidRPr="009A2D31">
        <w:rPr>
          <w:rFonts w:ascii="Times New Roman" w:hAnsi="Times New Roman"/>
        </w:rPr>
        <w:t>1</w:t>
      </w:r>
      <w:r>
        <w:rPr>
          <w:rFonts w:ascii="Times New Roman" w:hAnsi="Times New Roman"/>
        </w:rPr>
        <w:t>7</w:t>
      </w:r>
      <w:r w:rsidRPr="009A2D31">
        <w:rPr>
          <w:rFonts w:ascii="Times New Roman" w:hAnsi="Times New Roman"/>
        </w:rPr>
        <w:t> </w:t>
      </w:r>
      <w:r>
        <w:rPr>
          <w:rFonts w:ascii="Times New Roman" w:hAnsi="Times New Roman"/>
        </w:rPr>
        <w:t>2</w:t>
      </w:r>
      <w:r w:rsidR="00B4106B">
        <w:rPr>
          <w:rFonts w:ascii="Times New Roman" w:hAnsi="Times New Roman"/>
        </w:rPr>
        <w:t>35</w:t>
      </w:r>
      <w:r w:rsidRPr="009A2D31">
        <w:rPr>
          <w:rFonts w:ascii="Times New Roman" w:hAnsi="Times New Roman"/>
        </w:rPr>
        <w:t>,</w:t>
      </w:r>
      <w:r w:rsidR="00B4106B">
        <w:rPr>
          <w:rFonts w:ascii="Times New Roman" w:hAnsi="Times New Roman"/>
        </w:rPr>
        <w:t>2</w:t>
      </w:r>
      <w:r w:rsidRPr="009A2D31">
        <w:rPr>
          <w:rFonts w:ascii="Times New Roman" w:hAnsi="Times New Roman"/>
        </w:rPr>
        <w:t xml:space="preserve"> mil. eur, čo predstavuje oproti schválenému rozpočtu roka 2012 pokles </w:t>
      </w:r>
      <w:r w:rsidR="00404DFF">
        <w:rPr>
          <w:rFonts w:ascii="Times New Roman" w:hAnsi="Times New Roman"/>
        </w:rPr>
        <w:br/>
      </w:r>
      <w:r w:rsidRPr="009A2D31">
        <w:rPr>
          <w:rFonts w:ascii="Times New Roman" w:hAnsi="Times New Roman"/>
        </w:rPr>
        <w:t>o </w:t>
      </w:r>
      <w:r w:rsidR="00B4106B">
        <w:rPr>
          <w:rFonts w:ascii="Times New Roman" w:hAnsi="Times New Roman"/>
        </w:rPr>
        <w:t>64</w:t>
      </w:r>
      <w:r w:rsidRPr="009A2D31">
        <w:rPr>
          <w:rFonts w:ascii="Times New Roman" w:hAnsi="Times New Roman"/>
        </w:rPr>
        <w:t>,</w:t>
      </w:r>
      <w:r w:rsidR="00B4106B">
        <w:rPr>
          <w:rFonts w:ascii="Times New Roman" w:hAnsi="Times New Roman"/>
        </w:rPr>
        <w:t>8</w:t>
      </w:r>
      <w:r w:rsidRPr="009A2D31">
        <w:rPr>
          <w:rFonts w:ascii="Times New Roman" w:hAnsi="Times New Roman"/>
        </w:rPr>
        <w:t xml:space="preserve"> mil. eur, t. j.</w:t>
      </w:r>
      <w:r>
        <w:rPr>
          <w:rFonts w:ascii="Times New Roman" w:hAnsi="Times New Roman"/>
        </w:rPr>
        <w:t xml:space="preserve"> </w:t>
      </w:r>
      <w:r w:rsidRPr="009A2D31">
        <w:rPr>
          <w:rFonts w:ascii="Times New Roman" w:hAnsi="Times New Roman"/>
        </w:rPr>
        <w:t xml:space="preserve">o </w:t>
      </w:r>
      <w:r>
        <w:rPr>
          <w:rFonts w:ascii="Times New Roman" w:hAnsi="Times New Roman"/>
        </w:rPr>
        <w:t>0</w:t>
      </w:r>
      <w:r w:rsidRPr="009A2D31">
        <w:rPr>
          <w:rFonts w:ascii="Times New Roman" w:hAnsi="Times New Roman"/>
        </w:rPr>
        <w:t>,</w:t>
      </w:r>
      <w:r>
        <w:rPr>
          <w:rFonts w:ascii="Times New Roman" w:hAnsi="Times New Roman"/>
        </w:rPr>
        <w:t>4</w:t>
      </w:r>
      <w:r w:rsidRPr="009A2D31">
        <w:rPr>
          <w:rFonts w:ascii="Times New Roman" w:hAnsi="Times New Roman"/>
        </w:rPr>
        <w:t xml:space="preserve"> %. </w:t>
      </w:r>
      <w:r>
        <w:rPr>
          <w:rFonts w:ascii="Times New Roman" w:hAnsi="Times New Roman"/>
        </w:rPr>
        <w:t>V rámci kapitoly Všeobecná pokladničná správa sa rozpočtuje rezerva na otvorenie II. piliera v objeme 229,1 mil. eur a rezerva na možný zhoršený vývoj ekonomiky 3</w:t>
      </w:r>
      <w:r w:rsidR="00B4106B">
        <w:rPr>
          <w:rFonts w:ascii="Times New Roman" w:hAnsi="Times New Roman"/>
        </w:rPr>
        <w:t>13</w:t>
      </w:r>
      <w:r>
        <w:rPr>
          <w:rFonts w:ascii="Times New Roman" w:hAnsi="Times New Roman"/>
        </w:rPr>
        <w:t xml:space="preserve"> mil. eur. V kapitole Ministerstva hospodárstva SR sa rozpočtuje zvýšenie výdavkov z titulu metodickej zmeny spôsobu výberu príspevkov od prevádzkovateľov jadrovoenergetických zariadení v zmysle novely zákona č. </w:t>
      </w:r>
      <w:r w:rsidRPr="00853736">
        <w:rPr>
          <w:rFonts w:ascii="Times New Roman" w:hAnsi="Times New Roman"/>
        </w:rPr>
        <w:t>238/2006 Z. z. o</w:t>
      </w:r>
      <w:r w:rsidR="00B4106B">
        <w:rPr>
          <w:rFonts w:ascii="Times New Roman" w:hAnsi="Times New Roman"/>
        </w:rPr>
        <w:t xml:space="preserve"> Národnom </w:t>
      </w:r>
      <w:r w:rsidRPr="00853736">
        <w:rPr>
          <w:rFonts w:ascii="Times New Roman" w:hAnsi="Times New Roman"/>
        </w:rPr>
        <w:t xml:space="preserve">jadrovom fonde vo výške 58,3 mil. eur. V porovnaní so schváleným rozpočtom na rok 2012 rastú v roku 2013 zdroje EÚ o 480,7 mil. eur. </w:t>
      </w:r>
      <w:r>
        <w:rPr>
          <w:rFonts w:ascii="Times New Roman" w:hAnsi="Times New Roman"/>
        </w:rPr>
        <w:t xml:space="preserve">Po </w:t>
      </w:r>
      <w:r w:rsidR="00404DFF">
        <w:rPr>
          <w:rFonts w:ascii="Times New Roman" w:hAnsi="Times New Roman"/>
        </w:rPr>
        <w:t>vylúčení</w:t>
      </w:r>
      <w:r>
        <w:rPr>
          <w:rFonts w:ascii="Times New Roman" w:hAnsi="Times New Roman"/>
        </w:rPr>
        <w:t xml:space="preserve"> vyššie uvedených titulov, klesajú celkové výdavky štátneho rozpočtu medziročne až o 1 14</w:t>
      </w:r>
      <w:r w:rsidR="008C73E2">
        <w:rPr>
          <w:rFonts w:ascii="Times New Roman" w:hAnsi="Times New Roman"/>
        </w:rPr>
        <w:t>6</w:t>
      </w:r>
      <w:r>
        <w:rPr>
          <w:rFonts w:ascii="Times New Roman" w:hAnsi="Times New Roman"/>
        </w:rPr>
        <w:t xml:space="preserve"> mil. eur, čo predstavuje </w:t>
      </w:r>
      <w:r w:rsidR="001D7457">
        <w:rPr>
          <w:rFonts w:ascii="Times New Roman" w:hAnsi="Times New Roman"/>
        </w:rPr>
        <w:t>8</w:t>
      </w:r>
      <w:r>
        <w:rPr>
          <w:rFonts w:ascii="Times New Roman" w:hAnsi="Times New Roman"/>
        </w:rPr>
        <w:t>,</w:t>
      </w:r>
      <w:r w:rsidR="001D7457">
        <w:rPr>
          <w:rFonts w:ascii="Times New Roman" w:hAnsi="Times New Roman"/>
        </w:rPr>
        <w:t>1</w:t>
      </w:r>
      <w:r>
        <w:rPr>
          <w:rFonts w:ascii="Times New Roman" w:hAnsi="Times New Roman"/>
        </w:rPr>
        <w:t xml:space="preserve"> %. </w:t>
      </w:r>
    </w:p>
    <w:p w:rsidR="00072B94" w:rsidP="00072B94">
      <w:pPr>
        <w:bidi w:val="0"/>
        <w:ind w:firstLine="709"/>
        <w:jc w:val="both"/>
        <w:rPr>
          <w:rFonts w:ascii="Times New Roman" w:hAnsi="Times New Roman"/>
        </w:rPr>
      </w:pPr>
    </w:p>
    <w:p w:rsidR="00072B94" w:rsidRPr="00F143CC" w:rsidP="00072B94">
      <w:pPr>
        <w:bidi w:val="0"/>
        <w:ind w:firstLine="709"/>
        <w:jc w:val="both"/>
        <w:rPr>
          <w:rFonts w:ascii="Times New Roman" w:hAnsi="Times New Roman"/>
        </w:rPr>
      </w:pPr>
      <w:r w:rsidRPr="00F143CC">
        <w:rPr>
          <w:rFonts w:ascii="Times New Roman" w:hAnsi="Times New Roman"/>
        </w:rPr>
        <w:t>Výdavky na obsluhu štátneho dlhu predstavujú významnú časť na celkových výdavkoch štátneho rozpočtu. Bližšie sú popísané v časti 4.3</w:t>
      </w:r>
      <w:r w:rsidR="001D7457">
        <w:rPr>
          <w:rFonts w:ascii="Times New Roman" w:hAnsi="Times New Roman"/>
        </w:rPr>
        <w:t>.</w:t>
      </w:r>
      <w:r w:rsidRPr="00F143CC">
        <w:rPr>
          <w:rFonts w:ascii="Times New Roman" w:hAnsi="Times New Roman"/>
        </w:rPr>
        <w:t xml:space="preserve"> Rozpočtovanie výdavkov podľa vybraných oblastí – kapitola Všeobecná pokladničná správa.</w:t>
      </w:r>
    </w:p>
    <w:p w:rsidR="00072B94" w:rsidRPr="000561B5" w:rsidP="00072B94">
      <w:pPr>
        <w:bidi w:val="0"/>
        <w:ind w:firstLine="709"/>
        <w:jc w:val="both"/>
        <w:rPr>
          <w:rFonts w:ascii="Times New Roman" w:hAnsi="Times New Roman"/>
          <w:color w:val="0070C0"/>
        </w:rPr>
      </w:pPr>
    </w:p>
    <w:p w:rsidR="00072B94" w:rsidRPr="00F143CC" w:rsidP="00072B94">
      <w:pPr>
        <w:bidi w:val="0"/>
        <w:ind w:firstLine="709"/>
        <w:jc w:val="both"/>
        <w:rPr>
          <w:rFonts w:ascii="Times New Roman" w:hAnsi="Times New Roman"/>
        </w:rPr>
      </w:pPr>
      <w:r w:rsidRPr="00F143CC">
        <w:rPr>
          <w:rFonts w:ascii="Times New Roman" w:hAnsi="Times New Roman"/>
        </w:rPr>
        <w:t xml:space="preserve">Výdavky zo zdroja z rozpočtu EÚ sa rozpočtujú v objeme 3 563,7 mil. eur </w:t>
        <w:br/>
        <w:t>a v porovnaní so schváleným rozpočtom na rok 2012 rastú o 480,7 mil. eur, t. j. o 15,6 %. K tomuto objemu prostriedkov sa automaticky rozpočtuje príslušný objem spolufinancovania. Rozpočet za oblasť výdavkov z prostriedkov EÚ a spolufinancovania je zostavený na základe podkladov jednotlivých kapitol štátneho rozpočtu a ich odhadov o plánovanom čerpaní. Bližšie sú popísané v prílohe č. 2 Rozpočtové vzťahy SR a EÚ.</w:t>
      </w:r>
    </w:p>
    <w:p w:rsidR="00072B94" w:rsidRPr="000561B5" w:rsidP="00072B94">
      <w:pPr>
        <w:bidi w:val="0"/>
        <w:ind w:firstLine="709"/>
        <w:jc w:val="both"/>
        <w:rPr>
          <w:rFonts w:ascii="Times New Roman" w:hAnsi="Times New Roman"/>
          <w:color w:val="0070C0"/>
        </w:rPr>
      </w:pPr>
    </w:p>
    <w:p w:rsidR="00072B94" w:rsidRPr="000561B5" w:rsidP="00072B94">
      <w:pPr>
        <w:bidi w:val="0"/>
        <w:ind w:firstLine="709"/>
        <w:jc w:val="both"/>
        <w:rPr>
          <w:rFonts w:ascii="Times New Roman" w:hAnsi="Times New Roman"/>
          <w:b/>
          <w:bCs/>
          <w:color w:val="0070C0"/>
        </w:rPr>
      </w:pPr>
      <w:r w:rsidRPr="00696BFB">
        <w:rPr>
          <w:rFonts w:ascii="Times New Roman" w:hAnsi="Times New Roman"/>
        </w:rPr>
        <w:t xml:space="preserve">V rámci výdavkov kapitol štátneho rozpočtu boli realizované dve plošné opatrenia. </w:t>
        <w:br/>
        <w:t xml:space="preserve">V kapitolách štátneho rozpočtu sa v prípade osobných výdavkov rozpočtových organizácií  viaže 5 % z úrovne </w:t>
      </w:r>
      <w:r>
        <w:rPr>
          <w:rFonts w:ascii="Times New Roman" w:hAnsi="Times New Roman"/>
        </w:rPr>
        <w:t>schváleného rozpočtu</w:t>
      </w:r>
      <w:r w:rsidRPr="00696BFB">
        <w:rPr>
          <w:rFonts w:ascii="Times New Roman" w:hAnsi="Times New Roman"/>
        </w:rPr>
        <w:t xml:space="preserve"> 2012 pre zamestnancov v štátnozamestnaneckom pomere s výnimkou verejnej funkcie a pre zamestnancov pri výkone práce vo verejnom záujme so zohľadnením niektorých výnimiek. Pri výdavkoch na tovary a služby dochádza k 10% viazaniu z</w:t>
      </w:r>
      <w:r>
        <w:rPr>
          <w:rFonts w:ascii="Times New Roman" w:hAnsi="Times New Roman"/>
        </w:rPr>
        <w:t> </w:t>
      </w:r>
      <w:r w:rsidRPr="00696BFB">
        <w:rPr>
          <w:rFonts w:ascii="Times New Roman" w:hAnsi="Times New Roman"/>
        </w:rPr>
        <w:t>úrovne</w:t>
      </w:r>
      <w:r>
        <w:rPr>
          <w:rFonts w:ascii="Times New Roman" w:hAnsi="Times New Roman"/>
        </w:rPr>
        <w:t xml:space="preserve"> schváleného rozpočtu</w:t>
      </w:r>
      <w:r w:rsidRPr="00696BFB">
        <w:rPr>
          <w:rFonts w:ascii="Times New Roman" w:hAnsi="Times New Roman"/>
        </w:rPr>
        <w:t xml:space="preserve"> roka 2012. </w:t>
      </w:r>
    </w:p>
    <w:p w:rsidR="00072B94" w:rsidRPr="000926BC" w:rsidP="00072B94">
      <w:pPr>
        <w:bidi w:val="0"/>
        <w:ind w:firstLine="709"/>
        <w:jc w:val="both"/>
        <w:rPr>
          <w:rFonts w:ascii="Times New Roman" w:hAnsi="Times New Roman"/>
        </w:rPr>
      </w:pPr>
    </w:p>
    <w:p w:rsidR="00072B94" w:rsidRPr="000926BC" w:rsidP="00072B94">
      <w:pPr>
        <w:bidi w:val="0"/>
        <w:ind w:firstLine="709"/>
        <w:jc w:val="both"/>
        <w:rPr>
          <w:rFonts w:ascii="Times New Roman" w:hAnsi="Times New Roman"/>
        </w:rPr>
      </w:pPr>
      <w:r w:rsidRPr="000926BC">
        <w:rPr>
          <w:rFonts w:ascii="Times New Roman" w:hAnsi="Times New Roman"/>
        </w:rPr>
        <w:t xml:space="preserve">V súvislosti s novelou zákona č. 461/2003 Z. z. o sociálnom poistení </w:t>
      </w:r>
      <w:r>
        <w:rPr>
          <w:rFonts w:ascii="Times New Roman" w:hAnsi="Times New Roman"/>
        </w:rPr>
        <w:t xml:space="preserve">dochádza k poklesu </w:t>
      </w:r>
      <w:r w:rsidRPr="000926BC">
        <w:rPr>
          <w:rFonts w:ascii="Times New Roman" w:hAnsi="Times New Roman"/>
        </w:rPr>
        <w:t>transfer</w:t>
      </w:r>
      <w:r>
        <w:rPr>
          <w:rFonts w:ascii="Times New Roman" w:hAnsi="Times New Roman"/>
        </w:rPr>
        <w:t>u</w:t>
      </w:r>
      <w:r w:rsidRPr="000926BC">
        <w:rPr>
          <w:rFonts w:ascii="Times New Roman" w:hAnsi="Times New Roman"/>
        </w:rPr>
        <w:t xml:space="preserve"> pre Sociálnu poisťovňu, ktorý je rozpočtovaný v kapitole Všeobecná pokladničná správa. </w:t>
      </w:r>
    </w:p>
    <w:p w:rsidR="00072B94" w:rsidRPr="00696BFB" w:rsidP="00072B94">
      <w:pPr>
        <w:bidi w:val="0"/>
        <w:ind w:firstLine="709"/>
        <w:rPr>
          <w:rFonts w:ascii="Times New Roman" w:hAnsi="Times New Roman"/>
          <w:bCs/>
          <w:color w:val="0070C0"/>
        </w:rPr>
      </w:pPr>
    </w:p>
    <w:p w:rsidR="00072B94" w:rsidRPr="001C35F1" w:rsidP="00072B94">
      <w:pPr>
        <w:bidi w:val="0"/>
        <w:jc w:val="both"/>
        <w:rPr>
          <w:rFonts w:ascii="Times New Roman" w:hAnsi="Times New Roman" w:cs="Times New Roman"/>
          <w:b/>
          <w:bCs/>
          <w:iCs/>
        </w:rPr>
      </w:pPr>
      <w:r w:rsidRPr="001C35F1">
        <w:rPr>
          <w:rFonts w:ascii="Times New Roman" w:hAnsi="Times New Roman" w:cs="Times New Roman"/>
          <w:b/>
          <w:bCs/>
          <w:iCs/>
        </w:rPr>
        <w:t>Jednorazové opatrenia identifikované v oblasti výdavkov štátneho rozpočtu</w:t>
      </w:r>
    </w:p>
    <w:p w:rsidR="00072B94" w:rsidRPr="001C35F1" w:rsidP="00072B94">
      <w:pPr>
        <w:bidi w:val="0"/>
        <w:spacing w:before="240"/>
        <w:ind w:firstLine="709"/>
        <w:jc w:val="both"/>
        <w:rPr>
          <w:rFonts w:ascii="Times New Roman" w:hAnsi="Times New Roman" w:cs="Times New Roman"/>
        </w:rPr>
      </w:pPr>
      <w:r w:rsidRPr="001C35F1">
        <w:rPr>
          <w:rFonts w:ascii="Times New Roman" w:hAnsi="Times New Roman" w:cs="Times New Roman"/>
        </w:rPr>
        <w:t>Výdavky štátneho rozpočtu súvisiace s povodňami, ktoré v priebehu roku 2010 zasiahli Slovensko. Na úhradu výdavkov spojených s povodňami sa zo štátneho rozpočtu uhradila suma 113 mil. eur, čo predstavuje 0,2 % HDP.</w:t>
      </w:r>
    </w:p>
    <w:p w:rsidR="00072B94" w:rsidRPr="001C35F1" w:rsidP="00072B94">
      <w:pPr>
        <w:bidi w:val="0"/>
        <w:spacing w:before="240"/>
        <w:ind w:firstLine="709"/>
        <w:jc w:val="both"/>
        <w:rPr>
          <w:rFonts w:ascii="Times New Roman" w:hAnsi="Times New Roman" w:cs="Times New Roman"/>
        </w:rPr>
      </w:pPr>
      <w:r w:rsidRPr="001C35F1">
        <w:rPr>
          <w:rFonts w:ascii="Times New Roman" w:hAnsi="Times New Roman" w:cs="Times New Roman"/>
        </w:rPr>
        <w:t>Výdavky ministerstva dopravy, výstavby a regionálneho rozvoja na úhradu DPH na základe odovzdania dokončených úsekov rýchlostnej cesty R1 stavanej prostredníctvom PPP projektu. Ide o jednorazovú platbu splatnú pri ukončení stavebných prác, ktoré boli ukončené čiastočne koncom roku 2011 a čiastočne v priebehu roka 2012. Na základe uvedeného sa počíta s jednorazovou platbou DPH v roku 2011 v sume 174 mil. eur a </w:t>
      </w:r>
      <w:r w:rsidR="005870CF">
        <w:rPr>
          <w:rFonts w:ascii="Times New Roman" w:hAnsi="Times New Roman" w:cs="Times New Roman"/>
        </w:rPr>
        <w:t>v</w:t>
      </w:r>
      <w:r w:rsidRPr="001C35F1">
        <w:rPr>
          <w:rFonts w:ascii="Times New Roman" w:hAnsi="Times New Roman" w:cs="Times New Roman"/>
        </w:rPr>
        <w:t xml:space="preserve"> roku 2012 v sume </w:t>
      </w:r>
      <w:r w:rsidR="005870CF">
        <w:rPr>
          <w:rFonts w:ascii="Times New Roman" w:hAnsi="Times New Roman" w:cs="Times New Roman"/>
        </w:rPr>
        <w:t>42,8</w:t>
      </w:r>
      <w:r w:rsidRPr="001C35F1">
        <w:rPr>
          <w:rFonts w:ascii="Times New Roman" w:hAnsi="Times New Roman" w:cs="Times New Roman"/>
        </w:rPr>
        <w:t xml:space="preserve"> mil. eur.</w:t>
      </w:r>
    </w:p>
    <w:p w:rsidR="00072B94" w:rsidRPr="001C35F1" w:rsidP="00072B94">
      <w:pPr>
        <w:bidi w:val="0"/>
        <w:spacing w:before="240"/>
        <w:ind w:firstLine="709"/>
        <w:jc w:val="both"/>
        <w:rPr>
          <w:rFonts w:ascii="Times New Roman" w:hAnsi="Times New Roman" w:cs="Times New Roman"/>
        </w:rPr>
      </w:pPr>
      <w:r w:rsidRPr="001C35F1">
        <w:rPr>
          <w:rFonts w:ascii="Times New Roman" w:hAnsi="Times New Roman" w:cs="Times New Roman"/>
        </w:rPr>
        <w:t xml:space="preserve">Výdavky na riešenie krízovej situácie v zdravotníctve. V schválenom rozpočte na rok 2012 neboli rozpočtované výdavky na riešenie krízovej situácie v zdravotníctve. Z uvedeného dôvodu bolo osobitne vyčlenených 50 mil. eur a prostredníctvom zmeny legislatívy sa zvýšila sadzba poistného za poistencov štátu od 1. júla 2012 do 31. decembra 2012 zo 4,0 % pre štát na 4,33 % z vymeriavacieho základu. </w:t>
      </w:r>
    </w:p>
    <w:p w:rsidR="00072B94" w:rsidRPr="001C35F1" w:rsidP="00072B94">
      <w:pPr>
        <w:bidi w:val="0"/>
        <w:spacing w:before="240"/>
        <w:ind w:firstLine="709"/>
        <w:jc w:val="both"/>
        <w:rPr>
          <w:rFonts w:ascii="Times New Roman" w:hAnsi="Times New Roman" w:cs="Times New Roman"/>
        </w:rPr>
      </w:pPr>
      <w:r w:rsidRPr="000926BC">
        <w:rPr>
          <w:rFonts w:ascii="Times New Roman" w:hAnsi="Times New Roman" w:cs="Times New Roman"/>
        </w:rPr>
        <w:t>Výdavky určené na krytie možného výpadku príjmov z otvorenia druhého dôchodkového piliera. V nadväznosti na viaceré zásadné legislatívne opatrenia v oblasti starobného dôchodkového sporenia sa vytvára rezerva na otvorenie druhého dôchodkového piliera vo výške indikatívnej alokácie prostriedkov v sume 229</w:t>
      </w:r>
      <w:r w:rsidR="001D7457">
        <w:rPr>
          <w:rFonts w:ascii="Times New Roman" w:hAnsi="Times New Roman" w:cs="Times New Roman"/>
        </w:rPr>
        <w:t>,1</w:t>
      </w:r>
      <w:r w:rsidRPr="000926BC">
        <w:rPr>
          <w:rFonts w:ascii="Times New Roman" w:hAnsi="Times New Roman" w:cs="Times New Roman"/>
        </w:rPr>
        <w:t xml:space="preserve"> mil. eur v roku 2013, </w:t>
        <w:br/>
        <w:t>17,6 mil. eur v roku 2014 a 18,5 mil. eur v roku 2015.</w:t>
      </w:r>
    </w:p>
    <w:p w:rsidR="00072B94"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P="00072B94">
      <w:pPr>
        <w:bidi w:val="0"/>
        <w:rPr>
          <w:rFonts w:ascii="Arial Narrow" w:hAnsi="Arial Narrow" w:cs="Calibri"/>
          <w:color w:val="0070C0"/>
        </w:rPr>
      </w:pPr>
    </w:p>
    <w:p w:rsidR="00A02145" w:rsidRPr="000561B5" w:rsidP="00072B94">
      <w:pPr>
        <w:bidi w:val="0"/>
        <w:rPr>
          <w:rFonts w:ascii="Arial Narrow" w:hAnsi="Arial Narrow" w:cs="Calibri"/>
          <w:color w:val="0070C0"/>
        </w:rPr>
      </w:pPr>
    </w:p>
    <w:p w:rsidR="00A02145" w:rsidRPr="00576710" w:rsidP="00072B94">
      <w:pPr>
        <w:bidi w:val="0"/>
        <w:ind w:firstLine="709"/>
        <w:jc w:val="center"/>
        <w:rPr>
          <w:rFonts w:ascii="Times New Roman" w:hAnsi="Times New Roman"/>
          <w:b/>
          <w:bCs/>
        </w:rPr>
      </w:pPr>
      <w:r w:rsidRPr="00576710" w:rsidR="00072B94">
        <w:rPr>
          <w:rFonts w:ascii="Times New Roman" w:hAnsi="Times New Roman"/>
          <w:b/>
          <w:bCs/>
        </w:rPr>
        <w:t>Výdavky štátneho rozpočtu</w:t>
      </w:r>
    </w:p>
    <w:tbl>
      <w:tblPr>
        <w:tblStyle w:val="TableNormal"/>
        <w:tblpPr w:leftFromText="141" w:rightFromText="141" w:vertAnchor="text" w:horzAnchor="margin" w:tblpXSpec="center" w:tblpY="162"/>
        <w:tblW w:w="5000" w:type="pct"/>
        <w:tblCellMar>
          <w:left w:w="70" w:type="dxa"/>
          <w:right w:w="70" w:type="dxa"/>
        </w:tblCellMar>
        <w:tblLook w:val="00A0"/>
      </w:tblPr>
      <w:tblGrid>
        <w:gridCol w:w="3190"/>
        <w:gridCol w:w="968"/>
        <w:gridCol w:w="1013"/>
        <w:gridCol w:w="1013"/>
        <w:gridCol w:w="1002"/>
        <w:gridCol w:w="1013"/>
        <w:gridCol w:w="1013"/>
      </w:tblGrid>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072B94" w:rsidRPr="00576710" w:rsidP="003B1959">
            <w:pPr>
              <w:bidi w:val="0"/>
              <w:rPr>
                <w:rFonts w:ascii="Times New Roman" w:hAnsi="Times New Roman"/>
                <w:b/>
                <w:sz w:val="14"/>
                <w:szCs w:val="14"/>
                <w:lang w:eastAsia="sk-SK"/>
              </w:rPr>
            </w:pPr>
            <w:r w:rsidRPr="00576710">
              <w:rPr>
                <w:rFonts w:ascii="Times New Roman" w:hAnsi="Times New Roman"/>
                <w:b/>
                <w:sz w:val="14"/>
                <w:szCs w:val="14"/>
                <w:lang w:eastAsia="sk-SK"/>
              </w:rPr>
              <w:t>v tis. eur</w:t>
            </w:r>
          </w:p>
        </w:tc>
        <w:tc>
          <w:tcPr>
            <w:tcW w:w="525" w:type="pct"/>
            <w:tcBorders>
              <w:top w:val="single" w:sz="4" w:space="0" w:color="auto"/>
              <w:left w:val="nil"/>
              <w:bottom w:val="single" w:sz="4" w:space="0" w:color="auto"/>
              <w:right w:val="single" w:sz="4" w:space="0" w:color="auto"/>
            </w:tcBorders>
            <w:shd w:val="clear" w:color="auto" w:fill="BFBFBF"/>
            <w:textDirection w:val="lrTb"/>
            <w:vAlign w:val="center"/>
            <w:hideMark/>
          </w:tcPr>
          <w:p w:rsidR="00072B94" w:rsidRPr="00576710" w:rsidP="003B1959">
            <w:pPr>
              <w:bidi w:val="0"/>
              <w:jc w:val="center"/>
              <w:rPr>
                <w:rFonts w:ascii="Times New Roman" w:hAnsi="Times New Roman"/>
                <w:b/>
                <w:bCs/>
                <w:sz w:val="14"/>
                <w:szCs w:val="14"/>
                <w:lang w:eastAsia="sk-SK"/>
              </w:rPr>
            </w:pPr>
            <w:r w:rsidRPr="00576710">
              <w:rPr>
                <w:rFonts w:ascii="Times New Roman" w:hAnsi="Times New Roman"/>
                <w:b/>
                <w:bCs/>
                <w:sz w:val="14"/>
                <w:szCs w:val="14"/>
                <w:lang w:eastAsia="sk-SK"/>
              </w:rPr>
              <w:t>2010 S</w:t>
            </w:r>
          </w:p>
        </w:tc>
        <w:tc>
          <w:tcPr>
            <w:tcW w:w="55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072B94" w:rsidRPr="00576710" w:rsidP="003B1959">
            <w:pPr>
              <w:bidi w:val="0"/>
              <w:jc w:val="center"/>
              <w:rPr>
                <w:rFonts w:ascii="Times New Roman" w:hAnsi="Times New Roman"/>
                <w:b/>
                <w:bCs/>
                <w:sz w:val="14"/>
                <w:szCs w:val="14"/>
                <w:lang w:eastAsia="sk-SK"/>
              </w:rPr>
            </w:pPr>
            <w:r w:rsidRPr="00576710">
              <w:rPr>
                <w:rFonts w:ascii="Times New Roman" w:hAnsi="Times New Roman"/>
                <w:b/>
                <w:bCs/>
                <w:sz w:val="14"/>
                <w:szCs w:val="14"/>
                <w:lang w:eastAsia="sk-SK"/>
              </w:rPr>
              <w:t>2011 S</w:t>
            </w:r>
          </w:p>
        </w:tc>
        <w:tc>
          <w:tcPr>
            <w:tcW w:w="55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072B94" w:rsidRPr="00576710" w:rsidP="003B1959">
            <w:pPr>
              <w:bidi w:val="0"/>
              <w:jc w:val="center"/>
              <w:rPr>
                <w:rFonts w:ascii="Times New Roman" w:hAnsi="Times New Roman"/>
                <w:b/>
                <w:bCs/>
                <w:sz w:val="14"/>
                <w:szCs w:val="14"/>
                <w:lang w:eastAsia="sk-SK"/>
              </w:rPr>
            </w:pPr>
            <w:r w:rsidRPr="00576710">
              <w:rPr>
                <w:rFonts w:ascii="Times New Roman" w:hAnsi="Times New Roman"/>
                <w:b/>
                <w:bCs/>
                <w:sz w:val="14"/>
                <w:szCs w:val="14"/>
                <w:lang w:eastAsia="sk-SK"/>
              </w:rPr>
              <w:t>2012 R</w:t>
            </w:r>
          </w:p>
        </w:tc>
        <w:tc>
          <w:tcPr>
            <w:tcW w:w="544" w:type="pct"/>
            <w:tcBorders>
              <w:top w:val="single" w:sz="4" w:space="0" w:color="auto"/>
              <w:left w:val="nil"/>
              <w:bottom w:val="single" w:sz="4" w:space="0" w:color="auto"/>
              <w:right w:val="single" w:sz="4" w:space="0" w:color="auto"/>
            </w:tcBorders>
            <w:shd w:val="clear" w:color="auto" w:fill="BFBFBF"/>
            <w:textDirection w:val="lrTb"/>
            <w:vAlign w:val="center"/>
          </w:tcPr>
          <w:p w:rsidR="00072B94" w:rsidRPr="00576710" w:rsidP="003B1959">
            <w:pPr>
              <w:bidi w:val="0"/>
              <w:jc w:val="center"/>
              <w:rPr>
                <w:rFonts w:ascii="Times New Roman" w:hAnsi="Times New Roman"/>
                <w:b/>
                <w:bCs/>
                <w:sz w:val="14"/>
                <w:szCs w:val="14"/>
                <w:lang w:eastAsia="sk-SK"/>
              </w:rPr>
            </w:pPr>
            <w:r w:rsidRPr="00576710">
              <w:rPr>
                <w:rFonts w:ascii="Times New Roman" w:hAnsi="Times New Roman"/>
                <w:b/>
                <w:bCs/>
                <w:sz w:val="14"/>
                <w:szCs w:val="14"/>
                <w:lang w:eastAsia="sk-SK"/>
              </w:rPr>
              <w:t>2013 N</w:t>
            </w:r>
          </w:p>
        </w:tc>
        <w:tc>
          <w:tcPr>
            <w:tcW w:w="550"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072B94" w:rsidRPr="00576710" w:rsidP="003B1959">
            <w:pPr>
              <w:bidi w:val="0"/>
              <w:jc w:val="center"/>
              <w:rPr>
                <w:rFonts w:ascii="Times New Roman" w:hAnsi="Times New Roman"/>
                <w:b/>
                <w:bCs/>
                <w:sz w:val="14"/>
                <w:szCs w:val="14"/>
                <w:lang w:eastAsia="sk-SK"/>
              </w:rPr>
            </w:pPr>
            <w:r w:rsidRPr="00576710">
              <w:rPr>
                <w:rFonts w:ascii="Times New Roman" w:hAnsi="Times New Roman"/>
                <w:b/>
                <w:bCs/>
                <w:sz w:val="14"/>
                <w:szCs w:val="14"/>
                <w:lang w:eastAsia="sk-SK"/>
              </w:rPr>
              <w:t xml:space="preserve">2014 N </w:t>
            </w:r>
          </w:p>
        </w:tc>
        <w:tc>
          <w:tcPr>
            <w:tcW w:w="550" w:type="pct"/>
            <w:tcBorders>
              <w:top w:val="single" w:sz="4" w:space="0" w:color="auto"/>
              <w:left w:val="nil"/>
              <w:bottom w:val="single" w:sz="4" w:space="0" w:color="auto"/>
              <w:right w:val="single" w:sz="4" w:space="0" w:color="auto"/>
            </w:tcBorders>
            <w:shd w:val="clear" w:color="auto" w:fill="BFBFBF"/>
            <w:textDirection w:val="lrTb"/>
            <w:vAlign w:val="center"/>
            <w:hideMark/>
          </w:tcPr>
          <w:p w:rsidR="00072B94" w:rsidRPr="00576710" w:rsidP="003B1959">
            <w:pPr>
              <w:bidi w:val="0"/>
              <w:jc w:val="center"/>
              <w:rPr>
                <w:rFonts w:ascii="Times New Roman" w:hAnsi="Times New Roman"/>
                <w:b/>
                <w:bCs/>
                <w:sz w:val="14"/>
                <w:szCs w:val="14"/>
                <w:lang w:eastAsia="sk-SK"/>
              </w:rPr>
            </w:pPr>
            <w:r w:rsidRPr="00576710">
              <w:rPr>
                <w:rFonts w:ascii="Times New Roman" w:hAnsi="Times New Roman"/>
                <w:b/>
                <w:bCs/>
                <w:sz w:val="14"/>
                <w:szCs w:val="14"/>
                <w:lang w:eastAsia="sk-SK"/>
              </w:rPr>
              <w:t>2015 N</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Kancelária Národnej rady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47 743</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36 319</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25 435</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24 207</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24 470</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25 113</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Kancelária prezidenta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4 120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3 839</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3 849</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4 259</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4 037</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4 051</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Úrad vlády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71 764</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55 787</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39 760</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26 745</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26 751</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26 765</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Kancelária Ústavného súdu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4 527</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3 468</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3 288</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3 357</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3 394</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3 442</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Najvyšší súd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9 097</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8 033</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8 169</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8 789</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8 971</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9 203</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Generálna prokuratúra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64 351</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63 721</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60 310</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65 324</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66 682</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68 564</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Najvyšší kontrolný úrad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9 370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11 856</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7 976</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7 971</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7 971</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7 971</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Slovenská informačná služba</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46 555</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41 846</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41 552</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41 467</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41 467</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41 467</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 xml:space="preserve">Ministerstvo zahraničných vecí </w:t>
            </w:r>
            <w:r>
              <w:rPr>
                <w:rFonts w:ascii="Times New Roman" w:hAnsi="Times New Roman"/>
                <w:sz w:val="14"/>
                <w:szCs w:val="14"/>
                <w:lang w:eastAsia="sk-SK"/>
              </w:rPr>
              <w:t xml:space="preserve">a európ. zál. </w:t>
            </w:r>
            <w:r w:rsidRPr="00576710">
              <w:rPr>
                <w:rFonts w:ascii="Times New Roman" w:hAnsi="Times New Roman"/>
                <w:sz w:val="14"/>
                <w:szCs w:val="14"/>
                <w:lang w:eastAsia="sk-SK"/>
              </w:rPr>
              <w:t>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110 758</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125 611</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122 977</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117 340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115 630</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115 646</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obrany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853 343</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762 947</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798 329</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748 445</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784 461</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830 803</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vnútra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1 030 428</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965 055</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902 168</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902 570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905 884</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878 007</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spravodlivosti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302 247</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294 249</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302 834</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314 167</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322 460</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314 886</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financií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392 172</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354 043</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517 380</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661 551</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434 002</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427 380</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životného prostredia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208 913</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415 763</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384 087</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604 352</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393 933</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424 714</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školstva, vedy, výskumu a športu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2 092 925</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2 019 416</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2 434 335</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2 464 622</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2 329 843</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2 171 178</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zdravotníctva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1 470 526</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1 374 106</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1 393 141</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1 399 024</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1 376 802</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1 410 519</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práce, sociálnych vecí a rodiny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2 024 622</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2 026 332</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1 997 634</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2 172 870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2 014 648</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2 030 472</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kultúry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189 940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196 796</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181 174</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w:t>
            </w:r>
            <w:r>
              <w:rPr>
                <w:rFonts w:ascii="Times New Roman" w:hAnsi="Times New Roman"/>
                <w:sz w:val="14"/>
                <w:szCs w:val="14"/>
              </w:rPr>
              <w:t>88</w:t>
            </w:r>
            <w:r w:rsidRPr="007C2CEA">
              <w:rPr>
                <w:rFonts w:ascii="Times New Roman" w:hAnsi="Times New Roman"/>
                <w:sz w:val="14"/>
                <w:szCs w:val="14"/>
              </w:rPr>
              <w:t xml:space="preserve"> 747</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182 701</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182 714</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hospodárstva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286 732</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284 701</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214 504</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301 957</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397 777</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209 822</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pôdohosp. a rozvoja vidieka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1 220 396</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1 268 946</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1 409 114</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1 245 980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1 215 419</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1 020 844</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výstavby a regionálneho rozvoja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257 810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Pr>
                <w:rFonts w:ascii="Times New Roman" w:hAnsi="Times New Roman"/>
                <w:sz w:val="14"/>
                <w:szCs w:val="14"/>
              </w:rPr>
              <w:t>-</w:t>
            </w:r>
            <w:r w:rsidRPr="007C2CEA">
              <w:rPr>
                <w:rFonts w:ascii="Times New Roman" w:hAnsi="Times New Roman"/>
                <w:sz w:val="14"/>
                <w:szCs w:val="14"/>
              </w:rPr>
              <w:t> </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Pr>
                <w:rFonts w:ascii="Times New Roman" w:hAnsi="Times New Roman"/>
                <w:sz w:val="14"/>
                <w:szCs w:val="14"/>
              </w:rPr>
              <w:t>-</w:t>
            </w:r>
            <w:r w:rsidRPr="007C2CEA">
              <w:rPr>
                <w:rFonts w:ascii="Times New Roman" w:hAnsi="Times New Roman"/>
                <w:sz w:val="14"/>
                <w:szCs w:val="14"/>
              </w:rPr>
              <w:t> </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Pr>
                <w:rFonts w:ascii="Times New Roman" w:hAnsi="Times New Roman"/>
                <w:sz w:val="14"/>
                <w:szCs w:val="14"/>
              </w:rPr>
              <w:t>-</w:t>
            </w:r>
            <w:r w:rsidRPr="007C2CEA">
              <w:rPr>
                <w:rFonts w:ascii="Times New Roman" w:hAnsi="Times New Roman"/>
                <w:sz w:val="14"/>
                <w:szCs w:val="14"/>
              </w:rPr>
              <w:t> </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Ministerstvo dopravy, výst. a reg. rozvoja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1 300 890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1 577 285</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2 126 191</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2 288 121</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2 122 988</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2 054 034</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Úrad geodézie, kartografie a katastra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69 722</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65 274</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43 170</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41 982</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41 983</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41 987</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Štatistický úrad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35 961</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36 983</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19 341</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18 950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21 335</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17 267</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Úrad pre verejné obstarávanie</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3 268</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4 931</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2 629</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2 905</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2 906</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2 909</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Úrad pre reguláciu sieťových odvetví</w:t>
            </w:r>
          </w:p>
        </w:tc>
        <w:tc>
          <w:tcPr>
            <w:tcW w:w="525" w:type="pct"/>
            <w:tcBorders>
              <w:top w:val="nil"/>
              <w:left w:val="nil"/>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2 715</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2 661</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2 676</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Úrad jadrového dozoru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4 765</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4 735</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5 059</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4 784</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9 433</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9 190</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Úrad priemyselného vlastníctva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3 138</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2 906</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2 759</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2 807</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2 708</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2 712</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Úrad pre norm., metrológiu a skúšobníctvo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7 191</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6 526</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6 028</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5 908</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5 848</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5 852</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Protimonopolný úrad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2 374</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2 403</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2 119</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2 098</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2 099</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2 102</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Národný bezpečnostný úrad</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8 529</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7 767</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7 890</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7 690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7 692</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7 697</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072B94"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Správa štátnych hmotných rezerv SR</w:t>
            </w:r>
          </w:p>
        </w:tc>
        <w:tc>
          <w:tcPr>
            <w:tcW w:w="525" w:type="pct"/>
            <w:tcBorders>
              <w:top w:val="nil"/>
              <w:left w:val="nil"/>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51 970</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59 980</w:t>
            </w:r>
          </w:p>
        </w:tc>
        <w:tc>
          <w:tcPr>
            <w:tcW w:w="550" w:type="pct"/>
            <w:tcBorders>
              <w:top w:val="nil"/>
              <w:left w:val="single" w:sz="4" w:space="0" w:color="auto"/>
              <w:bottom w:val="single" w:sz="4" w:space="0" w:color="auto"/>
              <w:right w:val="single" w:sz="4" w:space="0" w:color="auto"/>
            </w:tcBorders>
            <w:textDirection w:val="lrTb"/>
            <w:vAlign w:val="center"/>
            <w:hideMark/>
          </w:tcPr>
          <w:p w:rsidR="00072B94" w:rsidRPr="00576710" w:rsidP="003B1959">
            <w:pPr>
              <w:bidi w:val="0"/>
              <w:jc w:val="right"/>
              <w:rPr>
                <w:rFonts w:ascii="Times New Roman" w:hAnsi="Times New Roman"/>
                <w:sz w:val="14"/>
                <w:szCs w:val="14"/>
              </w:rPr>
            </w:pPr>
            <w:r w:rsidRPr="00576710">
              <w:rPr>
                <w:rFonts w:ascii="Times New Roman" w:hAnsi="Times New Roman"/>
                <w:sz w:val="14"/>
                <w:szCs w:val="14"/>
              </w:rPr>
              <w:t>33 192</w:t>
            </w:r>
          </w:p>
        </w:tc>
        <w:tc>
          <w:tcPr>
            <w:tcW w:w="544" w:type="pct"/>
            <w:tcBorders>
              <w:top w:val="single" w:sz="4" w:space="0" w:color="auto"/>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32 381</w:t>
            </w:r>
          </w:p>
        </w:tc>
        <w:tc>
          <w:tcPr>
            <w:tcW w:w="550" w:type="pct"/>
            <w:tcBorders>
              <w:top w:val="nil"/>
              <w:left w:val="single" w:sz="4" w:space="0" w:color="auto"/>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32 382</w:t>
            </w:r>
          </w:p>
        </w:tc>
        <w:tc>
          <w:tcPr>
            <w:tcW w:w="550" w:type="pct"/>
            <w:tcBorders>
              <w:top w:val="nil"/>
              <w:left w:val="nil"/>
              <w:bottom w:val="single" w:sz="4" w:space="0" w:color="auto"/>
              <w:right w:val="single" w:sz="4" w:space="0" w:color="auto"/>
            </w:tcBorders>
            <w:textDirection w:val="lrTb"/>
            <w:vAlign w:val="center"/>
          </w:tcPr>
          <w:p w:rsidR="00072B94" w:rsidRPr="007C2CEA" w:rsidP="003B1959">
            <w:pPr>
              <w:bidi w:val="0"/>
              <w:jc w:val="right"/>
              <w:rPr>
                <w:rFonts w:ascii="Times New Roman" w:hAnsi="Times New Roman"/>
                <w:sz w:val="14"/>
                <w:szCs w:val="14"/>
              </w:rPr>
            </w:pPr>
            <w:r w:rsidRPr="007C2CEA">
              <w:rPr>
                <w:rFonts w:ascii="Times New Roman" w:hAnsi="Times New Roman"/>
                <w:sz w:val="14"/>
                <w:szCs w:val="14"/>
              </w:rPr>
              <w:t>32 386</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EA671A"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Všeobecná pokladničná správa</w:t>
            </w:r>
          </w:p>
        </w:tc>
        <w:tc>
          <w:tcPr>
            <w:tcW w:w="525" w:type="pct"/>
            <w:tcBorders>
              <w:top w:val="nil"/>
              <w:left w:val="nil"/>
              <w:bottom w:val="single" w:sz="4" w:space="0" w:color="auto"/>
              <w:right w:val="single" w:sz="4" w:space="0" w:color="auto"/>
            </w:tcBorders>
            <w:textDirection w:val="lrTb"/>
            <w:vAlign w:val="center"/>
            <w:hideMark/>
          </w:tcPr>
          <w:p w:rsidR="00EA671A" w:rsidRPr="00576710" w:rsidP="003B1959">
            <w:pPr>
              <w:bidi w:val="0"/>
              <w:jc w:val="right"/>
              <w:rPr>
                <w:rFonts w:ascii="Times New Roman" w:hAnsi="Times New Roman"/>
                <w:sz w:val="14"/>
                <w:szCs w:val="14"/>
              </w:rPr>
            </w:pPr>
            <w:r w:rsidRPr="00576710">
              <w:rPr>
                <w:rFonts w:ascii="Times New Roman" w:hAnsi="Times New Roman"/>
                <w:sz w:val="14"/>
                <w:szCs w:val="14"/>
              </w:rPr>
              <w:t>3 067 024</w:t>
            </w:r>
          </w:p>
        </w:tc>
        <w:tc>
          <w:tcPr>
            <w:tcW w:w="550" w:type="pct"/>
            <w:tcBorders>
              <w:top w:val="nil"/>
              <w:left w:val="single" w:sz="4" w:space="0" w:color="auto"/>
              <w:bottom w:val="single" w:sz="4" w:space="0" w:color="auto"/>
              <w:right w:val="single" w:sz="4" w:space="0" w:color="auto"/>
            </w:tcBorders>
            <w:textDirection w:val="lrTb"/>
            <w:vAlign w:val="center"/>
          </w:tcPr>
          <w:p w:rsidR="00EA671A" w:rsidRPr="00576710" w:rsidP="003B1959">
            <w:pPr>
              <w:bidi w:val="0"/>
              <w:jc w:val="right"/>
              <w:rPr>
                <w:rFonts w:ascii="Times New Roman" w:hAnsi="Times New Roman"/>
                <w:sz w:val="14"/>
                <w:szCs w:val="14"/>
              </w:rPr>
            </w:pPr>
            <w:r w:rsidRPr="00576710">
              <w:rPr>
                <w:rFonts w:ascii="Times New Roman" w:hAnsi="Times New Roman"/>
                <w:sz w:val="14"/>
                <w:szCs w:val="14"/>
              </w:rPr>
              <w:t>3 113 429</w:t>
            </w:r>
          </w:p>
        </w:tc>
        <w:tc>
          <w:tcPr>
            <w:tcW w:w="550" w:type="pct"/>
            <w:tcBorders>
              <w:top w:val="nil"/>
              <w:left w:val="single" w:sz="4" w:space="0" w:color="auto"/>
              <w:bottom w:val="single" w:sz="4" w:space="0" w:color="auto"/>
              <w:right w:val="single" w:sz="4" w:space="0" w:color="auto"/>
            </w:tcBorders>
            <w:textDirection w:val="lrTb"/>
            <w:vAlign w:val="center"/>
            <w:hideMark/>
          </w:tcPr>
          <w:p w:rsidR="00EA671A" w:rsidRPr="00576710" w:rsidP="003B1959">
            <w:pPr>
              <w:bidi w:val="0"/>
              <w:jc w:val="right"/>
              <w:rPr>
                <w:rFonts w:ascii="Times New Roman" w:hAnsi="Times New Roman"/>
                <w:sz w:val="14"/>
                <w:szCs w:val="14"/>
              </w:rPr>
            </w:pPr>
            <w:r w:rsidRPr="00576710">
              <w:rPr>
                <w:rFonts w:ascii="Times New Roman" w:hAnsi="Times New Roman"/>
                <w:sz w:val="14"/>
                <w:szCs w:val="14"/>
              </w:rPr>
              <w:t>4 144 600</w:t>
            </w:r>
          </w:p>
        </w:tc>
        <w:tc>
          <w:tcPr>
            <w:tcW w:w="544" w:type="pct"/>
            <w:tcBorders>
              <w:top w:val="single" w:sz="4" w:space="0" w:color="auto"/>
              <w:left w:val="nil"/>
              <w:bottom w:val="single" w:sz="4" w:space="0" w:color="auto"/>
              <w:right w:val="single" w:sz="4" w:space="0" w:color="auto"/>
            </w:tcBorders>
            <w:textDirection w:val="lrTb"/>
            <w:vAlign w:val="center"/>
          </w:tcPr>
          <w:p w:rsidR="00EA671A" w:rsidRPr="00EA671A" w:rsidP="00EA671A">
            <w:pPr>
              <w:bidi w:val="0"/>
              <w:jc w:val="right"/>
              <w:rPr>
                <w:rFonts w:ascii="Times New Roman" w:hAnsi="Times New Roman" w:cs="Times New Roman"/>
                <w:color w:val="000000"/>
                <w:sz w:val="14"/>
                <w:szCs w:val="16"/>
              </w:rPr>
            </w:pPr>
            <w:r w:rsidRPr="00EA671A">
              <w:rPr>
                <w:rFonts w:ascii="Times New Roman" w:hAnsi="Times New Roman" w:cs="Times New Roman"/>
                <w:color w:val="000000"/>
                <w:sz w:val="14"/>
                <w:szCs w:val="16"/>
              </w:rPr>
              <w:t>3 461 053</w:t>
            </w:r>
          </w:p>
        </w:tc>
        <w:tc>
          <w:tcPr>
            <w:tcW w:w="550" w:type="pct"/>
            <w:tcBorders>
              <w:top w:val="nil"/>
              <w:left w:val="single" w:sz="4" w:space="0" w:color="auto"/>
              <w:bottom w:val="single" w:sz="4" w:space="0" w:color="auto"/>
              <w:right w:val="single" w:sz="4" w:space="0" w:color="auto"/>
            </w:tcBorders>
            <w:textDirection w:val="lrTb"/>
            <w:vAlign w:val="center"/>
          </w:tcPr>
          <w:p w:rsidR="00EA671A" w:rsidRPr="00EA671A" w:rsidP="00EA671A">
            <w:pPr>
              <w:bidi w:val="0"/>
              <w:jc w:val="right"/>
              <w:rPr>
                <w:rFonts w:ascii="Times New Roman" w:hAnsi="Times New Roman" w:cs="Times New Roman"/>
                <w:color w:val="000000"/>
                <w:sz w:val="14"/>
                <w:szCs w:val="16"/>
              </w:rPr>
            </w:pPr>
            <w:r w:rsidRPr="00EA671A">
              <w:rPr>
                <w:rFonts w:ascii="Times New Roman" w:hAnsi="Times New Roman" w:cs="Times New Roman"/>
                <w:color w:val="000000"/>
                <w:sz w:val="14"/>
                <w:szCs w:val="16"/>
              </w:rPr>
              <w:t>3 594 613</w:t>
            </w:r>
          </w:p>
        </w:tc>
        <w:tc>
          <w:tcPr>
            <w:tcW w:w="550" w:type="pct"/>
            <w:tcBorders>
              <w:top w:val="nil"/>
              <w:left w:val="nil"/>
              <w:bottom w:val="single" w:sz="4" w:space="0" w:color="auto"/>
              <w:right w:val="single" w:sz="4" w:space="0" w:color="auto"/>
            </w:tcBorders>
            <w:textDirection w:val="lrTb"/>
            <w:vAlign w:val="center"/>
          </w:tcPr>
          <w:p w:rsidR="00EA671A" w:rsidRPr="00EA671A" w:rsidP="00EA671A">
            <w:pPr>
              <w:bidi w:val="0"/>
              <w:jc w:val="right"/>
              <w:rPr>
                <w:rFonts w:ascii="Times New Roman" w:hAnsi="Times New Roman" w:cs="Times New Roman"/>
                <w:color w:val="000000"/>
                <w:sz w:val="14"/>
                <w:szCs w:val="16"/>
              </w:rPr>
            </w:pPr>
            <w:r w:rsidRPr="00EA671A">
              <w:rPr>
                <w:rFonts w:ascii="Times New Roman" w:hAnsi="Times New Roman" w:cs="Times New Roman"/>
                <w:color w:val="000000"/>
                <w:sz w:val="14"/>
                <w:szCs w:val="16"/>
              </w:rPr>
              <w:t>3 898 586</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textDirection w:val="lrTb"/>
            <w:vAlign w:val="center"/>
            <w:hideMark/>
          </w:tcPr>
          <w:p w:rsidR="00EA671A" w:rsidRPr="00576710" w:rsidP="003B1959">
            <w:pPr>
              <w:bidi w:val="0"/>
              <w:rPr>
                <w:rFonts w:ascii="Times New Roman" w:hAnsi="Times New Roman"/>
                <w:sz w:val="14"/>
                <w:szCs w:val="14"/>
                <w:lang w:eastAsia="sk-SK"/>
              </w:rPr>
            </w:pPr>
            <w:r w:rsidRPr="00576710">
              <w:rPr>
                <w:rFonts w:ascii="Times New Roman" w:hAnsi="Times New Roman"/>
                <w:sz w:val="14"/>
                <w:szCs w:val="14"/>
                <w:lang w:eastAsia="sk-SK"/>
              </w:rPr>
              <w:t>Slovenská akadémia vied</w:t>
            </w:r>
          </w:p>
        </w:tc>
        <w:tc>
          <w:tcPr>
            <w:tcW w:w="525" w:type="pct"/>
            <w:tcBorders>
              <w:top w:val="nil"/>
              <w:left w:val="nil"/>
              <w:bottom w:val="single" w:sz="4" w:space="0" w:color="auto"/>
              <w:right w:val="single" w:sz="4" w:space="0" w:color="auto"/>
            </w:tcBorders>
            <w:textDirection w:val="lrTb"/>
            <w:vAlign w:val="center"/>
            <w:hideMark/>
          </w:tcPr>
          <w:p w:rsidR="00EA671A" w:rsidRPr="00576710" w:rsidP="003B1959">
            <w:pPr>
              <w:bidi w:val="0"/>
              <w:jc w:val="right"/>
              <w:rPr>
                <w:rFonts w:ascii="Times New Roman" w:hAnsi="Times New Roman"/>
                <w:sz w:val="14"/>
                <w:szCs w:val="14"/>
              </w:rPr>
            </w:pPr>
            <w:r w:rsidRPr="00576710">
              <w:rPr>
                <w:rFonts w:ascii="Times New Roman" w:hAnsi="Times New Roman"/>
                <w:sz w:val="14"/>
                <w:szCs w:val="14"/>
              </w:rPr>
              <w:t>83 840</w:t>
            </w:r>
          </w:p>
        </w:tc>
        <w:tc>
          <w:tcPr>
            <w:tcW w:w="550" w:type="pct"/>
            <w:tcBorders>
              <w:top w:val="nil"/>
              <w:left w:val="single" w:sz="4" w:space="0" w:color="auto"/>
              <w:bottom w:val="single" w:sz="4" w:space="0" w:color="auto"/>
              <w:right w:val="single" w:sz="4" w:space="0" w:color="auto"/>
            </w:tcBorders>
            <w:textDirection w:val="lrTb"/>
            <w:vAlign w:val="center"/>
          </w:tcPr>
          <w:p w:rsidR="00EA671A" w:rsidRPr="00576710" w:rsidP="003B1959">
            <w:pPr>
              <w:bidi w:val="0"/>
              <w:jc w:val="right"/>
              <w:rPr>
                <w:rFonts w:ascii="Times New Roman" w:hAnsi="Times New Roman"/>
                <w:sz w:val="14"/>
                <w:szCs w:val="14"/>
              </w:rPr>
            </w:pPr>
            <w:r w:rsidRPr="00576710">
              <w:rPr>
                <w:rFonts w:ascii="Times New Roman" w:hAnsi="Times New Roman"/>
                <w:sz w:val="14"/>
                <w:szCs w:val="14"/>
              </w:rPr>
              <w:t>82 989</w:t>
            </w:r>
          </w:p>
        </w:tc>
        <w:tc>
          <w:tcPr>
            <w:tcW w:w="550" w:type="pct"/>
            <w:tcBorders>
              <w:top w:val="nil"/>
              <w:left w:val="single" w:sz="4" w:space="0" w:color="auto"/>
              <w:bottom w:val="single" w:sz="4" w:space="0" w:color="auto"/>
              <w:right w:val="single" w:sz="4" w:space="0" w:color="auto"/>
            </w:tcBorders>
            <w:textDirection w:val="lrTb"/>
            <w:vAlign w:val="center"/>
            <w:hideMark/>
          </w:tcPr>
          <w:p w:rsidR="00EA671A" w:rsidRPr="00576710" w:rsidP="003B1959">
            <w:pPr>
              <w:bidi w:val="0"/>
              <w:jc w:val="right"/>
              <w:rPr>
                <w:rFonts w:ascii="Times New Roman" w:hAnsi="Times New Roman"/>
                <w:sz w:val="14"/>
                <w:szCs w:val="14"/>
              </w:rPr>
            </w:pPr>
            <w:r w:rsidRPr="00576710">
              <w:rPr>
                <w:rFonts w:ascii="Times New Roman" w:hAnsi="Times New Roman"/>
                <w:sz w:val="14"/>
                <w:szCs w:val="14"/>
              </w:rPr>
              <w:t>58 986</w:t>
            </w:r>
          </w:p>
        </w:tc>
        <w:tc>
          <w:tcPr>
            <w:tcW w:w="544" w:type="pct"/>
            <w:tcBorders>
              <w:top w:val="single" w:sz="4" w:space="0" w:color="auto"/>
              <w:left w:val="nil"/>
              <w:bottom w:val="single" w:sz="4" w:space="0" w:color="auto"/>
              <w:right w:val="single" w:sz="4" w:space="0" w:color="auto"/>
            </w:tcBorders>
            <w:textDirection w:val="lrTb"/>
            <w:vAlign w:val="center"/>
          </w:tcPr>
          <w:p w:rsidR="00EA671A" w:rsidRPr="00EA671A" w:rsidP="00EA671A">
            <w:pPr>
              <w:bidi w:val="0"/>
              <w:jc w:val="right"/>
              <w:rPr>
                <w:rFonts w:ascii="Times New Roman" w:hAnsi="Times New Roman" w:cs="Times New Roman"/>
                <w:color w:val="000000"/>
                <w:sz w:val="14"/>
                <w:szCs w:val="16"/>
              </w:rPr>
            </w:pPr>
            <w:r w:rsidRPr="00EA671A">
              <w:rPr>
                <w:rFonts w:ascii="Times New Roman" w:hAnsi="Times New Roman" w:cs="Times New Roman"/>
                <w:color w:val="000000"/>
                <w:sz w:val="14"/>
                <w:szCs w:val="16"/>
              </w:rPr>
              <w:t>60 077</w:t>
            </w:r>
          </w:p>
        </w:tc>
        <w:tc>
          <w:tcPr>
            <w:tcW w:w="550" w:type="pct"/>
            <w:tcBorders>
              <w:top w:val="nil"/>
              <w:left w:val="single" w:sz="4" w:space="0" w:color="auto"/>
              <w:bottom w:val="single" w:sz="4" w:space="0" w:color="auto"/>
              <w:right w:val="single" w:sz="4" w:space="0" w:color="auto"/>
            </w:tcBorders>
            <w:textDirection w:val="lrTb"/>
            <w:vAlign w:val="center"/>
          </w:tcPr>
          <w:p w:rsidR="00EA671A" w:rsidRPr="00EA671A" w:rsidP="00EA671A">
            <w:pPr>
              <w:bidi w:val="0"/>
              <w:jc w:val="right"/>
              <w:rPr>
                <w:rFonts w:ascii="Times New Roman" w:hAnsi="Times New Roman" w:cs="Times New Roman"/>
                <w:color w:val="000000"/>
                <w:sz w:val="14"/>
                <w:szCs w:val="16"/>
              </w:rPr>
            </w:pPr>
            <w:r w:rsidRPr="00EA671A">
              <w:rPr>
                <w:rFonts w:ascii="Times New Roman" w:hAnsi="Times New Roman" w:cs="Times New Roman"/>
                <w:color w:val="000000"/>
                <w:sz w:val="14"/>
                <w:szCs w:val="16"/>
              </w:rPr>
              <w:t>60 077</w:t>
            </w:r>
          </w:p>
        </w:tc>
        <w:tc>
          <w:tcPr>
            <w:tcW w:w="550" w:type="pct"/>
            <w:tcBorders>
              <w:top w:val="nil"/>
              <w:left w:val="nil"/>
              <w:bottom w:val="single" w:sz="4" w:space="0" w:color="auto"/>
              <w:right w:val="single" w:sz="4" w:space="0" w:color="auto"/>
            </w:tcBorders>
            <w:textDirection w:val="lrTb"/>
            <w:vAlign w:val="center"/>
          </w:tcPr>
          <w:p w:rsidR="00EA671A" w:rsidRPr="00EA671A" w:rsidP="00EA671A">
            <w:pPr>
              <w:bidi w:val="0"/>
              <w:jc w:val="right"/>
              <w:rPr>
                <w:rFonts w:ascii="Times New Roman" w:hAnsi="Times New Roman" w:cs="Times New Roman"/>
                <w:color w:val="000000"/>
                <w:sz w:val="14"/>
                <w:szCs w:val="16"/>
              </w:rPr>
            </w:pPr>
            <w:r w:rsidRPr="00EA671A">
              <w:rPr>
                <w:rFonts w:ascii="Times New Roman" w:hAnsi="Times New Roman" w:cs="Times New Roman"/>
                <w:color w:val="000000"/>
                <w:sz w:val="14"/>
                <w:szCs w:val="16"/>
              </w:rPr>
              <w:t>60 076</w:t>
            </w:r>
          </w:p>
        </w:tc>
      </w:tr>
      <w:tr>
        <w:tblPrEx>
          <w:tblW w:w="5000" w:type="pct"/>
          <w:tblCellMar>
            <w:left w:w="70" w:type="dxa"/>
            <w:right w:w="70" w:type="dxa"/>
          </w:tblCellMar>
          <w:tblLook w:val="00A0"/>
        </w:tblPrEx>
        <w:trPr>
          <w:trHeight w:val="284"/>
        </w:trPr>
        <w:tc>
          <w:tcPr>
            <w:tcW w:w="1731"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EA671A" w:rsidRPr="00576710" w:rsidP="003B1959">
            <w:pPr>
              <w:bidi w:val="0"/>
              <w:rPr>
                <w:rFonts w:ascii="Times New Roman" w:hAnsi="Times New Roman"/>
                <w:b/>
                <w:bCs/>
                <w:sz w:val="14"/>
                <w:szCs w:val="14"/>
                <w:lang w:eastAsia="sk-SK"/>
              </w:rPr>
            </w:pPr>
            <w:bookmarkStart w:id="52" w:name="_Hlk312831034"/>
            <w:r w:rsidRPr="00576710">
              <w:rPr>
                <w:rFonts w:ascii="Times New Roman" w:hAnsi="Times New Roman"/>
                <w:b/>
                <w:bCs/>
                <w:sz w:val="14"/>
                <w:szCs w:val="14"/>
                <w:lang w:eastAsia="sk-SK"/>
              </w:rPr>
              <w:t>Spolu</w:t>
            </w:r>
          </w:p>
        </w:tc>
        <w:tc>
          <w:tcPr>
            <w:tcW w:w="525" w:type="pct"/>
            <w:tcBorders>
              <w:top w:val="nil"/>
              <w:left w:val="nil"/>
              <w:bottom w:val="single" w:sz="4" w:space="0" w:color="auto"/>
              <w:right w:val="single" w:sz="4" w:space="0" w:color="auto"/>
            </w:tcBorders>
            <w:shd w:val="clear" w:color="auto" w:fill="BFBFBF"/>
            <w:textDirection w:val="lrTb"/>
            <w:vAlign w:val="center"/>
            <w:hideMark/>
          </w:tcPr>
          <w:p w:rsidR="00EA671A" w:rsidRPr="00576710" w:rsidP="003B1959">
            <w:pPr>
              <w:bidi w:val="0"/>
              <w:jc w:val="right"/>
              <w:rPr>
                <w:rFonts w:ascii="Times New Roman" w:hAnsi="Times New Roman"/>
                <w:b/>
                <w:bCs/>
                <w:sz w:val="14"/>
                <w:szCs w:val="14"/>
              </w:rPr>
            </w:pPr>
            <w:r w:rsidRPr="00576710">
              <w:rPr>
                <w:rFonts w:ascii="Times New Roman" w:hAnsi="Times New Roman"/>
                <w:b/>
                <w:bCs/>
                <w:sz w:val="14"/>
                <w:szCs w:val="14"/>
              </w:rPr>
              <w:t>15 337 011</w:t>
            </w:r>
          </w:p>
        </w:tc>
        <w:tc>
          <w:tcPr>
            <w:tcW w:w="550" w:type="pct"/>
            <w:tcBorders>
              <w:top w:val="nil"/>
              <w:left w:val="single" w:sz="4" w:space="0" w:color="auto"/>
              <w:bottom w:val="single" w:sz="4" w:space="0" w:color="auto"/>
              <w:right w:val="single" w:sz="4" w:space="0" w:color="auto"/>
            </w:tcBorders>
            <w:shd w:val="clear" w:color="auto" w:fill="BFBFBF"/>
            <w:textDirection w:val="lrTb"/>
            <w:vAlign w:val="center"/>
          </w:tcPr>
          <w:p w:rsidR="00EA671A" w:rsidRPr="00576710" w:rsidP="003B1959">
            <w:pPr>
              <w:bidi w:val="0"/>
              <w:jc w:val="right"/>
              <w:rPr>
                <w:rFonts w:ascii="Times New Roman" w:hAnsi="Times New Roman"/>
                <w:b/>
                <w:bCs/>
                <w:sz w:val="14"/>
                <w:szCs w:val="14"/>
              </w:rPr>
            </w:pPr>
            <w:r w:rsidRPr="00576710">
              <w:rPr>
                <w:rFonts w:ascii="Times New Roman" w:hAnsi="Times New Roman"/>
                <w:b/>
                <w:bCs/>
                <w:sz w:val="14"/>
                <w:szCs w:val="14"/>
              </w:rPr>
              <w:t>15 278 042</w:t>
            </w:r>
          </w:p>
        </w:tc>
        <w:tc>
          <w:tcPr>
            <w:tcW w:w="550" w:type="pct"/>
            <w:tcBorders>
              <w:top w:val="nil"/>
              <w:left w:val="single" w:sz="4" w:space="0" w:color="auto"/>
              <w:bottom w:val="single" w:sz="4" w:space="0" w:color="auto"/>
              <w:right w:val="single" w:sz="4" w:space="0" w:color="auto"/>
            </w:tcBorders>
            <w:shd w:val="clear" w:color="auto" w:fill="BFBFBF"/>
            <w:textDirection w:val="lrTb"/>
            <w:vAlign w:val="center"/>
            <w:hideMark/>
          </w:tcPr>
          <w:p w:rsidR="00EA671A" w:rsidRPr="00576710" w:rsidP="003B1959">
            <w:pPr>
              <w:bidi w:val="0"/>
              <w:jc w:val="right"/>
              <w:rPr>
                <w:rFonts w:ascii="Times New Roman" w:hAnsi="Times New Roman"/>
                <w:b/>
                <w:bCs/>
                <w:sz w:val="14"/>
                <w:szCs w:val="14"/>
              </w:rPr>
            </w:pPr>
            <w:r w:rsidRPr="00576710">
              <w:rPr>
                <w:rFonts w:ascii="Times New Roman" w:hAnsi="Times New Roman"/>
                <w:b/>
                <w:bCs/>
                <w:sz w:val="14"/>
                <w:szCs w:val="14"/>
              </w:rPr>
              <w:t>17 299 980</w:t>
            </w:r>
          </w:p>
        </w:tc>
        <w:tc>
          <w:tcPr>
            <w:tcW w:w="544" w:type="pct"/>
            <w:tcBorders>
              <w:top w:val="single" w:sz="4" w:space="0" w:color="auto"/>
              <w:left w:val="nil"/>
              <w:bottom w:val="single" w:sz="4" w:space="0" w:color="auto"/>
              <w:right w:val="single" w:sz="4" w:space="0" w:color="auto"/>
            </w:tcBorders>
            <w:shd w:val="clear" w:color="auto" w:fill="BFBFBF"/>
            <w:textDirection w:val="lrTb"/>
            <w:vAlign w:val="center"/>
          </w:tcPr>
          <w:p w:rsidR="00EA671A" w:rsidRPr="00EA671A" w:rsidP="00EA671A">
            <w:pPr>
              <w:bidi w:val="0"/>
              <w:jc w:val="right"/>
              <w:rPr>
                <w:rFonts w:ascii="Times New Roman" w:hAnsi="Times New Roman" w:cs="Times New Roman"/>
                <w:b/>
                <w:bCs/>
                <w:color w:val="000000"/>
                <w:sz w:val="14"/>
                <w:szCs w:val="16"/>
              </w:rPr>
            </w:pPr>
            <w:r w:rsidRPr="00EA671A">
              <w:rPr>
                <w:rFonts w:ascii="Times New Roman" w:hAnsi="Times New Roman" w:cs="Times New Roman"/>
                <w:b/>
                <w:bCs/>
                <w:color w:val="000000"/>
                <w:sz w:val="14"/>
                <w:szCs w:val="16"/>
              </w:rPr>
              <w:t>17 235 215</w:t>
            </w:r>
          </w:p>
        </w:tc>
        <w:tc>
          <w:tcPr>
            <w:tcW w:w="550" w:type="pct"/>
            <w:tcBorders>
              <w:top w:val="nil"/>
              <w:left w:val="single" w:sz="4" w:space="0" w:color="auto"/>
              <w:bottom w:val="single" w:sz="4" w:space="0" w:color="auto"/>
              <w:right w:val="single" w:sz="4" w:space="0" w:color="auto"/>
            </w:tcBorders>
            <w:shd w:val="clear" w:color="auto" w:fill="BFBFBF"/>
            <w:textDirection w:val="lrTb"/>
            <w:vAlign w:val="center"/>
          </w:tcPr>
          <w:p w:rsidR="00EA671A" w:rsidRPr="00EA671A" w:rsidP="00EA671A">
            <w:pPr>
              <w:bidi w:val="0"/>
              <w:jc w:val="right"/>
              <w:rPr>
                <w:rFonts w:ascii="Times New Roman" w:hAnsi="Times New Roman" w:cs="Times New Roman"/>
                <w:b/>
                <w:bCs/>
                <w:color w:val="000000"/>
                <w:sz w:val="14"/>
                <w:szCs w:val="16"/>
              </w:rPr>
            </w:pPr>
            <w:r w:rsidRPr="00EA671A">
              <w:rPr>
                <w:rFonts w:ascii="Times New Roman" w:hAnsi="Times New Roman" w:cs="Times New Roman"/>
                <w:b/>
                <w:bCs/>
                <w:color w:val="000000"/>
                <w:sz w:val="14"/>
                <w:szCs w:val="16"/>
              </w:rPr>
              <w:t>16 564 028</w:t>
            </w:r>
          </w:p>
        </w:tc>
        <w:tc>
          <w:tcPr>
            <w:tcW w:w="550" w:type="pct"/>
            <w:tcBorders>
              <w:top w:val="nil"/>
              <w:left w:val="nil"/>
              <w:bottom w:val="single" w:sz="4" w:space="0" w:color="auto"/>
              <w:right w:val="single" w:sz="4" w:space="0" w:color="auto"/>
            </w:tcBorders>
            <w:shd w:val="clear" w:color="auto" w:fill="BFBFBF"/>
            <w:textDirection w:val="lrTb"/>
            <w:vAlign w:val="center"/>
          </w:tcPr>
          <w:p w:rsidR="00EA671A" w:rsidRPr="00EA671A" w:rsidP="00EA671A">
            <w:pPr>
              <w:bidi w:val="0"/>
              <w:jc w:val="right"/>
              <w:rPr>
                <w:rFonts w:ascii="Times New Roman" w:hAnsi="Times New Roman" w:cs="Times New Roman"/>
                <w:b/>
                <w:bCs/>
                <w:color w:val="000000"/>
                <w:sz w:val="14"/>
                <w:szCs w:val="16"/>
              </w:rPr>
            </w:pPr>
            <w:r w:rsidRPr="00EA671A">
              <w:rPr>
                <w:rFonts w:ascii="Times New Roman" w:hAnsi="Times New Roman" w:cs="Times New Roman"/>
                <w:b/>
                <w:bCs/>
                <w:color w:val="000000"/>
                <w:sz w:val="14"/>
                <w:szCs w:val="16"/>
              </w:rPr>
              <w:t>16 341 035</w:t>
            </w:r>
          </w:p>
        </w:tc>
      </w:tr>
    </w:tbl>
    <w:p w:rsidR="00072B94" w:rsidRPr="00E01F15" w:rsidP="00072B94">
      <w:pPr>
        <w:bidi w:val="0"/>
        <w:rPr>
          <w:rFonts w:ascii="Times New Roman" w:hAnsi="Times New Roman" w:cs="Times New Roman"/>
        </w:rPr>
      </w:pPr>
      <w:bookmarkEnd w:id="52"/>
    </w:p>
    <w:p w:rsidR="00F16607" w:rsidRPr="00E01F15" w:rsidP="00BD5A16">
      <w:pPr>
        <w:bidi w:val="0"/>
        <w:rPr>
          <w:rFonts w:ascii="Times New Roman" w:hAnsi="Times New Roman" w:cs="Times New Roman"/>
        </w:rPr>
      </w:pPr>
    </w:p>
    <w:p w:rsidR="00A71175" w:rsidRPr="00D83F50" w:rsidP="00A71175">
      <w:pPr>
        <w:pStyle w:val="Heading2"/>
        <w:bidi w:val="0"/>
        <w:spacing w:before="0" w:after="0"/>
        <w:rPr>
          <w:rFonts w:ascii="Times New Roman" w:hAnsi="Times New Roman"/>
          <w:i w:val="0"/>
          <w:sz w:val="24"/>
          <w:szCs w:val="24"/>
        </w:rPr>
      </w:pPr>
      <w:bookmarkStart w:id="53" w:name="_Toc337237756"/>
      <w:bookmarkStart w:id="54" w:name="_Toc314471180"/>
      <w:r w:rsidRPr="00D83F50">
        <w:rPr>
          <w:rFonts w:ascii="Times New Roman" w:hAnsi="Times New Roman"/>
          <w:i w:val="0"/>
          <w:sz w:val="24"/>
          <w:szCs w:val="24"/>
        </w:rPr>
        <w:t>4.2.  Zamestnanosť vo verejnej správe</w:t>
      </w:r>
      <w:bookmarkEnd w:id="53"/>
    </w:p>
    <w:p w:rsidR="00A71175" w:rsidRPr="000561B5" w:rsidP="00A71175">
      <w:pPr>
        <w:pStyle w:val="Heading2"/>
        <w:bidi w:val="0"/>
        <w:spacing w:before="0" w:after="0"/>
        <w:rPr>
          <w:rFonts w:ascii="Times New Roman" w:hAnsi="Times New Roman"/>
          <w:i w:val="0"/>
          <w:color w:val="0070C0"/>
          <w:sz w:val="24"/>
          <w:szCs w:val="24"/>
        </w:rPr>
      </w:pPr>
    </w:p>
    <w:p w:rsidR="005318FA" w:rsidRPr="005D75C0" w:rsidP="005318FA">
      <w:pPr>
        <w:pStyle w:val="ListParagraph"/>
        <w:numPr>
          <w:ilvl w:val="2"/>
          <w:numId w:val="6"/>
        </w:numPr>
        <w:bidi w:val="0"/>
        <w:rPr>
          <w:rFonts w:ascii="Times New Roman" w:hAnsi="Times New Roman"/>
          <w:b/>
        </w:rPr>
      </w:pPr>
      <w:bookmarkEnd w:id="54"/>
      <w:r w:rsidRPr="005D75C0">
        <w:rPr>
          <w:rFonts w:ascii="Times New Roman" w:hAnsi="Times New Roman"/>
          <w:b/>
        </w:rPr>
        <w:t>Verejná správa</w:t>
      </w:r>
    </w:p>
    <w:p w:rsidR="005318FA" w:rsidRPr="001365FE" w:rsidP="005318FA">
      <w:pPr>
        <w:bidi w:val="0"/>
        <w:rPr>
          <w:rFonts w:ascii="Times New Roman" w:hAnsi="Times New Roman"/>
        </w:rPr>
      </w:pPr>
    </w:p>
    <w:p w:rsidR="005318FA" w:rsidRPr="001365FE" w:rsidP="005318FA">
      <w:pPr>
        <w:bidi w:val="0"/>
        <w:ind w:firstLine="708"/>
        <w:jc w:val="both"/>
        <w:rPr>
          <w:rFonts w:ascii="Times New Roman" w:hAnsi="Times New Roman"/>
          <w:bCs/>
          <w:szCs w:val="22"/>
        </w:rPr>
      </w:pPr>
      <w:r w:rsidRPr="001365FE">
        <w:rPr>
          <w:rFonts w:ascii="Times New Roman" w:hAnsi="Times New Roman"/>
          <w:bCs/>
          <w:szCs w:val="22"/>
        </w:rPr>
        <w:t xml:space="preserve">Návrh rozpočtu osobných výdavkov nadväzuje na zásadný cieľ v oblasti verejných financií, ktorý stanovuje v roku 2013 zníženie </w:t>
      </w:r>
      <w:r>
        <w:rPr>
          <w:rFonts w:ascii="Times New Roman" w:hAnsi="Times New Roman"/>
          <w:bCs/>
          <w:szCs w:val="22"/>
        </w:rPr>
        <w:t xml:space="preserve">ich </w:t>
      </w:r>
      <w:r w:rsidRPr="001365FE">
        <w:rPr>
          <w:rFonts w:ascii="Times New Roman" w:hAnsi="Times New Roman"/>
          <w:bCs/>
          <w:szCs w:val="22"/>
        </w:rPr>
        <w:t>deficitu pod úroveň 3 % hrubého domáceho produktu.</w:t>
      </w:r>
      <w:r>
        <w:rPr>
          <w:rFonts w:ascii="Times New Roman" w:hAnsi="Times New Roman"/>
          <w:bCs/>
          <w:szCs w:val="22"/>
        </w:rPr>
        <w:t xml:space="preserve"> V nadväznosti na uvedené sa realizuje 5% viazanie osobných výdavkov štátnych zamestnancov v štátnozamestnaneckom pomere a zamestnancov pri výkone práce vo verejnom záujme rozpočtových organizácií kapitol štátneho rozpočtu. Bližšia špecifikácia tejto zmeny je uvedená v časti „Osobné výdavky rozpočtových organizácií štátu“.</w:t>
      </w:r>
    </w:p>
    <w:p w:rsidR="005318FA" w:rsidRPr="001365FE" w:rsidP="005318FA">
      <w:pPr>
        <w:bidi w:val="0"/>
        <w:ind w:firstLine="708"/>
        <w:jc w:val="both"/>
        <w:rPr>
          <w:rFonts w:ascii="Times New Roman" w:hAnsi="Times New Roman"/>
          <w:bCs/>
          <w:szCs w:val="22"/>
        </w:rPr>
      </w:pPr>
    </w:p>
    <w:p w:rsidR="005318FA" w:rsidP="005318FA">
      <w:pPr>
        <w:bidi w:val="0"/>
        <w:ind w:firstLine="708"/>
        <w:jc w:val="both"/>
        <w:rPr>
          <w:rFonts w:ascii="Times New Roman" w:hAnsi="Times New Roman"/>
          <w:bCs/>
          <w:szCs w:val="22"/>
        </w:rPr>
      </w:pPr>
      <w:r w:rsidRPr="001365FE">
        <w:rPr>
          <w:rFonts w:ascii="Times New Roman" w:hAnsi="Times New Roman"/>
          <w:bCs/>
          <w:szCs w:val="22"/>
        </w:rPr>
        <w:t xml:space="preserve">V návrhu rozpočtu verejnej správy na rok 2013 sa predpokladá, že verejný sektor bude v ústrednej správe, vo fondoch sociálneho a zdravotného poistenia a v územnej samospráve zamestnávať cca </w:t>
      </w:r>
      <w:r>
        <w:rPr>
          <w:rFonts w:ascii="Times New Roman" w:hAnsi="Times New Roman"/>
          <w:bCs/>
          <w:szCs w:val="22"/>
        </w:rPr>
        <w:t>349 tis. o</w:t>
      </w:r>
      <w:r w:rsidRPr="001365FE">
        <w:rPr>
          <w:rFonts w:ascii="Times New Roman" w:hAnsi="Times New Roman"/>
          <w:bCs/>
          <w:szCs w:val="22"/>
        </w:rPr>
        <w:t xml:space="preserve">sôb. Najväčším zamestnávateľom verejného sektora je územná samospráva, ktorá zamestnáva viac ako </w:t>
      </w:r>
      <w:r w:rsidRPr="00FD0C8E">
        <w:rPr>
          <w:rFonts w:ascii="Times New Roman" w:hAnsi="Times New Roman"/>
          <w:bCs/>
          <w:szCs w:val="22"/>
        </w:rPr>
        <w:t>51</w:t>
      </w:r>
      <w:r w:rsidRPr="001365FE">
        <w:rPr>
          <w:rFonts w:ascii="Times New Roman" w:hAnsi="Times New Roman"/>
          <w:bCs/>
          <w:szCs w:val="22"/>
        </w:rPr>
        <w:t xml:space="preserve"> % z celkového počtu jeho zamestnancov.  </w:t>
      </w:r>
    </w:p>
    <w:p w:rsidR="005318FA" w:rsidP="005318FA">
      <w:pPr>
        <w:bidi w:val="0"/>
        <w:ind w:firstLine="708"/>
        <w:jc w:val="both"/>
        <w:rPr>
          <w:rFonts w:ascii="Times New Roman" w:hAnsi="Times New Roman"/>
          <w:bCs/>
          <w:szCs w:val="22"/>
        </w:rPr>
      </w:pPr>
    </w:p>
    <w:tbl>
      <w:tblPr>
        <w:tblStyle w:val="TableNormal"/>
        <w:tblW w:w="9200" w:type="dxa"/>
        <w:jc w:val="center"/>
        <w:tblInd w:w="55" w:type="dxa"/>
        <w:tblCellMar>
          <w:left w:w="70" w:type="dxa"/>
          <w:right w:w="70" w:type="dxa"/>
        </w:tblCellMar>
        <w:tblLook w:val="04A0"/>
      </w:tblPr>
      <w:tblGrid>
        <w:gridCol w:w="661"/>
        <w:gridCol w:w="2799"/>
        <w:gridCol w:w="820"/>
        <w:gridCol w:w="820"/>
        <w:gridCol w:w="820"/>
        <w:gridCol w:w="820"/>
        <w:gridCol w:w="820"/>
        <w:gridCol w:w="820"/>
        <w:gridCol w:w="820"/>
      </w:tblGrid>
      <w:tr>
        <w:tblPrEx>
          <w:tblW w:w="9200" w:type="dxa"/>
          <w:jc w:val="center"/>
          <w:tblInd w:w="55" w:type="dxa"/>
          <w:tblCellMar>
            <w:left w:w="70" w:type="dxa"/>
            <w:right w:w="70" w:type="dxa"/>
          </w:tblCellMar>
          <w:tblLook w:val="04A0"/>
        </w:tblPrEx>
        <w:trPr>
          <w:trHeight w:val="345"/>
          <w:jc w:val="center"/>
        </w:trPr>
        <w:tc>
          <w:tcPr>
            <w:tcW w:w="3460" w:type="dxa"/>
            <w:gridSpan w:val="2"/>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318FA" w:rsidRPr="001041F5" w:rsidP="006D395F">
            <w:pPr>
              <w:bidi w:val="0"/>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Subjekty verejnej správy</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2010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2012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2013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2015 N</w:t>
            </w:r>
          </w:p>
        </w:tc>
      </w:tr>
      <w:tr>
        <w:tblPrEx>
          <w:tblW w:w="9200" w:type="dxa"/>
          <w:jc w:val="center"/>
          <w:tblInd w:w="55" w:type="dxa"/>
          <w:tblCellMar>
            <w:left w:w="70" w:type="dxa"/>
            <w:right w:w="70" w:type="dxa"/>
          </w:tblCellMar>
          <w:tblLook w:val="04A0"/>
        </w:tblPrEx>
        <w:trPr>
          <w:trHeight w:val="330"/>
          <w:jc w:val="center"/>
        </w:trPr>
        <w:tc>
          <w:tcPr>
            <w:tcW w:w="3460" w:type="dxa"/>
            <w:gridSpan w:val="2"/>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318FA" w:rsidRPr="001041F5" w:rsidP="006D395F">
            <w:pPr>
              <w:bidi w:val="0"/>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 xml:space="preserve">SPOLU   </w:t>
            </w:r>
            <w:r w:rsidRPr="001041F5">
              <w:rPr>
                <w:rFonts w:ascii="Times New Roman" w:hAnsi="Times New Roman" w:cs="Times New Roman"/>
                <w:color w:val="000000"/>
                <w:sz w:val="14"/>
                <w:szCs w:val="14"/>
                <w:lang w:eastAsia="sk-SK"/>
              </w:rPr>
              <w:t>(osoby)</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350 056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345 493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344 218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343 501</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349 163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348 568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347 958</w:t>
            </w:r>
          </w:p>
        </w:tc>
      </w:tr>
      <w:tr>
        <w:tblPrEx>
          <w:tblW w:w="9200" w:type="dxa"/>
          <w:jc w:val="center"/>
          <w:tblInd w:w="55" w:type="dxa"/>
          <w:tblCellMar>
            <w:left w:w="70" w:type="dxa"/>
            <w:right w:w="70" w:type="dxa"/>
          </w:tblCellMar>
          <w:tblLook w:val="04A0"/>
        </w:tblPrEx>
        <w:trPr>
          <w:trHeight w:val="285"/>
          <w:jc w:val="center"/>
        </w:trPr>
        <w:tc>
          <w:tcPr>
            <w:tcW w:w="34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 xml:space="preserve">A/  Ústredná správa spolu </w:t>
            </w:r>
            <w:r w:rsidRPr="001041F5">
              <w:rPr>
                <w:rFonts w:ascii="Times New Roman" w:hAnsi="Times New Roman" w:cs="Times New Roman"/>
                <w:color w:val="000000"/>
                <w:sz w:val="14"/>
                <w:szCs w:val="14"/>
                <w:lang w:eastAsia="sk-SK"/>
              </w:rPr>
              <w:t>(bez SIS)</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162 368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156 396</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161 111</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155 212</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162 397</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162 488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162 440</w:t>
            </w:r>
          </w:p>
        </w:tc>
      </w:tr>
      <w:tr>
        <w:tblPrEx>
          <w:tblW w:w="9200" w:type="dxa"/>
          <w:jc w:val="center"/>
          <w:tblInd w:w="55" w:type="dxa"/>
          <w:tblCellMar>
            <w:left w:w="70" w:type="dxa"/>
            <w:right w:w="70" w:type="dxa"/>
          </w:tblCellMar>
          <w:tblLook w:val="04A0"/>
        </w:tblPrEx>
        <w:trPr>
          <w:trHeight w:val="285"/>
          <w:jc w:val="center"/>
        </w:trPr>
        <w:tc>
          <w:tcPr>
            <w:tcW w:w="661" w:type="dxa"/>
            <w:tcBorders>
              <w:top w:val="nil"/>
              <w:left w:val="single" w:sz="4" w:space="0" w:color="auto"/>
              <w:bottom w:val="single" w:sz="4" w:space="0" w:color="auto"/>
              <w:right w:val="nil"/>
            </w:tcBorders>
            <w:noWrap/>
            <w:textDirection w:val="lrTb"/>
            <w:vAlign w:val="center"/>
            <w:hideMark/>
          </w:tcPr>
          <w:p w:rsidR="005318FA" w:rsidRPr="001041F5" w:rsidP="006D395F">
            <w:pPr>
              <w:bidi w:val="0"/>
              <w:jc w:val="right"/>
              <w:rPr>
                <w:rFonts w:ascii="Times New Roman" w:hAnsi="Times New Roman" w:cs="Times New Roman"/>
                <w:i/>
                <w:iCs/>
                <w:color w:val="000000"/>
                <w:sz w:val="14"/>
                <w:szCs w:val="14"/>
                <w:lang w:eastAsia="sk-SK"/>
              </w:rPr>
            </w:pPr>
            <w:r w:rsidRPr="001041F5">
              <w:rPr>
                <w:rFonts w:ascii="Times New Roman" w:hAnsi="Times New Roman" w:cs="Times New Roman"/>
                <w:i/>
                <w:iCs/>
                <w:color w:val="000000"/>
                <w:sz w:val="14"/>
                <w:szCs w:val="14"/>
                <w:lang w:eastAsia="sk-SK"/>
              </w:rPr>
              <w:t>z toho:</w:t>
            </w:r>
          </w:p>
        </w:tc>
        <w:tc>
          <w:tcPr>
            <w:tcW w:w="2799"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štátne rozpočtové organizácie</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127 380</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122 171</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128 037</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121 083</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127 814</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127 978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127 985</w:t>
            </w:r>
          </w:p>
        </w:tc>
      </w:tr>
      <w:tr>
        <w:tblPrEx>
          <w:tblW w:w="9200" w:type="dxa"/>
          <w:jc w:val="center"/>
          <w:tblInd w:w="55" w:type="dxa"/>
          <w:tblCellMar>
            <w:left w:w="70" w:type="dxa"/>
            <w:right w:w="70" w:type="dxa"/>
          </w:tblCellMar>
          <w:tblLook w:val="04A0"/>
        </w:tblPrEx>
        <w:trPr>
          <w:trHeight w:val="285"/>
          <w:jc w:val="center"/>
        </w:trPr>
        <w:tc>
          <w:tcPr>
            <w:tcW w:w="661" w:type="dxa"/>
            <w:tcBorders>
              <w:top w:val="nil"/>
              <w:left w:val="single" w:sz="4" w:space="0" w:color="auto"/>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 </w:t>
            </w:r>
          </w:p>
        </w:tc>
        <w:tc>
          <w:tcPr>
            <w:tcW w:w="2799"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štátne príspevkové organizácie</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10 307</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9 974</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10 526</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9 957</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10 439</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10 437</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10 437</w:t>
            </w:r>
          </w:p>
        </w:tc>
      </w:tr>
      <w:tr>
        <w:tblPrEx>
          <w:tblW w:w="9200" w:type="dxa"/>
          <w:jc w:val="center"/>
          <w:tblInd w:w="55" w:type="dxa"/>
          <w:tblCellMar>
            <w:left w:w="70" w:type="dxa"/>
            <w:right w:w="70" w:type="dxa"/>
          </w:tblCellMar>
          <w:tblLook w:val="04A0"/>
        </w:tblPrEx>
        <w:trPr>
          <w:trHeight w:val="285"/>
          <w:jc w:val="center"/>
        </w:trPr>
        <w:tc>
          <w:tcPr>
            <w:tcW w:w="661" w:type="dxa"/>
            <w:tcBorders>
              <w:top w:val="nil"/>
              <w:left w:val="single" w:sz="4" w:space="0" w:color="auto"/>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 </w:t>
            </w:r>
          </w:p>
        </w:tc>
        <w:tc>
          <w:tcPr>
            <w:tcW w:w="2799"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štátne účelové fondy spolu</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83</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78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88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77</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89</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91</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93</w:t>
            </w:r>
          </w:p>
        </w:tc>
      </w:tr>
      <w:tr>
        <w:tblPrEx>
          <w:tblW w:w="9200" w:type="dxa"/>
          <w:jc w:val="center"/>
          <w:tblInd w:w="55" w:type="dxa"/>
          <w:tblCellMar>
            <w:left w:w="70" w:type="dxa"/>
            <w:right w:w="70" w:type="dxa"/>
          </w:tblCellMar>
          <w:tblLook w:val="04A0"/>
        </w:tblPrEx>
        <w:trPr>
          <w:trHeight w:val="285"/>
          <w:jc w:val="center"/>
        </w:trPr>
        <w:tc>
          <w:tcPr>
            <w:tcW w:w="661" w:type="dxa"/>
            <w:tcBorders>
              <w:top w:val="nil"/>
              <w:left w:val="single" w:sz="4" w:space="0" w:color="auto"/>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 </w:t>
            </w:r>
          </w:p>
        </w:tc>
        <w:tc>
          <w:tcPr>
            <w:tcW w:w="2799"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Fond národného majetku SR</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53</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49</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39</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46</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42</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32</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22</w:t>
            </w:r>
          </w:p>
        </w:tc>
      </w:tr>
      <w:tr>
        <w:tblPrEx>
          <w:tblW w:w="9200" w:type="dxa"/>
          <w:jc w:val="center"/>
          <w:tblInd w:w="55" w:type="dxa"/>
          <w:tblCellMar>
            <w:left w:w="70" w:type="dxa"/>
            <w:right w:w="70" w:type="dxa"/>
          </w:tblCellMar>
          <w:tblLook w:val="04A0"/>
        </w:tblPrEx>
        <w:trPr>
          <w:trHeight w:val="285"/>
          <w:jc w:val="center"/>
        </w:trPr>
        <w:tc>
          <w:tcPr>
            <w:tcW w:w="661" w:type="dxa"/>
            <w:tcBorders>
              <w:top w:val="nil"/>
              <w:left w:val="single" w:sz="4" w:space="0" w:color="auto"/>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 </w:t>
            </w:r>
          </w:p>
        </w:tc>
        <w:tc>
          <w:tcPr>
            <w:tcW w:w="2799"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Slovenský pozemkový fond</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290</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283</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280</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286</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280</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280</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280</w:t>
            </w:r>
          </w:p>
        </w:tc>
      </w:tr>
      <w:tr>
        <w:tblPrEx>
          <w:tblW w:w="9200" w:type="dxa"/>
          <w:jc w:val="center"/>
          <w:tblInd w:w="55" w:type="dxa"/>
          <w:tblCellMar>
            <w:left w:w="70" w:type="dxa"/>
            <w:right w:w="70" w:type="dxa"/>
          </w:tblCellMar>
          <w:tblLook w:val="04A0"/>
        </w:tblPrEx>
        <w:trPr>
          <w:trHeight w:val="285"/>
          <w:jc w:val="center"/>
        </w:trPr>
        <w:tc>
          <w:tcPr>
            <w:tcW w:w="661" w:type="dxa"/>
            <w:tcBorders>
              <w:top w:val="nil"/>
              <w:left w:val="single" w:sz="4" w:space="0" w:color="auto"/>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 </w:t>
            </w:r>
          </w:p>
        </w:tc>
        <w:tc>
          <w:tcPr>
            <w:tcW w:w="2799"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verejné vysoké školy</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21 673</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21 538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19 666</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21 572</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21 529</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21 529</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21 529</w:t>
            </w:r>
          </w:p>
        </w:tc>
      </w:tr>
      <w:tr>
        <w:tblPrEx>
          <w:tblW w:w="9200" w:type="dxa"/>
          <w:jc w:val="center"/>
          <w:tblInd w:w="55" w:type="dxa"/>
          <w:tblCellMar>
            <w:left w:w="70" w:type="dxa"/>
            <w:right w:w="70" w:type="dxa"/>
          </w:tblCellMar>
          <w:tblLook w:val="04A0"/>
        </w:tblPrEx>
        <w:trPr>
          <w:trHeight w:val="285"/>
          <w:jc w:val="center"/>
        </w:trPr>
        <w:tc>
          <w:tcPr>
            <w:tcW w:w="661" w:type="dxa"/>
            <w:tcBorders>
              <w:top w:val="nil"/>
              <w:left w:val="single" w:sz="4" w:space="0" w:color="auto"/>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 </w:t>
            </w:r>
          </w:p>
        </w:tc>
        <w:tc>
          <w:tcPr>
            <w:tcW w:w="2799"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ďalšie subjekty spolu</w:t>
            </w:r>
          </w:p>
        </w:tc>
        <w:tc>
          <w:tcPr>
            <w:tcW w:w="82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2 582</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2 303</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2 475</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2 191</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2 204</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2 141</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2 094</w:t>
            </w:r>
          </w:p>
        </w:tc>
      </w:tr>
      <w:tr>
        <w:tblPrEx>
          <w:tblW w:w="9200" w:type="dxa"/>
          <w:jc w:val="center"/>
          <w:tblInd w:w="55" w:type="dxa"/>
          <w:tblCellMar>
            <w:left w:w="70" w:type="dxa"/>
            <w:right w:w="70" w:type="dxa"/>
          </w:tblCellMar>
          <w:tblLook w:val="04A0"/>
        </w:tblPrEx>
        <w:trPr>
          <w:trHeight w:val="285"/>
          <w:jc w:val="center"/>
        </w:trPr>
        <w:tc>
          <w:tcPr>
            <w:tcW w:w="34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B/  Územná samospráva spolu</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179 502</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181 639</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175 981</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181 130</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179 788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179 222</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178 660</w:t>
            </w:r>
          </w:p>
        </w:tc>
      </w:tr>
      <w:tr>
        <w:tblPrEx>
          <w:tblW w:w="9200" w:type="dxa"/>
          <w:jc w:val="center"/>
          <w:tblInd w:w="55" w:type="dxa"/>
          <w:tblCellMar>
            <w:left w:w="70" w:type="dxa"/>
            <w:right w:w="70" w:type="dxa"/>
          </w:tblCellMar>
          <w:tblLook w:val="04A0"/>
        </w:tblPrEx>
        <w:trPr>
          <w:trHeight w:val="285"/>
          <w:jc w:val="center"/>
        </w:trPr>
        <w:tc>
          <w:tcPr>
            <w:tcW w:w="346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C/  Fondy sociálneho a zdravotného poistenia spolu</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8 186</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7 458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7 126</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7 159</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6 978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6 858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6 858</w:t>
            </w:r>
          </w:p>
        </w:tc>
      </w:tr>
      <w:tr>
        <w:tblPrEx>
          <w:tblW w:w="9200" w:type="dxa"/>
          <w:jc w:val="center"/>
          <w:tblInd w:w="55" w:type="dxa"/>
          <w:tblCellMar>
            <w:left w:w="70" w:type="dxa"/>
            <w:right w:w="70" w:type="dxa"/>
          </w:tblCellMar>
          <w:tblLook w:val="04A0"/>
        </w:tblPrEx>
        <w:trPr>
          <w:trHeight w:val="240"/>
          <w:jc w:val="center"/>
        </w:trPr>
        <w:tc>
          <w:tcPr>
            <w:tcW w:w="3460" w:type="dxa"/>
            <w:gridSpan w:val="2"/>
            <w:tcBorders>
              <w:top w:val="nil"/>
              <w:left w:val="nil"/>
              <w:bottom w:val="nil"/>
              <w:right w:val="nil"/>
            </w:tcBorders>
            <w:noWrap/>
            <w:textDirection w:val="lrTb"/>
            <w:vAlign w:val="center"/>
            <w:hideMark/>
          </w:tcPr>
          <w:p w:rsidR="005318FA" w:rsidRPr="001041F5" w:rsidP="006D395F">
            <w:pPr>
              <w:bidi w:val="0"/>
              <w:rPr>
                <w:rFonts w:ascii="Times New Roman" w:hAnsi="Times New Roman" w:cs="Times New Roman"/>
                <w:i/>
                <w:iCs/>
                <w:color w:val="000000"/>
                <w:sz w:val="14"/>
                <w:szCs w:val="14"/>
                <w:lang w:eastAsia="sk-SK"/>
              </w:rPr>
            </w:pPr>
            <w:r w:rsidRPr="001041F5">
              <w:rPr>
                <w:rFonts w:ascii="Times New Roman" w:hAnsi="Times New Roman" w:cs="Times New Roman"/>
                <w:i/>
                <w:iCs/>
                <w:color w:val="000000"/>
                <w:sz w:val="14"/>
                <w:szCs w:val="14"/>
                <w:lang w:eastAsia="sk-SK"/>
              </w:rPr>
              <w:t>Poznámka:</w:t>
            </w: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FF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r>
      <w:tr>
        <w:tblPrEx>
          <w:tblW w:w="9200" w:type="dxa"/>
          <w:jc w:val="center"/>
          <w:tblInd w:w="55" w:type="dxa"/>
          <w:tblCellMar>
            <w:left w:w="70" w:type="dxa"/>
            <w:right w:w="70" w:type="dxa"/>
          </w:tblCellMar>
          <w:tblLook w:val="04A0"/>
        </w:tblPrEx>
        <w:trPr>
          <w:trHeight w:val="780"/>
          <w:jc w:val="center"/>
        </w:trPr>
        <w:tc>
          <w:tcPr>
            <w:tcW w:w="9200" w:type="dxa"/>
            <w:gridSpan w:val="9"/>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 xml:space="preserve">Očakávaná skutočnosť 2012 predstavuje údaje zo štatistiky za I. polrok 2012 s výnimkou územnej samosprávy (údaje zo skutočnosti r. 2011) a regionálneho školstva (predikcia MŠVVŠ SR). </w:t>
              <w:br/>
              <w:t>Návrh rozpočtu verejnej správy 2013 až 2015 za územnú samosprávu vychádza zo skutočnosti za rok 2011 po zohľadnení zníženia počtu pedagogických zamestnancov regionálneho školstva územnej samosprávy oproti očakávanej skutočnosti 2012.</w:t>
            </w:r>
          </w:p>
        </w:tc>
      </w:tr>
    </w:tbl>
    <w:p w:rsidR="005318FA" w:rsidP="005318FA">
      <w:pPr>
        <w:bidi w:val="0"/>
        <w:ind w:firstLine="708"/>
        <w:jc w:val="both"/>
        <w:rPr>
          <w:rFonts w:ascii="Times New Roman" w:hAnsi="Times New Roman"/>
          <w:bCs/>
          <w:szCs w:val="22"/>
        </w:rPr>
      </w:pPr>
    </w:p>
    <w:p w:rsidR="005318FA" w:rsidRPr="001365FE" w:rsidP="005318FA">
      <w:pPr>
        <w:bidi w:val="0"/>
        <w:ind w:firstLine="708"/>
        <w:jc w:val="both"/>
        <w:rPr>
          <w:rFonts w:ascii="Times New Roman" w:hAnsi="Times New Roman"/>
          <w:bCs/>
          <w:szCs w:val="22"/>
        </w:rPr>
      </w:pPr>
      <w:r w:rsidRPr="001365FE">
        <w:rPr>
          <w:rFonts w:ascii="Times New Roman" w:hAnsi="Times New Roman"/>
          <w:bCs/>
          <w:szCs w:val="22"/>
        </w:rPr>
        <w:t xml:space="preserve">Z hľadiska financovania je väčšina zamestnancov verejného sektora na Slovensku napojená na štátny rozpočet. Je to spôsobené tým, že </w:t>
      </w:r>
      <w:r>
        <w:rPr>
          <w:rFonts w:ascii="Times New Roman" w:hAnsi="Times New Roman"/>
          <w:bCs/>
          <w:szCs w:val="22"/>
        </w:rPr>
        <w:t>65 100</w:t>
      </w:r>
      <w:r w:rsidRPr="001365FE">
        <w:rPr>
          <w:rFonts w:ascii="Times New Roman" w:hAnsi="Times New Roman"/>
          <w:bCs/>
          <w:szCs w:val="22"/>
        </w:rPr>
        <w:t xml:space="preserve"> osôb na úseku regionálneho školstva je financovaných prostredníctvom štátneho rozpočtu ako prenesený výkon štátnej správy. Financovanie osobných výdavkov ostatných </w:t>
      </w:r>
      <w:r>
        <w:rPr>
          <w:rFonts w:ascii="Times New Roman" w:hAnsi="Times New Roman"/>
          <w:bCs/>
          <w:szCs w:val="22"/>
        </w:rPr>
        <w:t>114 688</w:t>
      </w:r>
      <w:r w:rsidRPr="001365FE">
        <w:rPr>
          <w:rFonts w:ascii="Times New Roman" w:hAnsi="Times New Roman"/>
          <w:bCs/>
          <w:szCs w:val="22"/>
        </w:rPr>
        <w:t xml:space="preserve"> zamestnancov územnej samosprávy je v kompetencii územnej samosprávy.</w:t>
      </w:r>
    </w:p>
    <w:p w:rsidR="005318FA" w:rsidRPr="00BB2D22" w:rsidP="005318FA">
      <w:pPr>
        <w:bidi w:val="0"/>
        <w:ind w:firstLine="708"/>
        <w:jc w:val="both"/>
        <w:rPr>
          <w:rFonts w:ascii="Times New Roman" w:hAnsi="Times New Roman"/>
          <w:bCs/>
          <w:color w:val="00B050"/>
        </w:rPr>
      </w:pPr>
    </w:p>
    <w:p w:rsidR="005318FA" w:rsidRPr="00BC771B" w:rsidP="005318FA">
      <w:pPr>
        <w:bidi w:val="0"/>
        <w:ind w:firstLine="708"/>
        <w:jc w:val="both"/>
        <w:rPr>
          <w:rFonts w:ascii="Times New Roman" w:hAnsi="Times New Roman"/>
          <w:bCs/>
          <w:szCs w:val="22"/>
        </w:rPr>
      </w:pPr>
      <w:r w:rsidRPr="00BC771B">
        <w:rPr>
          <w:rFonts w:ascii="Times New Roman" w:hAnsi="Times New Roman"/>
          <w:bCs/>
          <w:szCs w:val="22"/>
        </w:rPr>
        <w:t xml:space="preserve">Prehľad </w:t>
      </w:r>
      <w:r w:rsidRPr="00BC771B">
        <w:rPr>
          <w:rFonts w:ascii="Times New Roman" w:hAnsi="Times New Roman"/>
          <w:bCs/>
          <w:szCs w:val="22"/>
          <w:u w:val="single"/>
        </w:rPr>
        <w:t>z pohľadu zdroja financovania</w:t>
      </w:r>
      <w:r w:rsidRPr="00BC771B">
        <w:rPr>
          <w:rFonts w:ascii="Times New Roman" w:hAnsi="Times New Roman"/>
          <w:bCs/>
          <w:szCs w:val="22"/>
        </w:rPr>
        <w:t xml:space="preserve"> zamestnanosti v sektore verejnej správy poskytuje tabuľka.</w:t>
      </w:r>
    </w:p>
    <w:p w:rsidR="005318FA" w:rsidP="005318FA">
      <w:pPr>
        <w:bidi w:val="0"/>
        <w:ind w:firstLine="708"/>
        <w:jc w:val="both"/>
        <w:rPr>
          <w:rFonts w:ascii="Times New Roman" w:hAnsi="Times New Roman"/>
          <w:bCs/>
          <w:color w:val="00B050"/>
        </w:rPr>
      </w:pPr>
    </w:p>
    <w:tbl>
      <w:tblPr>
        <w:tblStyle w:val="TableNormal"/>
        <w:tblW w:w="9140" w:type="dxa"/>
        <w:jc w:val="center"/>
        <w:tblInd w:w="55" w:type="dxa"/>
        <w:tblCellMar>
          <w:left w:w="70" w:type="dxa"/>
          <w:right w:w="70" w:type="dxa"/>
        </w:tblCellMar>
        <w:tblLook w:val="04A0"/>
      </w:tblPr>
      <w:tblGrid>
        <w:gridCol w:w="3400"/>
        <w:gridCol w:w="820"/>
        <w:gridCol w:w="820"/>
        <w:gridCol w:w="820"/>
        <w:gridCol w:w="820"/>
        <w:gridCol w:w="820"/>
        <w:gridCol w:w="820"/>
        <w:gridCol w:w="820"/>
      </w:tblGrid>
      <w:tr>
        <w:tblPrEx>
          <w:tblW w:w="9140" w:type="dxa"/>
          <w:jc w:val="center"/>
          <w:tblInd w:w="55" w:type="dxa"/>
          <w:tblCellMar>
            <w:left w:w="70" w:type="dxa"/>
            <w:right w:w="70" w:type="dxa"/>
          </w:tblCellMar>
          <w:tblLook w:val="04A0"/>
        </w:tblPrEx>
        <w:trPr>
          <w:trHeight w:val="330"/>
          <w:jc w:val="center"/>
        </w:trPr>
        <w:tc>
          <w:tcPr>
            <w:tcW w:w="340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5318FA" w:rsidRPr="001041F5" w:rsidP="006D395F">
            <w:pPr>
              <w:bidi w:val="0"/>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Subjekty verejnej správy podľa zdroja financovania</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2010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2012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2013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2015 N</w:t>
            </w:r>
          </w:p>
        </w:tc>
      </w:tr>
      <w:tr>
        <w:tblPrEx>
          <w:tblW w:w="9140" w:type="dxa"/>
          <w:jc w:val="center"/>
          <w:tblInd w:w="55" w:type="dxa"/>
          <w:tblCellMar>
            <w:left w:w="70" w:type="dxa"/>
            <w:right w:w="70" w:type="dxa"/>
          </w:tblCellMar>
          <w:tblLook w:val="04A0"/>
        </w:tblPrEx>
        <w:trPr>
          <w:trHeight w:val="330"/>
          <w:jc w:val="center"/>
        </w:trPr>
        <w:tc>
          <w:tcPr>
            <w:tcW w:w="340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5318FA" w:rsidRPr="001041F5" w:rsidP="006D395F">
            <w:pPr>
              <w:bidi w:val="0"/>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 xml:space="preserve">SPOLU   </w:t>
            </w:r>
            <w:r w:rsidRPr="001041F5">
              <w:rPr>
                <w:rFonts w:ascii="Times New Roman" w:hAnsi="Times New Roman" w:cs="Times New Roman"/>
                <w:color w:val="000000"/>
                <w:sz w:val="14"/>
                <w:szCs w:val="14"/>
                <w:lang w:eastAsia="sk-SK"/>
              </w:rPr>
              <w:t>(osoby)</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350 056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345 493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344 218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343 501</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349 163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348 568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347 958</w:t>
            </w:r>
          </w:p>
        </w:tc>
      </w:tr>
      <w:tr>
        <w:tblPrEx>
          <w:tblW w:w="9140" w:type="dxa"/>
          <w:jc w:val="center"/>
          <w:tblInd w:w="55" w:type="dxa"/>
          <w:tblCellMar>
            <w:left w:w="70" w:type="dxa"/>
            <w:right w:w="70" w:type="dxa"/>
          </w:tblCellMar>
          <w:tblLook w:val="04A0"/>
        </w:tblPrEx>
        <w:trPr>
          <w:trHeight w:val="285"/>
          <w:jc w:val="center"/>
        </w:trPr>
        <w:tc>
          <w:tcPr>
            <w:tcW w:w="340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 Štátny rozpočet</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227 174</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220 634</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223 323</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219 054</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224 882</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224 478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223 923</w:t>
            </w:r>
          </w:p>
        </w:tc>
      </w:tr>
      <w:tr>
        <w:tblPrEx>
          <w:tblW w:w="9140" w:type="dxa"/>
          <w:jc w:val="center"/>
          <w:tblInd w:w="55" w:type="dxa"/>
          <w:tblCellMar>
            <w:left w:w="70" w:type="dxa"/>
            <w:right w:w="70" w:type="dxa"/>
          </w:tblCellMar>
          <w:tblLook w:val="04A0"/>
        </w:tblPrEx>
        <w:trPr>
          <w:trHeight w:val="285"/>
          <w:jc w:val="center"/>
        </w:trPr>
        <w:tc>
          <w:tcPr>
            <w:tcW w:w="340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Územná samospráva bez regionálneho školstva</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111 688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114 688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110 887</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114 688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114 688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114 688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114 688</w:t>
            </w:r>
          </w:p>
        </w:tc>
      </w:tr>
      <w:tr>
        <w:tblPrEx>
          <w:tblW w:w="9140" w:type="dxa"/>
          <w:jc w:val="center"/>
          <w:tblInd w:w="55" w:type="dxa"/>
          <w:tblCellMar>
            <w:left w:w="70" w:type="dxa"/>
            <w:right w:w="70" w:type="dxa"/>
          </w:tblCellMar>
          <w:tblLook w:val="04A0"/>
        </w:tblPrEx>
        <w:trPr>
          <w:trHeight w:val="285"/>
          <w:jc w:val="center"/>
        </w:trPr>
        <w:tc>
          <w:tcPr>
            <w:tcW w:w="340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3) Fondy sociálneho a zdravotného poistenia spolu</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8 186</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7 458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7 126</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7 159</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6 978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6 858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6 858</w:t>
            </w:r>
          </w:p>
        </w:tc>
      </w:tr>
      <w:tr>
        <w:tblPrEx>
          <w:tblW w:w="9140" w:type="dxa"/>
          <w:jc w:val="center"/>
          <w:tblInd w:w="55" w:type="dxa"/>
          <w:tblCellMar>
            <w:left w:w="70" w:type="dxa"/>
            <w:right w:w="70" w:type="dxa"/>
          </w:tblCellMar>
          <w:tblLook w:val="04A0"/>
        </w:tblPrEx>
        <w:trPr>
          <w:trHeight w:val="285"/>
          <w:jc w:val="center"/>
        </w:trPr>
        <w:tc>
          <w:tcPr>
            <w:tcW w:w="340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4) Ostatné</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3 008</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2 713</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2 882</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2 600</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2 615</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2 544</w:t>
            </w:r>
          </w:p>
        </w:tc>
        <w:tc>
          <w:tcPr>
            <w:tcW w:w="82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2 489</w:t>
            </w:r>
          </w:p>
        </w:tc>
      </w:tr>
      <w:tr>
        <w:tblPrEx>
          <w:tblW w:w="9140" w:type="dxa"/>
          <w:jc w:val="center"/>
          <w:tblInd w:w="55" w:type="dxa"/>
          <w:tblCellMar>
            <w:left w:w="70" w:type="dxa"/>
            <w:right w:w="70" w:type="dxa"/>
          </w:tblCellMar>
          <w:tblLook w:val="04A0"/>
        </w:tblPrEx>
        <w:trPr>
          <w:trHeight w:val="240"/>
          <w:jc w:val="center"/>
        </w:trPr>
        <w:tc>
          <w:tcPr>
            <w:tcW w:w="3400" w:type="dxa"/>
            <w:tcBorders>
              <w:top w:val="nil"/>
              <w:left w:val="nil"/>
              <w:bottom w:val="nil"/>
              <w:right w:val="nil"/>
            </w:tcBorders>
            <w:noWrap/>
            <w:textDirection w:val="lrTb"/>
            <w:vAlign w:val="center"/>
            <w:hideMark/>
          </w:tcPr>
          <w:p w:rsidR="005318FA" w:rsidRPr="001041F5" w:rsidP="006D395F">
            <w:pPr>
              <w:bidi w:val="0"/>
              <w:rPr>
                <w:rFonts w:ascii="Times New Roman" w:hAnsi="Times New Roman" w:cs="Times New Roman"/>
                <w:i/>
                <w:iCs/>
                <w:color w:val="000000"/>
                <w:sz w:val="14"/>
                <w:szCs w:val="14"/>
                <w:lang w:eastAsia="sk-SK"/>
              </w:rPr>
            </w:pPr>
            <w:r w:rsidRPr="001041F5">
              <w:rPr>
                <w:rFonts w:ascii="Times New Roman" w:hAnsi="Times New Roman" w:cs="Times New Roman"/>
                <w:i/>
                <w:iCs/>
                <w:color w:val="000000"/>
                <w:sz w:val="14"/>
                <w:szCs w:val="14"/>
                <w:lang w:eastAsia="sk-SK"/>
              </w:rPr>
              <w:t>Poznámka:</w:t>
            </w: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c>
          <w:tcPr>
            <w:tcW w:w="82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color w:val="000000"/>
                <w:sz w:val="14"/>
                <w:szCs w:val="14"/>
                <w:lang w:eastAsia="sk-SK"/>
              </w:rPr>
            </w:pPr>
          </w:p>
        </w:tc>
      </w:tr>
      <w:tr>
        <w:tblPrEx>
          <w:tblW w:w="9140" w:type="dxa"/>
          <w:jc w:val="center"/>
          <w:tblInd w:w="55" w:type="dxa"/>
          <w:tblCellMar>
            <w:left w:w="70" w:type="dxa"/>
            <w:right w:w="70" w:type="dxa"/>
          </w:tblCellMar>
          <w:tblLook w:val="04A0"/>
        </w:tblPrEx>
        <w:trPr>
          <w:trHeight w:val="360"/>
          <w:jc w:val="center"/>
        </w:trPr>
        <w:tc>
          <w:tcPr>
            <w:tcW w:w="9140" w:type="dxa"/>
            <w:gridSpan w:val="8"/>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Očakávaná skutočnosť 2012 predstavuje údaje zo štatistiky za I. polrok 2012 s výnimkou územnej samosprávy bez regionálneho školstva (za prenesený výkon štátnej správy), ktorá vychádza zo skutočnosti r. 2011.</w:t>
            </w:r>
          </w:p>
        </w:tc>
      </w:tr>
    </w:tbl>
    <w:p w:rsidR="005318FA" w:rsidP="005318FA">
      <w:pPr>
        <w:bidi w:val="0"/>
        <w:ind w:firstLine="708"/>
        <w:jc w:val="both"/>
        <w:rPr>
          <w:rFonts w:ascii="Times New Roman" w:hAnsi="Times New Roman"/>
          <w:bCs/>
          <w:color w:val="00B050"/>
        </w:rPr>
      </w:pPr>
    </w:p>
    <w:p w:rsidR="005318FA" w:rsidRPr="00B807E5" w:rsidP="005318FA">
      <w:pPr>
        <w:bidi w:val="0"/>
        <w:ind w:firstLine="708"/>
        <w:jc w:val="both"/>
        <w:rPr>
          <w:rFonts w:ascii="Times New Roman" w:hAnsi="Times New Roman"/>
          <w:bCs/>
        </w:rPr>
      </w:pPr>
      <w:r w:rsidRPr="00B807E5">
        <w:rPr>
          <w:rFonts w:ascii="Times New Roman" w:hAnsi="Times New Roman"/>
          <w:bCs/>
          <w:szCs w:val="22"/>
        </w:rPr>
        <w:t>Na osobné výdavky zamestnancov verejnej správy bude v roku 2013 vyčlenených viac ako 4,4 mld. eur, čo predstavuje</w:t>
      </w:r>
      <w:r w:rsidRPr="00B807E5">
        <w:rPr>
          <w:rFonts w:ascii="Times New Roman" w:hAnsi="Times New Roman"/>
          <w:bCs/>
        </w:rPr>
        <w:t xml:space="preserve"> 15,8 % celkových verejných výdavkov. </w:t>
      </w:r>
    </w:p>
    <w:p w:rsidR="005318FA" w:rsidRPr="00BB2D22" w:rsidP="005318FA">
      <w:pPr>
        <w:bidi w:val="0"/>
        <w:ind w:firstLine="708"/>
        <w:jc w:val="both"/>
        <w:rPr>
          <w:rFonts w:ascii="Times New Roman" w:hAnsi="Times New Roman"/>
          <w:bCs/>
          <w:color w:val="00B050"/>
        </w:rPr>
      </w:pPr>
    </w:p>
    <w:p w:rsidR="005318FA" w:rsidP="005318FA">
      <w:pPr>
        <w:bidi w:val="0"/>
        <w:ind w:firstLine="708"/>
        <w:jc w:val="both"/>
        <w:rPr>
          <w:rFonts w:ascii="Times New Roman" w:hAnsi="Times New Roman"/>
          <w:bCs/>
          <w:szCs w:val="22"/>
        </w:rPr>
      </w:pPr>
      <w:r w:rsidRPr="00AC7490">
        <w:rPr>
          <w:rFonts w:ascii="Times New Roman" w:hAnsi="Times New Roman"/>
          <w:bCs/>
          <w:szCs w:val="22"/>
        </w:rPr>
        <w:t>Prehľad o skutočne dosiahnutých ukazovateľoch zamestnanosti v rokoch 2010 a 2011, o rozpočte na rok 2012 a o návrhu rozpočtu na roky 2013 až 2015 je uvedený v tabuľke.</w:t>
      </w:r>
    </w:p>
    <w:p w:rsidR="005318FA" w:rsidP="005318FA">
      <w:pPr>
        <w:bidi w:val="0"/>
        <w:ind w:firstLine="708"/>
        <w:jc w:val="both"/>
        <w:rPr>
          <w:rFonts w:ascii="Times New Roman" w:hAnsi="Times New Roman"/>
          <w:bCs/>
          <w:szCs w:val="22"/>
        </w:rPr>
      </w:pPr>
    </w:p>
    <w:tbl>
      <w:tblPr>
        <w:tblStyle w:val="TableNormal"/>
        <w:tblW w:w="9300" w:type="dxa"/>
        <w:jc w:val="center"/>
        <w:tblInd w:w="55" w:type="dxa"/>
        <w:tblCellMar>
          <w:left w:w="70" w:type="dxa"/>
          <w:right w:w="70" w:type="dxa"/>
        </w:tblCellMar>
        <w:tblLook w:val="04A0"/>
      </w:tblPr>
      <w:tblGrid>
        <w:gridCol w:w="2500"/>
        <w:gridCol w:w="680"/>
        <w:gridCol w:w="1020"/>
        <w:gridCol w:w="1020"/>
        <w:gridCol w:w="1020"/>
        <w:gridCol w:w="1020"/>
        <w:gridCol w:w="1020"/>
        <w:gridCol w:w="1020"/>
      </w:tblGrid>
      <w:tr>
        <w:tblPrEx>
          <w:tblW w:w="9300" w:type="dxa"/>
          <w:jc w:val="center"/>
          <w:tblInd w:w="55" w:type="dxa"/>
          <w:tblCellMar>
            <w:left w:w="70" w:type="dxa"/>
            <w:right w:w="70" w:type="dxa"/>
          </w:tblCellMar>
          <w:tblLook w:val="04A0"/>
        </w:tblPrEx>
        <w:trPr>
          <w:trHeight w:val="330"/>
          <w:jc w:val="center"/>
        </w:trPr>
        <w:tc>
          <w:tcPr>
            <w:tcW w:w="25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318FA" w:rsidRPr="00AB304C" w:rsidP="006D395F">
            <w:pPr>
              <w:bidi w:val="0"/>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Verejná správa spolu</w:t>
            </w:r>
          </w:p>
        </w:tc>
        <w:tc>
          <w:tcPr>
            <w:tcW w:w="6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AB304C" w:rsidP="006D395F">
            <w:pPr>
              <w:bidi w:val="0"/>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 </w:t>
            </w:r>
          </w:p>
        </w:tc>
        <w:tc>
          <w:tcPr>
            <w:tcW w:w="102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2010 S</w:t>
            </w:r>
          </w:p>
        </w:tc>
        <w:tc>
          <w:tcPr>
            <w:tcW w:w="102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2011 S</w:t>
            </w:r>
          </w:p>
        </w:tc>
        <w:tc>
          <w:tcPr>
            <w:tcW w:w="102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2012 R</w:t>
            </w:r>
          </w:p>
        </w:tc>
        <w:tc>
          <w:tcPr>
            <w:tcW w:w="102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2013 N</w:t>
            </w:r>
          </w:p>
        </w:tc>
        <w:tc>
          <w:tcPr>
            <w:tcW w:w="102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2014 N</w:t>
            </w:r>
          </w:p>
        </w:tc>
        <w:tc>
          <w:tcPr>
            <w:tcW w:w="102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2015 N</w:t>
            </w:r>
          </w:p>
        </w:tc>
      </w:tr>
      <w:tr>
        <w:tblPrEx>
          <w:tblW w:w="9300" w:type="dxa"/>
          <w:jc w:val="center"/>
          <w:tblInd w:w="55" w:type="dxa"/>
          <w:tblCellMar>
            <w:left w:w="70" w:type="dxa"/>
            <w:right w:w="70" w:type="dxa"/>
          </w:tblCellMar>
          <w:tblLook w:val="04A0"/>
        </w:tblPrEx>
        <w:trPr>
          <w:trHeight w:val="285"/>
          <w:jc w:val="center"/>
        </w:trPr>
        <w:tc>
          <w:tcPr>
            <w:tcW w:w="2500" w:type="dxa"/>
            <w:tcBorders>
              <w:top w:val="nil"/>
              <w:left w:val="single" w:sz="4" w:space="0" w:color="auto"/>
              <w:bottom w:val="single" w:sz="4" w:space="0" w:color="auto"/>
              <w:right w:val="single" w:sz="4" w:space="0" w:color="auto"/>
            </w:tcBorders>
            <w:noWrap/>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Počet zamestnancov</w:t>
            </w:r>
          </w:p>
        </w:tc>
        <w:tc>
          <w:tcPr>
            <w:tcW w:w="68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(osoby)</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350 056</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345 493</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344 218</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349 163</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348 568</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347 958</w:t>
            </w:r>
          </w:p>
        </w:tc>
      </w:tr>
      <w:tr>
        <w:tblPrEx>
          <w:tblW w:w="9300" w:type="dxa"/>
          <w:jc w:val="center"/>
          <w:tblInd w:w="55" w:type="dxa"/>
          <w:tblCellMar>
            <w:left w:w="70" w:type="dxa"/>
            <w:right w:w="70" w:type="dxa"/>
          </w:tblCellMar>
          <w:tblLook w:val="04A0"/>
        </w:tblPrEx>
        <w:trPr>
          <w:trHeight w:val="285"/>
          <w:jc w:val="center"/>
        </w:trPr>
        <w:tc>
          <w:tcPr>
            <w:tcW w:w="2500" w:type="dxa"/>
            <w:tcBorders>
              <w:top w:val="nil"/>
              <w:left w:val="single" w:sz="4" w:space="0" w:color="auto"/>
              <w:bottom w:val="single" w:sz="4" w:space="0" w:color="auto"/>
              <w:right w:val="single" w:sz="4" w:space="0" w:color="auto"/>
            </w:tcBorders>
            <w:noWrap/>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Osobné výdavky</w:t>
            </w:r>
          </w:p>
        </w:tc>
        <w:tc>
          <w:tcPr>
            <w:tcW w:w="68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eur</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4 551 826 269</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4 477 566 655</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4 433 581 528</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122559">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4 405 8</w:t>
            </w:r>
            <w:r w:rsidR="00122559">
              <w:rPr>
                <w:rFonts w:ascii="Times New Roman" w:hAnsi="Times New Roman" w:cs="Times New Roman"/>
                <w:b/>
                <w:bCs/>
                <w:sz w:val="14"/>
                <w:szCs w:val="14"/>
                <w:lang w:eastAsia="sk-SK"/>
              </w:rPr>
              <w:t>8</w:t>
            </w:r>
            <w:r w:rsidRPr="00AB304C">
              <w:rPr>
                <w:rFonts w:ascii="Times New Roman" w:hAnsi="Times New Roman" w:cs="Times New Roman"/>
                <w:b/>
                <w:bCs/>
                <w:sz w:val="14"/>
                <w:szCs w:val="14"/>
                <w:lang w:eastAsia="sk-SK"/>
              </w:rPr>
              <w:t>7 308</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122559">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 xml:space="preserve">4 </w:t>
            </w:r>
            <w:r w:rsidR="003A5849">
              <w:rPr>
                <w:rFonts w:ascii="Times New Roman" w:hAnsi="Times New Roman" w:cs="Times New Roman"/>
                <w:b/>
                <w:bCs/>
                <w:sz w:val="14"/>
                <w:szCs w:val="14"/>
                <w:lang w:eastAsia="sk-SK"/>
              </w:rPr>
              <w:t>44</w:t>
            </w:r>
            <w:r w:rsidR="00122559">
              <w:rPr>
                <w:rFonts w:ascii="Times New Roman" w:hAnsi="Times New Roman" w:cs="Times New Roman"/>
                <w:b/>
                <w:bCs/>
                <w:sz w:val="14"/>
                <w:szCs w:val="14"/>
                <w:lang w:eastAsia="sk-SK"/>
              </w:rPr>
              <w:t>2</w:t>
            </w:r>
            <w:r w:rsidRPr="00AB304C">
              <w:rPr>
                <w:rFonts w:ascii="Times New Roman" w:hAnsi="Times New Roman" w:cs="Times New Roman"/>
                <w:b/>
                <w:bCs/>
                <w:sz w:val="14"/>
                <w:szCs w:val="14"/>
                <w:lang w:eastAsia="sk-SK"/>
              </w:rPr>
              <w:t xml:space="preserve"> </w:t>
            </w:r>
            <w:r w:rsidR="00122559">
              <w:rPr>
                <w:rFonts w:ascii="Times New Roman" w:hAnsi="Times New Roman" w:cs="Times New Roman"/>
                <w:b/>
                <w:bCs/>
                <w:sz w:val="14"/>
                <w:szCs w:val="14"/>
                <w:lang w:eastAsia="sk-SK"/>
              </w:rPr>
              <w:t>2</w:t>
            </w:r>
            <w:r w:rsidRPr="00AB304C">
              <w:rPr>
                <w:rFonts w:ascii="Times New Roman" w:hAnsi="Times New Roman" w:cs="Times New Roman"/>
                <w:b/>
                <w:bCs/>
                <w:sz w:val="14"/>
                <w:szCs w:val="14"/>
                <w:lang w:eastAsia="sk-SK"/>
              </w:rPr>
              <w:t>09 631</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122559">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4 47</w:t>
            </w:r>
            <w:r w:rsidR="00122559">
              <w:rPr>
                <w:rFonts w:ascii="Times New Roman" w:hAnsi="Times New Roman" w:cs="Times New Roman"/>
                <w:b/>
                <w:bCs/>
                <w:sz w:val="14"/>
                <w:szCs w:val="14"/>
                <w:lang w:eastAsia="sk-SK"/>
              </w:rPr>
              <w:t>8</w:t>
            </w:r>
            <w:r w:rsidRPr="00AB304C">
              <w:rPr>
                <w:rFonts w:ascii="Times New Roman" w:hAnsi="Times New Roman" w:cs="Times New Roman"/>
                <w:b/>
                <w:bCs/>
                <w:sz w:val="14"/>
                <w:szCs w:val="14"/>
                <w:lang w:eastAsia="sk-SK"/>
              </w:rPr>
              <w:t xml:space="preserve"> </w:t>
            </w:r>
            <w:r w:rsidR="00122559">
              <w:rPr>
                <w:rFonts w:ascii="Times New Roman" w:hAnsi="Times New Roman" w:cs="Times New Roman"/>
                <w:b/>
                <w:bCs/>
                <w:sz w:val="14"/>
                <w:szCs w:val="14"/>
                <w:lang w:eastAsia="sk-SK"/>
              </w:rPr>
              <w:t>6</w:t>
            </w:r>
            <w:r w:rsidR="003A5849">
              <w:rPr>
                <w:rFonts w:ascii="Times New Roman" w:hAnsi="Times New Roman" w:cs="Times New Roman"/>
                <w:b/>
                <w:bCs/>
                <w:sz w:val="14"/>
                <w:szCs w:val="14"/>
                <w:lang w:eastAsia="sk-SK"/>
              </w:rPr>
              <w:t>2</w:t>
            </w:r>
            <w:r w:rsidRPr="00AB304C">
              <w:rPr>
                <w:rFonts w:ascii="Times New Roman" w:hAnsi="Times New Roman" w:cs="Times New Roman"/>
                <w:b/>
                <w:bCs/>
                <w:sz w:val="14"/>
                <w:szCs w:val="14"/>
                <w:lang w:eastAsia="sk-SK"/>
              </w:rPr>
              <w:t>7 454</w:t>
            </w:r>
          </w:p>
        </w:tc>
      </w:tr>
      <w:tr>
        <w:tblPrEx>
          <w:tblW w:w="9300" w:type="dxa"/>
          <w:jc w:val="center"/>
          <w:tblInd w:w="55" w:type="dxa"/>
          <w:tblCellMar>
            <w:left w:w="70" w:type="dxa"/>
            <w:right w:w="70" w:type="dxa"/>
          </w:tblCellMar>
          <w:tblLook w:val="04A0"/>
        </w:tblPrEx>
        <w:trPr>
          <w:trHeight w:val="285"/>
          <w:jc w:val="center"/>
        </w:trPr>
        <w:tc>
          <w:tcPr>
            <w:tcW w:w="2500" w:type="dxa"/>
            <w:tcBorders>
              <w:top w:val="nil"/>
              <w:left w:val="single" w:sz="4" w:space="0" w:color="auto"/>
              <w:bottom w:val="single" w:sz="4" w:space="0" w:color="auto"/>
              <w:right w:val="single" w:sz="4" w:space="0" w:color="auto"/>
            </w:tcBorders>
            <w:noWrap/>
            <w:textDirection w:val="lrTb"/>
            <w:vAlign w:val="center"/>
            <w:hideMark/>
          </w:tcPr>
          <w:p w:rsidR="005318FA" w:rsidRPr="00AB304C" w:rsidP="006D395F">
            <w:pPr>
              <w:bidi w:val="0"/>
              <w:ind w:firstLine="280" w:firstLineChars="200"/>
              <w:rPr>
                <w:rFonts w:ascii="Times New Roman" w:hAnsi="Times New Roman" w:cs="Times New Roman"/>
                <w:i/>
                <w:iCs/>
                <w:sz w:val="14"/>
                <w:szCs w:val="14"/>
                <w:lang w:eastAsia="sk-SK"/>
              </w:rPr>
            </w:pPr>
            <w:r w:rsidRPr="00AB304C">
              <w:rPr>
                <w:rFonts w:ascii="Times New Roman" w:hAnsi="Times New Roman" w:cs="Times New Roman"/>
                <w:i/>
                <w:iCs/>
                <w:sz w:val="14"/>
                <w:szCs w:val="14"/>
                <w:lang w:eastAsia="sk-SK"/>
              </w:rPr>
              <w:t>z toho:</w:t>
            </w:r>
            <w:r w:rsidRPr="00AB304C">
              <w:rPr>
                <w:rFonts w:ascii="Times New Roman" w:hAnsi="Times New Roman" w:cs="Times New Roman"/>
                <w:sz w:val="14"/>
                <w:szCs w:val="14"/>
                <w:lang w:eastAsia="sk-SK"/>
              </w:rPr>
              <w:t xml:space="preserve"> mzdové výdavky</w:t>
            </w:r>
          </w:p>
        </w:tc>
        <w:tc>
          <w:tcPr>
            <w:tcW w:w="68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eur</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3 400 125 828</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3 320 951 448</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3 297 111 217</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122559">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3 26</w:t>
            </w:r>
            <w:r w:rsidR="00122559">
              <w:rPr>
                <w:rFonts w:ascii="Times New Roman" w:hAnsi="Times New Roman" w:cs="Times New Roman"/>
                <w:sz w:val="14"/>
                <w:szCs w:val="14"/>
                <w:lang w:eastAsia="sk-SK"/>
              </w:rPr>
              <w:t>8</w:t>
            </w:r>
            <w:r w:rsidRPr="00AB304C">
              <w:rPr>
                <w:rFonts w:ascii="Times New Roman" w:hAnsi="Times New Roman" w:cs="Times New Roman"/>
                <w:sz w:val="14"/>
                <w:szCs w:val="14"/>
                <w:lang w:eastAsia="sk-SK"/>
              </w:rPr>
              <w:t xml:space="preserve"> </w:t>
            </w:r>
            <w:r w:rsidR="00122559">
              <w:rPr>
                <w:rFonts w:ascii="Times New Roman" w:hAnsi="Times New Roman" w:cs="Times New Roman"/>
                <w:sz w:val="14"/>
                <w:szCs w:val="14"/>
                <w:lang w:eastAsia="sk-SK"/>
              </w:rPr>
              <w:t>2</w:t>
            </w:r>
            <w:r w:rsidR="003A5849">
              <w:rPr>
                <w:rFonts w:ascii="Times New Roman" w:hAnsi="Times New Roman" w:cs="Times New Roman"/>
                <w:sz w:val="14"/>
                <w:szCs w:val="14"/>
                <w:lang w:eastAsia="sk-SK"/>
              </w:rPr>
              <w:t>9</w:t>
            </w:r>
            <w:r w:rsidRPr="00AB304C">
              <w:rPr>
                <w:rFonts w:ascii="Times New Roman" w:hAnsi="Times New Roman" w:cs="Times New Roman"/>
                <w:sz w:val="14"/>
                <w:szCs w:val="14"/>
                <w:lang w:eastAsia="sk-SK"/>
              </w:rPr>
              <w:t>1 477</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122559">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 xml:space="preserve">3 298 </w:t>
            </w:r>
            <w:r w:rsidR="00122559">
              <w:rPr>
                <w:rFonts w:ascii="Times New Roman" w:hAnsi="Times New Roman" w:cs="Times New Roman"/>
                <w:sz w:val="14"/>
                <w:szCs w:val="14"/>
                <w:lang w:eastAsia="sk-SK"/>
              </w:rPr>
              <w:t>7</w:t>
            </w:r>
            <w:r w:rsidR="003A5849">
              <w:rPr>
                <w:rFonts w:ascii="Times New Roman" w:hAnsi="Times New Roman" w:cs="Times New Roman"/>
                <w:sz w:val="14"/>
                <w:szCs w:val="14"/>
                <w:lang w:eastAsia="sk-SK"/>
              </w:rPr>
              <w:t>1</w:t>
            </w:r>
            <w:r w:rsidRPr="00AB304C">
              <w:rPr>
                <w:rFonts w:ascii="Times New Roman" w:hAnsi="Times New Roman" w:cs="Times New Roman"/>
                <w:sz w:val="14"/>
                <w:szCs w:val="14"/>
                <w:lang w:eastAsia="sk-SK"/>
              </w:rPr>
              <w:t>1 611</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122559">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3 32</w:t>
            </w:r>
            <w:r w:rsidR="00122559">
              <w:rPr>
                <w:rFonts w:ascii="Times New Roman" w:hAnsi="Times New Roman" w:cs="Times New Roman"/>
                <w:sz w:val="14"/>
                <w:szCs w:val="14"/>
                <w:lang w:eastAsia="sk-SK"/>
              </w:rPr>
              <w:t>9</w:t>
            </w:r>
            <w:r w:rsidRPr="00AB304C">
              <w:rPr>
                <w:rFonts w:ascii="Times New Roman" w:hAnsi="Times New Roman" w:cs="Times New Roman"/>
                <w:sz w:val="14"/>
                <w:szCs w:val="14"/>
                <w:lang w:eastAsia="sk-SK"/>
              </w:rPr>
              <w:t xml:space="preserve"> </w:t>
            </w:r>
            <w:r w:rsidR="00122559">
              <w:rPr>
                <w:rFonts w:ascii="Times New Roman" w:hAnsi="Times New Roman" w:cs="Times New Roman"/>
                <w:sz w:val="14"/>
                <w:szCs w:val="14"/>
                <w:lang w:eastAsia="sk-SK"/>
              </w:rPr>
              <w:t>2</w:t>
            </w:r>
            <w:r w:rsidR="003A5849">
              <w:rPr>
                <w:rFonts w:ascii="Times New Roman" w:hAnsi="Times New Roman" w:cs="Times New Roman"/>
                <w:sz w:val="14"/>
                <w:szCs w:val="14"/>
                <w:lang w:eastAsia="sk-SK"/>
              </w:rPr>
              <w:t>55</w:t>
            </w:r>
            <w:r w:rsidRPr="00AB304C">
              <w:rPr>
                <w:rFonts w:ascii="Times New Roman" w:hAnsi="Times New Roman" w:cs="Times New Roman"/>
                <w:sz w:val="14"/>
                <w:szCs w:val="14"/>
                <w:lang w:eastAsia="sk-SK"/>
              </w:rPr>
              <w:t xml:space="preserve"> 241</w:t>
            </w:r>
          </w:p>
        </w:tc>
      </w:tr>
      <w:tr>
        <w:tblPrEx>
          <w:tblW w:w="9300" w:type="dxa"/>
          <w:jc w:val="center"/>
          <w:tblInd w:w="55" w:type="dxa"/>
          <w:tblCellMar>
            <w:left w:w="70" w:type="dxa"/>
            <w:right w:w="70" w:type="dxa"/>
          </w:tblCellMar>
          <w:tblLook w:val="04A0"/>
        </w:tblPrEx>
        <w:trPr>
          <w:trHeight w:val="285"/>
          <w:jc w:val="center"/>
        </w:trPr>
        <w:tc>
          <w:tcPr>
            <w:tcW w:w="2500" w:type="dxa"/>
            <w:tcBorders>
              <w:top w:val="nil"/>
              <w:left w:val="single" w:sz="4" w:space="0" w:color="auto"/>
              <w:bottom w:val="single" w:sz="4" w:space="0" w:color="auto"/>
              <w:right w:val="single" w:sz="4" w:space="0" w:color="auto"/>
            </w:tcBorders>
            <w:noWrap/>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Priemerný mzdový výdavok</w:t>
            </w:r>
          </w:p>
        </w:tc>
        <w:tc>
          <w:tcPr>
            <w:tcW w:w="68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eur</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809,42</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801,02</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798,21</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122559">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7</w:t>
            </w:r>
            <w:r w:rsidR="00122559">
              <w:rPr>
                <w:rFonts w:ascii="Times New Roman" w:hAnsi="Times New Roman" w:cs="Times New Roman"/>
                <w:b/>
                <w:bCs/>
                <w:sz w:val="14"/>
                <w:szCs w:val="14"/>
                <w:lang w:eastAsia="sk-SK"/>
              </w:rPr>
              <w:t>80</w:t>
            </w:r>
            <w:r w:rsidRPr="00AB304C">
              <w:rPr>
                <w:rFonts w:ascii="Times New Roman" w:hAnsi="Times New Roman" w:cs="Times New Roman"/>
                <w:b/>
                <w:bCs/>
                <w:sz w:val="14"/>
                <w:szCs w:val="14"/>
                <w:lang w:eastAsia="sk-SK"/>
              </w:rPr>
              <w:t>,</w:t>
            </w:r>
            <w:r w:rsidR="00122559">
              <w:rPr>
                <w:rFonts w:ascii="Times New Roman" w:hAnsi="Times New Roman" w:cs="Times New Roman"/>
                <w:b/>
                <w:bCs/>
                <w:sz w:val="14"/>
                <w:szCs w:val="14"/>
                <w:lang w:eastAsia="sk-SK"/>
              </w:rPr>
              <w:t>03</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122559">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788,</w:t>
            </w:r>
            <w:r w:rsidR="00122559">
              <w:rPr>
                <w:rFonts w:ascii="Times New Roman" w:hAnsi="Times New Roman" w:cs="Times New Roman"/>
                <w:b/>
                <w:bCs/>
                <w:sz w:val="14"/>
                <w:szCs w:val="14"/>
                <w:lang w:eastAsia="sk-SK"/>
              </w:rPr>
              <w:t>63</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122559">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797,</w:t>
            </w:r>
            <w:r w:rsidR="00122559">
              <w:rPr>
                <w:rFonts w:ascii="Times New Roman" w:hAnsi="Times New Roman" w:cs="Times New Roman"/>
                <w:b/>
                <w:bCs/>
                <w:sz w:val="14"/>
                <w:szCs w:val="14"/>
                <w:lang w:eastAsia="sk-SK"/>
              </w:rPr>
              <w:t>33</w:t>
            </w:r>
          </w:p>
        </w:tc>
      </w:tr>
      <w:tr>
        <w:tblPrEx>
          <w:tblW w:w="9300" w:type="dxa"/>
          <w:jc w:val="center"/>
          <w:tblInd w:w="55" w:type="dxa"/>
          <w:tblCellMar>
            <w:left w:w="70" w:type="dxa"/>
            <w:right w:w="70" w:type="dxa"/>
          </w:tblCellMar>
          <w:tblLook w:val="04A0"/>
        </w:tblPrEx>
        <w:trPr>
          <w:trHeight w:val="390"/>
          <w:jc w:val="center"/>
        </w:trPr>
        <w:tc>
          <w:tcPr>
            <w:tcW w:w="2500" w:type="dxa"/>
            <w:tcBorders>
              <w:top w:val="nil"/>
              <w:left w:val="single" w:sz="4" w:space="0" w:color="auto"/>
              <w:bottom w:val="single" w:sz="4" w:space="0" w:color="auto"/>
              <w:right w:val="single" w:sz="4" w:space="0" w:color="auto"/>
            </w:tcBorders>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Priemerná mzda zamestnanca v hospodárstve SR</w:t>
            </w:r>
          </w:p>
        </w:tc>
        <w:tc>
          <w:tcPr>
            <w:tcW w:w="68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eur</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769</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786</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805</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832</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869</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912</w:t>
            </w:r>
          </w:p>
        </w:tc>
      </w:tr>
      <w:tr>
        <w:tblPrEx>
          <w:tblW w:w="9300" w:type="dxa"/>
          <w:jc w:val="center"/>
          <w:tblInd w:w="55" w:type="dxa"/>
          <w:tblCellMar>
            <w:left w:w="70" w:type="dxa"/>
            <w:right w:w="70" w:type="dxa"/>
          </w:tblCellMar>
          <w:tblLook w:val="04A0"/>
        </w:tblPrEx>
        <w:trPr>
          <w:trHeight w:val="390"/>
          <w:jc w:val="center"/>
        </w:trPr>
        <w:tc>
          <w:tcPr>
            <w:tcW w:w="2500" w:type="dxa"/>
            <w:tcBorders>
              <w:top w:val="nil"/>
              <w:left w:val="single" w:sz="4" w:space="0" w:color="auto"/>
              <w:bottom w:val="single" w:sz="4" w:space="0" w:color="auto"/>
              <w:right w:val="single" w:sz="4" w:space="0" w:color="auto"/>
            </w:tcBorders>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Priemerný mzdový výdavok /Priemerná mzda zamestnanca v hosp. SR</w:t>
            </w:r>
          </w:p>
        </w:tc>
        <w:tc>
          <w:tcPr>
            <w:tcW w:w="68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5,3</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1,9</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-0,8</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3A5849">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-6,</w:t>
            </w:r>
            <w:r w:rsidR="00122559">
              <w:rPr>
                <w:rFonts w:ascii="Times New Roman" w:hAnsi="Times New Roman" w:cs="Times New Roman"/>
                <w:b/>
                <w:bCs/>
                <w:sz w:val="14"/>
                <w:szCs w:val="14"/>
                <w:lang w:eastAsia="sk-SK"/>
              </w:rPr>
              <w:t>2</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3A5849">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-9,</w:t>
            </w:r>
            <w:r w:rsidR="00122559">
              <w:rPr>
                <w:rFonts w:ascii="Times New Roman" w:hAnsi="Times New Roman" w:cs="Times New Roman"/>
                <w:b/>
                <w:bCs/>
                <w:sz w:val="14"/>
                <w:szCs w:val="14"/>
                <w:lang w:eastAsia="sk-SK"/>
              </w:rPr>
              <w:t>2</w:t>
            </w:r>
          </w:p>
        </w:tc>
        <w:tc>
          <w:tcPr>
            <w:tcW w:w="10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-12,6</w:t>
            </w:r>
          </w:p>
        </w:tc>
      </w:tr>
      <w:tr>
        <w:tblPrEx>
          <w:tblW w:w="9300" w:type="dxa"/>
          <w:jc w:val="center"/>
          <w:tblInd w:w="55" w:type="dxa"/>
          <w:tblCellMar>
            <w:left w:w="70" w:type="dxa"/>
            <w:right w:w="70" w:type="dxa"/>
          </w:tblCellMar>
          <w:tblLook w:val="04A0"/>
        </w:tblPrEx>
        <w:trPr>
          <w:trHeight w:val="240"/>
          <w:jc w:val="center"/>
        </w:trPr>
        <w:tc>
          <w:tcPr>
            <w:tcW w:w="2500" w:type="dxa"/>
            <w:tcBorders>
              <w:top w:val="nil"/>
              <w:left w:val="nil"/>
              <w:bottom w:val="nil"/>
              <w:right w:val="nil"/>
            </w:tcBorders>
            <w:textDirection w:val="lrTb"/>
            <w:vAlign w:val="center"/>
            <w:hideMark/>
          </w:tcPr>
          <w:p w:rsidR="005318FA" w:rsidRPr="00AB304C" w:rsidP="006D395F">
            <w:pPr>
              <w:bidi w:val="0"/>
              <w:rPr>
                <w:rFonts w:ascii="Times New Roman" w:hAnsi="Times New Roman" w:cs="Times New Roman"/>
                <w:i/>
                <w:iCs/>
                <w:sz w:val="14"/>
                <w:szCs w:val="14"/>
                <w:lang w:eastAsia="sk-SK"/>
              </w:rPr>
            </w:pPr>
            <w:r w:rsidRPr="00AB304C">
              <w:rPr>
                <w:rFonts w:ascii="Times New Roman" w:hAnsi="Times New Roman" w:cs="Times New Roman"/>
                <w:i/>
                <w:iCs/>
                <w:sz w:val="14"/>
                <w:szCs w:val="14"/>
                <w:lang w:eastAsia="sk-SK"/>
              </w:rPr>
              <w:t>Poznámka:</w:t>
            </w:r>
          </w:p>
        </w:tc>
        <w:tc>
          <w:tcPr>
            <w:tcW w:w="680" w:type="dxa"/>
            <w:tcBorders>
              <w:top w:val="nil"/>
              <w:left w:val="nil"/>
              <w:bottom w:val="nil"/>
              <w:right w:val="nil"/>
            </w:tcBorders>
            <w:noWrap/>
            <w:textDirection w:val="lrTb"/>
            <w:vAlign w:val="bottom"/>
            <w:hideMark/>
          </w:tcPr>
          <w:p w:rsidR="005318FA" w:rsidRPr="00AB304C" w:rsidP="006D395F">
            <w:pPr>
              <w:bidi w:val="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1020" w:type="dxa"/>
            <w:tcBorders>
              <w:top w:val="nil"/>
              <w:left w:val="nil"/>
              <w:bottom w:val="nil"/>
              <w:right w:val="nil"/>
            </w:tcBorders>
            <w:noWrap/>
            <w:textDirection w:val="lrTb"/>
            <w:vAlign w:val="bottom"/>
            <w:hideMark/>
          </w:tcPr>
          <w:p w:rsidR="005318FA" w:rsidRPr="00AB304C" w:rsidP="006D395F">
            <w:pPr>
              <w:bidi w:val="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1020" w:type="dxa"/>
            <w:tcBorders>
              <w:top w:val="nil"/>
              <w:left w:val="nil"/>
              <w:bottom w:val="nil"/>
              <w:right w:val="nil"/>
            </w:tcBorders>
            <w:noWrap/>
            <w:textDirection w:val="lrTb"/>
            <w:vAlign w:val="bottom"/>
            <w:hideMark/>
          </w:tcPr>
          <w:p w:rsidR="005318FA" w:rsidRPr="00AB304C" w:rsidP="006D395F">
            <w:pPr>
              <w:bidi w:val="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1020" w:type="dxa"/>
            <w:tcBorders>
              <w:top w:val="nil"/>
              <w:left w:val="nil"/>
              <w:bottom w:val="nil"/>
              <w:right w:val="nil"/>
            </w:tcBorders>
            <w:noWrap/>
            <w:textDirection w:val="lrTb"/>
            <w:vAlign w:val="bottom"/>
            <w:hideMark/>
          </w:tcPr>
          <w:p w:rsidR="005318FA" w:rsidRPr="00AB304C" w:rsidP="006D395F">
            <w:pPr>
              <w:bidi w:val="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1020" w:type="dxa"/>
            <w:tcBorders>
              <w:top w:val="nil"/>
              <w:left w:val="nil"/>
              <w:bottom w:val="nil"/>
              <w:right w:val="nil"/>
            </w:tcBorders>
            <w:noWrap/>
            <w:textDirection w:val="lrTb"/>
            <w:vAlign w:val="bottom"/>
            <w:hideMark/>
          </w:tcPr>
          <w:p w:rsidR="005318FA" w:rsidRPr="00AB304C" w:rsidP="006D395F">
            <w:pPr>
              <w:bidi w:val="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1020" w:type="dxa"/>
            <w:tcBorders>
              <w:top w:val="nil"/>
              <w:left w:val="nil"/>
              <w:bottom w:val="nil"/>
              <w:right w:val="nil"/>
            </w:tcBorders>
            <w:noWrap/>
            <w:textDirection w:val="lrTb"/>
            <w:vAlign w:val="bottom"/>
            <w:hideMark/>
          </w:tcPr>
          <w:p w:rsidR="005318FA" w:rsidRPr="00AB304C" w:rsidP="006D395F">
            <w:pPr>
              <w:bidi w:val="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1020" w:type="dxa"/>
            <w:tcBorders>
              <w:top w:val="nil"/>
              <w:left w:val="nil"/>
              <w:bottom w:val="nil"/>
              <w:right w:val="nil"/>
            </w:tcBorders>
            <w:noWrap/>
            <w:textDirection w:val="lrTb"/>
            <w:vAlign w:val="bottom"/>
            <w:hideMark/>
          </w:tcPr>
          <w:p w:rsidR="005318FA" w:rsidRPr="00AB304C" w:rsidP="006D395F">
            <w:pPr>
              <w:bidi w:val="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r>
      <w:tr>
        <w:tblPrEx>
          <w:tblW w:w="9300" w:type="dxa"/>
          <w:jc w:val="center"/>
          <w:tblInd w:w="55" w:type="dxa"/>
          <w:tblCellMar>
            <w:left w:w="70" w:type="dxa"/>
            <w:right w:w="70" w:type="dxa"/>
          </w:tblCellMar>
          <w:tblLook w:val="04A0"/>
        </w:tblPrEx>
        <w:trPr>
          <w:trHeight w:val="255"/>
          <w:jc w:val="center"/>
        </w:trPr>
        <w:tc>
          <w:tcPr>
            <w:tcW w:w="9300" w:type="dxa"/>
            <w:gridSpan w:val="8"/>
            <w:tcBorders>
              <w:top w:val="nil"/>
              <w:left w:val="nil"/>
              <w:bottom w:val="nil"/>
              <w:right w:val="nil"/>
            </w:tcBorders>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Skutočnosť osobných výdavkov v rokoch 2010 a 2011 - Štátny záverečný účet SR.</w:t>
            </w:r>
          </w:p>
        </w:tc>
      </w:tr>
    </w:tbl>
    <w:p w:rsidR="005318FA" w:rsidP="005318FA">
      <w:pPr>
        <w:bidi w:val="0"/>
        <w:ind w:firstLine="708"/>
        <w:jc w:val="both"/>
        <w:rPr>
          <w:rFonts w:ascii="Times New Roman" w:hAnsi="Times New Roman"/>
          <w:bCs/>
          <w:szCs w:val="22"/>
        </w:rPr>
      </w:pPr>
    </w:p>
    <w:p w:rsidR="005318FA" w:rsidRPr="00FD0C8E" w:rsidP="005318FA">
      <w:pPr>
        <w:bidi w:val="0"/>
        <w:ind w:firstLine="708"/>
        <w:jc w:val="both"/>
        <w:rPr>
          <w:rFonts w:ascii="Times New Roman" w:hAnsi="Times New Roman"/>
          <w:bCs/>
          <w:color w:val="C00000"/>
          <w:szCs w:val="22"/>
        </w:rPr>
      </w:pPr>
      <w:r>
        <w:rPr>
          <w:rFonts w:ascii="Times New Roman" w:hAnsi="Times New Roman"/>
          <w:bCs/>
        </w:rPr>
        <w:t>Návrh rozpočtu verejnej správy na roky 2013 až 2015 predpokladá pokles priemerného mzdového výdavku zamestnancov vo verejnom sektore voči priemernej mzde v hospodárstve Slovenskej republiky v rozpätí od 6,</w:t>
      </w:r>
      <w:r w:rsidR="00122559">
        <w:rPr>
          <w:rFonts w:ascii="Times New Roman" w:hAnsi="Times New Roman"/>
          <w:bCs/>
        </w:rPr>
        <w:t>2</w:t>
      </w:r>
      <w:r w:rsidRPr="00FD0C8E">
        <w:rPr>
          <w:rFonts w:ascii="Times New Roman" w:hAnsi="Times New Roman"/>
          <w:bCs/>
          <w:color w:val="C00000"/>
        </w:rPr>
        <w:t xml:space="preserve"> </w:t>
      </w:r>
      <w:r w:rsidRPr="000A3871">
        <w:rPr>
          <w:rFonts w:ascii="Times New Roman" w:hAnsi="Times New Roman"/>
          <w:bCs/>
        </w:rPr>
        <w:t>% po 12,6 %.</w:t>
      </w:r>
    </w:p>
    <w:p w:rsidR="005318FA" w:rsidRPr="00BB2D22" w:rsidP="005318FA">
      <w:pPr>
        <w:bidi w:val="0"/>
        <w:jc w:val="both"/>
        <w:rPr>
          <w:rFonts w:ascii="Times New Roman" w:hAnsi="Times New Roman"/>
          <w:bCs/>
          <w:color w:val="00B050"/>
        </w:rPr>
      </w:pPr>
    </w:p>
    <w:p w:rsidR="005318FA" w:rsidRPr="002917EE" w:rsidP="005318FA">
      <w:pPr>
        <w:pStyle w:val="ListParagraph"/>
        <w:numPr>
          <w:ilvl w:val="2"/>
          <w:numId w:val="9"/>
        </w:numPr>
        <w:bidi w:val="0"/>
        <w:jc w:val="both"/>
        <w:rPr>
          <w:rFonts w:ascii="Times New Roman" w:hAnsi="Times New Roman"/>
          <w:b/>
          <w:bCs/>
        </w:rPr>
      </w:pPr>
      <w:r w:rsidRPr="002917EE">
        <w:rPr>
          <w:rFonts w:ascii="Times New Roman" w:hAnsi="Times New Roman"/>
          <w:b/>
        </w:rPr>
        <w:t>Zamestnanosť</w:t>
      </w:r>
      <w:r w:rsidRPr="002917EE">
        <w:rPr>
          <w:rFonts w:ascii="Times New Roman" w:hAnsi="Times New Roman"/>
          <w:b/>
          <w:bCs/>
        </w:rPr>
        <w:t xml:space="preserve"> financovaná zo štátneho rozpočtu</w:t>
      </w:r>
    </w:p>
    <w:p w:rsidR="005318FA" w:rsidRPr="00C535AA" w:rsidP="005318FA">
      <w:pPr>
        <w:bidi w:val="0"/>
        <w:ind w:left="1080"/>
        <w:rPr>
          <w:rFonts w:ascii="Times New Roman" w:hAnsi="Times New Roman"/>
          <w:b/>
          <w:bCs/>
        </w:rPr>
      </w:pPr>
    </w:p>
    <w:p w:rsidR="005318FA" w:rsidP="005318FA">
      <w:pPr>
        <w:bidi w:val="0"/>
        <w:ind w:firstLine="360"/>
        <w:jc w:val="both"/>
        <w:rPr>
          <w:rFonts w:ascii="Times New Roman" w:hAnsi="Times New Roman"/>
          <w:bCs/>
        </w:rPr>
      </w:pPr>
      <w:r w:rsidRPr="00C535AA">
        <w:rPr>
          <w:rFonts w:ascii="Times New Roman" w:hAnsi="Times New Roman"/>
          <w:bCs/>
        </w:rPr>
        <w:t xml:space="preserve">      Rozpočet osobných výdavkov financovaných zo štátneho rozpočtu zohľadňuje  výdavky na mzdy, platy, služobné príjmy a ostatné osobné vyrovnania vrátane poistného a príspevku do poisťovní pre zamestnancov štátnych rozpočtových a príspevkových organizácií, verejných vysokých škôl a preneseného výkonu štátnej správy na úseku regionálneho školstva.</w:t>
      </w:r>
    </w:p>
    <w:p w:rsidR="005318FA" w:rsidRPr="00915F1A" w:rsidP="005318FA">
      <w:pPr>
        <w:bidi w:val="0"/>
        <w:ind w:firstLine="360"/>
        <w:jc w:val="both"/>
        <w:rPr>
          <w:rFonts w:ascii="Times New Roman" w:hAnsi="Times New Roman"/>
          <w:bCs/>
        </w:rPr>
      </w:pPr>
    </w:p>
    <w:p w:rsidR="005318FA" w:rsidP="005318FA">
      <w:pPr>
        <w:bidi w:val="0"/>
        <w:ind w:firstLine="708"/>
        <w:jc w:val="both"/>
        <w:rPr>
          <w:rFonts w:ascii="Times New Roman" w:hAnsi="Times New Roman"/>
          <w:bCs/>
        </w:rPr>
      </w:pPr>
      <w:r w:rsidRPr="00C535AA">
        <w:rPr>
          <w:rFonts w:ascii="Times New Roman" w:hAnsi="Times New Roman"/>
          <w:bCs/>
        </w:rPr>
        <w:t>Návrh rozpočtu osobných výdavkov zamestnancov financovaných zo štátneho rozpočtu</w:t>
      </w:r>
      <w:r>
        <w:rPr>
          <w:rFonts w:ascii="Times New Roman" w:hAnsi="Times New Roman"/>
          <w:bCs/>
        </w:rPr>
        <w:t xml:space="preserve"> sa navrhuje pre 232 177 osôb</w:t>
      </w:r>
      <w:r w:rsidRPr="00C535AA">
        <w:rPr>
          <w:rFonts w:ascii="Times New Roman" w:hAnsi="Times New Roman"/>
          <w:bCs/>
        </w:rPr>
        <w:t xml:space="preserve">. </w:t>
      </w:r>
    </w:p>
    <w:p w:rsidR="005318FA" w:rsidP="005318FA">
      <w:pPr>
        <w:bidi w:val="0"/>
        <w:ind w:firstLine="360"/>
        <w:jc w:val="both"/>
        <w:rPr>
          <w:rFonts w:ascii="Times New Roman" w:hAnsi="Times New Roman"/>
          <w:bCs/>
        </w:rPr>
      </w:pPr>
    </w:p>
    <w:p w:rsidR="005318FA" w:rsidP="005318FA">
      <w:pPr>
        <w:bidi w:val="0"/>
        <w:ind w:firstLine="708"/>
        <w:jc w:val="both"/>
        <w:rPr>
          <w:rFonts w:ascii="Times New Roman" w:hAnsi="Times New Roman"/>
          <w:bCs/>
        </w:rPr>
      </w:pPr>
      <w:r w:rsidRPr="00C535AA">
        <w:rPr>
          <w:rFonts w:ascii="Times New Roman" w:hAnsi="Times New Roman"/>
          <w:bCs/>
        </w:rPr>
        <w:t>Zvýšenie počtu zamestnancov</w:t>
      </w:r>
      <w:r>
        <w:rPr>
          <w:rFonts w:ascii="Times New Roman" w:hAnsi="Times New Roman"/>
          <w:bCs/>
        </w:rPr>
        <w:t xml:space="preserve"> financovaných zo štátneho rozpočtu</w:t>
      </w:r>
      <w:r w:rsidRPr="00C535AA">
        <w:rPr>
          <w:rFonts w:ascii="Times New Roman" w:hAnsi="Times New Roman"/>
          <w:bCs/>
        </w:rPr>
        <w:t xml:space="preserve"> je spôsobené zreálnením počtu zamestnancov </w:t>
      </w:r>
      <w:r>
        <w:rPr>
          <w:rFonts w:ascii="Times New Roman" w:hAnsi="Times New Roman"/>
          <w:bCs/>
        </w:rPr>
        <w:t>verejných</w:t>
      </w:r>
      <w:r w:rsidRPr="00C535AA">
        <w:rPr>
          <w:rFonts w:ascii="Times New Roman" w:hAnsi="Times New Roman"/>
          <w:bCs/>
        </w:rPr>
        <w:t xml:space="preserve"> vysok</w:t>
      </w:r>
      <w:r>
        <w:rPr>
          <w:rFonts w:ascii="Times New Roman" w:hAnsi="Times New Roman"/>
          <w:bCs/>
        </w:rPr>
        <w:t>ých</w:t>
      </w:r>
      <w:r w:rsidRPr="00C535AA">
        <w:rPr>
          <w:rFonts w:ascii="Times New Roman" w:hAnsi="Times New Roman"/>
          <w:bCs/>
        </w:rPr>
        <w:t xml:space="preserve"> šk</w:t>
      </w:r>
      <w:r>
        <w:rPr>
          <w:rFonts w:ascii="Times New Roman" w:hAnsi="Times New Roman"/>
          <w:bCs/>
        </w:rPr>
        <w:t>ô</w:t>
      </w:r>
      <w:r w:rsidRPr="00C535AA">
        <w:rPr>
          <w:rFonts w:ascii="Times New Roman" w:hAnsi="Times New Roman"/>
          <w:bCs/>
        </w:rPr>
        <w:t>l</w:t>
      </w:r>
      <w:r>
        <w:rPr>
          <w:rFonts w:ascii="Times New Roman" w:hAnsi="Times New Roman"/>
          <w:bCs/>
        </w:rPr>
        <w:t xml:space="preserve">  o 1 863 osôb na úroveň rozpočtu v roku 2011 (21 529 osôb) ako aj zreálnením počtu zamestnancov </w:t>
      </w:r>
      <w:r w:rsidRPr="00C535AA">
        <w:rPr>
          <w:rFonts w:ascii="Times New Roman" w:hAnsi="Times New Roman"/>
          <w:bCs/>
        </w:rPr>
        <w:t xml:space="preserve">regionálneho </w:t>
      </w:r>
      <w:r>
        <w:rPr>
          <w:rFonts w:ascii="Times New Roman" w:hAnsi="Times New Roman"/>
          <w:bCs/>
        </w:rPr>
        <w:t>školstva na základe návrhu Ministerstva školstva, vedy, výskumu a športu SR o 1 261 osôb, z toho pre súkromných a cirkevných zriaďovateľov o 1 255 osôb. K zníženiu počtu zamestnancov došlo v štátnych rozpočtových organizáciách o 223 osôb a v štátnych príspevkových organizáciách o 87 osôb.</w:t>
      </w:r>
    </w:p>
    <w:p w:rsidR="005318FA" w:rsidP="005318FA">
      <w:pPr>
        <w:bidi w:val="0"/>
        <w:ind w:firstLine="708"/>
        <w:jc w:val="both"/>
        <w:rPr>
          <w:rFonts w:ascii="Times New Roman" w:hAnsi="Times New Roman"/>
          <w:bCs/>
        </w:rPr>
      </w:pPr>
    </w:p>
    <w:p w:rsidR="005318FA" w:rsidP="005318FA">
      <w:pPr>
        <w:bidi w:val="0"/>
        <w:ind w:firstLine="709"/>
        <w:jc w:val="both"/>
        <w:rPr>
          <w:rFonts w:ascii="Times New Roman" w:hAnsi="Times New Roman"/>
          <w:bCs/>
        </w:rPr>
      </w:pPr>
      <w:r w:rsidRPr="00BD3807">
        <w:rPr>
          <w:rFonts w:ascii="Times New Roman" w:hAnsi="Times New Roman"/>
          <w:bCs/>
        </w:rPr>
        <w:t>Prehľad o počte zamestnancov financovaných zo štátneho rozpočtu poskytuje tabuľka.</w:t>
      </w:r>
    </w:p>
    <w:p w:rsidR="005318FA" w:rsidP="005318FA">
      <w:pPr>
        <w:bidi w:val="0"/>
        <w:ind w:firstLine="709"/>
        <w:jc w:val="both"/>
        <w:rPr>
          <w:rFonts w:ascii="Times New Roman" w:hAnsi="Times New Roman"/>
          <w:bCs/>
        </w:rPr>
      </w:pPr>
    </w:p>
    <w:tbl>
      <w:tblPr>
        <w:tblStyle w:val="TableNormal"/>
        <w:tblW w:w="9100" w:type="dxa"/>
        <w:jc w:val="center"/>
        <w:tblInd w:w="55" w:type="dxa"/>
        <w:tblCellMar>
          <w:left w:w="70" w:type="dxa"/>
          <w:right w:w="70" w:type="dxa"/>
        </w:tblCellMar>
        <w:tblLook w:val="04A0"/>
      </w:tblPr>
      <w:tblGrid>
        <w:gridCol w:w="3640"/>
        <w:gridCol w:w="780"/>
        <w:gridCol w:w="780"/>
        <w:gridCol w:w="780"/>
        <w:gridCol w:w="780"/>
        <w:gridCol w:w="780"/>
        <w:gridCol w:w="780"/>
        <w:gridCol w:w="780"/>
      </w:tblGrid>
      <w:tr>
        <w:tblPrEx>
          <w:tblW w:w="9100" w:type="dxa"/>
          <w:jc w:val="center"/>
          <w:tblInd w:w="55" w:type="dxa"/>
          <w:tblCellMar>
            <w:left w:w="70" w:type="dxa"/>
            <w:right w:w="70" w:type="dxa"/>
          </w:tblCellMar>
          <w:tblLook w:val="04A0"/>
        </w:tblPrEx>
        <w:trPr>
          <w:trHeight w:val="330"/>
          <w:jc w:val="center"/>
        </w:trPr>
        <w:tc>
          <w:tcPr>
            <w:tcW w:w="364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5318FA" w:rsidRPr="001041F5" w:rsidP="006D395F">
            <w:pPr>
              <w:bidi w:val="0"/>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Počet zamestnancov financovaných zo štátneho rozpočtu</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2010 S</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2011 S</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2012 R</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 OS</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2013 N</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2014 N</w:t>
            </w:r>
          </w:p>
        </w:tc>
        <w:tc>
          <w:tcPr>
            <w:tcW w:w="7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2015 N</w:t>
            </w:r>
          </w:p>
        </w:tc>
      </w:tr>
      <w:tr>
        <w:tblPrEx>
          <w:tblW w:w="9100" w:type="dxa"/>
          <w:jc w:val="center"/>
          <w:tblInd w:w="55" w:type="dxa"/>
          <w:tblCellMar>
            <w:left w:w="70" w:type="dxa"/>
            <w:right w:w="70" w:type="dxa"/>
          </w:tblCellMar>
          <w:tblLook w:val="04A0"/>
        </w:tblPrEx>
        <w:trPr>
          <w:trHeight w:val="330"/>
          <w:jc w:val="center"/>
        </w:trPr>
        <w:tc>
          <w:tcPr>
            <w:tcW w:w="364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5318FA" w:rsidRPr="001041F5" w:rsidP="006D395F">
            <w:pPr>
              <w:bidi w:val="0"/>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 xml:space="preserve">SPOLU  </w:t>
            </w:r>
            <w:r w:rsidRPr="001041F5">
              <w:rPr>
                <w:rFonts w:ascii="Times New Roman" w:hAnsi="Times New Roman" w:cs="Times New Roman"/>
                <w:color w:val="000000"/>
                <w:sz w:val="14"/>
                <w:szCs w:val="14"/>
                <w:lang w:eastAsia="sk-SK"/>
              </w:rPr>
              <w:t xml:space="preserve"> (osoby)</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234 582</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228 138</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229 363</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226 501</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232 177</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231 715</w:t>
            </w:r>
          </w:p>
        </w:tc>
        <w:tc>
          <w:tcPr>
            <w:tcW w:w="78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231 103</w:t>
            </w:r>
          </w:p>
        </w:tc>
      </w:tr>
      <w:tr>
        <w:tblPrEx>
          <w:tblW w:w="9100" w:type="dxa"/>
          <w:jc w:val="center"/>
          <w:tblInd w:w="55" w:type="dxa"/>
          <w:tblCellMar>
            <w:left w:w="70" w:type="dxa"/>
            <w:right w:w="70" w:type="dxa"/>
          </w:tblCellMar>
          <w:tblLook w:val="04A0"/>
        </w:tblPrEx>
        <w:trPr>
          <w:trHeight w:val="285"/>
          <w:jc w:val="center"/>
        </w:trPr>
        <w:tc>
          <w:tcPr>
            <w:tcW w:w="3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štátne rozpočtové organizácie</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127 380</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122 171</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128 037</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121 083</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127 814</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127 978</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127 985</w:t>
            </w:r>
          </w:p>
        </w:tc>
      </w:tr>
      <w:tr>
        <w:tblPrEx>
          <w:tblW w:w="9100" w:type="dxa"/>
          <w:jc w:val="center"/>
          <w:tblInd w:w="55" w:type="dxa"/>
          <w:tblCellMar>
            <w:left w:w="70" w:type="dxa"/>
            <w:right w:w="70" w:type="dxa"/>
          </w:tblCellMar>
          <w:tblLook w:val="04A0"/>
        </w:tblPrEx>
        <w:trPr>
          <w:trHeight w:val="285"/>
          <w:jc w:val="center"/>
        </w:trPr>
        <w:tc>
          <w:tcPr>
            <w:tcW w:w="3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štátne príspevkové organizácie</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10 307</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9 974</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10 526</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9 957</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10 439</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10 437</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10 437</w:t>
            </w:r>
          </w:p>
        </w:tc>
      </w:tr>
      <w:tr>
        <w:tblPrEx>
          <w:tblW w:w="9100" w:type="dxa"/>
          <w:jc w:val="center"/>
          <w:tblInd w:w="55" w:type="dxa"/>
          <w:tblCellMar>
            <w:left w:w="70" w:type="dxa"/>
            <w:right w:w="70" w:type="dxa"/>
          </w:tblCellMar>
          <w:tblLook w:val="04A0"/>
        </w:tblPrEx>
        <w:trPr>
          <w:trHeight w:val="285"/>
          <w:jc w:val="center"/>
        </w:trPr>
        <w:tc>
          <w:tcPr>
            <w:tcW w:w="3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verejné vysoké školy</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21 673</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21 538</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19 666</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21 572</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21 529</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21 529</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21 529</w:t>
            </w:r>
          </w:p>
        </w:tc>
      </w:tr>
      <w:tr>
        <w:tblPrEx>
          <w:tblW w:w="9100" w:type="dxa"/>
          <w:jc w:val="center"/>
          <w:tblInd w:w="55" w:type="dxa"/>
          <w:tblCellMar>
            <w:left w:w="70" w:type="dxa"/>
            <w:right w:w="70" w:type="dxa"/>
          </w:tblCellMar>
          <w:tblLook w:val="04A0"/>
        </w:tblPrEx>
        <w:trPr>
          <w:trHeight w:val="285"/>
          <w:jc w:val="center"/>
        </w:trPr>
        <w:tc>
          <w:tcPr>
            <w:tcW w:w="3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regionálne školstvo v územnej samospráve</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67 814</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66 951</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65 094</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66 442</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65 100</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64 534</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63 972</w:t>
            </w:r>
          </w:p>
        </w:tc>
      </w:tr>
      <w:tr>
        <w:tblPrEx>
          <w:tblW w:w="9100" w:type="dxa"/>
          <w:jc w:val="center"/>
          <w:tblInd w:w="55" w:type="dxa"/>
          <w:tblCellMar>
            <w:left w:w="70" w:type="dxa"/>
            <w:right w:w="70" w:type="dxa"/>
          </w:tblCellMar>
          <w:tblLook w:val="04A0"/>
        </w:tblPrEx>
        <w:trPr>
          <w:trHeight w:val="285"/>
          <w:jc w:val="center"/>
        </w:trPr>
        <w:tc>
          <w:tcPr>
            <w:tcW w:w="3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regionálne školstvo súkromných a cirkevných zriaďovateľov*</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7 408</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7 504</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6 040</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7 447</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7 295</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7 237</w:t>
            </w:r>
          </w:p>
        </w:tc>
        <w:tc>
          <w:tcPr>
            <w:tcW w:w="7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7 180</w:t>
            </w:r>
          </w:p>
        </w:tc>
      </w:tr>
      <w:tr>
        <w:tblPrEx>
          <w:tblW w:w="9100" w:type="dxa"/>
          <w:jc w:val="center"/>
          <w:tblInd w:w="55" w:type="dxa"/>
          <w:tblCellMar>
            <w:left w:w="70" w:type="dxa"/>
            <w:right w:w="70" w:type="dxa"/>
          </w:tblCellMar>
          <w:tblLook w:val="04A0"/>
        </w:tblPrEx>
        <w:trPr>
          <w:trHeight w:val="240"/>
          <w:jc w:val="center"/>
        </w:trPr>
        <w:tc>
          <w:tcPr>
            <w:tcW w:w="3640" w:type="dxa"/>
            <w:tcBorders>
              <w:top w:val="nil"/>
              <w:left w:val="nil"/>
              <w:bottom w:val="nil"/>
              <w:right w:val="nil"/>
            </w:tcBorders>
            <w:noWrap/>
            <w:textDirection w:val="lrTb"/>
            <w:vAlign w:val="center"/>
            <w:hideMark/>
          </w:tcPr>
          <w:p w:rsidR="005318FA" w:rsidRPr="001041F5" w:rsidP="006D395F">
            <w:pPr>
              <w:bidi w:val="0"/>
              <w:rPr>
                <w:rFonts w:ascii="Times New Roman" w:hAnsi="Times New Roman" w:cs="Times New Roman"/>
                <w:i/>
                <w:iCs/>
                <w:color w:val="000000"/>
                <w:sz w:val="14"/>
                <w:szCs w:val="14"/>
                <w:lang w:eastAsia="sk-SK"/>
              </w:rPr>
            </w:pPr>
            <w:r w:rsidRPr="001041F5">
              <w:rPr>
                <w:rFonts w:ascii="Times New Roman" w:hAnsi="Times New Roman" w:cs="Times New Roman"/>
                <w:i/>
                <w:iCs/>
                <w:color w:val="000000"/>
                <w:sz w:val="14"/>
                <w:szCs w:val="14"/>
                <w:lang w:eastAsia="sk-SK"/>
              </w:rPr>
              <w:t>Poznámka:</w:t>
            </w:r>
          </w:p>
        </w:tc>
        <w:tc>
          <w:tcPr>
            <w:tcW w:w="780" w:type="dxa"/>
            <w:tcBorders>
              <w:top w:val="nil"/>
              <w:left w:val="nil"/>
              <w:bottom w:val="nil"/>
              <w:right w:val="nil"/>
            </w:tcBorders>
            <w:noWrap/>
            <w:textDirection w:val="lrTb"/>
            <w:vAlign w:val="center"/>
            <w:hideMark/>
          </w:tcPr>
          <w:p w:rsidR="005318FA" w:rsidRPr="001041F5" w:rsidP="006D395F">
            <w:pPr>
              <w:bidi w:val="0"/>
              <w:jc w:val="right"/>
              <w:rPr>
                <w:rFonts w:ascii="Times New Roman" w:hAnsi="Times New Roman" w:cs="Times New Roman"/>
                <w:color w:val="FF0000"/>
                <w:sz w:val="14"/>
                <w:szCs w:val="14"/>
                <w:lang w:eastAsia="sk-SK"/>
              </w:rPr>
            </w:pPr>
            <w:r w:rsidRPr="001041F5">
              <w:rPr>
                <w:rFonts w:ascii="Times New Roman" w:hAnsi="Times New Roman" w:cs="Times New Roman"/>
                <w:color w:val="FF0000"/>
                <w:sz w:val="14"/>
                <w:szCs w:val="14"/>
                <w:lang w:eastAsia="sk-SK"/>
              </w:rPr>
              <w:t> </w:t>
            </w:r>
          </w:p>
        </w:tc>
        <w:tc>
          <w:tcPr>
            <w:tcW w:w="780" w:type="dxa"/>
            <w:tcBorders>
              <w:top w:val="nil"/>
              <w:left w:val="nil"/>
              <w:bottom w:val="nil"/>
              <w:right w:val="nil"/>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780" w:type="dxa"/>
            <w:tcBorders>
              <w:top w:val="nil"/>
              <w:left w:val="nil"/>
              <w:bottom w:val="nil"/>
              <w:right w:val="nil"/>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780" w:type="dxa"/>
            <w:tcBorders>
              <w:top w:val="nil"/>
              <w:left w:val="nil"/>
              <w:bottom w:val="nil"/>
              <w:right w:val="nil"/>
            </w:tcBorders>
            <w:noWrap/>
            <w:textDirection w:val="lrTb"/>
            <w:vAlign w:val="center"/>
            <w:hideMark/>
          </w:tcPr>
          <w:p w:rsidR="005318FA" w:rsidRPr="001041F5" w:rsidP="006D395F">
            <w:pPr>
              <w:bidi w:val="0"/>
              <w:jc w:val="right"/>
              <w:rPr>
                <w:rFonts w:ascii="Times New Roman" w:hAnsi="Times New Roman" w:cs="Times New Roman"/>
                <w:color w:val="FF0000"/>
                <w:sz w:val="14"/>
                <w:szCs w:val="14"/>
                <w:lang w:eastAsia="sk-SK"/>
              </w:rPr>
            </w:pPr>
            <w:r w:rsidRPr="001041F5">
              <w:rPr>
                <w:rFonts w:ascii="Times New Roman" w:hAnsi="Times New Roman" w:cs="Times New Roman"/>
                <w:color w:val="FF0000"/>
                <w:sz w:val="14"/>
                <w:szCs w:val="14"/>
                <w:lang w:eastAsia="sk-SK"/>
              </w:rPr>
              <w:t> </w:t>
            </w:r>
          </w:p>
        </w:tc>
        <w:tc>
          <w:tcPr>
            <w:tcW w:w="780" w:type="dxa"/>
            <w:tcBorders>
              <w:top w:val="nil"/>
              <w:left w:val="nil"/>
              <w:bottom w:val="nil"/>
              <w:right w:val="nil"/>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780" w:type="dxa"/>
            <w:tcBorders>
              <w:top w:val="nil"/>
              <w:left w:val="nil"/>
              <w:bottom w:val="nil"/>
              <w:right w:val="nil"/>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780" w:type="dxa"/>
            <w:tcBorders>
              <w:top w:val="nil"/>
              <w:left w:val="nil"/>
              <w:bottom w:val="nil"/>
              <w:right w:val="nil"/>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r>
      <w:tr>
        <w:tblPrEx>
          <w:tblW w:w="9100" w:type="dxa"/>
          <w:jc w:val="center"/>
          <w:tblInd w:w="55" w:type="dxa"/>
          <w:tblCellMar>
            <w:left w:w="70" w:type="dxa"/>
            <w:right w:w="70" w:type="dxa"/>
          </w:tblCellMar>
          <w:tblLook w:val="04A0"/>
        </w:tblPrEx>
        <w:trPr>
          <w:trHeight w:val="360"/>
          <w:jc w:val="center"/>
        </w:trPr>
        <w:tc>
          <w:tcPr>
            <w:tcW w:w="9100" w:type="dxa"/>
            <w:gridSpan w:val="8"/>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*nepatrí do sektora verejnej správy</w:t>
              <w:br/>
              <w:t>Očakávaná skutočnosť 2012 v regionálnom školstve z podkladov MŠVVŠ SR a ostatné zo skutočnosti za I. polrok 2012</w:t>
            </w:r>
          </w:p>
        </w:tc>
      </w:tr>
    </w:tbl>
    <w:p w:rsidR="005318FA" w:rsidP="005318FA">
      <w:pPr>
        <w:bidi w:val="0"/>
        <w:ind w:firstLine="709"/>
        <w:jc w:val="both"/>
        <w:rPr>
          <w:rFonts w:ascii="Times New Roman" w:hAnsi="Times New Roman"/>
          <w:bCs/>
        </w:rPr>
      </w:pPr>
    </w:p>
    <w:p w:rsidR="00D83F50" w:rsidP="005318FA">
      <w:pPr>
        <w:bidi w:val="0"/>
        <w:ind w:firstLine="708"/>
        <w:rPr>
          <w:rFonts w:ascii="Times New Roman" w:hAnsi="Times New Roman"/>
          <w:bCs/>
          <w:szCs w:val="22"/>
          <w:u w:val="single"/>
        </w:rPr>
      </w:pPr>
    </w:p>
    <w:p w:rsidR="00D83F50" w:rsidP="005318FA">
      <w:pPr>
        <w:bidi w:val="0"/>
        <w:ind w:firstLine="708"/>
        <w:rPr>
          <w:rFonts w:ascii="Times New Roman" w:hAnsi="Times New Roman"/>
          <w:bCs/>
          <w:szCs w:val="22"/>
          <w:u w:val="single"/>
        </w:rPr>
      </w:pPr>
    </w:p>
    <w:p w:rsidR="005318FA" w:rsidRPr="002B116D" w:rsidP="005318FA">
      <w:pPr>
        <w:bidi w:val="0"/>
        <w:ind w:firstLine="708"/>
        <w:rPr>
          <w:rFonts w:ascii="Times New Roman" w:hAnsi="Times New Roman"/>
          <w:bCs/>
          <w:i/>
          <w:iCs/>
          <w:szCs w:val="22"/>
          <w:u w:val="single"/>
        </w:rPr>
      </w:pPr>
      <w:r w:rsidRPr="002B116D">
        <w:rPr>
          <w:rFonts w:ascii="Times New Roman" w:hAnsi="Times New Roman"/>
          <w:bCs/>
          <w:szCs w:val="22"/>
          <w:u w:val="single"/>
        </w:rPr>
        <w:t>Osobné výdavky rozpočtových organizácií štátu</w:t>
      </w:r>
    </w:p>
    <w:p w:rsidR="005318FA" w:rsidRPr="002B116D" w:rsidP="005318FA">
      <w:pPr>
        <w:bidi w:val="0"/>
        <w:jc w:val="both"/>
        <w:rPr>
          <w:rFonts w:ascii="Times New Roman" w:hAnsi="Times New Roman"/>
          <w:szCs w:val="22"/>
        </w:rPr>
      </w:pPr>
    </w:p>
    <w:p w:rsidR="005318FA" w:rsidRPr="008E79D8" w:rsidP="005318FA">
      <w:pPr>
        <w:bidi w:val="0"/>
        <w:jc w:val="both"/>
        <w:rPr>
          <w:rFonts w:ascii="Times New Roman" w:hAnsi="Times New Roman"/>
          <w:bCs/>
          <w:color w:val="C00000"/>
          <w:szCs w:val="22"/>
        </w:rPr>
      </w:pPr>
      <w:r w:rsidRPr="008E79D8">
        <w:rPr>
          <w:rFonts w:ascii="Times New Roman" w:hAnsi="Times New Roman"/>
          <w:bCs/>
          <w:szCs w:val="22"/>
        </w:rPr>
        <w:tab/>
        <w:t xml:space="preserve">Návrh rozpočtu osobných výdavkov zamestnancov rozpočtových organizácií kapitol štátneho rozpočtu na rok 2013 je zostavený pre  </w:t>
      </w:r>
      <w:r w:rsidRPr="008E79D8">
        <w:rPr>
          <w:rFonts w:ascii="Times New Roman" w:hAnsi="Times New Roman"/>
          <w:bCs/>
          <w:szCs w:val="22"/>
          <w:u w:val="single"/>
        </w:rPr>
        <w:t>127 814 zamestnancov</w:t>
      </w:r>
      <w:r w:rsidRPr="008E79D8">
        <w:rPr>
          <w:rFonts w:ascii="Times New Roman" w:hAnsi="Times New Roman"/>
          <w:bCs/>
          <w:szCs w:val="22"/>
        </w:rPr>
        <w:t>. Tento počet zamestnancov je v porovnaní so schváleným počtom zamestnancov na rok 2012 nižší o 223 osôb. Na poklese počtu zamestnancov sa podieľalo predovšetkým zníženie počtu zamestnancov v kapitolách Ministerstva obrany SR (219 osôb), Ministerstva pôdohospodárstva a rozvoja vidieka SR (150 osôb), Ministerstva vnútra SR (65 osôb), Národného</w:t>
      </w:r>
      <w:r>
        <w:rPr>
          <w:rFonts w:ascii="Times New Roman" w:hAnsi="Times New Roman"/>
          <w:bCs/>
          <w:szCs w:val="22"/>
        </w:rPr>
        <w:t xml:space="preserve"> bezpečnostného úradu (15 osôb),</w:t>
      </w:r>
      <w:r w:rsidRPr="008E79D8">
        <w:rPr>
          <w:rFonts w:ascii="Times New Roman" w:hAnsi="Times New Roman"/>
          <w:bCs/>
          <w:szCs w:val="22"/>
        </w:rPr>
        <w:t> Správy štátny</w:t>
      </w:r>
      <w:r>
        <w:rPr>
          <w:rFonts w:ascii="Times New Roman" w:hAnsi="Times New Roman"/>
          <w:bCs/>
          <w:szCs w:val="22"/>
        </w:rPr>
        <w:t xml:space="preserve">ch hmotných rezerv SR (10 osôb), </w:t>
      </w:r>
      <w:r w:rsidRPr="008E79D8">
        <w:rPr>
          <w:rFonts w:ascii="Times New Roman" w:hAnsi="Times New Roman"/>
          <w:bCs/>
          <w:szCs w:val="22"/>
        </w:rPr>
        <w:t>Štatistického úradu SR (40 osôb)</w:t>
      </w:r>
      <w:r>
        <w:rPr>
          <w:rFonts w:ascii="Times New Roman" w:hAnsi="Times New Roman"/>
          <w:bCs/>
          <w:szCs w:val="22"/>
        </w:rPr>
        <w:t xml:space="preserve"> a</w:t>
      </w:r>
      <w:r w:rsidRPr="008E79D8">
        <w:rPr>
          <w:rFonts w:ascii="Times New Roman" w:hAnsi="Times New Roman"/>
          <w:bCs/>
          <w:szCs w:val="22"/>
        </w:rPr>
        <w:t xml:space="preserve"> Úradu vlády SR. Naopak, k zvýšeniu počtu zamestnancov došlo v</w:t>
      </w:r>
      <w:r w:rsidRPr="008E79D8">
        <w:rPr>
          <w:rFonts w:ascii="Times New Roman" w:hAnsi="Times New Roman"/>
          <w:bCs/>
          <w:color w:val="C00000"/>
          <w:szCs w:val="22"/>
        </w:rPr>
        <w:t> </w:t>
      </w:r>
      <w:r w:rsidRPr="008E79D8">
        <w:rPr>
          <w:rFonts w:ascii="Times New Roman" w:hAnsi="Times New Roman"/>
          <w:bCs/>
          <w:szCs w:val="22"/>
        </w:rPr>
        <w:t>kapitole Ministerstva spravodlivosti SR (203 osôb) z dôvodu posilnenia počtu príslušníkov Zboru väzenskej a justičnej stráže súvisiaceho s nárastom počtu väznených osôb. Zvýšenie počtu zamestnancov zboru bolo na  jednotlivé roky premietnuté už v rozpočte na roky 2012 až 2014.</w:t>
      </w:r>
      <w:r w:rsidRPr="008E79D8">
        <w:rPr>
          <w:rFonts w:ascii="Times New Roman" w:hAnsi="Times New Roman"/>
          <w:bCs/>
          <w:color w:val="C00000"/>
          <w:szCs w:val="22"/>
        </w:rPr>
        <w:t xml:space="preserve"> </w:t>
      </w:r>
      <w:r w:rsidRPr="008E79D8">
        <w:rPr>
          <w:rFonts w:ascii="Times New Roman" w:hAnsi="Times New Roman"/>
          <w:bCs/>
          <w:szCs w:val="22"/>
        </w:rPr>
        <w:t xml:space="preserve">K ďalšiemu výraznejšiemu nárastu počtu zamestnancov došlo v kapitole Ministerstva kultúry SR (23 osôb) v dôsledku metodickej zmeny súvisiacej s presunom kompetencií z dvoch zrušených príspevkových organizácií do aparátu ministerstva, v kapitole Úradu pre reguláciu sieťových odvetví  (19 osôb) na zabezpečenie novely </w:t>
      </w:r>
      <w:r w:rsidRPr="008E79D8">
        <w:rPr>
          <w:rFonts w:ascii="Times New Roman" w:hAnsi="Times New Roman"/>
          <w:szCs w:val="22"/>
        </w:rPr>
        <w:t>zákona o regulácii v sieťových odvetviach č. 250/2012 Z. z.</w:t>
      </w:r>
      <w:r w:rsidRPr="008E79D8">
        <w:rPr>
          <w:rFonts w:ascii="Times New Roman" w:hAnsi="Times New Roman"/>
          <w:bCs/>
          <w:color w:val="C00000"/>
          <w:szCs w:val="22"/>
        </w:rPr>
        <w:t xml:space="preserve"> </w:t>
      </w:r>
    </w:p>
    <w:p w:rsidR="005318FA" w:rsidRPr="002B116D" w:rsidP="005318FA">
      <w:pPr>
        <w:bidi w:val="0"/>
        <w:jc w:val="both"/>
        <w:rPr>
          <w:rFonts w:ascii="Times New Roman" w:hAnsi="Times New Roman"/>
          <w:bCs/>
          <w:szCs w:val="22"/>
        </w:rPr>
      </w:pPr>
    </w:p>
    <w:p w:rsidR="005318FA" w:rsidP="005318FA">
      <w:pPr>
        <w:bidi w:val="0"/>
        <w:jc w:val="both"/>
        <w:rPr>
          <w:rFonts w:ascii="Times New Roman" w:hAnsi="Times New Roman"/>
          <w:bCs/>
          <w:szCs w:val="22"/>
        </w:rPr>
      </w:pPr>
      <w:r w:rsidRPr="002B116D">
        <w:rPr>
          <w:rFonts w:ascii="Times New Roman" w:hAnsi="Times New Roman"/>
          <w:bCs/>
          <w:szCs w:val="22"/>
        </w:rPr>
        <w:tab/>
        <w:t>Prehľad o vývoji počtu zamestnancov a ich priemernom mzdovom výdavku podľa kategórií v jednotlivých rokoch je uvedený v tabuľke.</w:t>
      </w:r>
    </w:p>
    <w:p w:rsidR="005318FA" w:rsidP="005318FA">
      <w:pPr>
        <w:bidi w:val="0"/>
        <w:jc w:val="both"/>
        <w:rPr>
          <w:rFonts w:ascii="Times New Roman" w:hAnsi="Times New Roman"/>
          <w:bCs/>
          <w:szCs w:val="22"/>
        </w:rPr>
      </w:pPr>
    </w:p>
    <w:tbl>
      <w:tblPr>
        <w:tblStyle w:val="TableNormal"/>
        <w:tblW w:w="9060" w:type="dxa"/>
        <w:jc w:val="center"/>
        <w:tblInd w:w="55" w:type="dxa"/>
        <w:tblCellMar>
          <w:left w:w="70" w:type="dxa"/>
          <w:right w:w="70" w:type="dxa"/>
        </w:tblCellMar>
        <w:tblLook w:val="04A0"/>
      </w:tblPr>
      <w:tblGrid>
        <w:gridCol w:w="2640"/>
        <w:gridCol w:w="540"/>
        <w:gridCol w:w="840"/>
        <w:gridCol w:w="840"/>
        <w:gridCol w:w="840"/>
        <w:gridCol w:w="840"/>
        <w:gridCol w:w="840"/>
        <w:gridCol w:w="840"/>
        <w:gridCol w:w="840"/>
      </w:tblGrid>
      <w:tr>
        <w:tblPrEx>
          <w:tblW w:w="9060" w:type="dxa"/>
          <w:jc w:val="center"/>
          <w:tblInd w:w="55" w:type="dxa"/>
          <w:tblCellMar>
            <w:left w:w="70" w:type="dxa"/>
            <w:right w:w="70" w:type="dxa"/>
          </w:tblCellMar>
          <w:tblLook w:val="04A0"/>
        </w:tblPrEx>
        <w:trPr>
          <w:trHeight w:val="630"/>
          <w:jc w:val="center"/>
        </w:trPr>
        <w:tc>
          <w:tcPr>
            <w:tcW w:w="2640" w:type="dxa"/>
            <w:tcBorders>
              <w:top w:val="single" w:sz="4" w:space="0" w:color="auto"/>
              <w:left w:val="single" w:sz="4" w:space="0" w:color="auto"/>
              <w:bottom w:val="nil"/>
              <w:right w:val="single" w:sz="4" w:space="0" w:color="auto"/>
            </w:tcBorders>
            <w:shd w:val="clear" w:color="000000" w:fill="A6A6A6"/>
            <w:textDirection w:val="lrTb"/>
            <w:vAlign w:val="center"/>
            <w:hideMark/>
          </w:tcPr>
          <w:p w:rsidR="005318FA" w:rsidRPr="001041F5" w:rsidP="006D395F">
            <w:pPr>
              <w:bidi w:val="0"/>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Priemerný mzdový výdavok</w:t>
              <w:br/>
              <w:t>zamestnancov rozpočtových organizácií</w:t>
              <w:br/>
              <w:t>podľa odmeňovacích predpisov</w:t>
            </w:r>
          </w:p>
        </w:tc>
        <w:tc>
          <w:tcPr>
            <w:tcW w:w="5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 </w:t>
            </w:r>
          </w:p>
        </w:tc>
        <w:tc>
          <w:tcPr>
            <w:tcW w:w="8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2010 S</w:t>
            </w:r>
          </w:p>
        </w:tc>
        <w:tc>
          <w:tcPr>
            <w:tcW w:w="8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2011 S</w:t>
            </w:r>
          </w:p>
        </w:tc>
        <w:tc>
          <w:tcPr>
            <w:tcW w:w="8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 R</w:t>
            </w:r>
          </w:p>
        </w:tc>
        <w:tc>
          <w:tcPr>
            <w:tcW w:w="8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 OS</w:t>
            </w:r>
          </w:p>
        </w:tc>
        <w:tc>
          <w:tcPr>
            <w:tcW w:w="8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2013 N</w:t>
            </w:r>
          </w:p>
        </w:tc>
        <w:tc>
          <w:tcPr>
            <w:tcW w:w="8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2014 N</w:t>
            </w:r>
          </w:p>
        </w:tc>
        <w:tc>
          <w:tcPr>
            <w:tcW w:w="8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2015 N</w:t>
            </w:r>
          </w:p>
        </w:tc>
      </w:tr>
      <w:tr>
        <w:tblPrEx>
          <w:tblW w:w="9060" w:type="dxa"/>
          <w:jc w:val="center"/>
          <w:tblInd w:w="55" w:type="dxa"/>
          <w:tblCellMar>
            <w:left w:w="70" w:type="dxa"/>
            <w:right w:w="70" w:type="dxa"/>
          </w:tblCellMar>
          <w:tblLook w:val="04A0"/>
        </w:tblPrEx>
        <w:trPr>
          <w:trHeight w:val="255"/>
          <w:jc w:val="center"/>
        </w:trPr>
        <w:tc>
          <w:tcPr>
            <w:tcW w:w="2640" w:type="dxa"/>
            <w:tcBorders>
              <w:top w:val="single" w:sz="4" w:space="0" w:color="auto"/>
              <w:left w:val="single" w:sz="4" w:space="0" w:color="auto"/>
              <w:bottom w:val="nil"/>
              <w:right w:val="single" w:sz="4" w:space="0" w:color="auto"/>
            </w:tcBorders>
            <w:shd w:val="clear" w:color="000000" w:fill="BFBFBF"/>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Počet zamestnancov  spolu</w:t>
            </w:r>
          </w:p>
        </w:tc>
        <w:tc>
          <w:tcPr>
            <w:tcW w:w="540" w:type="dxa"/>
            <w:tcBorders>
              <w:top w:val="nil"/>
              <w:left w:val="nil"/>
              <w:bottom w:val="nil"/>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nil"/>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127 379</w:t>
            </w:r>
          </w:p>
        </w:tc>
        <w:tc>
          <w:tcPr>
            <w:tcW w:w="840" w:type="dxa"/>
            <w:tcBorders>
              <w:top w:val="nil"/>
              <w:left w:val="nil"/>
              <w:bottom w:val="nil"/>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122 172</w:t>
            </w:r>
          </w:p>
        </w:tc>
        <w:tc>
          <w:tcPr>
            <w:tcW w:w="840" w:type="dxa"/>
            <w:tcBorders>
              <w:top w:val="nil"/>
              <w:left w:val="nil"/>
              <w:bottom w:val="nil"/>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128 037</w:t>
            </w:r>
          </w:p>
        </w:tc>
        <w:tc>
          <w:tcPr>
            <w:tcW w:w="840" w:type="dxa"/>
            <w:tcBorders>
              <w:top w:val="nil"/>
              <w:left w:val="nil"/>
              <w:bottom w:val="nil"/>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121 083</w:t>
            </w:r>
          </w:p>
        </w:tc>
        <w:tc>
          <w:tcPr>
            <w:tcW w:w="840" w:type="dxa"/>
            <w:tcBorders>
              <w:top w:val="nil"/>
              <w:left w:val="nil"/>
              <w:bottom w:val="nil"/>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127 814</w:t>
            </w:r>
          </w:p>
        </w:tc>
        <w:tc>
          <w:tcPr>
            <w:tcW w:w="840" w:type="dxa"/>
            <w:tcBorders>
              <w:top w:val="nil"/>
              <w:left w:val="nil"/>
              <w:bottom w:val="nil"/>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127 978</w:t>
            </w:r>
          </w:p>
        </w:tc>
        <w:tc>
          <w:tcPr>
            <w:tcW w:w="840" w:type="dxa"/>
            <w:tcBorders>
              <w:top w:val="nil"/>
              <w:left w:val="nil"/>
              <w:bottom w:val="nil"/>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127 985</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5318FA" w:rsidRPr="001041F5" w:rsidP="006D395F">
            <w:pPr>
              <w:bidi w:val="0"/>
              <w:ind w:firstLine="140" w:firstLineChars="10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priemerný mzdový výdavok spolu</w:t>
            </w:r>
          </w:p>
        </w:tc>
        <w:tc>
          <w:tcPr>
            <w:tcW w:w="5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eur</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1 025,24</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1 014,13</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967,42</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1 002,59</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965,57</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972,07</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971,66</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nil"/>
              <w:right w:val="single" w:sz="4" w:space="0" w:color="auto"/>
            </w:tcBorders>
            <w:noWrap/>
            <w:textDirection w:val="lrTb"/>
            <w:vAlign w:val="center"/>
            <w:hideMark/>
          </w:tcPr>
          <w:p w:rsidR="005318FA" w:rsidRPr="001041F5" w:rsidP="006D395F">
            <w:pPr>
              <w:bidi w:val="0"/>
              <w:ind w:firstLine="140" w:firstLineChars="10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xml:space="preserve">z toho: štátna služba </w:t>
            </w:r>
          </w:p>
        </w:tc>
        <w:tc>
          <w:tcPr>
            <w:tcW w:w="540" w:type="dxa"/>
            <w:tcBorders>
              <w:top w:val="nil"/>
              <w:left w:val="nil"/>
              <w:bottom w:val="nil"/>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38 420</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36 205</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38 087</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36 135</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38 007</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38 012</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38 021</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140" w:firstLineChars="10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 xml:space="preserve">           priemerný mzdový výdavok</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956,12</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953,32</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850,89</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935,71</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840,03</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848,67</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840,03</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nil"/>
              <w:right w:val="single" w:sz="4" w:space="0" w:color="auto"/>
            </w:tcBorders>
            <w:noWrap/>
            <w:textDirection w:val="lrTb"/>
            <w:vAlign w:val="center"/>
            <w:hideMark/>
          </w:tcPr>
          <w:p w:rsidR="005318FA" w:rsidRPr="001041F5" w:rsidP="006D395F">
            <w:pPr>
              <w:bidi w:val="0"/>
              <w:ind w:firstLine="140" w:firstLineChars="10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xml:space="preserve">             verejná služba */</w:t>
            </w:r>
          </w:p>
        </w:tc>
        <w:tc>
          <w:tcPr>
            <w:tcW w:w="540" w:type="dxa"/>
            <w:tcBorders>
              <w:top w:val="nil"/>
              <w:left w:val="nil"/>
              <w:bottom w:val="nil"/>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37 597</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36 094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36 994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35 969</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36 649</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36 649</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36 647</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140" w:firstLineChars="10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 xml:space="preserve">             priemerný mzdový výdavok</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720,05</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715,34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671,46</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700,93</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668,87</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674,47</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671,91</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nil"/>
              <w:right w:val="single" w:sz="4" w:space="0" w:color="auto"/>
            </w:tcBorders>
            <w:noWrap/>
            <w:textDirection w:val="lrTb"/>
            <w:vAlign w:val="center"/>
            <w:hideMark/>
          </w:tcPr>
          <w:p w:rsidR="005318FA" w:rsidRPr="001041F5" w:rsidP="006D395F">
            <w:pPr>
              <w:bidi w:val="0"/>
              <w:ind w:firstLine="140" w:firstLineChars="10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xml:space="preserve">             hasiči </w:t>
            </w:r>
          </w:p>
        </w:tc>
        <w:tc>
          <w:tcPr>
            <w:tcW w:w="540" w:type="dxa"/>
            <w:tcBorders>
              <w:top w:val="nil"/>
              <w:left w:val="nil"/>
              <w:bottom w:val="nil"/>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4 309</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4 212</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4 414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4 184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4 414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4 414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4 414</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140" w:firstLineChars="10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 xml:space="preserve">           priemerný mzdový výdavok</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1 114,06</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1 054,42</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1 003,14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1 053,31</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1 003,14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1 003,14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1 003,14</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nil"/>
              <w:right w:val="single" w:sz="4" w:space="0" w:color="auto"/>
            </w:tcBorders>
            <w:noWrap/>
            <w:textDirection w:val="lrTb"/>
            <w:vAlign w:val="center"/>
            <w:hideMark/>
          </w:tcPr>
          <w:p w:rsidR="005318FA" w:rsidRPr="001041F5" w:rsidP="006D395F">
            <w:pPr>
              <w:bidi w:val="0"/>
              <w:ind w:firstLine="140" w:firstLineChars="10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xml:space="preserve">             colníci </w:t>
            </w:r>
          </w:p>
        </w:tc>
        <w:tc>
          <w:tcPr>
            <w:tcW w:w="540" w:type="dxa"/>
            <w:tcBorders>
              <w:top w:val="nil"/>
              <w:left w:val="nil"/>
              <w:bottom w:val="nil"/>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3 623</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3 226</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3 305</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2 941</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3 305</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3 305</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3 305</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140" w:firstLineChars="10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 xml:space="preserve">    priemerný mzdový výdavok</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1 109,16</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1 093,26</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979,80</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1 057,26</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979,80</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979,80</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979,80</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nil"/>
              <w:right w:val="single" w:sz="4" w:space="0" w:color="auto"/>
            </w:tcBorders>
            <w:noWrap/>
            <w:textDirection w:val="lrTb"/>
            <w:vAlign w:val="center"/>
            <w:hideMark/>
          </w:tcPr>
          <w:p w:rsidR="005318FA" w:rsidRPr="001041F5" w:rsidP="006D395F">
            <w:pPr>
              <w:bidi w:val="0"/>
              <w:ind w:firstLine="140" w:firstLineChars="10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xml:space="preserve">             policajti </w:t>
            </w:r>
          </w:p>
        </w:tc>
        <w:tc>
          <w:tcPr>
            <w:tcW w:w="540" w:type="dxa"/>
            <w:tcBorders>
              <w:top w:val="nil"/>
              <w:left w:val="nil"/>
              <w:bottom w:val="nil"/>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26 810</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26 236</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27 957</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26 033</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28 159</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28 318</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28 318</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140" w:firstLineChars="10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 xml:space="preserve">  priemerný mzdový výdavok</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1 257,02</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1 223,99</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1 147,42</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1 207,71</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1 147,41</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1 147,31</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1 147,31</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nil"/>
              <w:right w:val="single" w:sz="4" w:space="0" w:color="auto"/>
            </w:tcBorders>
            <w:noWrap/>
            <w:textDirection w:val="lrTb"/>
            <w:vAlign w:val="center"/>
            <w:hideMark/>
          </w:tcPr>
          <w:p w:rsidR="005318FA" w:rsidRPr="001041F5" w:rsidP="006D395F">
            <w:pPr>
              <w:bidi w:val="0"/>
              <w:ind w:firstLine="140" w:firstLineChars="10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xml:space="preserve">             vojaci </w:t>
            </w:r>
          </w:p>
        </w:tc>
        <w:tc>
          <w:tcPr>
            <w:tcW w:w="540" w:type="dxa"/>
            <w:tcBorders>
              <w:top w:val="nil"/>
              <w:left w:val="nil"/>
              <w:bottom w:val="nil"/>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14 158</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13 744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14 716</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13 407</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14 716</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14 716</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14 716</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140" w:firstLineChars="10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 xml:space="preserve">          priemerný mzdový výdavok</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1 231,55</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1 234,55</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1 214,61</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1 224,97</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1 214,61</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1 214,61</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1 214,61</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nil"/>
              <w:right w:val="single" w:sz="4" w:space="0" w:color="auto"/>
            </w:tcBorders>
            <w:noWrap/>
            <w:textDirection w:val="lrTb"/>
            <w:vAlign w:val="center"/>
            <w:hideMark/>
          </w:tcPr>
          <w:p w:rsidR="005318FA" w:rsidRPr="001041F5" w:rsidP="006D395F">
            <w:pPr>
              <w:bidi w:val="0"/>
              <w:ind w:firstLine="140" w:firstLineChars="10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xml:space="preserve">             ústavní činitelia </w:t>
            </w:r>
          </w:p>
        </w:tc>
        <w:tc>
          <w:tcPr>
            <w:tcW w:w="540" w:type="dxa"/>
            <w:tcBorders>
              <w:top w:val="nil"/>
              <w:left w:val="nil"/>
              <w:bottom w:val="nil"/>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174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183</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184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178</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184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184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184</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140" w:firstLineChars="10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 xml:space="preserve">           priemerný mzdový výdavok</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3 952,00</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3 806,87</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3 857,07</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3 693,58</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3 874,91</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3 891,24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3 907,15</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nil"/>
              <w:right w:val="single" w:sz="4" w:space="0" w:color="auto"/>
            </w:tcBorders>
            <w:noWrap/>
            <w:textDirection w:val="lrTb"/>
            <w:vAlign w:val="center"/>
            <w:hideMark/>
          </w:tcPr>
          <w:p w:rsidR="005318FA" w:rsidRPr="001041F5" w:rsidP="006D395F">
            <w:pPr>
              <w:bidi w:val="0"/>
              <w:ind w:firstLine="140" w:firstLineChars="10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xml:space="preserve">             sudcovia </w:t>
            </w:r>
          </w:p>
        </w:tc>
        <w:tc>
          <w:tcPr>
            <w:tcW w:w="540" w:type="dxa"/>
            <w:tcBorders>
              <w:top w:val="nil"/>
              <w:left w:val="nil"/>
              <w:bottom w:val="nil"/>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1 358</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1 334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1 411</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1 314</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1 411</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1 411</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1 411</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140" w:firstLineChars="10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 xml:space="preserve">        priemerný mzdový výdavok</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3 293,12</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3 162,64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3 580,04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3 431,65</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3 633,17</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3 752,64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3 916,32</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nil"/>
              <w:right w:val="single" w:sz="4" w:space="0" w:color="auto"/>
            </w:tcBorders>
            <w:noWrap/>
            <w:textDirection w:val="lrTb"/>
            <w:vAlign w:val="center"/>
            <w:hideMark/>
          </w:tcPr>
          <w:p w:rsidR="005318FA" w:rsidRPr="001041F5" w:rsidP="006D395F">
            <w:pPr>
              <w:bidi w:val="0"/>
              <w:ind w:firstLine="140" w:firstLineChars="10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xml:space="preserve">             prokurátori</w:t>
            </w:r>
          </w:p>
        </w:tc>
        <w:tc>
          <w:tcPr>
            <w:tcW w:w="540" w:type="dxa"/>
            <w:tcBorders>
              <w:top w:val="nil"/>
              <w:left w:val="nil"/>
              <w:bottom w:val="nil"/>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930</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938</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969</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922</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969</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969</w:t>
            </w:r>
          </w:p>
        </w:tc>
        <w:tc>
          <w:tcPr>
            <w:tcW w:w="840" w:type="dxa"/>
            <w:tcBorders>
              <w:top w:val="nil"/>
              <w:left w:val="nil"/>
              <w:bottom w:val="nil"/>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969</w:t>
            </w:r>
          </w:p>
        </w:tc>
      </w:tr>
      <w:tr>
        <w:tblPrEx>
          <w:tblW w:w="9060" w:type="dxa"/>
          <w:jc w:val="center"/>
          <w:tblInd w:w="55" w:type="dxa"/>
          <w:tblCellMar>
            <w:left w:w="70" w:type="dxa"/>
            <w:right w:w="70" w:type="dxa"/>
          </w:tblCellMar>
          <w:tblLook w:val="04A0"/>
        </w:tblPrEx>
        <w:trPr>
          <w:trHeight w:val="255"/>
          <w:jc w:val="center"/>
        </w:trPr>
        <w:tc>
          <w:tcPr>
            <w:tcW w:w="264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140" w:firstLineChars="10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 xml:space="preserve">           priemerný mzdový výdavok</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3 026,59</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2 861,45</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3 343,86</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3 147,42</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3 393,55</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3 505,26</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3 658,30</w:t>
            </w:r>
          </w:p>
        </w:tc>
      </w:tr>
      <w:tr>
        <w:tblPrEx>
          <w:tblW w:w="9060" w:type="dxa"/>
          <w:jc w:val="center"/>
          <w:tblInd w:w="55" w:type="dxa"/>
          <w:tblCellMar>
            <w:left w:w="70" w:type="dxa"/>
            <w:right w:w="70" w:type="dxa"/>
          </w:tblCellMar>
          <w:tblLook w:val="04A0"/>
        </w:tblPrEx>
        <w:trPr>
          <w:trHeight w:val="270"/>
          <w:jc w:val="center"/>
        </w:trPr>
        <w:tc>
          <w:tcPr>
            <w:tcW w:w="2640" w:type="dxa"/>
            <w:tcBorders>
              <w:top w:val="nil"/>
              <w:left w:val="nil"/>
              <w:bottom w:val="nil"/>
              <w:right w:val="nil"/>
            </w:tcBorders>
            <w:noWrap/>
            <w:textDirection w:val="lrTb"/>
            <w:vAlign w:val="center"/>
            <w:hideMark/>
          </w:tcPr>
          <w:p w:rsidR="005318FA" w:rsidRPr="001041F5" w:rsidP="006D395F">
            <w:pPr>
              <w:bidi w:val="0"/>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Poznámka:</w:t>
            </w:r>
          </w:p>
        </w:tc>
        <w:tc>
          <w:tcPr>
            <w:tcW w:w="54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sz w:val="14"/>
                <w:szCs w:val="14"/>
                <w:lang w:eastAsia="sk-SK"/>
              </w:rPr>
            </w:pPr>
          </w:p>
        </w:tc>
        <w:tc>
          <w:tcPr>
            <w:tcW w:w="84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sz w:val="14"/>
                <w:szCs w:val="14"/>
                <w:lang w:eastAsia="sk-SK"/>
              </w:rPr>
            </w:pPr>
          </w:p>
        </w:tc>
        <w:tc>
          <w:tcPr>
            <w:tcW w:w="84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sz w:val="14"/>
                <w:szCs w:val="14"/>
                <w:lang w:eastAsia="sk-SK"/>
              </w:rPr>
            </w:pPr>
          </w:p>
        </w:tc>
        <w:tc>
          <w:tcPr>
            <w:tcW w:w="84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sz w:val="14"/>
                <w:szCs w:val="14"/>
                <w:lang w:eastAsia="sk-SK"/>
              </w:rPr>
            </w:pPr>
          </w:p>
        </w:tc>
        <w:tc>
          <w:tcPr>
            <w:tcW w:w="84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sz w:val="14"/>
                <w:szCs w:val="14"/>
                <w:lang w:eastAsia="sk-SK"/>
              </w:rPr>
            </w:pPr>
          </w:p>
        </w:tc>
        <w:tc>
          <w:tcPr>
            <w:tcW w:w="84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sz w:val="14"/>
                <w:szCs w:val="14"/>
                <w:lang w:eastAsia="sk-SK"/>
              </w:rPr>
            </w:pPr>
          </w:p>
        </w:tc>
        <w:tc>
          <w:tcPr>
            <w:tcW w:w="84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sz w:val="14"/>
                <w:szCs w:val="14"/>
                <w:lang w:eastAsia="sk-SK"/>
              </w:rPr>
            </w:pPr>
          </w:p>
        </w:tc>
        <w:tc>
          <w:tcPr>
            <w:tcW w:w="840" w:type="dxa"/>
            <w:tcBorders>
              <w:top w:val="nil"/>
              <w:left w:val="nil"/>
              <w:bottom w:val="nil"/>
              <w:right w:val="nil"/>
            </w:tcBorders>
            <w:noWrap/>
            <w:textDirection w:val="lrTb"/>
            <w:vAlign w:val="bottom"/>
            <w:hideMark/>
          </w:tcPr>
          <w:p w:rsidR="005318FA" w:rsidRPr="001041F5" w:rsidP="006D395F">
            <w:pPr>
              <w:bidi w:val="0"/>
              <w:rPr>
                <w:rFonts w:ascii="Times New Roman" w:hAnsi="Times New Roman" w:cs="Times New Roman"/>
                <w:sz w:val="14"/>
                <w:szCs w:val="14"/>
                <w:lang w:eastAsia="sk-SK"/>
              </w:rPr>
            </w:pPr>
          </w:p>
        </w:tc>
      </w:tr>
      <w:tr>
        <w:tblPrEx>
          <w:tblW w:w="9060" w:type="dxa"/>
          <w:jc w:val="center"/>
          <w:tblInd w:w="55" w:type="dxa"/>
          <w:tblCellMar>
            <w:left w:w="70" w:type="dxa"/>
            <w:right w:w="70" w:type="dxa"/>
          </w:tblCellMar>
          <w:tblLook w:val="04A0"/>
        </w:tblPrEx>
        <w:trPr>
          <w:trHeight w:val="795"/>
          <w:jc w:val="center"/>
        </w:trPr>
        <w:tc>
          <w:tcPr>
            <w:tcW w:w="9060" w:type="dxa"/>
            <w:gridSpan w:val="9"/>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výkon práce vo verejnom záujme</w:t>
              <w:br/>
              <w:t xml:space="preserve">Očakávaná skutočnosť za r. 2012 vychádza zo skutočnosti za I. polrok 2012 a priemerný mzdový výdavok v r. 2013 až 2015 je vyčíslený vrátane finančných prostriedkov alokovaných vo VPS. </w:t>
              <w:br/>
              <w:t>Skutočnosť 2010 a 2011 - odchýlka v počtoch zamestnancov + - 1 z titulu zaokrúhľovania prepočítaných stavov</w:t>
            </w:r>
          </w:p>
        </w:tc>
      </w:tr>
    </w:tbl>
    <w:p w:rsidR="005318FA" w:rsidRPr="002B116D" w:rsidP="005318FA">
      <w:pPr>
        <w:bidi w:val="0"/>
        <w:jc w:val="both"/>
        <w:rPr>
          <w:rFonts w:ascii="Times New Roman" w:hAnsi="Times New Roman"/>
          <w:bCs/>
          <w:szCs w:val="22"/>
        </w:rPr>
      </w:pPr>
    </w:p>
    <w:p w:rsidR="005318FA" w:rsidP="005318FA">
      <w:pPr>
        <w:bidi w:val="0"/>
        <w:jc w:val="both"/>
        <w:rPr>
          <w:rFonts w:ascii="Times New Roman" w:hAnsi="Times New Roman"/>
          <w:bCs/>
        </w:rPr>
      </w:pPr>
    </w:p>
    <w:p w:rsidR="005318FA" w:rsidP="005318FA">
      <w:pPr>
        <w:bidi w:val="0"/>
        <w:ind w:firstLine="708"/>
        <w:jc w:val="both"/>
        <w:rPr>
          <w:rFonts w:ascii="Times New Roman" w:hAnsi="Times New Roman"/>
          <w:bCs/>
          <w:szCs w:val="22"/>
        </w:rPr>
      </w:pPr>
      <w:r w:rsidRPr="002B116D">
        <w:rPr>
          <w:rFonts w:ascii="Times New Roman" w:hAnsi="Times New Roman"/>
          <w:bCs/>
          <w:szCs w:val="22"/>
        </w:rPr>
        <w:t>Prehľad o rozpočte a skutočne dosiahnutých ukazovateľoch zamestnanosti v rokoch 2010 a 2011, o rozpočte a očakávanej skutočnosti v roku 2012 a o návrhu rozpočtu a o očakávanej skutočnosti v r. 2013 až 2015 poskytuje nižšie uvedená tabuľka.</w:t>
      </w:r>
    </w:p>
    <w:p w:rsidR="005318FA" w:rsidP="005318FA">
      <w:pPr>
        <w:bidi w:val="0"/>
        <w:ind w:firstLine="708"/>
        <w:jc w:val="both"/>
        <w:rPr>
          <w:rFonts w:ascii="Times New Roman" w:hAnsi="Times New Roman"/>
          <w:bCs/>
          <w:szCs w:val="22"/>
        </w:rPr>
      </w:pPr>
    </w:p>
    <w:tbl>
      <w:tblPr>
        <w:tblStyle w:val="TableNormal"/>
        <w:tblW w:w="9020" w:type="dxa"/>
        <w:jc w:val="center"/>
        <w:tblInd w:w="55" w:type="dxa"/>
        <w:tblCellMar>
          <w:left w:w="70" w:type="dxa"/>
          <w:right w:w="70" w:type="dxa"/>
        </w:tblCellMar>
        <w:tblLook w:val="04A0"/>
      </w:tblPr>
      <w:tblGrid>
        <w:gridCol w:w="1540"/>
        <w:gridCol w:w="940"/>
        <w:gridCol w:w="540"/>
        <w:gridCol w:w="1000"/>
        <w:gridCol w:w="1000"/>
        <w:gridCol w:w="1000"/>
        <w:gridCol w:w="1000"/>
        <w:gridCol w:w="1000"/>
        <w:gridCol w:w="1000"/>
      </w:tblGrid>
      <w:tr>
        <w:tblPrEx>
          <w:tblW w:w="9020" w:type="dxa"/>
          <w:jc w:val="center"/>
          <w:tblInd w:w="55" w:type="dxa"/>
          <w:tblCellMar>
            <w:left w:w="70" w:type="dxa"/>
            <w:right w:w="70" w:type="dxa"/>
          </w:tblCellMar>
          <w:tblLook w:val="04A0"/>
        </w:tblPrEx>
        <w:trPr>
          <w:trHeight w:val="600"/>
          <w:jc w:val="center"/>
        </w:trPr>
        <w:tc>
          <w:tcPr>
            <w:tcW w:w="3020" w:type="dxa"/>
            <w:gridSpan w:val="3"/>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318FA" w:rsidRPr="001041F5" w:rsidP="006D395F">
            <w:pPr>
              <w:bidi w:val="0"/>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Rozpočtové organizácie kapitol štátneho rozpočtu</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2010</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2011</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2013</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2014</w:t>
            </w:r>
          </w:p>
        </w:tc>
        <w:tc>
          <w:tcPr>
            <w:tcW w:w="100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2015</w:t>
            </w:r>
          </w:p>
        </w:tc>
      </w:tr>
      <w:tr>
        <w:tblPrEx>
          <w:tblW w:w="9020" w:type="dxa"/>
          <w:jc w:val="center"/>
          <w:tblInd w:w="55" w:type="dxa"/>
          <w:tblCellMar>
            <w:left w:w="70" w:type="dxa"/>
            <w:right w:w="70" w:type="dxa"/>
          </w:tblCellMar>
          <w:tblLook w:val="04A0"/>
        </w:tblPrEx>
        <w:trPr>
          <w:trHeight w:val="330"/>
          <w:jc w:val="center"/>
        </w:trPr>
        <w:tc>
          <w:tcPr>
            <w:tcW w:w="1540" w:type="dxa"/>
            <w:vMerge w:val="restart"/>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Počet zamestnancov</w:t>
            </w:r>
          </w:p>
        </w:tc>
        <w:tc>
          <w:tcPr>
            <w:tcW w:w="9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Rozpočet</w:t>
            </w:r>
          </w:p>
        </w:tc>
        <w:tc>
          <w:tcPr>
            <w:tcW w:w="540" w:type="dxa"/>
            <w:vMerge w:val="restart"/>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132 365</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128 681</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128 037</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127 814</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127 978</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127 985</w:t>
            </w:r>
          </w:p>
        </w:tc>
      </w:tr>
      <w:tr>
        <w:tblPrEx>
          <w:tblW w:w="9020" w:type="dxa"/>
          <w:jc w:val="center"/>
          <w:tblInd w:w="55" w:type="dxa"/>
          <w:tblCellMar>
            <w:left w:w="70" w:type="dxa"/>
            <w:right w:w="70" w:type="dxa"/>
          </w:tblCellMar>
          <w:tblLook w:val="04A0"/>
        </w:tblPrEx>
        <w:trPr>
          <w:trHeight w:val="390"/>
          <w:jc w:val="center"/>
        </w:trPr>
        <w:tc>
          <w:tcPr>
            <w:tcW w:w="1540" w:type="dxa"/>
            <w:vMerge/>
            <w:tcBorders>
              <w:top w:val="nil"/>
              <w:left w:val="single" w:sz="4" w:space="0" w:color="auto"/>
              <w:bottom w:val="single" w:sz="4" w:space="0" w:color="auto"/>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p>
        </w:tc>
        <w:tc>
          <w:tcPr>
            <w:tcW w:w="940" w:type="dxa"/>
            <w:tcBorders>
              <w:top w:val="nil"/>
              <w:left w:val="nil"/>
              <w:bottom w:val="nil"/>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Skutočnosť</w:t>
              <w:br/>
            </w:r>
            <w:r w:rsidRPr="001041F5">
              <w:rPr>
                <w:rFonts w:ascii="Times New Roman" w:hAnsi="Times New Roman" w:cs="Times New Roman"/>
                <w:i/>
                <w:iCs/>
                <w:sz w:val="14"/>
                <w:szCs w:val="14"/>
                <w:lang w:eastAsia="sk-SK"/>
              </w:rPr>
              <w:t>resp. OS</w:t>
            </w:r>
          </w:p>
        </w:tc>
        <w:tc>
          <w:tcPr>
            <w:tcW w:w="540" w:type="dxa"/>
            <w:vMerge/>
            <w:tcBorders>
              <w:top w:val="nil"/>
              <w:left w:val="single" w:sz="4" w:space="0" w:color="auto"/>
              <w:bottom w:val="single" w:sz="4" w:space="0" w:color="auto"/>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127 380</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122 171</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121 083</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121 423</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121 579</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121 586</w:t>
            </w:r>
          </w:p>
        </w:tc>
      </w:tr>
      <w:tr>
        <w:tblPrEx>
          <w:tblW w:w="9020" w:type="dxa"/>
          <w:jc w:val="center"/>
          <w:tblInd w:w="55" w:type="dxa"/>
          <w:tblCellMar>
            <w:left w:w="70" w:type="dxa"/>
            <w:right w:w="70" w:type="dxa"/>
          </w:tblCellMar>
          <w:tblLook w:val="04A0"/>
        </w:tblPrEx>
        <w:trPr>
          <w:trHeight w:val="330"/>
          <w:jc w:val="center"/>
        </w:trPr>
        <w:tc>
          <w:tcPr>
            <w:tcW w:w="1540" w:type="dxa"/>
            <w:vMerge w:val="restart"/>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Osobné výdavky</w:t>
            </w:r>
          </w:p>
        </w:tc>
        <w:tc>
          <w:tcPr>
            <w:tcW w:w="940" w:type="dxa"/>
            <w:tcBorders>
              <w:top w:val="single" w:sz="4" w:space="0" w:color="auto"/>
              <w:left w:val="nil"/>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Rozpočet</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2 068 321 734</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1 953 980 665</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1 983 650 786</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1 980 037 511</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1 993 045 389</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1 991 966 967</w:t>
            </w:r>
          </w:p>
        </w:tc>
      </w:tr>
      <w:tr>
        <w:tblPrEx>
          <w:tblW w:w="9020" w:type="dxa"/>
          <w:jc w:val="center"/>
          <w:tblInd w:w="55" w:type="dxa"/>
          <w:tblCellMar>
            <w:left w:w="70" w:type="dxa"/>
            <w:right w:w="70" w:type="dxa"/>
          </w:tblCellMar>
          <w:tblLook w:val="04A0"/>
        </w:tblPrEx>
        <w:trPr>
          <w:trHeight w:val="390"/>
          <w:jc w:val="center"/>
        </w:trPr>
        <w:tc>
          <w:tcPr>
            <w:tcW w:w="1540" w:type="dxa"/>
            <w:vMerge/>
            <w:tcBorders>
              <w:top w:val="nil"/>
              <w:left w:val="single" w:sz="4" w:space="0" w:color="auto"/>
              <w:bottom w:val="single" w:sz="4" w:space="0" w:color="auto"/>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p>
        </w:tc>
        <w:tc>
          <w:tcPr>
            <w:tcW w:w="940" w:type="dxa"/>
            <w:tcBorders>
              <w:top w:val="nil"/>
              <w:left w:val="nil"/>
              <w:bottom w:val="nil"/>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Skutočnosť</w:t>
              <w:br/>
            </w:r>
            <w:r w:rsidRPr="001041F5">
              <w:rPr>
                <w:rFonts w:ascii="Times New Roman" w:hAnsi="Times New Roman" w:cs="Times New Roman"/>
                <w:i/>
                <w:iCs/>
                <w:sz w:val="14"/>
                <w:szCs w:val="14"/>
                <w:lang w:eastAsia="sk-SK"/>
              </w:rPr>
              <w:t>resp. OS</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2 092 321 544</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1 999 316 383</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i/>
                <w:iCs/>
                <w:sz w:val="14"/>
                <w:szCs w:val="14"/>
                <w:lang w:eastAsia="sk-SK"/>
              </w:rPr>
            </w:pPr>
            <w:r w:rsidRPr="001041F5">
              <w:rPr>
                <w:rFonts w:ascii="Times New Roman" w:hAnsi="Times New Roman" w:cs="Times New Roman"/>
                <w:b/>
                <w:bCs/>
                <w:i/>
                <w:iCs/>
                <w:sz w:val="14"/>
                <w:szCs w:val="14"/>
                <w:lang w:eastAsia="sk-SK"/>
              </w:rPr>
              <w:t>2 036 081 107</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i/>
                <w:iCs/>
                <w:sz w:val="14"/>
                <w:szCs w:val="14"/>
                <w:lang w:eastAsia="sk-SK"/>
              </w:rPr>
            </w:pPr>
            <w:r w:rsidRPr="001041F5">
              <w:rPr>
                <w:rFonts w:ascii="Times New Roman" w:hAnsi="Times New Roman" w:cs="Times New Roman"/>
                <w:b/>
                <w:bCs/>
                <w:i/>
                <w:iCs/>
                <w:sz w:val="14"/>
                <w:szCs w:val="14"/>
                <w:lang w:eastAsia="sk-SK"/>
              </w:rPr>
              <w:t>2 019 321 456</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i/>
                <w:iCs/>
                <w:sz w:val="14"/>
                <w:szCs w:val="14"/>
                <w:lang w:eastAsia="sk-SK"/>
              </w:rPr>
            </w:pPr>
            <w:r w:rsidRPr="001041F5">
              <w:rPr>
                <w:rFonts w:ascii="Times New Roman" w:hAnsi="Times New Roman" w:cs="Times New Roman"/>
                <w:b/>
                <w:bCs/>
                <w:i/>
                <w:iCs/>
                <w:sz w:val="14"/>
                <w:szCs w:val="14"/>
                <w:lang w:eastAsia="sk-SK"/>
              </w:rPr>
              <w:t>2 032 329 334</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i/>
                <w:iCs/>
                <w:sz w:val="14"/>
                <w:szCs w:val="14"/>
                <w:lang w:eastAsia="sk-SK"/>
              </w:rPr>
            </w:pPr>
            <w:r w:rsidRPr="001041F5">
              <w:rPr>
                <w:rFonts w:ascii="Times New Roman" w:hAnsi="Times New Roman" w:cs="Times New Roman"/>
                <w:b/>
                <w:bCs/>
                <w:i/>
                <w:iCs/>
                <w:sz w:val="14"/>
                <w:szCs w:val="14"/>
                <w:lang w:eastAsia="sk-SK"/>
              </w:rPr>
              <w:t>2 031 250 912</w:t>
            </w:r>
          </w:p>
        </w:tc>
      </w:tr>
      <w:tr>
        <w:tblPrEx>
          <w:tblW w:w="9020" w:type="dxa"/>
          <w:jc w:val="center"/>
          <w:tblInd w:w="55" w:type="dxa"/>
          <w:tblCellMar>
            <w:left w:w="70" w:type="dxa"/>
            <w:right w:w="70" w:type="dxa"/>
          </w:tblCellMar>
          <w:tblLook w:val="04A0"/>
        </w:tblPrEx>
        <w:trPr>
          <w:trHeight w:val="330"/>
          <w:jc w:val="center"/>
        </w:trPr>
        <w:tc>
          <w:tcPr>
            <w:tcW w:w="1540" w:type="dxa"/>
            <w:tcBorders>
              <w:top w:val="nil"/>
              <w:left w:val="single" w:sz="4" w:space="0" w:color="auto"/>
              <w:bottom w:val="nil"/>
              <w:right w:val="single" w:sz="4" w:space="0" w:color="auto"/>
            </w:tcBorders>
            <w:textDirection w:val="lrTb"/>
            <w:vAlign w:val="center"/>
            <w:hideMark/>
          </w:tcPr>
          <w:p w:rsidR="005318FA" w:rsidRPr="001041F5" w:rsidP="006D395F">
            <w:pPr>
              <w:bidi w:val="0"/>
              <w:ind w:firstLine="140" w:firstLineChars="100"/>
              <w:rPr>
                <w:rFonts w:ascii="Times New Roman" w:hAnsi="Times New Roman" w:cs="Times New Roman"/>
                <w:sz w:val="14"/>
                <w:szCs w:val="14"/>
                <w:lang w:eastAsia="sk-SK"/>
              </w:rPr>
            </w:pPr>
            <w:r w:rsidRPr="001041F5">
              <w:rPr>
                <w:rFonts w:ascii="Times New Roman" w:hAnsi="Times New Roman" w:cs="Times New Roman"/>
                <w:sz w:val="14"/>
                <w:szCs w:val="14"/>
                <w:lang w:eastAsia="sk-SK"/>
              </w:rPr>
              <w:t>z toho:</w:t>
            </w:r>
          </w:p>
        </w:tc>
        <w:tc>
          <w:tcPr>
            <w:tcW w:w="940" w:type="dxa"/>
            <w:tcBorders>
              <w:top w:val="single" w:sz="4" w:space="0" w:color="auto"/>
              <w:left w:val="nil"/>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Rozpočet</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1 555 176 258</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1 463 426 525</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1 486 387 330</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1 480 960 453</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1 492 846 076</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1 492 297 349</w:t>
            </w:r>
          </w:p>
        </w:tc>
      </w:tr>
      <w:tr>
        <w:tblPrEx>
          <w:tblW w:w="9020" w:type="dxa"/>
          <w:jc w:val="center"/>
          <w:tblInd w:w="55" w:type="dxa"/>
          <w:tblCellMar>
            <w:left w:w="70" w:type="dxa"/>
            <w:right w:w="70" w:type="dxa"/>
          </w:tblCellMar>
          <w:tblLook w:val="04A0"/>
        </w:tblPrEx>
        <w:trPr>
          <w:trHeight w:val="450"/>
          <w:jc w:val="center"/>
        </w:trPr>
        <w:tc>
          <w:tcPr>
            <w:tcW w:w="1540" w:type="dxa"/>
            <w:tcBorders>
              <w:top w:val="nil"/>
              <w:left w:val="single" w:sz="4" w:space="0" w:color="auto"/>
              <w:bottom w:val="nil"/>
              <w:right w:val="single" w:sz="4" w:space="0" w:color="auto"/>
            </w:tcBorders>
            <w:textDirection w:val="lrTb"/>
            <w:vAlign w:val="center"/>
            <w:hideMark/>
          </w:tcPr>
          <w:p w:rsidR="005318FA" w:rsidRPr="001041F5" w:rsidP="006D395F">
            <w:pPr>
              <w:bidi w:val="0"/>
              <w:ind w:firstLine="140" w:firstLineChars="10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xml:space="preserve">        mzdové výdavky</w:t>
            </w:r>
          </w:p>
        </w:tc>
        <w:tc>
          <w:tcPr>
            <w:tcW w:w="940" w:type="dxa"/>
            <w:tcBorders>
              <w:top w:val="nil"/>
              <w:left w:val="nil"/>
              <w:bottom w:val="nil"/>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Skutočnosť</w:t>
              <w:br/>
            </w:r>
            <w:r w:rsidRPr="001041F5">
              <w:rPr>
                <w:rFonts w:ascii="Times New Roman" w:hAnsi="Times New Roman" w:cs="Times New Roman"/>
                <w:i/>
                <w:iCs/>
                <w:sz w:val="14"/>
                <w:szCs w:val="14"/>
                <w:lang w:eastAsia="sk-SK"/>
              </w:rPr>
              <w:t>resp. OS</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1 581 767 964</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1 498 526 539</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1 526 708 400</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1 510 070 453</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1 521 956 076</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1 521 407 349</w:t>
            </w:r>
          </w:p>
        </w:tc>
      </w:tr>
      <w:tr>
        <w:tblPrEx>
          <w:tblW w:w="9020" w:type="dxa"/>
          <w:jc w:val="center"/>
          <w:tblInd w:w="55" w:type="dxa"/>
          <w:tblCellMar>
            <w:left w:w="70" w:type="dxa"/>
            <w:right w:w="70" w:type="dxa"/>
          </w:tblCellMar>
          <w:tblLook w:val="04A0"/>
        </w:tblPrEx>
        <w:trPr>
          <w:trHeight w:val="330"/>
          <w:jc w:val="center"/>
        </w:trPr>
        <w:tc>
          <w:tcPr>
            <w:tcW w:w="2480" w:type="dxa"/>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Priemerný mzdový výdavok – S, resp. OS</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1 034,81</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1 022,15</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1 050,73</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1 036,37</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1 043,19</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1 042,75</w:t>
            </w:r>
          </w:p>
        </w:tc>
      </w:tr>
      <w:tr>
        <w:tblPrEx>
          <w:tblW w:w="9020" w:type="dxa"/>
          <w:jc w:val="center"/>
          <w:tblInd w:w="55" w:type="dxa"/>
          <w:tblCellMar>
            <w:left w:w="70" w:type="dxa"/>
            <w:right w:w="70" w:type="dxa"/>
          </w:tblCellMar>
          <w:tblLook w:val="04A0"/>
        </w:tblPrEx>
        <w:trPr>
          <w:trHeight w:val="390"/>
          <w:jc w:val="center"/>
        </w:trPr>
        <w:tc>
          <w:tcPr>
            <w:tcW w:w="2480" w:type="dxa"/>
            <w:gridSpan w:val="2"/>
            <w:tcBorders>
              <w:top w:val="single" w:sz="4" w:space="0" w:color="auto"/>
              <w:left w:val="single" w:sz="4" w:space="0" w:color="auto"/>
              <w:bottom w:val="nil"/>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Priemerná mzda zamestnanca v</w:t>
              <w:br/>
              <w:t>hospodárstve SR </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769</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786</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805</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832</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869</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912</w:t>
            </w:r>
          </w:p>
        </w:tc>
      </w:tr>
      <w:tr>
        <w:tblPrEx>
          <w:tblW w:w="9020" w:type="dxa"/>
          <w:jc w:val="center"/>
          <w:tblInd w:w="55" w:type="dxa"/>
          <w:tblCellMar>
            <w:left w:w="70" w:type="dxa"/>
            <w:right w:w="70" w:type="dxa"/>
          </w:tblCellMar>
          <w:tblLook w:val="04A0"/>
        </w:tblPrEx>
        <w:trPr>
          <w:trHeight w:val="390"/>
          <w:jc w:val="center"/>
        </w:trPr>
        <w:tc>
          <w:tcPr>
            <w:tcW w:w="2480" w:type="dxa"/>
            <w:gridSpan w:val="2"/>
            <w:tcBorders>
              <w:top w:val="single" w:sz="4" w:space="0" w:color="auto"/>
              <w:left w:val="single" w:sz="4" w:space="0" w:color="auto"/>
              <w:bottom w:val="nil"/>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Priemerný mzdový výdavok /Priemerná mzda zamestnanca v hosp. SR</w:t>
            </w:r>
          </w:p>
        </w:tc>
        <w:tc>
          <w:tcPr>
            <w:tcW w:w="5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34,6</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30,0</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30,5</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24,6</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20,0</w:t>
            </w:r>
          </w:p>
        </w:tc>
        <w:tc>
          <w:tcPr>
            <w:tcW w:w="100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14,3</w:t>
            </w:r>
          </w:p>
        </w:tc>
      </w:tr>
      <w:tr>
        <w:tblPrEx>
          <w:tblW w:w="9020" w:type="dxa"/>
          <w:jc w:val="center"/>
          <w:tblInd w:w="55" w:type="dxa"/>
          <w:tblCellMar>
            <w:left w:w="70" w:type="dxa"/>
            <w:right w:w="70" w:type="dxa"/>
          </w:tblCellMar>
          <w:tblLook w:val="04A0"/>
        </w:tblPrEx>
        <w:trPr>
          <w:trHeight w:val="240"/>
          <w:jc w:val="center"/>
        </w:trPr>
        <w:tc>
          <w:tcPr>
            <w:tcW w:w="1540" w:type="dxa"/>
            <w:tcBorders>
              <w:top w:val="single" w:sz="4" w:space="0" w:color="auto"/>
              <w:left w:val="nil"/>
              <w:bottom w:val="nil"/>
              <w:right w:val="nil"/>
            </w:tcBorders>
            <w:textDirection w:val="lrTb"/>
            <w:vAlign w:val="center"/>
            <w:hideMark/>
          </w:tcPr>
          <w:p w:rsidR="005318FA" w:rsidRPr="001041F5" w:rsidP="006D395F">
            <w:pPr>
              <w:bidi w:val="0"/>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Poznámka:</w:t>
            </w:r>
          </w:p>
        </w:tc>
        <w:tc>
          <w:tcPr>
            <w:tcW w:w="940" w:type="dxa"/>
            <w:tcBorders>
              <w:top w:val="single" w:sz="4" w:space="0" w:color="auto"/>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54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100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100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100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100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100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1000" w:type="dxa"/>
            <w:tcBorders>
              <w:top w:val="nil"/>
              <w:left w:val="nil"/>
              <w:bottom w:val="nil"/>
              <w:right w:val="nil"/>
            </w:tcBorders>
            <w:noWrap/>
            <w:textDirection w:val="lrTb"/>
            <w:vAlign w:val="bottom"/>
            <w:hideMark/>
          </w:tcPr>
          <w:p w:rsidR="005318FA" w:rsidRPr="001041F5" w:rsidP="006D395F">
            <w:pPr>
              <w:bidi w:val="0"/>
              <w:rPr>
                <w:rFonts w:ascii="Arial Narrow" w:hAnsi="Arial Narrow" w:cs="Times New Roman"/>
                <w:sz w:val="14"/>
                <w:szCs w:val="14"/>
                <w:lang w:eastAsia="sk-SK"/>
              </w:rPr>
            </w:pPr>
          </w:p>
        </w:tc>
      </w:tr>
      <w:tr>
        <w:tblPrEx>
          <w:tblW w:w="9020" w:type="dxa"/>
          <w:jc w:val="center"/>
          <w:tblInd w:w="55" w:type="dxa"/>
          <w:tblCellMar>
            <w:left w:w="70" w:type="dxa"/>
            <w:right w:w="70" w:type="dxa"/>
          </w:tblCellMar>
          <w:tblLook w:val="04A0"/>
        </w:tblPrEx>
        <w:trPr>
          <w:trHeight w:val="600"/>
          <w:jc w:val="center"/>
        </w:trPr>
        <w:tc>
          <w:tcPr>
            <w:tcW w:w="9020" w:type="dxa"/>
            <w:gridSpan w:val="9"/>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Skutočnosť osobných výdavkov v rokoch 2010 a 2011 - Štátny záverečný účet SR.</w:t>
              <w:br/>
              <w:t>Očakávaná skutočnosť v r. 2012 až 2015 zohľadňuje v počtoch zamestnancov 5% neplnenie a v osobných výdavkoch prostriedky EÚ a mimorozpočtové zdroje z dosiahnutej skutočnosti v roku 2011.</w:t>
            </w:r>
          </w:p>
        </w:tc>
      </w:tr>
    </w:tbl>
    <w:p w:rsidR="005318FA" w:rsidP="005318FA">
      <w:pPr>
        <w:bidi w:val="0"/>
        <w:ind w:firstLine="708"/>
        <w:jc w:val="both"/>
        <w:rPr>
          <w:rFonts w:ascii="Times New Roman" w:hAnsi="Times New Roman"/>
          <w:bCs/>
        </w:rPr>
      </w:pPr>
    </w:p>
    <w:p w:rsidR="005318FA" w:rsidRPr="002B116D" w:rsidP="005318FA">
      <w:pPr>
        <w:bidi w:val="0"/>
        <w:ind w:firstLine="708"/>
        <w:jc w:val="both"/>
        <w:rPr>
          <w:rFonts w:ascii="Times New Roman" w:hAnsi="Times New Roman"/>
          <w:bCs/>
          <w:szCs w:val="22"/>
        </w:rPr>
      </w:pPr>
      <w:r w:rsidRPr="002B116D">
        <w:rPr>
          <w:rFonts w:ascii="Times New Roman" w:hAnsi="Times New Roman"/>
          <w:bCs/>
          <w:szCs w:val="22"/>
        </w:rPr>
        <w:t xml:space="preserve">Návrh rozpočtu osobných výdavkov rozpočtových organizácií štátu v roku 2013 vychádza z úrovne rozpočtu na rok 2013 schváleného v rozpočte verejnej správy na roky 2012 až 2014. </w:t>
      </w:r>
    </w:p>
    <w:p w:rsidR="005318FA" w:rsidRPr="002B116D" w:rsidP="005318FA">
      <w:pPr>
        <w:bidi w:val="0"/>
        <w:ind w:firstLine="708"/>
        <w:jc w:val="both"/>
        <w:rPr>
          <w:rFonts w:ascii="Times New Roman" w:hAnsi="Times New Roman"/>
          <w:bCs/>
          <w:szCs w:val="22"/>
        </w:rPr>
      </w:pPr>
    </w:p>
    <w:p w:rsidR="005318FA" w:rsidRPr="002B116D" w:rsidP="005318FA">
      <w:pPr>
        <w:bidi w:val="0"/>
        <w:ind w:firstLine="708"/>
        <w:jc w:val="both"/>
        <w:rPr>
          <w:rFonts w:ascii="Times New Roman" w:hAnsi="Times New Roman"/>
          <w:bCs/>
          <w:szCs w:val="22"/>
        </w:rPr>
      </w:pPr>
      <w:r w:rsidRPr="002B116D">
        <w:rPr>
          <w:rFonts w:ascii="Times New Roman" w:hAnsi="Times New Roman"/>
          <w:bCs/>
          <w:szCs w:val="22"/>
        </w:rPr>
        <w:t xml:space="preserve">V porovnaní so schváleným rozpočtom na rok 2012 rozhodujúcou zmenou v návrhu rozpočtu osobných výdavkov na rok 2013 je ich zníženie o 5 % u štátnych zamestnancov v štátnozamestnaneckom pomere a u zamestnancov pri výkone práce vo verejnom záujme </w:t>
      </w:r>
      <w:r>
        <w:rPr>
          <w:rFonts w:ascii="Times New Roman" w:hAnsi="Times New Roman"/>
          <w:bCs/>
          <w:szCs w:val="22"/>
        </w:rPr>
        <w:t xml:space="preserve">vo väčšine kapitol štátneho rozpočtu a </w:t>
      </w:r>
      <w:r w:rsidRPr="002B116D">
        <w:rPr>
          <w:rFonts w:ascii="Times New Roman" w:hAnsi="Times New Roman"/>
          <w:bCs/>
          <w:szCs w:val="22"/>
        </w:rPr>
        <w:t>s osobitným prístupom k niektorým skupinám zamestnancov. Zo zníženia boli vylúčení:</w:t>
      </w:r>
    </w:p>
    <w:p w:rsidR="005318FA" w:rsidRPr="002B116D" w:rsidP="005318FA">
      <w:pPr>
        <w:bidi w:val="0"/>
        <w:ind w:firstLine="708"/>
        <w:jc w:val="both"/>
        <w:rPr>
          <w:rFonts w:ascii="Times New Roman" w:hAnsi="Times New Roman"/>
          <w:bCs/>
          <w:szCs w:val="22"/>
        </w:rPr>
      </w:pPr>
    </w:p>
    <w:p w:rsidR="005318FA" w:rsidRPr="002B116D" w:rsidP="005318FA">
      <w:pPr>
        <w:numPr>
          <w:numId w:val="8"/>
        </w:numPr>
        <w:bidi w:val="0"/>
        <w:jc w:val="both"/>
        <w:rPr>
          <w:rFonts w:ascii="Times New Roman" w:hAnsi="Times New Roman"/>
          <w:bCs/>
          <w:szCs w:val="22"/>
        </w:rPr>
      </w:pPr>
      <w:r w:rsidRPr="002B116D">
        <w:rPr>
          <w:rFonts w:ascii="Times New Roman" w:hAnsi="Times New Roman"/>
          <w:bCs/>
          <w:szCs w:val="22"/>
        </w:rPr>
        <w:t xml:space="preserve">štátni zamestnanci vo verejných funkciách, </w:t>
      </w:r>
    </w:p>
    <w:p w:rsidR="005318FA" w:rsidRPr="002B116D" w:rsidP="005318FA">
      <w:pPr>
        <w:numPr>
          <w:numId w:val="8"/>
        </w:numPr>
        <w:bidi w:val="0"/>
        <w:jc w:val="both"/>
        <w:rPr>
          <w:rFonts w:ascii="Times New Roman" w:hAnsi="Times New Roman"/>
          <w:bCs/>
          <w:szCs w:val="22"/>
        </w:rPr>
      </w:pPr>
      <w:r w:rsidRPr="002B116D">
        <w:rPr>
          <w:rFonts w:ascii="Times New Roman" w:hAnsi="Times New Roman"/>
          <w:bCs/>
          <w:szCs w:val="22"/>
        </w:rPr>
        <w:t xml:space="preserve">zamestnanci pri výkone práce vo verejnom záujme odmeňovaní podľa prílohy k zákonu č. 553/2003 Z. z. pre pedagogických zamestnancov a odborných zamestnancov a podľa prílohy pre učiteľov vysokých škôl, výskumných a vývojových zamestnancov a zdravotníckych zamestnancov, </w:t>
      </w:r>
    </w:p>
    <w:p w:rsidR="005318FA" w:rsidRPr="002B116D" w:rsidP="005318FA">
      <w:pPr>
        <w:numPr>
          <w:numId w:val="8"/>
        </w:numPr>
        <w:bidi w:val="0"/>
        <w:jc w:val="both"/>
        <w:rPr>
          <w:rFonts w:ascii="Times New Roman" w:hAnsi="Times New Roman"/>
          <w:bCs/>
          <w:szCs w:val="22"/>
        </w:rPr>
      </w:pPr>
      <w:r w:rsidRPr="002B116D">
        <w:rPr>
          <w:rFonts w:ascii="Times New Roman" w:hAnsi="Times New Roman"/>
          <w:bCs/>
          <w:szCs w:val="22"/>
        </w:rPr>
        <w:t xml:space="preserve">zamestnanci regionálneho školstva, </w:t>
      </w:r>
    </w:p>
    <w:p w:rsidR="005318FA" w:rsidRPr="002B116D" w:rsidP="005318FA">
      <w:pPr>
        <w:numPr>
          <w:numId w:val="8"/>
        </w:numPr>
        <w:bidi w:val="0"/>
        <w:jc w:val="both"/>
        <w:rPr>
          <w:rFonts w:ascii="Times New Roman" w:hAnsi="Times New Roman"/>
          <w:bCs/>
          <w:szCs w:val="22"/>
        </w:rPr>
      </w:pPr>
      <w:r w:rsidRPr="002B116D">
        <w:rPr>
          <w:rFonts w:ascii="Times New Roman" w:hAnsi="Times New Roman"/>
          <w:bCs/>
          <w:szCs w:val="22"/>
        </w:rPr>
        <w:t>zamestnanci finančnej správy Ministerstva financií SR,</w:t>
      </w:r>
    </w:p>
    <w:p w:rsidR="005318FA" w:rsidRPr="002B116D" w:rsidP="005318FA">
      <w:pPr>
        <w:numPr>
          <w:numId w:val="8"/>
        </w:numPr>
        <w:bidi w:val="0"/>
        <w:jc w:val="both"/>
        <w:rPr>
          <w:rFonts w:ascii="Times New Roman" w:hAnsi="Times New Roman"/>
          <w:bCs/>
          <w:szCs w:val="22"/>
        </w:rPr>
      </w:pPr>
      <w:r w:rsidRPr="002B116D">
        <w:rPr>
          <w:rFonts w:ascii="Times New Roman" w:hAnsi="Times New Roman"/>
          <w:bCs/>
          <w:szCs w:val="22"/>
        </w:rPr>
        <w:t xml:space="preserve">zamestnanci podriadených rozpočtových organizácií kapitoly Ministerstva práce, sociálnych vecí a rodiny SR zabezpečujúci sociálne služby a služby na úseku ústavnej starostlivosti. </w:t>
      </w:r>
    </w:p>
    <w:p w:rsidR="005318FA" w:rsidRPr="002B116D" w:rsidP="005318FA">
      <w:pPr>
        <w:bidi w:val="0"/>
        <w:jc w:val="both"/>
        <w:rPr>
          <w:rFonts w:ascii="Times New Roman" w:hAnsi="Times New Roman"/>
          <w:bCs/>
          <w:szCs w:val="22"/>
        </w:rPr>
      </w:pPr>
    </w:p>
    <w:p w:rsidR="005318FA" w:rsidRPr="00927D37" w:rsidP="005318FA">
      <w:pPr>
        <w:bidi w:val="0"/>
        <w:ind w:firstLine="708"/>
        <w:jc w:val="both"/>
        <w:rPr>
          <w:rFonts w:ascii="Times New Roman" w:hAnsi="Times New Roman"/>
          <w:bCs/>
          <w:szCs w:val="22"/>
        </w:rPr>
      </w:pPr>
      <w:r w:rsidRPr="003316AF">
        <w:rPr>
          <w:rFonts w:ascii="Times New Roman" w:hAnsi="Times New Roman"/>
          <w:bCs/>
          <w:szCs w:val="22"/>
        </w:rPr>
        <w:t>Pri ústavných činiteľoch (s výnimkou ústavných sudcov, sudcov a prokurátorov) a pri štátnych zamestn</w:t>
      </w:r>
      <w:r w:rsidRPr="003316AF" w:rsidR="00716B9E">
        <w:rPr>
          <w:rFonts w:ascii="Times New Roman" w:hAnsi="Times New Roman"/>
          <w:bCs/>
          <w:szCs w:val="22"/>
        </w:rPr>
        <w:t>ancoch vo verejných funkciách sa</w:t>
      </w:r>
      <w:r w:rsidRPr="003316AF">
        <w:rPr>
          <w:rFonts w:ascii="Times New Roman" w:hAnsi="Times New Roman"/>
          <w:bCs/>
          <w:szCs w:val="22"/>
        </w:rPr>
        <w:t xml:space="preserve"> v návrhu rozpočtu na celé tri roky </w:t>
      </w:r>
      <w:r w:rsidRPr="003316AF" w:rsidR="00716B9E">
        <w:rPr>
          <w:rFonts w:ascii="Times New Roman" w:hAnsi="Times New Roman"/>
          <w:bCs/>
          <w:szCs w:val="22"/>
        </w:rPr>
        <w:t xml:space="preserve">predpokladá zmrazenie </w:t>
      </w:r>
      <w:r w:rsidRPr="003316AF">
        <w:rPr>
          <w:rFonts w:ascii="Times New Roman" w:hAnsi="Times New Roman"/>
          <w:bCs/>
          <w:szCs w:val="22"/>
        </w:rPr>
        <w:t>ich plat</w:t>
      </w:r>
      <w:r w:rsidRPr="003316AF" w:rsidR="00716B9E">
        <w:rPr>
          <w:rFonts w:ascii="Times New Roman" w:hAnsi="Times New Roman"/>
          <w:bCs/>
          <w:szCs w:val="22"/>
        </w:rPr>
        <w:t>ov</w:t>
      </w:r>
      <w:r w:rsidRPr="003316AF">
        <w:rPr>
          <w:rFonts w:ascii="Times New Roman" w:hAnsi="Times New Roman"/>
          <w:bCs/>
          <w:szCs w:val="22"/>
        </w:rPr>
        <w:t xml:space="preserve"> na úrovni roka 2012. Pre ústavných sudcov, sudcov a prokurátorov sú v návrhu rozpočtu verejnej správy na roky 2013 až 2015 zabezpečené ich zákonné nároky zohľadňujúce prognózu vývoja priemernej nominálnej mesačnej mzdy zamestnanca v hospodárstve SR zo septembra 2012.</w:t>
      </w:r>
      <w:r w:rsidRPr="00927D37">
        <w:rPr>
          <w:rFonts w:ascii="Times New Roman" w:hAnsi="Times New Roman"/>
          <w:bCs/>
          <w:szCs w:val="22"/>
        </w:rPr>
        <w:t xml:space="preserve"> </w:t>
      </w:r>
    </w:p>
    <w:p w:rsidR="005318FA" w:rsidRPr="00960596" w:rsidP="005318FA">
      <w:pPr>
        <w:bidi w:val="0"/>
        <w:jc w:val="both"/>
        <w:rPr>
          <w:rFonts w:ascii="Times New Roman" w:hAnsi="Times New Roman"/>
          <w:bCs/>
          <w:color w:val="C00000"/>
          <w:szCs w:val="22"/>
        </w:rPr>
      </w:pPr>
    </w:p>
    <w:p w:rsidR="005318FA" w:rsidRPr="00927D37" w:rsidP="005318FA">
      <w:pPr>
        <w:bidi w:val="0"/>
        <w:jc w:val="both"/>
        <w:rPr>
          <w:rFonts w:ascii="Times New Roman" w:hAnsi="Times New Roman"/>
          <w:szCs w:val="22"/>
        </w:rPr>
      </w:pPr>
      <w:r w:rsidRPr="00960596">
        <w:rPr>
          <w:rFonts w:ascii="Times New Roman" w:hAnsi="Times New Roman"/>
          <w:bCs/>
          <w:color w:val="C00000"/>
          <w:szCs w:val="22"/>
        </w:rPr>
        <w:tab/>
      </w:r>
      <w:r w:rsidRPr="00927D37">
        <w:rPr>
          <w:rFonts w:ascii="Times New Roman" w:hAnsi="Times New Roman"/>
          <w:bCs/>
          <w:szCs w:val="22"/>
        </w:rPr>
        <w:t>Návrh r</w:t>
      </w:r>
      <w:r w:rsidRPr="00927D37">
        <w:rPr>
          <w:rFonts w:ascii="Times New Roman" w:hAnsi="Times New Roman"/>
          <w:szCs w:val="22"/>
        </w:rPr>
        <w:t>ozpočtu osobných výdavkov rozpočtových organizácií na rok 2013 predstavuje sumu 1 980 038 tis. eur (bez iných zdrojov) pre 127 81</w:t>
      </w:r>
      <w:r>
        <w:rPr>
          <w:rFonts w:ascii="Times New Roman" w:hAnsi="Times New Roman"/>
          <w:szCs w:val="22"/>
        </w:rPr>
        <w:t>4</w:t>
      </w:r>
      <w:r w:rsidRPr="00927D37">
        <w:rPr>
          <w:rFonts w:ascii="Times New Roman" w:hAnsi="Times New Roman"/>
          <w:szCs w:val="22"/>
        </w:rPr>
        <w:t xml:space="preserve"> zamestnancov, čo v porovnaní so schváleným rozpočtom na rok 2012 predstavuje pokles 0,2 %, t. j. 3 613 tis. eur. </w:t>
      </w:r>
    </w:p>
    <w:p w:rsidR="005318FA" w:rsidRPr="002B116D" w:rsidP="005318FA">
      <w:pPr>
        <w:bidi w:val="0"/>
        <w:jc w:val="both"/>
        <w:rPr>
          <w:rFonts w:ascii="Times New Roman" w:hAnsi="Times New Roman"/>
          <w:szCs w:val="22"/>
        </w:rPr>
      </w:pPr>
    </w:p>
    <w:p w:rsidR="005318FA" w:rsidP="005318FA">
      <w:pPr>
        <w:bidi w:val="0"/>
        <w:ind w:firstLine="708"/>
        <w:jc w:val="both"/>
        <w:rPr>
          <w:rFonts w:ascii="Times New Roman" w:hAnsi="Times New Roman"/>
          <w:szCs w:val="22"/>
        </w:rPr>
      </w:pPr>
      <w:r w:rsidRPr="00DC04D1">
        <w:rPr>
          <w:rFonts w:ascii="Times New Roman" w:hAnsi="Times New Roman"/>
          <w:szCs w:val="22"/>
        </w:rPr>
        <w:t>Rozhodujúcimi faktormi ovplyvňujúcimi medziročnú zmenu v osobných výdavkoch je  najmä:</w:t>
      </w:r>
    </w:p>
    <w:p w:rsidR="005318FA" w:rsidP="005318FA">
      <w:pPr>
        <w:numPr>
          <w:numId w:val="7"/>
        </w:numPr>
        <w:bidi w:val="0"/>
        <w:ind w:left="709" w:hanging="425"/>
        <w:jc w:val="both"/>
        <w:rPr>
          <w:rFonts w:ascii="Times New Roman" w:hAnsi="Times New Roman"/>
          <w:bCs/>
          <w:szCs w:val="22"/>
        </w:rPr>
      </w:pPr>
      <w:r w:rsidRPr="008E79D8">
        <w:rPr>
          <w:rFonts w:ascii="Times New Roman" w:hAnsi="Times New Roman"/>
          <w:bCs/>
          <w:szCs w:val="22"/>
        </w:rPr>
        <w:t>zníženie osobných výdavkov na úrovni 5 % u štátnych zamestnancov v štátnozamestnaneckom pomere a u zamestnancov pri výkone práce vo verejnom záujme vo väčšine kapitol štátneho rozpočtu a s osobitným prístupom k niektorým skupinám zamestnancov v sume 31 765 tis. eur, v tom výdavky na mzdy a platy v sume 23 767 tis. eur;</w:t>
      </w:r>
    </w:p>
    <w:p w:rsidR="005318FA" w:rsidP="005318FA">
      <w:pPr>
        <w:bidi w:val="0"/>
        <w:ind w:left="709"/>
        <w:jc w:val="both"/>
        <w:rPr>
          <w:rFonts w:ascii="Times New Roman" w:hAnsi="Times New Roman"/>
          <w:bCs/>
          <w:szCs w:val="22"/>
        </w:rPr>
      </w:pPr>
    </w:p>
    <w:p w:rsidR="005318FA" w:rsidP="005318FA">
      <w:pPr>
        <w:numPr>
          <w:numId w:val="7"/>
        </w:numPr>
        <w:bidi w:val="0"/>
        <w:ind w:left="709" w:hanging="425"/>
        <w:jc w:val="both"/>
        <w:rPr>
          <w:rFonts w:ascii="Times New Roman" w:hAnsi="Times New Roman"/>
          <w:bCs/>
          <w:szCs w:val="22"/>
        </w:rPr>
      </w:pPr>
      <w:r>
        <w:rPr>
          <w:rFonts w:ascii="Times New Roman" w:hAnsi="Times New Roman"/>
          <w:bCs/>
          <w:szCs w:val="22"/>
        </w:rPr>
        <w:t>zníženie osobných výdavkov v kapitole Štatistického úradu SR o 536 tis. eur, v tom mzdy a platy o 397 tis. eur v nadväznosti na ukončovanie prác súvisiacich so sčítaním obyvateľov, domov a bytov v roku 2011;</w:t>
      </w:r>
    </w:p>
    <w:p w:rsidR="005318FA" w:rsidP="005318FA">
      <w:pPr>
        <w:bidi w:val="0"/>
        <w:ind w:left="709"/>
        <w:jc w:val="both"/>
        <w:rPr>
          <w:rFonts w:ascii="Times New Roman" w:hAnsi="Times New Roman"/>
          <w:bCs/>
          <w:szCs w:val="22"/>
        </w:rPr>
      </w:pPr>
    </w:p>
    <w:p w:rsidR="005318FA" w:rsidRPr="0013265E" w:rsidP="005318FA">
      <w:pPr>
        <w:numPr>
          <w:numId w:val="7"/>
        </w:numPr>
        <w:bidi w:val="0"/>
        <w:ind w:left="709" w:hanging="425"/>
        <w:jc w:val="both"/>
        <w:rPr>
          <w:rFonts w:ascii="Times New Roman" w:hAnsi="Times New Roman"/>
          <w:bCs/>
          <w:szCs w:val="22"/>
        </w:rPr>
      </w:pPr>
      <w:r w:rsidRPr="00D226E9">
        <w:rPr>
          <w:rFonts w:ascii="Times New Roman" w:hAnsi="Times New Roman"/>
          <w:szCs w:val="22"/>
        </w:rPr>
        <w:t>rast platov ústavných sudcov, sudcov a prokurátorov vychádzajúci z prognózy Ministerstva financií SR z</w:t>
      </w:r>
      <w:r>
        <w:rPr>
          <w:rFonts w:ascii="Times New Roman" w:hAnsi="Times New Roman"/>
          <w:szCs w:val="22"/>
        </w:rPr>
        <w:t>o</w:t>
      </w:r>
      <w:r w:rsidRPr="00D226E9">
        <w:rPr>
          <w:rFonts w:ascii="Times New Roman" w:hAnsi="Times New Roman"/>
          <w:szCs w:val="22"/>
        </w:rPr>
        <w:t> </w:t>
      </w:r>
      <w:r>
        <w:rPr>
          <w:rFonts w:ascii="Times New Roman" w:hAnsi="Times New Roman"/>
          <w:szCs w:val="22"/>
        </w:rPr>
        <w:t>septembra</w:t>
      </w:r>
      <w:r w:rsidRPr="00D226E9">
        <w:rPr>
          <w:rFonts w:ascii="Times New Roman" w:hAnsi="Times New Roman"/>
          <w:szCs w:val="22"/>
        </w:rPr>
        <w:t xml:space="preserve"> tohto roka, na základe ktorej sa predpokladá rast priemernej mzdy v hospodárstve SR v roku 2013 na úrovni 2,4 %.</w:t>
      </w:r>
      <w:r w:rsidRPr="00927D37">
        <w:rPr>
          <w:rFonts w:ascii="Times New Roman" w:hAnsi="Times New Roman"/>
          <w:color w:val="C00000"/>
          <w:szCs w:val="22"/>
        </w:rPr>
        <w:t xml:space="preserve"> </w:t>
      </w:r>
      <w:r w:rsidRPr="0065425E">
        <w:rPr>
          <w:rFonts w:ascii="Times New Roman" w:hAnsi="Times New Roman"/>
          <w:szCs w:val="22"/>
        </w:rPr>
        <w:t xml:space="preserve">Medziročné zvýšenie osobných výdavkov ústavných sudcov, sudcov a prokurátorov predstavuje sumu 3 045 tis. eur, v tom výdavky na mzdy, platy, služobné príjmy a ostatné osobné vyrovnania sumu 2 363 tis. eur; </w:t>
      </w:r>
    </w:p>
    <w:p w:rsidR="005318FA" w:rsidP="005318FA">
      <w:pPr>
        <w:pStyle w:val="ListParagraph"/>
        <w:bidi w:val="0"/>
        <w:rPr>
          <w:rFonts w:ascii="Times New Roman" w:hAnsi="Times New Roman"/>
          <w:bCs/>
          <w:szCs w:val="22"/>
        </w:rPr>
      </w:pPr>
    </w:p>
    <w:p w:rsidR="005318FA" w:rsidP="005318FA">
      <w:pPr>
        <w:numPr>
          <w:numId w:val="7"/>
        </w:numPr>
        <w:bidi w:val="0"/>
        <w:ind w:left="709" w:hanging="425"/>
        <w:jc w:val="both"/>
        <w:rPr>
          <w:rFonts w:ascii="Times New Roman" w:hAnsi="Times New Roman"/>
          <w:bCs/>
          <w:szCs w:val="22"/>
        </w:rPr>
      </w:pPr>
      <w:r>
        <w:rPr>
          <w:rFonts w:ascii="Times New Roman" w:hAnsi="Times New Roman"/>
          <w:szCs w:val="22"/>
        </w:rPr>
        <w:t xml:space="preserve">zvýšenie osobných výdavkov v kapitole Ministerstva spravodlivosti SR </w:t>
      </w:r>
      <w:r w:rsidR="00517887">
        <w:rPr>
          <w:rFonts w:ascii="Times New Roman" w:hAnsi="Times New Roman"/>
          <w:szCs w:val="22"/>
        </w:rPr>
        <w:br/>
      </w:r>
      <w:r>
        <w:rPr>
          <w:rFonts w:ascii="Times New Roman" w:hAnsi="Times New Roman"/>
          <w:szCs w:val="22"/>
        </w:rPr>
        <w:t>o 3 670 tis. eur, v tom mzdy a platy v sume 2 777 tis. eur, v súlade so zvýšením počtu príslušníkov</w:t>
      </w:r>
      <w:r w:rsidRPr="00DD75F4">
        <w:rPr>
          <w:rFonts w:ascii="Times New Roman" w:hAnsi="Times New Roman"/>
          <w:szCs w:val="22"/>
        </w:rPr>
        <w:t xml:space="preserve"> Zboru väzenskej a justičnej stráže </w:t>
      </w:r>
      <w:r w:rsidRPr="00DD75F4">
        <w:rPr>
          <w:rFonts w:ascii="Times New Roman" w:hAnsi="Times New Roman"/>
          <w:bCs/>
          <w:szCs w:val="22"/>
        </w:rPr>
        <w:t>o 203 osôb z dôvodu nárastu počtu väznených osôb</w:t>
      </w:r>
      <w:r>
        <w:rPr>
          <w:rFonts w:ascii="Times New Roman" w:hAnsi="Times New Roman"/>
          <w:bCs/>
          <w:szCs w:val="22"/>
        </w:rPr>
        <w:t>;</w:t>
      </w:r>
    </w:p>
    <w:p w:rsidR="005318FA" w:rsidP="005318FA">
      <w:pPr>
        <w:bidi w:val="0"/>
        <w:jc w:val="both"/>
        <w:rPr>
          <w:rFonts w:ascii="Times New Roman" w:hAnsi="Times New Roman"/>
          <w:bCs/>
          <w:szCs w:val="22"/>
        </w:rPr>
      </w:pPr>
    </w:p>
    <w:p w:rsidR="005318FA" w:rsidRPr="00A07E0C" w:rsidP="005318FA">
      <w:pPr>
        <w:numPr>
          <w:numId w:val="7"/>
        </w:numPr>
        <w:bidi w:val="0"/>
        <w:ind w:left="709" w:hanging="425"/>
        <w:jc w:val="both"/>
        <w:rPr>
          <w:rFonts w:ascii="Times New Roman" w:hAnsi="Times New Roman"/>
          <w:bCs/>
          <w:szCs w:val="22"/>
        </w:rPr>
      </w:pPr>
      <w:r w:rsidRPr="005319BB">
        <w:rPr>
          <w:rFonts w:ascii="Times New Roman" w:hAnsi="Times New Roman"/>
          <w:szCs w:val="22"/>
        </w:rPr>
        <w:t>zvýšenie osobných výdavkov v kapitole Štatistického úradu SR o </w:t>
      </w:r>
      <w:r>
        <w:rPr>
          <w:rFonts w:ascii="Times New Roman" w:hAnsi="Times New Roman"/>
          <w:szCs w:val="22"/>
        </w:rPr>
        <w:t>749</w:t>
      </w:r>
      <w:r w:rsidRPr="005319BB">
        <w:rPr>
          <w:rFonts w:ascii="Times New Roman" w:hAnsi="Times New Roman"/>
          <w:szCs w:val="22"/>
        </w:rPr>
        <w:t xml:space="preserve"> tis. eur, v tom </w:t>
      </w:r>
      <w:r>
        <w:rPr>
          <w:rFonts w:ascii="Times New Roman" w:hAnsi="Times New Roman"/>
          <w:szCs w:val="22"/>
        </w:rPr>
        <w:t xml:space="preserve">vrátenie 5% viazania osobných výdavkov za voľby a sčítanie obyvateľov, domov a bytov v sume 49 tis. eur (v tom mzdy a platy v sume 36 tis. eur), poistné na zabezpečenie novely zákona o sociálnom poistení v sume 550 tis. eur a premietnutie rozpočtových opatrení z predchádzajúcich rokov v sume 150 tis. eur (v tom mzdy a platy v sume 111 tis. eur); </w:t>
      </w:r>
    </w:p>
    <w:p w:rsidR="005318FA" w:rsidRPr="005319BB" w:rsidP="005318FA">
      <w:pPr>
        <w:bidi w:val="0"/>
        <w:jc w:val="both"/>
        <w:rPr>
          <w:rFonts w:ascii="Times New Roman" w:hAnsi="Times New Roman"/>
          <w:bCs/>
          <w:szCs w:val="22"/>
        </w:rPr>
      </w:pPr>
    </w:p>
    <w:p w:rsidR="005318FA" w:rsidRPr="00A07E0C" w:rsidP="005318FA">
      <w:pPr>
        <w:numPr>
          <w:numId w:val="7"/>
        </w:numPr>
        <w:bidi w:val="0"/>
        <w:ind w:left="709" w:hanging="425"/>
        <w:jc w:val="both"/>
        <w:rPr>
          <w:rFonts w:ascii="Times New Roman" w:hAnsi="Times New Roman"/>
          <w:bCs/>
          <w:szCs w:val="22"/>
        </w:rPr>
      </w:pPr>
      <w:r w:rsidRPr="002C580D">
        <w:rPr>
          <w:rFonts w:ascii="Times New Roman" w:hAnsi="Times New Roman"/>
          <w:szCs w:val="22"/>
        </w:rPr>
        <w:t>zvýšenie osobných výdavkov v</w:t>
      </w:r>
      <w:r>
        <w:rPr>
          <w:rFonts w:ascii="Times New Roman" w:hAnsi="Times New Roman"/>
          <w:szCs w:val="22"/>
        </w:rPr>
        <w:t xml:space="preserve"> kapitole Úradu pre reguláciu sieťových odvetví </w:t>
      </w:r>
      <w:r w:rsidR="00517887">
        <w:rPr>
          <w:rFonts w:ascii="Times New Roman" w:hAnsi="Times New Roman"/>
          <w:szCs w:val="22"/>
        </w:rPr>
        <w:br/>
      </w:r>
      <w:r>
        <w:rPr>
          <w:rFonts w:ascii="Times New Roman" w:hAnsi="Times New Roman"/>
          <w:szCs w:val="22"/>
        </w:rPr>
        <w:t>o 356</w:t>
      </w:r>
      <w:r w:rsidRPr="002C580D">
        <w:rPr>
          <w:rFonts w:ascii="Times New Roman" w:hAnsi="Times New Roman"/>
          <w:szCs w:val="22"/>
        </w:rPr>
        <w:t xml:space="preserve"> tis. eur, v tom mzdy a platy v sume  </w:t>
      </w:r>
      <w:r>
        <w:rPr>
          <w:rFonts w:ascii="Times New Roman" w:hAnsi="Times New Roman"/>
          <w:szCs w:val="22"/>
        </w:rPr>
        <w:t xml:space="preserve">260 </w:t>
      </w:r>
      <w:r w:rsidRPr="002C580D">
        <w:rPr>
          <w:rFonts w:ascii="Times New Roman" w:hAnsi="Times New Roman"/>
          <w:szCs w:val="22"/>
        </w:rPr>
        <w:t>tis. eur</w:t>
      </w:r>
      <w:r>
        <w:rPr>
          <w:rFonts w:ascii="Times New Roman" w:hAnsi="Times New Roman"/>
          <w:szCs w:val="22"/>
        </w:rPr>
        <w:t xml:space="preserve"> na platové náležitosti zvýšeného počtu zamestnancov o 19 osôb na realizáciu novely z</w:t>
      </w:r>
      <w:r w:rsidR="00517887">
        <w:rPr>
          <w:rFonts w:ascii="Times New Roman" w:hAnsi="Times New Roman"/>
          <w:szCs w:val="22"/>
        </w:rPr>
        <w:t xml:space="preserve">ákona č. 250/2012 Z. z. </w:t>
      </w:r>
      <w:r>
        <w:rPr>
          <w:rFonts w:ascii="Times New Roman" w:hAnsi="Times New Roman"/>
          <w:szCs w:val="22"/>
        </w:rPr>
        <w:t>o regulácii v sieťových odvetviach</w:t>
      </w:r>
      <w:r w:rsidRPr="002C580D">
        <w:rPr>
          <w:rFonts w:ascii="Times New Roman" w:hAnsi="Times New Roman"/>
          <w:szCs w:val="22"/>
        </w:rPr>
        <w:t xml:space="preserve">; </w:t>
      </w:r>
    </w:p>
    <w:p w:rsidR="005318FA" w:rsidRPr="00A34E7B" w:rsidP="005318FA">
      <w:pPr>
        <w:bidi w:val="0"/>
        <w:jc w:val="both"/>
        <w:rPr>
          <w:rFonts w:ascii="Times New Roman" w:hAnsi="Times New Roman"/>
          <w:bCs/>
          <w:szCs w:val="22"/>
        </w:rPr>
      </w:pPr>
    </w:p>
    <w:p w:rsidR="005318FA" w:rsidRPr="00A07E0C" w:rsidP="005318FA">
      <w:pPr>
        <w:numPr>
          <w:numId w:val="7"/>
        </w:numPr>
        <w:bidi w:val="0"/>
        <w:ind w:left="709" w:hanging="425"/>
        <w:jc w:val="both"/>
        <w:rPr>
          <w:rFonts w:ascii="Times New Roman" w:hAnsi="Times New Roman"/>
          <w:bCs/>
          <w:szCs w:val="22"/>
        </w:rPr>
      </w:pPr>
      <w:r>
        <w:rPr>
          <w:rFonts w:ascii="Times New Roman" w:hAnsi="Times New Roman"/>
          <w:szCs w:val="22"/>
        </w:rPr>
        <w:t xml:space="preserve">zvýšenie osobných výdavkov v kapitole Ministerstva financií SR o 322 tis. eur, v tom mzdy a platy v sume 239 tis. eur, na </w:t>
      </w:r>
      <w:r w:rsidRPr="00C53072">
        <w:rPr>
          <w:rFonts w:ascii="Times New Roman" w:hAnsi="Times New Roman"/>
          <w:szCs w:val="22"/>
        </w:rPr>
        <w:t>zabezpečenie činnosti špecializovanej jednotky pre riešenie počítačových incidentov DataCentr</w:t>
      </w:r>
      <w:r>
        <w:rPr>
          <w:rFonts w:ascii="Times New Roman" w:hAnsi="Times New Roman"/>
          <w:szCs w:val="22"/>
        </w:rPr>
        <w:t>um</w:t>
      </w:r>
      <w:r w:rsidRPr="00C53072">
        <w:rPr>
          <w:rFonts w:ascii="Times New Roman" w:hAnsi="Times New Roman"/>
          <w:szCs w:val="22"/>
        </w:rPr>
        <w:t xml:space="preserve">; </w:t>
      </w:r>
    </w:p>
    <w:p w:rsidR="005318FA" w:rsidRPr="00797776" w:rsidP="005318FA">
      <w:pPr>
        <w:bidi w:val="0"/>
        <w:jc w:val="both"/>
        <w:rPr>
          <w:rFonts w:ascii="Times New Roman" w:hAnsi="Times New Roman"/>
          <w:bCs/>
          <w:szCs w:val="22"/>
        </w:rPr>
      </w:pPr>
    </w:p>
    <w:p w:rsidR="005318FA" w:rsidRPr="00A07E0C" w:rsidP="005318FA">
      <w:pPr>
        <w:numPr>
          <w:numId w:val="7"/>
        </w:numPr>
        <w:bidi w:val="0"/>
        <w:ind w:left="709" w:hanging="425"/>
        <w:jc w:val="both"/>
        <w:rPr>
          <w:rFonts w:ascii="Times New Roman" w:hAnsi="Times New Roman"/>
          <w:bCs/>
          <w:szCs w:val="22"/>
        </w:rPr>
      </w:pPr>
      <w:r>
        <w:rPr>
          <w:rFonts w:ascii="Times New Roman" w:hAnsi="Times New Roman"/>
          <w:szCs w:val="22"/>
        </w:rPr>
        <w:t xml:space="preserve">čiastočné vrátenie 5% viazania </w:t>
      </w:r>
      <w:r w:rsidRPr="002C580D">
        <w:rPr>
          <w:rFonts w:ascii="Times New Roman" w:hAnsi="Times New Roman"/>
          <w:szCs w:val="22"/>
        </w:rPr>
        <w:t xml:space="preserve">osobných výdavkov v kapitole </w:t>
      </w:r>
      <w:r>
        <w:rPr>
          <w:rFonts w:ascii="Times New Roman" w:hAnsi="Times New Roman"/>
          <w:szCs w:val="22"/>
        </w:rPr>
        <w:t xml:space="preserve">Najvyššieho kontrolného úradu </w:t>
      </w:r>
      <w:r w:rsidRPr="002C580D">
        <w:rPr>
          <w:rFonts w:ascii="Times New Roman" w:hAnsi="Times New Roman"/>
          <w:szCs w:val="22"/>
        </w:rPr>
        <w:t xml:space="preserve">SR </w:t>
      </w:r>
      <w:r>
        <w:rPr>
          <w:rFonts w:ascii="Times New Roman" w:hAnsi="Times New Roman"/>
          <w:szCs w:val="22"/>
        </w:rPr>
        <w:t>v sume 266</w:t>
      </w:r>
      <w:r w:rsidRPr="002C580D">
        <w:rPr>
          <w:rFonts w:ascii="Times New Roman" w:hAnsi="Times New Roman"/>
          <w:szCs w:val="22"/>
        </w:rPr>
        <w:t xml:space="preserve"> tis. eur</w:t>
      </w:r>
      <w:r>
        <w:rPr>
          <w:rFonts w:ascii="Times New Roman" w:hAnsi="Times New Roman"/>
          <w:szCs w:val="22"/>
        </w:rPr>
        <w:t xml:space="preserve"> (z viazania v sume 295 tis. eur)</w:t>
      </w:r>
      <w:r w:rsidRPr="002C580D">
        <w:rPr>
          <w:rFonts w:ascii="Times New Roman" w:hAnsi="Times New Roman"/>
          <w:szCs w:val="22"/>
        </w:rPr>
        <w:t xml:space="preserve">, v tom mzdy a platy v sume  </w:t>
      </w:r>
      <w:r>
        <w:rPr>
          <w:rFonts w:ascii="Times New Roman" w:hAnsi="Times New Roman"/>
          <w:szCs w:val="22"/>
        </w:rPr>
        <w:t>197</w:t>
      </w:r>
      <w:r w:rsidRPr="002C580D">
        <w:rPr>
          <w:rFonts w:ascii="Times New Roman" w:hAnsi="Times New Roman"/>
          <w:szCs w:val="22"/>
        </w:rPr>
        <w:t xml:space="preserve"> tis. eur</w:t>
      </w:r>
      <w:r>
        <w:rPr>
          <w:rFonts w:ascii="Times New Roman" w:hAnsi="Times New Roman"/>
          <w:szCs w:val="22"/>
        </w:rPr>
        <w:t>,</w:t>
      </w:r>
      <w:r w:rsidRPr="002C580D">
        <w:rPr>
          <w:rFonts w:ascii="Times New Roman" w:hAnsi="Times New Roman"/>
          <w:szCs w:val="22"/>
        </w:rPr>
        <w:t xml:space="preserve"> </w:t>
      </w:r>
      <w:r>
        <w:rPr>
          <w:rFonts w:ascii="Times New Roman" w:hAnsi="Times New Roman"/>
          <w:szCs w:val="22"/>
        </w:rPr>
        <w:t>v súlade s rozhodnutím Výboru NR SR;</w:t>
      </w:r>
    </w:p>
    <w:p w:rsidR="005318FA" w:rsidRPr="002C580D" w:rsidP="005318FA">
      <w:pPr>
        <w:bidi w:val="0"/>
        <w:jc w:val="both"/>
        <w:rPr>
          <w:rFonts w:ascii="Times New Roman" w:hAnsi="Times New Roman"/>
          <w:bCs/>
          <w:szCs w:val="22"/>
        </w:rPr>
      </w:pPr>
    </w:p>
    <w:p w:rsidR="005318FA" w:rsidRPr="00A07E0C" w:rsidP="005318FA">
      <w:pPr>
        <w:numPr>
          <w:numId w:val="7"/>
        </w:numPr>
        <w:bidi w:val="0"/>
        <w:ind w:left="709" w:hanging="425"/>
        <w:jc w:val="both"/>
        <w:rPr>
          <w:rFonts w:ascii="Times New Roman" w:hAnsi="Times New Roman"/>
          <w:bCs/>
          <w:szCs w:val="22"/>
        </w:rPr>
      </w:pPr>
      <w:r>
        <w:rPr>
          <w:rFonts w:ascii="Times New Roman" w:hAnsi="Times New Roman"/>
          <w:szCs w:val="22"/>
        </w:rPr>
        <w:t xml:space="preserve">zvýšenie osobných výdavkov v kapitole Ministerstva kultúry SR o </w:t>
      </w:r>
      <w:r w:rsidRPr="00DD75F4">
        <w:rPr>
          <w:rFonts w:ascii="Times New Roman" w:hAnsi="Times New Roman"/>
          <w:szCs w:val="22"/>
        </w:rPr>
        <w:t>271 tis. eur, v tom mzdy a platy v sume 201 tis. eur</w:t>
      </w:r>
      <w:r>
        <w:rPr>
          <w:rFonts w:ascii="Times New Roman" w:hAnsi="Times New Roman"/>
          <w:szCs w:val="22"/>
        </w:rPr>
        <w:t>, v súvislosti s metodickou zmenou týkajúcou sa presunu kompetencií z dvoch príspevkových organizácií</w:t>
      </w:r>
      <w:r w:rsidRPr="00DD75F4">
        <w:rPr>
          <w:rFonts w:ascii="Times New Roman" w:hAnsi="Times New Roman"/>
          <w:szCs w:val="22"/>
        </w:rPr>
        <w:t xml:space="preserve"> do aparátu </w:t>
      </w:r>
      <w:r>
        <w:rPr>
          <w:rFonts w:ascii="Times New Roman" w:hAnsi="Times New Roman"/>
          <w:szCs w:val="22"/>
        </w:rPr>
        <w:t xml:space="preserve">úradu </w:t>
      </w:r>
      <w:r w:rsidRPr="00DD75F4">
        <w:rPr>
          <w:rFonts w:ascii="Times New Roman" w:hAnsi="Times New Roman"/>
          <w:szCs w:val="22"/>
        </w:rPr>
        <w:t>z roku 2012</w:t>
      </w:r>
      <w:r>
        <w:rPr>
          <w:rFonts w:ascii="Times New Roman" w:hAnsi="Times New Roman"/>
          <w:szCs w:val="22"/>
        </w:rPr>
        <w:t>;</w:t>
      </w:r>
      <w:r w:rsidRPr="00DD75F4">
        <w:rPr>
          <w:rFonts w:ascii="Times New Roman" w:hAnsi="Times New Roman"/>
          <w:szCs w:val="22"/>
        </w:rPr>
        <w:t xml:space="preserve"> </w:t>
      </w:r>
    </w:p>
    <w:p w:rsidR="005318FA" w:rsidRPr="002469F4" w:rsidP="005318FA">
      <w:pPr>
        <w:bidi w:val="0"/>
        <w:jc w:val="both"/>
        <w:rPr>
          <w:rFonts w:ascii="Times New Roman" w:hAnsi="Times New Roman"/>
          <w:bCs/>
          <w:szCs w:val="22"/>
        </w:rPr>
      </w:pPr>
    </w:p>
    <w:p w:rsidR="005318FA" w:rsidRPr="00A07E0C" w:rsidP="005318FA">
      <w:pPr>
        <w:numPr>
          <w:numId w:val="7"/>
        </w:numPr>
        <w:bidi w:val="0"/>
        <w:ind w:left="709" w:hanging="425"/>
        <w:jc w:val="both"/>
        <w:rPr>
          <w:rFonts w:ascii="Times New Roman" w:hAnsi="Times New Roman"/>
          <w:bCs/>
          <w:szCs w:val="22"/>
        </w:rPr>
      </w:pPr>
      <w:r w:rsidRPr="00A07E0C">
        <w:rPr>
          <w:rFonts w:ascii="Times New Roman" w:hAnsi="Times New Roman"/>
          <w:szCs w:val="22"/>
        </w:rPr>
        <w:t xml:space="preserve">zvýšenie výdavkov na mzdy a platy v kapitole Úradu jadrového dozoru SR </w:t>
      </w:r>
      <w:r w:rsidR="00517887">
        <w:rPr>
          <w:rFonts w:ascii="Times New Roman" w:hAnsi="Times New Roman"/>
          <w:szCs w:val="22"/>
        </w:rPr>
        <w:br/>
      </w:r>
      <w:r w:rsidRPr="00A07E0C">
        <w:rPr>
          <w:rFonts w:ascii="Times New Roman" w:hAnsi="Times New Roman"/>
          <w:szCs w:val="22"/>
        </w:rPr>
        <w:t xml:space="preserve">o 160 tis. eur na zvýšený počet zamestnancov o 5 inšpektorov; </w:t>
      </w:r>
    </w:p>
    <w:p w:rsidR="005318FA" w:rsidRPr="00A07E0C" w:rsidP="005318FA">
      <w:pPr>
        <w:bidi w:val="0"/>
        <w:jc w:val="both"/>
        <w:rPr>
          <w:rFonts w:ascii="Times New Roman" w:hAnsi="Times New Roman"/>
          <w:bCs/>
          <w:szCs w:val="22"/>
        </w:rPr>
      </w:pPr>
    </w:p>
    <w:p w:rsidR="005318FA" w:rsidRPr="00A07E0C" w:rsidP="005318FA">
      <w:pPr>
        <w:numPr>
          <w:numId w:val="7"/>
        </w:numPr>
        <w:bidi w:val="0"/>
        <w:ind w:left="709" w:hanging="425"/>
        <w:jc w:val="both"/>
        <w:rPr>
          <w:rFonts w:ascii="Times New Roman" w:hAnsi="Times New Roman"/>
          <w:bCs/>
          <w:szCs w:val="22"/>
        </w:rPr>
      </w:pPr>
      <w:r>
        <w:rPr>
          <w:rFonts w:ascii="Times New Roman" w:hAnsi="Times New Roman"/>
          <w:szCs w:val="22"/>
        </w:rPr>
        <w:t xml:space="preserve">zvýšenie osobných výdavkov v kapitole </w:t>
      </w:r>
      <w:r w:rsidRPr="002C580D">
        <w:rPr>
          <w:rFonts w:ascii="Times New Roman" w:hAnsi="Times New Roman"/>
          <w:szCs w:val="22"/>
        </w:rPr>
        <w:t xml:space="preserve">Kancelárie Ústavného súdu SR </w:t>
      </w:r>
      <w:r>
        <w:rPr>
          <w:rFonts w:ascii="Times New Roman" w:hAnsi="Times New Roman"/>
          <w:szCs w:val="22"/>
        </w:rPr>
        <w:t xml:space="preserve">o 51 tis. eur, v tom </w:t>
      </w:r>
      <w:r w:rsidRPr="002C580D">
        <w:rPr>
          <w:rFonts w:ascii="Times New Roman" w:hAnsi="Times New Roman"/>
          <w:szCs w:val="22"/>
        </w:rPr>
        <w:t>mzdy a platy v sume 38 tis. eur</w:t>
      </w:r>
      <w:r>
        <w:rPr>
          <w:rFonts w:ascii="Times New Roman" w:hAnsi="Times New Roman"/>
          <w:szCs w:val="22"/>
        </w:rPr>
        <w:t xml:space="preserve">, </w:t>
      </w:r>
      <w:r w:rsidRPr="002C580D">
        <w:rPr>
          <w:rFonts w:ascii="Times New Roman" w:hAnsi="Times New Roman"/>
          <w:szCs w:val="22"/>
        </w:rPr>
        <w:t>na zabezpečenie funkčnosti Ústavného súdu SR vrátane zabezpečenia činnosti detašo</w:t>
      </w:r>
      <w:r>
        <w:rPr>
          <w:rFonts w:ascii="Times New Roman" w:hAnsi="Times New Roman"/>
          <w:szCs w:val="22"/>
        </w:rPr>
        <w:t>vaného pracoviska v Bratislave</w:t>
      </w:r>
      <w:r w:rsidRPr="002C580D">
        <w:rPr>
          <w:rFonts w:ascii="Times New Roman" w:hAnsi="Times New Roman"/>
          <w:szCs w:val="22"/>
        </w:rPr>
        <w:t xml:space="preserve"> </w:t>
      </w:r>
      <w:r>
        <w:rPr>
          <w:rFonts w:ascii="Times New Roman" w:hAnsi="Times New Roman"/>
          <w:szCs w:val="22"/>
        </w:rPr>
        <w:t xml:space="preserve">súvisiace s </w:t>
      </w:r>
      <w:r w:rsidRPr="002C580D">
        <w:rPr>
          <w:rFonts w:ascii="Times New Roman" w:hAnsi="Times New Roman"/>
          <w:szCs w:val="22"/>
        </w:rPr>
        <w:t>rozpočtov</w:t>
      </w:r>
      <w:r>
        <w:rPr>
          <w:rFonts w:ascii="Times New Roman" w:hAnsi="Times New Roman"/>
          <w:szCs w:val="22"/>
        </w:rPr>
        <w:t>ým</w:t>
      </w:r>
      <w:r w:rsidRPr="002C580D">
        <w:rPr>
          <w:rFonts w:ascii="Times New Roman" w:hAnsi="Times New Roman"/>
          <w:szCs w:val="22"/>
        </w:rPr>
        <w:t xml:space="preserve"> opatren</w:t>
      </w:r>
      <w:r>
        <w:rPr>
          <w:rFonts w:ascii="Times New Roman" w:hAnsi="Times New Roman"/>
          <w:szCs w:val="22"/>
        </w:rPr>
        <w:t>ím</w:t>
      </w:r>
      <w:r w:rsidRPr="002C580D">
        <w:rPr>
          <w:rFonts w:ascii="Times New Roman" w:hAnsi="Times New Roman"/>
          <w:szCs w:val="22"/>
        </w:rPr>
        <w:t xml:space="preserve"> č. 1 z roku 2012</w:t>
      </w:r>
      <w:r>
        <w:rPr>
          <w:rFonts w:ascii="Times New Roman" w:hAnsi="Times New Roman"/>
          <w:szCs w:val="22"/>
        </w:rPr>
        <w:t>;</w:t>
      </w:r>
    </w:p>
    <w:p w:rsidR="005318FA" w:rsidRPr="00013832" w:rsidP="005318FA">
      <w:pPr>
        <w:bidi w:val="0"/>
        <w:jc w:val="both"/>
        <w:rPr>
          <w:rFonts w:ascii="Times New Roman" w:hAnsi="Times New Roman"/>
          <w:bCs/>
          <w:szCs w:val="22"/>
        </w:rPr>
      </w:pPr>
    </w:p>
    <w:p w:rsidR="005318FA" w:rsidRPr="002C580D" w:rsidP="005318FA">
      <w:pPr>
        <w:numPr>
          <w:numId w:val="7"/>
        </w:numPr>
        <w:bidi w:val="0"/>
        <w:ind w:left="709" w:hanging="425"/>
        <w:jc w:val="both"/>
        <w:rPr>
          <w:rFonts w:ascii="Times New Roman" w:hAnsi="Times New Roman"/>
          <w:bCs/>
          <w:szCs w:val="22"/>
        </w:rPr>
      </w:pPr>
      <w:r w:rsidRPr="002C580D">
        <w:rPr>
          <w:rFonts w:ascii="Times New Roman" w:hAnsi="Times New Roman"/>
          <w:szCs w:val="22"/>
        </w:rPr>
        <w:t xml:space="preserve">zvýšenie výdavkov </w:t>
      </w:r>
      <w:r>
        <w:rPr>
          <w:rFonts w:ascii="Times New Roman" w:hAnsi="Times New Roman"/>
          <w:szCs w:val="22"/>
        </w:rPr>
        <w:t xml:space="preserve">na mzdy a platy </w:t>
      </w:r>
      <w:r w:rsidRPr="002C580D">
        <w:rPr>
          <w:rFonts w:ascii="Times New Roman" w:hAnsi="Times New Roman"/>
          <w:szCs w:val="22"/>
        </w:rPr>
        <w:t xml:space="preserve">v kapitole </w:t>
      </w:r>
      <w:r>
        <w:rPr>
          <w:rFonts w:ascii="Times New Roman" w:hAnsi="Times New Roman"/>
          <w:szCs w:val="22"/>
        </w:rPr>
        <w:t xml:space="preserve">Úradu pre normalizáciu, metrológiu a skúšobníctvo </w:t>
      </w:r>
      <w:r w:rsidRPr="002C580D">
        <w:rPr>
          <w:rFonts w:ascii="Times New Roman" w:hAnsi="Times New Roman"/>
          <w:szCs w:val="22"/>
        </w:rPr>
        <w:t xml:space="preserve">SR </w:t>
      </w:r>
      <w:r>
        <w:rPr>
          <w:rFonts w:ascii="Times New Roman" w:hAnsi="Times New Roman"/>
          <w:szCs w:val="22"/>
        </w:rPr>
        <w:t>o</w:t>
      </w:r>
      <w:r w:rsidRPr="002C580D">
        <w:rPr>
          <w:rFonts w:ascii="Times New Roman" w:hAnsi="Times New Roman"/>
          <w:szCs w:val="22"/>
        </w:rPr>
        <w:t xml:space="preserve"> </w:t>
      </w:r>
      <w:r>
        <w:rPr>
          <w:rFonts w:ascii="Times New Roman" w:hAnsi="Times New Roman"/>
          <w:szCs w:val="22"/>
        </w:rPr>
        <w:t>40</w:t>
      </w:r>
      <w:r w:rsidRPr="002C580D">
        <w:rPr>
          <w:rFonts w:ascii="Times New Roman" w:hAnsi="Times New Roman"/>
          <w:szCs w:val="22"/>
        </w:rPr>
        <w:t xml:space="preserve"> tis. eur</w:t>
      </w:r>
      <w:r>
        <w:rPr>
          <w:rFonts w:ascii="Times New Roman" w:hAnsi="Times New Roman"/>
          <w:szCs w:val="22"/>
        </w:rPr>
        <w:t xml:space="preserve"> </w:t>
      </w:r>
      <w:r w:rsidRPr="002C580D">
        <w:rPr>
          <w:rFonts w:ascii="Times New Roman" w:hAnsi="Times New Roman"/>
          <w:szCs w:val="22"/>
        </w:rPr>
        <w:t xml:space="preserve">na zabezpečenie </w:t>
      </w:r>
      <w:r>
        <w:rPr>
          <w:rFonts w:ascii="Times New Roman" w:hAnsi="Times New Roman"/>
          <w:szCs w:val="22"/>
        </w:rPr>
        <w:t>platových náležitostí 3 inšpektorov;</w:t>
      </w:r>
      <w:r w:rsidRPr="002C580D">
        <w:rPr>
          <w:rFonts w:ascii="Times New Roman" w:hAnsi="Times New Roman"/>
          <w:szCs w:val="22"/>
        </w:rPr>
        <w:t xml:space="preserve"> </w:t>
      </w:r>
    </w:p>
    <w:p w:rsidR="005318FA" w:rsidRPr="00927D37" w:rsidP="005318FA">
      <w:pPr>
        <w:bidi w:val="0"/>
        <w:jc w:val="both"/>
        <w:rPr>
          <w:rFonts w:ascii="Times New Roman" w:hAnsi="Times New Roman"/>
          <w:color w:val="C00000"/>
          <w:szCs w:val="22"/>
        </w:rPr>
      </w:pPr>
    </w:p>
    <w:p w:rsidR="005318FA" w:rsidRPr="00593266" w:rsidP="005318FA">
      <w:pPr>
        <w:bidi w:val="0"/>
        <w:ind w:firstLine="709"/>
        <w:jc w:val="both"/>
        <w:rPr>
          <w:rFonts w:ascii="Times New Roman" w:hAnsi="Times New Roman"/>
          <w:szCs w:val="22"/>
        </w:rPr>
      </w:pPr>
      <w:r w:rsidRPr="00593266">
        <w:rPr>
          <w:rFonts w:ascii="Times New Roman" w:hAnsi="Times New Roman"/>
          <w:szCs w:val="22"/>
        </w:rPr>
        <w:t xml:space="preserve">Úroveň rozpočtovaného priemerného mzdového výdavku zamestnanca rozpočtových organizácií a osobitne aparátov jednotlivých kapitol štátneho rozpočtu je diferencovaná. Rozdielnosť je spôsobená predovšetkým štruktúrou zamestnancov odmeňovaných podľa aplikovaných odmeňovacích predpisov, štruktúrou funkcií v rámci jedného odmeňovacieho predpisu, vekovou štruktúrou zamestnancov, jednorazovým rozhodnutím o zlepšení mzdových podmienok realizovaných v minulosti a v posledných rokoch najmä v aparátoch ústredných orgánov aj zahrnutím tzv. administratívnych kapacít, ktorých osobné výdavky majú byť v plnej miere zabezpečené z refundovaných mzdových prostriedkov do záväzného limitu počtu zamestnancov kapitoly. Vychádzajúc zo skutočného neplnenia limitu počtu zamestnancov v predchádzajúcich rokoch (oscilujúceho na úrovni  cca 5 %; za I. polrok 2012 na úrovni 5,4 %), pri zohľadnení čerpania finančných prostriedkov zo zdrojov Európskej únie a čerpania mimorozpočtových prostriedkov v sume zodpovedajúcej úrovni roku 2011, v roku 2013 je po zohľadnení sumy výdavkov rozpočtovaných v kapitole Všeobecná pokladničná správa možné očakávať dosiahnutie priemerného mzdového výdavku na úrovni 1 036,37 eur.   </w:t>
      </w:r>
    </w:p>
    <w:p w:rsidR="005318FA" w:rsidRPr="00927D37" w:rsidP="005318FA">
      <w:pPr>
        <w:bidi w:val="0"/>
        <w:rPr>
          <w:rFonts w:ascii="Times New Roman" w:hAnsi="Times New Roman"/>
          <w:bCs/>
          <w:color w:val="C00000"/>
          <w:szCs w:val="22"/>
          <w:u w:val="single"/>
        </w:rPr>
      </w:pPr>
    </w:p>
    <w:p w:rsidR="005318FA" w:rsidRPr="0060209C" w:rsidP="005318FA">
      <w:pPr>
        <w:bidi w:val="0"/>
        <w:ind w:firstLine="708"/>
        <w:rPr>
          <w:rFonts w:ascii="Times New Roman" w:hAnsi="Times New Roman"/>
          <w:bCs/>
          <w:szCs w:val="22"/>
          <w:u w:val="single"/>
        </w:rPr>
      </w:pPr>
      <w:r w:rsidRPr="0060209C">
        <w:rPr>
          <w:rFonts w:ascii="Times New Roman" w:hAnsi="Times New Roman"/>
          <w:bCs/>
          <w:szCs w:val="22"/>
          <w:u w:val="single"/>
        </w:rPr>
        <w:t xml:space="preserve">Osobné výdavky štátnych príspevkových organizácií </w:t>
      </w:r>
    </w:p>
    <w:p w:rsidR="005318FA" w:rsidRPr="0060209C" w:rsidP="005318FA">
      <w:pPr>
        <w:bidi w:val="0"/>
        <w:ind w:firstLine="708"/>
        <w:rPr>
          <w:rFonts w:ascii="Times New Roman" w:hAnsi="Times New Roman"/>
          <w:szCs w:val="22"/>
        </w:rPr>
      </w:pPr>
    </w:p>
    <w:p w:rsidR="005318FA" w:rsidP="005318FA">
      <w:pPr>
        <w:bidi w:val="0"/>
        <w:ind w:firstLine="708"/>
        <w:jc w:val="both"/>
        <w:rPr>
          <w:rFonts w:ascii="Times New Roman" w:hAnsi="Times New Roman"/>
          <w:color w:val="C00000"/>
          <w:szCs w:val="22"/>
        </w:rPr>
      </w:pPr>
      <w:r w:rsidRPr="0060209C">
        <w:rPr>
          <w:rFonts w:ascii="Times New Roman" w:hAnsi="Times New Roman"/>
          <w:szCs w:val="22"/>
        </w:rPr>
        <w:t>Rozpočet osobných výdavkov štátnych príspevkových organizácií na rok 2013 predstavuje sumu 122 557 tis. eur</w:t>
      </w:r>
      <w:r w:rsidRPr="00593266">
        <w:rPr>
          <w:rFonts w:ascii="Times New Roman" w:hAnsi="Times New Roman"/>
          <w:color w:val="C00000"/>
          <w:szCs w:val="22"/>
        </w:rPr>
        <w:t xml:space="preserve"> </w:t>
      </w:r>
      <w:r w:rsidRPr="0060209C">
        <w:rPr>
          <w:rFonts w:ascii="Times New Roman" w:hAnsi="Times New Roman"/>
          <w:szCs w:val="22"/>
        </w:rPr>
        <w:t xml:space="preserve">pre </w:t>
      </w:r>
      <w:r w:rsidRPr="0060209C">
        <w:rPr>
          <w:rFonts w:ascii="Times New Roman" w:hAnsi="Times New Roman"/>
          <w:szCs w:val="22"/>
          <w:u w:val="single"/>
        </w:rPr>
        <w:t>10 439 zamestnancov.</w:t>
      </w:r>
      <w:r w:rsidRPr="0060209C">
        <w:rPr>
          <w:rFonts w:ascii="Times New Roman" w:hAnsi="Times New Roman"/>
          <w:szCs w:val="22"/>
        </w:rPr>
        <w:t xml:space="preserve"> Osobné výdavky v porovnaní s rokom 2012 vzrástli</w:t>
      </w:r>
      <w:r w:rsidRPr="00593266">
        <w:rPr>
          <w:rFonts w:ascii="Times New Roman" w:hAnsi="Times New Roman"/>
          <w:color w:val="C00000"/>
          <w:szCs w:val="22"/>
        </w:rPr>
        <w:t xml:space="preserve"> </w:t>
      </w:r>
      <w:r w:rsidRPr="0060209C">
        <w:rPr>
          <w:rFonts w:ascii="Times New Roman" w:hAnsi="Times New Roman"/>
          <w:szCs w:val="22"/>
        </w:rPr>
        <w:t>o 0,7 % (795 tis. eur).</w:t>
      </w:r>
      <w:r w:rsidRPr="00593266">
        <w:rPr>
          <w:rFonts w:ascii="Times New Roman" w:hAnsi="Times New Roman"/>
          <w:color w:val="C00000"/>
          <w:szCs w:val="22"/>
        </w:rPr>
        <w:t xml:space="preserve"> </w:t>
      </w:r>
      <w:r w:rsidRPr="00DC75B1">
        <w:rPr>
          <w:rFonts w:ascii="Times New Roman" w:hAnsi="Times New Roman"/>
          <w:szCs w:val="22"/>
        </w:rPr>
        <w:t>S výnimkou štyroch kapitol štátneho rozpočtu dochádza k poklesu osobných výdavkov vo všetkých kapitolách štátneho rozpočtu. Rast osobných výdavkov je zaznamenaný v kapitole Ministerstva hospodárstva SR (10,8 %), Ministerstva pôdohospodárstva a rozvoja vidieka SR (9,8 %), v kapitole Ministerstva zdravotníctva SR (8,1 %) a</w:t>
      </w:r>
      <w:r w:rsidRPr="00593266">
        <w:rPr>
          <w:rFonts w:ascii="Times New Roman" w:hAnsi="Times New Roman"/>
          <w:color w:val="C00000"/>
          <w:szCs w:val="22"/>
        </w:rPr>
        <w:t xml:space="preserve"> </w:t>
      </w:r>
      <w:r w:rsidRPr="00DC75B1">
        <w:rPr>
          <w:rFonts w:ascii="Times New Roman" w:hAnsi="Times New Roman"/>
          <w:szCs w:val="22"/>
        </w:rPr>
        <w:t>v kapitole Ministerstva kultúry SR (6,5 %),</w:t>
      </w:r>
      <w:r w:rsidRPr="00593266">
        <w:rPr>
          <w:rFonts w:ascii="Times New Roman" w:hAnsi="Times New Roman"/>
          <w:color w:val="C00000"/>
          <w:szCs w:val="22"/>
        </w:rPr>
        <w:t xml:space="preserve"> </w:t>
      </w:r>
      <w:r w:rsidRPr="00DC75B1">
        <w:rPr>
          <w:rFonts w:ascii="Times New Roman" w:hAnsi="Times New Roman"/>
          <w:szCs w:val="22"/>
        </w:rPr>
        <w:t>čo súvisí s vyšším rozpisom osobných výdavkov príslušnými kapitolami štátneho rozpočtu.</w:t>
      </w:r>
      <w:r w:rsidRPr="00593266">
        <w:rPr>
          <w:rFonts w:ascii="Times New Roman" w:hAnsi="Times New Roman"/>
          <w:color w:val="C00000"/>
          <w:szCs w:val="22"/>
        </w:rPr>
        <w:t xml:space="preserve"> </w:t>
      </w:r>
    </w:p>
    <w:p w:rsidR="00D83F50" w:rsidP="005318FA">
      <w:pPr>
        <w:bidi w:val="0"/>
        <w:ind w:firstLine="708"/>
        <w:jc w:val="both"/>
        <w:rPr>
          <w:rFonts w:ascii="Times New Roman" w:hAnsi="Times New Roman"/>
          <w:color w:val="C00000"/>
          <w:szCs w:val="22"/>
        </w:rPr>
      </w:pPr>
    </w:p>
    <w:p w:rsidR="00D83F50" w:rsidP="005318FA">
      <w:pPr>
        <w:bidi w:val="0"/>
        <w:ind w:firstLine="708"/>
        <w:jc w:val="both"/>
        <w:rPr>
          <w:rFonts w:ascii="Times New Roman" w:hAnsi="Times New Roman"/>
          <w:color w:val="C00000"/>
          <w:szCs w:val="22"/>
        </w:rPr>
      </w:pPr>
    </w:p>
    <w:p w:rsidR="00D83F50" w:rsidP="005318FA">
      <w:pPr>
        <w:bidi w:val="0"/>
        <w:ind w:firstLine="708"/>
        <w:jc w:val="both"/>
        <w:rPr>
          <w:rFonts w:ascii="Times New Roman" w:hAnsi="Times New Roman"/>
          <w:color w:val="C00000"/>
          <w:szCs w:val="22"/>
        </w:rPr>
      </w:pPr>
    </w:p>
    <w:p w:rsidR="00D83F50" w:rsidP="005318FA">
      <w:pPr>
        <w:bidi w:val="0"/>
        <w:ind w:firstLine="708"/>
        <w:jc w:val="both"/>
        <w:rPr>
          <w:rFonts w:ascii="Times New Roman" w:hAnsi="Times New Roman"/>
          <w:color w:val="C00000"/>
          <w:szCs w:val="22"/>
        </w:rPr>
      </w:pPr>
    </w:p>
    <w:p w:rsidR="00D83F50" w:rsidP="005318FA">
      <w:pPr>
        <w:bidi w:val="0"/>
        <w:ind w:firstLine="708"/>
        <w:jc w:val="both"/>
        <w:rPr>
          <w:rFonts w:ascii="Times New Roman" w:hAnsi="Times New Roman"/>
          <w:color w:val="C00000"/>
          <w:szCs w:val="22"/>
        </w:rPr>
      </w:pPr>
    </w:p>
    <w:p w:rsidR="00D83F50" w:rsidP="005318FA">
      <w:pPr>
        <w:bidi w:val="0"/>
        <w:ind w:firstLine="708"/>
        <w:jc w:val="both"/>
        <w:rPr>
          <w:rFonts w:ascii="Times New Roman" w:hAnsi="Times New Roman"/>
          <w:color w:val="C00000"/>
          <w:szCs w:val="22"/>
        </w:rPr>
      </w:pPr>
    </w:p>
    <w:p w:rsidR="00D83F50" w:rsidP="005318FA">
      <w:pPr>
        <w:bidi w:val="0"/>
        <w:ind w:firstLine="708"/>
        <w:jc w:val="both"/>
        <w:rPr>
          <w:rFonts w:ascii="Times New Roman" w:hAnsi="Times New Roman"/>
          <w:color w:val="C00000"/>
          <w:szCs w:val="22"/>
        </w:rPr>
      </w:pPr>
    </w:p>
    <w:p w:rsidR="00D83F50" w:rsidP="005318FA">
      <w:pPr>
        <w:bidi w:val="0"/>
        <w:ind w:firstLine="708"/>
        <w:jc w:val="both"/>
        <w:rPr>
          <w:rFonts w:ascii="Times New Roman" w:hAnsi="Times New Roman"/>
          <w:color w:val="C00000"/>
          <w:szCs w:val="22"/>
        </w:rPr>
      </w:pPr>
    </w:p>
    <w:p w:rsidR="00D83F50" w:rsidP="005318FA">
      <w:pPr>
        <w:bidi w:val="0"/>
        <w:ind w:firstLine="708"/>
        <w:jc w:val="both"/>
        <w:rPr>
          <w:rFonts w:ascii="Times New Roman" w:hAnsi="Times New Roman"/>
          <w:color w:val="C00000"/>
          <w:szCs w:val="22"/>
        </w:rPr>
      </w:pPr>
    </w:p>
    <w:p w:rsidR="005318FA" w:rsidP="005318FA">
      <w:pPr>
        <w:bidi w:val="0"/>
        <w:ind w:firstLine="708"/>
        <w:jc w:val="both"/>
        <w:rPr>
          <w:rFonts w:ascii="Times New Roman" w:hAnsi="Times New Roman"/>
          <w:color w:val="C00000"/>
          <w:szCs w:val="22"/>
        </w:rPr>
      </w:pPr>
    </w:p>
    <w:tbl>
      <w:tblPr>
        <w:tblStyle w:val="TableNormal"/>
        <w:tblW w:w="9060" w:type="dxa"/>
        <w:jc w:val="center"/>
        <w:tblInd w:w="55" w:type="dxa"/>
        <w:tblCellMar>
          <w:left w:w="70" w:type="dxa"/>
          <w:right w:w="70" w:type="dxa"/>
        </w:tblCellMar>
        <w:tblLook w:val="04A0"/>
      </w:tblPr>
      <w:tblGrid>
        <w:gridCol w:w="1920"/>
        <w:gridCol w:w="1040"/>
        <w:gridCol w:w="580"/>
        <w:gridCol w:w="920"/>
        <w:gridCol w:w="920"/>
        <w:gridCol w:w="920"/>
        <w:gridCol w:w="920"/>
        <w:gridCol w:w="920"/>
        <w:gridCol w:w="920"/>
      </w:tblGrid>
      <w:tr>
        <w:tblPrEx>
          <w:tblW w:w="9060" w:type="dxa"/>
          <w:jc w:val="center"/>
          <w:tblInd w:w="55" w:type="dxa"/>
          <w:tblCellMar>
            <w:left w:w="70" w:type="dxa"/>
            <w:right w:w="70" w:type="dxa"/>
          </w:tblCellMar>
          <w:tblLook w:val="04A0"/>
        </w:tblPrEx>
        <w:trPr>
          <w:trHeight w:val="600"/>
          <w:jc w:val="center"/>
        </w:trPr>
        <w:tc>
          <w:tcPr>
            <w:tcW w:w="3540" w:type="dxa"/>
            <w:gridSpan w:val="3"/>
            <w:tcBorders>
              <w:top w:val="single" w:sz="4" w:space="0" w:color="auto"/>
              <w:left w:val="single" w:sz="4" w:space="0" w:color="auto"/>
              <w:bottom w:val="single" w:sz="4" w:space="0" w:color="auto"/>
              <w:right w:val="single" w:sz="4" w:space="0" w:color="000000"/>
            </w:tcBorders>
            <w:shd w:val="clear" w:color="000000" w:fill="A6A6A6"/>
            <w:textDirection w:val="lrTb"/>
            <w:vAlign w:val="center"/>
            <w:hideMark/>
          </w:tcPr>
          <w:p w:rsidR="005318FA" w:rsidRPr="00AB304C" w:rsidP="006D395F">
            <w:pPr>
              <w:bidi w:val="0"/>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Príspevkové organizácie kapitol štátneho rozpočtu</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2010</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2011</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2012</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2013</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2014</w:t>
            </w:r>
          </w:p>
        </w:tc>
        <w:tc>
          <w:tcPr>
            <w:tcW w:w="9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AB304C" w:rsidP="006D395F">
            <w:pPr>
              <w:bidi w:val="0"/>
              <w:jc w:val="center"/>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2015</w:t>
            </w:r>
          </w:p>
        </w:tc>
      </w:tr>
      <w:tr>
        <w:tblPrEx>
          <w:tblW w:w="9060" w:type="dxa"/>
          <w:jc w:val="center"/>
          <w:tblInd w:w="55" w:type="dxa"/>
          <w:tblCellMar>
            <w:left w:w="70" w:type="dxa"/>
            <w:right w:w="70" w:type="dxa"/>
          </w:tblCellMar>
          <w:tblLook w:val="04A0"/>
        </w:tblPrEx>
        <w:trPr>
          <w:trHeight w:val="330"/>
          <w:jc w:val="center"/>
        </w:trPr>
        <w:tc>
          <w:tcPr>
            <w:tcW w:w="1920" w:type="dxa"/>
            <w:vMerge w:val="restart"/>
            <w:tcBorders>
              <w:top w:val="nil"/>
              <w:left w:val="single" w:sz="4" w:space="0" w:color="auto"/>
              <w:bottom w:val="nil"/>
              <w:right w:val="single" w:sz="4" w:space="0" w:color="auto"/>
            </w:tcBorders>
            <w:noWrap/>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Počet zamestnancov</w:t>
            </w:r>
          </w:p>
        </w:tc>
        <w:tc>
          <w:tcPr>
            <w:tcW w:w="104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Rozpočet</w:t>
            </w:r>
          </w:p>
        </w:tc>
        <w:tc>
          <w:tcPr>
            <w:tcW w:w="580" w:type="dxa"/>
            <w:vMerge w:val="restart"/>
            <w:tcBorders>
              <w:top w:val="nil"/>
              <w:left w:val="single" w:sz="4" w:space="0" w:color="auto"/>
              <w:bottom w:val="nil"/>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osoby</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11 142</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10 589</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10 526</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10 439</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10 437</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10 437</w:t>
            </w:r>
          </w:p>
        </w:tc>
      </w:tr>
      <w:tr>
        <w:tblPrEx>
          <w:tblW w:w="9060" w:type="dxa"/>
          <w:jc w:val="center"/>
          <w:tblInd w:w="55" w:type="dxa"/>
          <w:tblCellMar>
            <w:left w:w="70" w:type="dxa"/>
            <w:right w:w="70" w:type="dxa"/>
          </w:tblCellMar>
          <w:tblLook w:val="04A0"/>
        </w:tblPrEx>
        <w:trPr>
          <w:trHeight w:val="390"/>
          <w:jc w:val="center"/>
        </w:trPr>
        <w:tc>
          <w:tcPr>
            <w:tcW w:w="1920" w:type="dxa"/>
            <w:vMerge/>
            <w:tcBorders>
              <w:top w:val="nil"/>
              <w:left w:val="single" w:sz="4" w:space="0" w:color="auto"/>
              <w:bottom w:val="nil"/>
              <w:right w:val="single" w:sz="4" w:space="0" w:color="auto"/>
            </w:tcBorders>
            <w:textDirection w:val="lrTb"/>
            <w:vAlign w:val="center"/>
            <w:hideMark/>
          </w:tcPr>
          <w:p w:rsidR="005318FA" w:rsidRPr="00AB304C" w:rsidP="006D395F">
            <w:pPr>
              <w:bidi w:val="0"/>
              <w:rPr>
                <w:rFonts w:ascii="Times New Roman" w:hAnsi="Times New Roman" w:cs="Times New Roman"/>
                <w:sz w:val="14"/>
                <w:szCs w:val="14"/>
                <w:lang w:eastAsia="sk-SK"/>
              </w:rPr>
            </w:pPr>
          </w:p>
        </w:tc>
        <w:tc>
          <w:tcPr>
            <w:tcW w:w="1040" w:type="dxa"/>
            <w:tcBorders>
              <w:top w:val="nil"/>
              <w:left w:val="nil"/>
              <w:bottom w:val="nil"/>
              <w:right w:val="single" w:sz="4" w:space="0" w:color="auto"/>
            </w:tcBorders>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Skutočnosť</w:t>
              <w:br/>
            </w:r>
            <w:r w:rsidRPr="00AB304C">
              <w:rPr>
                <w:rFonts w:ascii="Times New Roman" w:hAnsi="Times New Roman" w:cs="Times New Roman"/>
                <w:i/>
                <w:iCs/>
                <w:sz w:val="14"/>
                <w:szCs w:val="14"/>
                <w:lang w:eastAsia="sk-SK"/>
              </w:rPr>
              <w:t>resp. OS</w:t>
            </w:r>
          </w:p>
        </w:tc>
        <w:tc>
          <w:tcPr>
            <w:tcW w:w="580" w:type="dxa"/>
            <w:vMerge/>
            <w:tcBorders>
              <w:top w:val="nil"/>
              <w:left w:val="single" w:sz="4" w:space="0" w:color="auto"/>
              <w:bottom w:val="nil"/>
              <w:right w:val="single" w:sz="4" w:space="0" w:color="auto"/>
            </w:tcBorders>
            <w:textDirection w:val="lrTb"/>
            <w:vAlign w:val="center"/>
            <w:hideMark/>
          </w:tcPr>
          <w:p w:rsidR="005318FA" w:rsidRPr="00AB304C" w:rsidP="006D395F">
            <w:pPr>
              <w:bidi w:val="0"/>
              <w:rPr>
                <w:rFonts w:ascii="Times New Roman" w:hAnsi="Times New Roman" w:cs="Times New Roman"/>
                <w:sz w:val="14"/>
                <w:szCs w:val="14"/>
                <w:lang w:eastAsia="sk-SK"/>
              </w:rPr>
            </w:pP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10 307</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9 974</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i/>
                <w:iCs/>
                <w:sz w:val="14"/>
                <w:szCs w:val="14"/>
                <w:lang w:eastAsia="sk-SK"/>
              </w:rPr>
            </w:pPr>
            <w:r w:rsidRPr="00AB304C">
              <w:rPr>
                <w:rFonts w:ascii="Times New Roman" w:hAnsi="Times New Roman" w:cs="Times New Roman"/>
                <w:i/>
                <w:iCs/>
                <w:sz w:val="14"/>
                <w:szCs w:val="14"/>
                <w:lang w:eastAsia="sk-SK"/>
              </w:rPr>
              <w:t>9 957</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i/>
                <w:iCs/>
                <w:sz w:val="14"/>
                <w:szCs w:val="14"/>
                <w:lang w:eastAsia="sk-SK"/>
              </w:rPr>
            </w:pPr>
            <w:r w:rsidRPr="00AB304C">
              <w:rPr>
                <w:rFonts w:ascii="Times New Roman" w:hAnsi="Times New Roman" w:cs="Times New Roman"/>
                <w:i/>
                <w:iCs/>
                <w:sz w:val="14"/>
                <w:szCs w:val="14"/>
                <w:lang w:eastAsia="sk-SK"/>
              </w:rPr>
              <w:t>9 917</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i/>
                <w:iCs/>
                <w:sz w:val="14"/>
                <w:szCs w:val="14"/>
                <w:lang w:eastAsia="sk-SK"/>
              </w:rPr>
            </w:pPr>
            <w:r w:rsidRPr="00AB304C">
              <w:rPr>
                <w:rFonts w:ascii="Times New Roman" w:hAnsi="Times New Roman" w:cs="Times New Roman"/>
                <w:i/>
                <w:iCs/>
                <w:sz w:val="14"/>
                <w:szCs w:val="14"/>
                <w:lang w:eastAsia="sk-SK"/>
              </w:rPr>
              <w:t>9 915</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i/>
                <w:iCs/>
                <w:sz w:val="14"/>
                <w:szCs w:val="14"/>
                <w:lang w:eastAsia="sk-SK"/>
              </w:rPr>
            </w:pPr>
            <w:r w:rsidRPr="00AB304C">
              <w:rPr>
                <w:rFonts w:ascii="Times New Roman" w:hAnsi="Times New Roman" w:cs="Times New Roman"/>
                <w:i/>
                <w:iCs/>
                <w:sz w:val="14"/>
                <w:szCs w:val="14"/>
                <w:lang w:eastAsia="sk-SK"/>
              </w:rPr>
              <w:t>9 915</w:t>
            </w:r>
          </w:p>
        </w:tc>
      </w:tr>
      <w:tr>
        <w:tblPrEx>
          <w:tblW w:w="9060" w:type="dxa"/>
          <w:jc w:val="center"/>
          <w:tblInd w:w="55" w:type="dxa"/>
          <w:tblCellMar>
            <w:left w:w="70" w:type="dxa"/>
            <w:right w:w="70" w:type="dxa"/>
          </w:tblCellMar>
          <w:tblLook w:val="04A0"/>
        </w:tblPrEx>
        <w:trPr>
          <w:trHeight w:val="330"/>
          <w:jc w:val="center"/>
        </w:trPr>
        <w:tc>
          <w:tcPr>
            <w:tcW w:w="1920" w:type="dxa"/>
            <w:vMerge w:val="restart"/>
            <w:tcBorders>
              <w:top w:val="single" w:sz="4" w:space="0" w:color="auto"/>
              <w:left w:val="single" w:sz="4" w:space="0" w:color="auto"/>
              <w:bottom w:val="nil"/>
              <w:right w:val="single" w:sz="4" w:space="0" w:color="auto"/>
            </w:tcBorders>
            <w:noWrap/>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Osobné výdavky</w:t>
            </w:r>
          </w:p>
        </w:tc>
        <w:tc>
          <w:tcPr>
            <w:tcW w:w="1040" w:type="dxa"/>
            <w:tcBorders>
              <w:top w:val="single" w:sz="4" w:space="0" w:color="auto"/>
              <w:left w:val="nil"/>
              <w:bottom w:val="single" w:sz="4" w:space="0" w:color="auto"/>
              <w:right w:val="single" w:sz="4" w:space="0" w:color="auto"/>
            </w:tcBorders>
            <w:noWrap/>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Rozpočet</w:t>
            </w:r>
          </w:p>
        </w:tc>
        <w:tc>
          <w:tcPr>
            <w:tcW w:w="580" w:type="dxa"/>
            <w:tcBorders>
              <w:top w:val="single" w:sz="4" w:space="0" w:color="auto"/>
              <w:left w:val="nil"/>
              <w:bottom w:val="single" w:sz="4" w:space="0" w:color="auto"/>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120 165 445</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115 555 891</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121 762 035</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122 557 354</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122 610 386</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122 691 963</w:t>
            </w:r>
          </w:p>
        </w:tc>
      </w:tr>
      <w:tr>
        <w:tblPrEx>
          <w:tblW w:w="9060" w:type="dxa"/>
          <w:jc w:val="center"/>
          <w:tblInd w:w="55" w:type="dxa"/>
          <w:tblCellMar>
            <w:left w:w="70" w:type="dxa"/>
            <w:right w:w="70" w:type="dxa"/>
          </w:tblCellMar>
          <w:tblLook w:val="04A0"/>
        </w:tblPrEx>
        <w:trPr>
          <w:trHeight w:val="390"/>
          <w:jc w:val="center"/>
        </w:trPr>
        <w:tc>
          <w:tcPr>
            <w:tcW w:w="1920" w:type="dxa"/>
            <w:vMerge/>
            <w:tcBorders>
              <w:top w:val="single" w:sz="4" w:space="0" w:color="auto"/>
              <w:left w:val="single" w:sz="4" w:space="0" w:color="auto"/>
              <w:bottom w:val="nil"/>
              <w:right w:val="single" w:sz="4" w:space="0" w:color="auto"/>
            </w:tcBorders>
            <w:textDirection w:val="lrTb"/>
            <w:vAlign w:val="center"/>
            <w:hideMark/>
          </w:tcPr>
          <w:p w:rsidR="005318FA" w:rsidRPr="00AB304C" w:rsidP="006D395F">
            <w:pPr>
              <w:bidi w:val="0"/>
              <w:rPr>
                <w:rFonts w:ascii="Times New Roman" w:hAnsi="Times New Roman" w:cs="Times New Roman"/>
                <w:sz w:val="14"/>
                <w:szCs w:val="14"/>
                <w:lang w:eastAsia="sk-SK"/>
              </w:rPr>
            </w:pPr>
          </w:p>
        </w:tc>
        <w:tc>
          <w:tcPr>
            <w:tcW w:w="1040" w:type="dxa"/>
            <w:tcBorders>
              <w:top w:val="nil"/>
              <w:left w:val="nil"/>
              <w:bottom w:val="nil"/>
              <w:right w:val="single" w:sz="4" w:space="0" w:color="auto"/>
            </w:tcBorders>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Skutočnosť</w:t>
              <w:br/>
            </w:r>
            <w:r w:rsidRPr="00AB304C">
              <w:rPr>
                <w:rFonts w:ascii="Times New Roman" w:hAnsi="Times New Roman" w:cs="Times New Roman"/>
                <w:i/>
                <w:iCs/>
                <w:sz w:val="14"/>
                <w:szCs w:val="14"/>
                <w:lang w:eastAsia="sk-SK"/>
              </w:rPr>
              <w:t>resp. OS</w:t>
            </w:r>
          </w:p>
        </w:tc>
        <w:tc>
          <w:tcPr>
            <w:tcW w:w="580" w:type="dxa"/>
            <w:tcBorders>
              <w:top w:val="nil"/>
              <w:left w:val="nil"/>
              <w:bottom w:val="nil"/>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142 128 661</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140 070 345</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i/>
                <w:iCs/>
                <w:sz w:val="14"/>
                <w:szCs w:val="14"/>
                <w:lang w:eastAsia="sk-SK"/>
              </w:rPr>
            </w:pPr>
            <w:r w:rsidRPr="00AB304C">
              <w:rPr>
                <w:rFonts w:ascii="Times New Roman" w:hAnsi="Times New Roman" w:cs="Times New Roman"/>
                <w:b/>
                <w:bCs/>
                <w:i/>
                <w:iCs/>
                <w:sz w:val="14"/>
                <w:szCs w:val="14"/>
                <w:lang w:eastAsia="sk-SK"/>
              </w:rPr>
              <w:t>133 813 842</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i/>
                <w:iCs/>
                <w:sz w:val="14"/>
                <w:szCs w:val="14"/>
                <w:lang w:eastAsia="sk-SK"/>
              </w:rPr>
            </w:pPr>
            <w:r w:rsidRPr="00AB304C">
              <w:rPr>
                <w:rFonts w:ascii="Times New Roman" w:hAnsi="Times New Roman" w:cs="Times New Roman"/>
                <w:b/>
                <w:bCs/>
                <w:i/>
                <w:iCs/>
                <w:sz w:val="14"/>
                <w:szCs w:val="14"/>
                <w:lang w:eastAsia="sk-SK"/>
              </w:rPr>
              <w:t>134 609 161</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i/>
                <w:iCs/>
                <w:sz w:val="14"/>
                <w:szCs w:val="14"/>
                <w:lang w:eastAsia="sk-SK"/>
              </w:rPr>
            </w:pPr>
            <w:r w:rsidRPr="00AB304C">
              <w:rPr>
                <w:rFonts w:ascii="Times New Roman" w:hAnsi="Times New Roman" w:cs="Times New Roman"/>
                <w:b/>
                <w:bCs/>
                <w:i/>
                <w:iCs/>
                <w:sz w:val="14"/>
                <w:szCs w:val="14"/>
                <w:lang w:eastAsia="sk-SK"/>
              </w:rPr>
              <w:t>134 662 193</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i/>
                <w:iCs/>
                <w:sz w:val="14"/>
                <w:szCs w:val="14"/>
                <w:lang w:eastAsia="sk-SK"/>
              </w:rPr>
            </w:pPr>
            <w:r w:rsidRPr="00AB304C">
              <w:rPr>
                <w:rFonts w:ascii="Times New Roman" w:hAnsi="Times New Roman" w:cs="Times New Roman"/>
                <w:b/>
                <w:bCs/>
                <w:i/>
                <w:iCs/>
                <w:sz w:val="14"/>
                <w:szCs w:val="14"/>
                <w:lang w:eastAsia="sk-SK"/>
              </w:rPr>
              <w:t>134 743 770</w:t>
            </w:r>
          </w:p>
        </w:tc>
      </w:tr>
      <w:tr>
        <w:tblPrEx>
          <w:tblW w:w="9060" w:type="dxa"/>
          <w:jc w:val="center"/>
          <w:tblInd w:w="55" w:type="dxa"/>
          <w:tblCellMar>
            <w:left w:w="70" w:type="dxa"/>
            <w:right w:w="70" w:type="dxa"/>
          </w:tblCellMar>
          <w:tblLook w:val="04A0"/>
        </w:tblPrEx>
        <w:trPr>
          <w:trHeight w:val="330"/>
          <w:jc w:val="center"/>
        </w:trPr>
        <w:tc>
          <w:tcPr>
            <w:tcW w:w="1920" w:type="dxa"/>
            <w:tcBorders>
              <w:top w:val="single" w:sz="4" w:space="0" w:color="auto"/>
              <w:left w:val="single" w:sz="4" w:space="0" w:color="auto"/>
              <w:bottom w:val="nil"/>
              <w:right w:val="single" w:sz="4" w:space="0" w:color="auto"/>
            </w:tcBorders>
            <w:textDirection w:val="lrTb"/>
            <w:vAlign w:val="center"/>
            <w:hideMark/>
          </w:tcPr>
          <w:p w:rsidR="005318FA" w:rsidRPr="00AB304C" w:rsidP="006D395F">
            <w:pPr>
              <w:bidi w:val="0"/>
              <w:ind w:firstLine="140" w:firstLineChars="100"/>
              <w:rPr>
                <w:rFonts w:ascii="Times New Roman" w:hAnsi="Times New Roman" w:cs="Times New Roman"/>
                <w:sz w:val="14"/>
                <w:szCs w:val="14"/>
                <w:lang w:eastAsia="sk-SK"/>
              </w:rPr>
            </w:pPr>
            <w:r w:rsidRPr="00AB304C">
              <w:rPr>
                <w:rFonts w:ascii="Times New Roman" w:hAnsi="Times New Roman" w:cs="Times New Roman"/>
                <w:sz w:val="14"/>
                <w:szCs w:val="14"/>
                <w:lang w:eastAsia="sk-SK"/>
              </w:rPr>
              <w:t>z toho:</w:t>
            </w:r>
          </w:p>
        </w:tc>
        <w:tc>
          <w:tcPr>
            <w:tcW w:w="1040" w:type="dxa"/>
            <w:tcBorders>
              <w:top w:val="single" w:sz="4" w:space="0" w:color="auto"/>
              <w:left w:val="nil"/>
              <w:bottom w:val="single" w:sz="4" w:space="0" w:color="auto"/>
              <w:right w:val="single" w:sz="4" w:space="0" w:color="auto"/>
            </w:tcBorders>
            <w:noWrap/>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Rozpočet</w:t>
            </w:r>
          </w:p>
        </w:tc>
        <w:tc>
          <w:tcPr>
            <w:tcW w:w="580" w:type="dxa"/>
            <w:tcBorders>
              <w:top w:val="single" w:sz="4" w:space="0" w:color="auto"/>
              <w:left w:val="nil"/>
              <w:bottom w:val="single" w:sz="4" w:space="0" w:color="auto"/>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88 840 634</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85 426 630</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89 612 068</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90 846 840</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90 702 316</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91 083 192</w:t>
            </w:r>
          </w:p>
        </w:tc>
      </w:tr>
      <w:tr>
        <w:tblPrEx>
          <w:tblW w:w="9060" w:type="dxa"/>
          <w:jc w:val="center"/>
          <w:tblInd w:w="55" w:type="dxa"/>
          <w:tblCellMar>
            <w:left w:w="70" w:type="dxa"/>
            <w:right w:w="70" w:type="dxa"/>
          </w:tblCellMar>
          <w:tblLook w:val="04A0"/>
        </w:tblPrEx>
        <w:trPr>
          <w:trHeight w:val="390"/>
          <w:jc w:val="center"/>
        </w:trPr>
        <w:tc>
          <w:tcPr>
            <w:tcW w:w="1920" w:type="dxa"/>
            <w:tcBorders>
              <w:top w:val="nil"/>
              <w:left w:val="single" w:sz="4" w:space="0" w:color="auto"/>
              <w:bottom w:val="nil"/>
              <w:right w:val="single" w:sz="4" w:space="0" w:color="auto"/>
            </w:tcBorders>
            <w:textDirection w:val="lrTb"/>
            <w:vAlign w:val="center"/>
            <w:hideMark/>
          </w:tcPr>
          <w:p w:rsidR="005318FA" w:rsidRPr="00AB304C" w:rsidP="006D395F">
            <w:pPr>
              <w:bidi w:val="0"/>
              <w:ind w:firstLine="140" w:firstLineChars="100"/>
              <w:rPr>
                <w:rFonts w:ascii="Times New Roman" w:hAnsi="Times New Roman" w:cs="Times New Roman"/>
                <w:sz w:val="14"/>
                <w:szCs w:val="14"/>
                <w:lang w:eastAsia="sk-SK"/>
              </w:rPr>
            </w:pPr>
            <w:r w:rsidRPr="00AB304C">
              <w:rPr>
                <w:rFonts w:ascii="Times New Roman" w:hAnsi="Times New Roman" w:cs="Times New Roman"/>
                <w:sz w:val="14"/>
                <w:szCs w:val="14"/>
                <w:lang w:eastAsia="sk-SK"/>
              </w:rPr>
              <w:t xml:space="preserve">        mzdové výdavky</w:t>
            </w:r>
          </w:p>
        </w:tc>
        <w:tc>
          <w:tcPr>
            <w:tcW w:w="1040" w:type="dxa"/>
            <w:tcBorders>
              <w:top w:val="nil"/>
              <w:left w:val="nil"/>
              <w:bottom w:val="nil"/>
              <w:right w:val="single" w:sz="4" w:space="0" w:color="auto"/>
            </w:tcBorders>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Skutočnosť</w:t>
              <w:br/>
            </w:r>
            <w:r w:rsidRPr="00AB304C">
              <w:rPr>
                <w:rFonts w:ascii="Times New Roman" w:hAnsi="Times New Roman" w:cs="Times New Roman"/>
                <w:i/>
                <w:iCs/>
                <w:sz w:val="14"/>
                <w:szCs w:val="14"/>
                <w:lang w:eastAsia="sk-SK"/>
              </w:rPr>
              <w:t>resp. OS</w:t>
            </w:r>
          </w:p>
        </w:tc>
        <w:tc>
          <w:tcPr>
            <w:tcW w:w="580" w:type="dxa"/>
            <w:tcBorders>
              <w:top w:val="nil"/>
              <w:left w:val="nil"/>
              <w:bottom w:val="nil"/>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105 626 880</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103 584 380</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i/>
                <w:iCs/>
                <w:sz w:val="14"/>
                <w:szCs w:val="14"/>
                <w:lang w:eastAsia="sk-SK"/>
              </w:rPr>
            </w:pPr>
            <w:r w:rsidRPr="00AB304C">
              <w:rPr>
                <w:rFonts w:ascii="Times New Roman" w:hAnsi="Times New Roman" w:cs="Times New Roman"/>
                <w:i/>
                <w:iCs/>
                <w:sz w:val="14"/>
                <w:szCs w:val="14"/>
                <w:lang w:eastAsia="sk-SK"/>
              </w:rPr>
              <w:t>98 033 653</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i/>
                <w:iCs/>
                <w:sz w:val="14"/>
                <w:szCs w:val="14"/>
                <w:lang w:eastAsia="sk-SK"/>
              </w:rPr>
            </w:pPr>
            <w:r w:rsidRPr="00AB304C">
              <w:rPr>
                <w:rFonts w:ascii="Times New Roman" w:hAnsi="Times New Roman" w:cs="Times New Roman"/>
                <w:i/>
                <w:iCs/>
                <w:sz w:val="14"/>
                <w:szCs w:val="14"/>
                <w:lang w:eastAsia="sk-SK"/>
              </w:rPr>
              <w:t>99 777 412</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i/>
                <w:iCs/>
                <w:sz w:val="14"/>
                <w:szCs w:val="14"/>
                <w:lang w:eastAsia="sk-SK"/>
              </w:rPr>
            </w:pPr>
            <w:r w:rsidRPr="00AB304C">
              <w:rPr>
                <w:rFonts w:ascii="Times New Roman" w:hAnsi="Times New Roman" w:cs="Times New Roman"/>
                <w:i/>
                <w:iCs/>
                <w:sz w:val="14"/>
                <w:szCs w:val="14"/>
                <w:lang w:eastAsia="sk-SK"/>
              </w:rPr>
              <w:t>99 632 888</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i/>
                <w:iCs/>
                <w:sz w:val="14"/>
                <w:szCs w:val="14"/>
                <w:lang w:eastAsia="sk-SK"/>
              </w:rPr>
            </w:pPr>
            <w:r w:rsidRPr="00AB304C">
              <w:rPr>
                <w:rFonts w:ascii="Times New Roman" w:hAnsi="Times New Roman" w:cs="Times New Roman"/>
                <w:i/>
                <w:iCs/>
                <w:sz w:val="14"/>
                <w:szCs w:val="14"/>
                <w:lang w:eastAsia="sk-SK"/>
              </w:rPr>
              <w:t>100 013 764</w:t>
            </w:r>
          </w:p>
        </w:tc>
      </w:tr>
      <w:tr>
        <w:tblPrEx>
          <w:tblW w:w="9060" w:type="dxa"/>
          <w:jc w:val="center"/>
          <w:tblInd w:w="55" w:type="dxa"/>
          <w:tblCellMar>
            <w:left w:w="70" w:type="dxa"/>
            <w:right w:w="70" w:type="dxa"/>
          </w:tblCellMar>
          <w:tblLook w:val="04A0"/>
        </w:tblPrEx>
        <w:trPr>
          <w:trHeight w:val="330"/>
          <w:jc w:val="center"/>
        </w:trPr>
        <w:tc>
          <w:tcPr>
            <w:tcW w:w="2960" w:type="dxa"/>
            <w:gridSpan w:val="2"/>
            <w:tcBorders>
              <w:top w:val="single" w:sz="4" w:space="0" w:color="auto"/>
              <w:left w:val="single" w:sz="4" w:space="0" w:color="auto"/>
              <w:bottom w:val="single" w:sz="4" w:space="0" w:color="auto"/>
              <w:right w:val="single" w:sz="4" w:space="0" w:color="000000"/>
            </w:tcBorders>
            <w:noWrap/>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Priemerný mzdový výdavok – S, resp. OS</w:t>
            </w:r>
          </w:p>
        </w:tc>
        <w:tc>
          <w:tcPr>
            <w:tcW w:w="580" w:type="dxa"/>
            <w:tcBorders>
              <w:top w:val="single" w:sz="4" w:space="0" w:color="auto"/>
              <w:left w:val="nil"/>
              <w:bottom w:val="single" w:sz="4" w:space="0" w:color="auto"/>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854,01</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865,45</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820,48</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838,44</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837,39</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840,59</w:t>
            </w:r>
          </w:p>
        </w:tc>
      </w:tr>
      <w:tr>
        <w:tblPrEx>
          <w:tblW w:w="9060" w:type="dxa"/>
          <w:jc w:val="center"/>
          <w:tblInd w:w="55" w:type="dxa"/>
          <w:tblCellMar>
            <w:left w:w="70" w:type="dxa"/>
            <w:right w:w="70" w:type="dxa"/>
          </w:tblCellMar>
          <w:tblLook w:val="04A0"/>
        </w:tblPrEx>
        <w:trPr>
          <w:trHeight w:val="390"/>
          <w:jc w:val="center"/>
        </w:trPr>
        <w:tc>
          <w:tcPr>
            <w:tcW w:w="2960" w:type="dxa"/>
            <w:gridSpan w:val="2"/>
            <w:tcBorders>
              <w:top w:val="single" w:sz="4" w:space="0" w:color="auto"/>
              <w:left w:val="single" w:sz="4" w:space="0" w:color="auto"/>
              <w:bottom w:val="single" w:sz="4" w:space="0" w:color="auto"/>
              <w:right w:val="single" w:sz="4" w:space="0" w:color="000000"/>
            </w:tcBorders>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Priemerná mzda zamestnanca v hospodárstve SR </w:t>
            </w:r>
          </w:p>
        </w:tc>
        <w:tc>
          <w:tcPr>
            <w:tcW w:w="58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eur</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769</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786</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805</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832</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869</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sz w:val="14"/>
                <w:szCs w:val="14"/>
                <w:lang w:eastAsia="sk-SK"/>
              </w:rPr>
            </w:pPr>
            <w:r w:rsidRPr="00AB304C">
              <w:rPr>
                <w:rFonts w:ascii="Times New Roman" w:hAnsi="Times New Roman" w:cs="Times New Roman"/>
                <w:sz w:val="14"/>
                <w:szCs w:val="14"/>
                <w:lang w:eastAsia="sk-SK"/>
              </w:rPr>
              <w:t>912</w:t>
            </w:r>
          </w:p>
        </w:tc>
      </w:tr>
      <w:tr>
        <w:tblPrEx>
          <w:tblW w:w="9060" w:type="dxa"/>
          <w:jc w:val="center"/>
          <w:tblInd w:w="55" w:type="dxa"/>
          <w:tblCellMar>
            <w:left w:w="70" w:type="dxa"/>
            <w:right w:w="70" w:type="dxa"/>
          </w:tblCellMar>
          <w:tblLook w:val="04A0"/>
        </w:tblPrEx>
        <w:trPr>
          <w:trHeight w:val="390"/>
          <w:jc w:val="center"/>
        </w:trPr>
        <w:tc>
          <w:tcPr>
            <w:tcW w:w="2960" w:type="dxa"/>
            <w:gridSpan w:val="2"/>
            <w:tcBorders>
              <w:top w:val="single" w:sz="4" w:space="0" w:color="auto"/>
              <w:left w:val="single" w:sz="4" w:space="0" w:color="auto"/>
              <w:bottom w:val="nil"/>
              <w:right w:val="single" w:sz="4" w:space="0" w:color="auto"/>
            </w:tcBorders>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Priemerný mzdový výdavok /Priemerná mzda zamestnanca v hosp. SR</w:t>
            </w:r>
          </w:p>
        </w:tc>
        <w:tc>
          <w:tcPr>
            <w:tcW w:w="58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center"/>
              <w:rPr>
                <w:rFonts w:ascii="Times New Roman" w:hAnsi="Times New Roman" w:cs="Times New Roman"/>
                <w:sz w:val="14"/>
                <w:szCs w:val="14"/>
                <w:lang w:eastAsia="sk-SK"/>
              </w:rPr>
            </w:pPr>
            <w:r w:rsidRPr="00AB304C">
              <w:rPr>
                <w:rFonts w:ascii="Times New Roman" w:hAnsi="Times New Roman" w:cs="Times New Roman"/>
                <w:sz w:val="14"/>
                <w:szCs w:val="14"/>
                <w:lang w:eastAsia="sk-SK"/>
              </w:rPr>
              <w:t>(%)</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11,1</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10,1</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1,9</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0,8</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-3,6</w:t>
            </w:r>
          </w:p>
        </w:tc>
        <w:tc>
          <w:tcPr>
            <w:tcW w:w="920" w:type="dxa"/>
            <w:tcBorders>
              <w:top w:val="nil"/>
              <w:left w:val="nil"/>
              <w:bottom w:val="single" w:sz="4" w:space="0" w:color="auto"/>
              <w:right w:val="single" w:sz="4" w:space="0" w:color="auto"/>
            </w:tcBorders>
            <w:noWrap/>
            <w:textDirection w:val="lrTb"/>
            <w:vAlign w:val="center"/>
            <w:hideMark/>
          </w:tcPr>
          <w:p w:rsidR="005318FA" w:rsidRPr="00AB304C" w:rsidP="006D395F">
            <w:pPr>
              <w:bidi w:val="0"/>
              <w:jc w:val="right"/>
              <w:rPr>
                <w:rFonts w:ascii="Times New Roman" w:hAnsi="Times New Roman" w:cs="Times New Roman"/>
                <w:b/>
                <w:bCs/>
                <w:sz w:val="14"/>
                <w:szCs w:val="14"/>
                <w:lang w:eastAsia="sk-SK"/>
              </w:rPr>
            </w:pPr>
            <w:r w:rsidRPr="00AB304C">
              <w:rPr>
                <w:rFonts w:ascii="Times New Roman" w:hAnsi="Times New Roman" w:cs="Times New Roman"/>
                <w:b/>
                <w:bCs/>
                <w:sz w:val="14"/>
                <w:szCs w:val="14"/>
                <w:lang w:eastAsia="sk-SK"/>
              </w:rPr>
              <w:t>-7,8</w:t>
            </w:r>
          </w:p>
        </w:tc>
      </w:tr>
      <w:tr>
        <w:tblPrEx>
          <w:tblW w:w="9060" w:type="dxa"/>
          <w:jc w:val="center"/>
          <w:tblInd w:w="55" w:type="dxa"/>
          <w:tblCellMar>
            <w:left w:w="70" w:type="dxa"/>
            <w:right w:w="70" w:type="dxa"/>
          </w:tblCellMar>
          <w:tblLook w:val="04A0"/>
        </w:tblPrEx>
        <w:trPr>
          <w:trHeight w:val="240"/>
          <w:jc w:val="center"/>
        </w:trPr>
        <w:tc>
          <w:tcPr>
            <w:tcW w:w="1920" w:type="dxa"/>
            <w:tcBorders>
              <w:top w:val="single" w:sz="4" w:space="0" w:color="auto"/>
              <w:left w:val="nil"/>
              <w:bottom w:val="nil"/>
              <w:right w:val="nil"/>
            </w:tcBorders>
            <w:textDirection w:val="lrTb"/>
            <w:vAlign w:val="center"/>
            <w:hideMark/>
          </w:tcPr>
          <w:p w:rsidR="005318FA" w:rsidRPr="00AB304C" w:rsidP="006D395F">
            <w:pPr>
              <w:bidi w:val="0"/>
              <w:rPr>
                <w:rFonts w:ascii="Times New Roman" w:hAnsi="Times New Roman" w:cs="Times New Roman"/>
                <w:i/>
                <w:iCs/>
                <w:sz w:val="14"/>
                <w:szCs w:val="14"/>
                <w:lang w:eastAsia="sk-SK"/>
              </w:rPr>
            </w:pPr>
            <w:r w:rsidRPr="00AB304C">
              <w:rPr>
                <w:rFonts w:ascii="Times New Roman" w:hAnsi="Times New Roman" w:cs="Times New Roman"/>
                <w:i/>
                <w:iCs/>
                <w:sz w:val="14"/>
                <w:szCs w:val="14"/>
                <w:lang w:eastAsia="sk-SK"/>
              </w:rPr>
              <w:t>Poznámka:</w:t>
            </w:r>
          </w:p>
        </w:tc>
        <w:tc>
          <w:tcPr>
            <w:tcW w:w="1040" w:type="dxa"/>
            <w:tcBorders>
              <w:top w:val="single" w:sz="4" w:space="0" w:color="auto"/>
              <w:left w:val="nil"/>
              <w:bottom w:val="nil"/>
              <w:right w:val="nil"/>
            </w:tcBorders>
            <w:noWrap/>
            <w:textDirection w:val="lrTb"/>
            <w:vAlign w:val="bottom"/>
            <w:hideMark/>
          </w:tcPr>
          <w:p w:rsidR="005318FA" w:rsidRPr="00AB304C" w:rsidP="006D395F">
            <w:pPr>
              <w:bidi w:val="0"/>
              <w:ind w:firstLine="140" w:firstLineChars="10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580" w:type="dxa"/>
            <w:tcBorders>
              <w:top w:val="nil"/>
              <w:left w:val="nil"/>
              <w:bottom w:val="nil"/>
              <w:right w:val="nil"/>
            </w:tcBorders>
            <w:noWrap/>
            <w:textDirection w:val="lrTb"/>
            <w:vAlign w:val="bottom"/>
            <w:hideMark/>
          </w:tcPr>
          <w:p w:rsidR="005318FA" w:rsidRPr="00AB304C" w:rsidP="006D395F">
            <w:pPr>
              <w:bidi w:val="0"/>
              <w:ind w:firstLine="140" w:firstLineChars="10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920" w:type="dxa"/>
            <w:tcBorders>
              <w:top w:val="nil"/>
              <w:left w:val="nil"/>
              <w:bottom w:val="nil"/>
              <w:right w:val="nil"/>
            </w:tcBorders>
            <w:noWrap/>
            <w:textDirection w:val="lrTb"/>
            <w:vAlign w:val="bottom"/>
            <w:hideMark/>
          </w:tcPr>
          <w:p w:rsidR="005318FA" w:rsidRPr="00AB304C" w:rsidP="006D395F">
            <w:pPr>
              <w:bidi w:val="0"/>
              <w:ind w:firstLine="140" w:firstLineChars="10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920" w:type="dxa"/>
            <w:tcBorders>
              <w:top w:val="nil"/>
              <w:left w:val="nil"/>
              <w:bottom w:val="nil"/>
              <w:right w:val="nil"/>
            </w:tcBorders>
            <w:noWrap/>
            <w:textDirection w:val="lrTb"/>
            <w:vAlign w:val="bottom"/>
            <w:hideMark/>
          </w:tcPr>
          <w:p w:rsidR="005318FA" w:rsidRPr="00AB304C" w:rsidP="006D395F">
            <w:pPr>
              <w:bidi w:val="0"/>
              <w:ind w:firstLine="140" w:firstLineChars="10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920" w:type="dxa"/>
            <w:tcBorders>
              <w:top w:val="nil"/>
              <w:left w:val="nil"/>
              <w:bottom w:val="nil"/>
              <w:right w:val="nil"/>
            </w:tcBorders>
            <w:noWrap/>
            <w:textDirection w:val="lrTb"/>
            <w:vAlign w:val="bottom"/>
            <w:hideMark/>
          </w:tcPr>
          <w:p w:rsidR="005318FA" w:rsidRPr="00AB304C" w:rsidP="006D395F">
            <w:pPr>
              <w:bidi w:val="0"/>
              <w:ind w:firstLine="140" w:firstLineChars="10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920" w:type="dxa"/>
            <w:tcBorders>
              <w:top w:val="nil"/>
              <w:left w:val="nil"/>
              <w:bottom w:val="nil"/>
              <w:right w:val="nil"/>
            </w:tcBorders>
            <w:noWrap/>
            <w:textDirection w:val="lrTb"/>
            <w:vAlign w:val="bottom"/>
            <w:hideMark/>
          </w:tcPr>
          <w:p w:rsidR="005318FA" w:rsidRPr="00AB304C" w:rsidP="006D395F">
            <w:pPr>
              <w:bidi w:val="0"/>
              <w:ind w:firstLine="140" w:firstLineChars="10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920" w:type="dxa"/>
            <w:tcBorders>
              <w:top w:val="nil"/>
              <w:left w:val="nil"/>
              <w:bottom w:val="nil"/>
              <w:right w:val="nil"/>
            </w:tcBorders>
            <w:noWrap/>
            <w:textDirection w:val="lrTb"/>
            <w:vAlign w:val="bottom"/>
            <w:hideMark/>
          </w:tcPr>
          <w:p w:rsidR="005318FA" w:rsidRPr="00AB304C" w:rsidP="006D395F">
            <w:pPr>
              <w:bidi w:val="0"/>
              <w:ind w:firstLine="140" w:firstLineChars="100"/>
              <w:rPr>
                <w:rFonts w:ascii="Arial Narrow" w:hAnsi="Arial Narrow" w:cs="Times New Roman"/>
                <w:sz w:val="14"/>
                <w:szCs w:val="14"/>
                <w:lang w:eastAsia="sk-SK"/>
              </w:rPr>
            </w:pPr>
            <w:r w:rsidRPr="00AB304C">
              <w:rPr>
                <w:rFonts w:ascii="Arial Narrow" w:hAnsi="Arial Narrow" w:cs="Times New Roman"/>
                <w:sz w:val="14"/>
                <w:szCs w:val="14"/>
                <w:lang w:eastAsia="sk-SK"/>
              </w:rPr>
              <w:t> </w:t>
            </w:r>
          </w:p>
        </w:tc>
        <w:tc>
          <w:tcPr>
            <w:tcW w:w="920" w:type="dxa"/>
            <w:tcBorders>
              <w:top w:val="nil"/>
              <w:left w:val="nil"/>
              <w:bottom w:val="nil"/>
              <w:right w:val="nil"/>
            </w:tcBorders>
            <w:noWrap/>
            <w:textDirection w:val="lrTb"/>
            <w:vAlign w:val="bottom"/>
            <w:hideMark/>
          </w:tcPr>
          <w:p w:rsidR="005318FA" w:rsidRPr="00AB304C" w:rsidP="006D395F">
            <w:pPr>
              <w:bidi w:val="0"/>
              <w:rPr>
                <w:rFonts w:ascii="Arial Narrow" w:hAnsi="Arial Narrow" w:cs="Times New Roman"/>
                <w:sz w:val="14"/>
                <w:szCs w:val="14"/>
                <w:lang w:eastAsia="sk-SK"/>
              </w:rPr>
            </w:pPr>
          </w:p>
        </w:tc>
      </w:tr>
      <w:tr>
        <w:tblPrEx>
          <w:tblW w:w="9060" w:type="dxa"/>
          <w:jc w:val="center"/>
          <w:tblInd w:w="55" w:type="dxa"/>
          <w:tblCellMar>
            <w:left w:w="70" w:type="dxa"/>
            <w:right w:w="70" w:type="dxa"/>
          </w:tblCellMar>
          <w:tblLook w:val="04A0"/>
        </w:tblPrEx>
        <w:trPr>
          <w:trHeight w:val="375"/>
          <w:jc w:val="center"/>
        </w:trPr>
        <w:tc>
          <w:tcPr>
            <w:tcW w:w="9060" w:type="dxa"/>
            <w:gridSpan w:val="9"/>
            <w:tcBorders>
              <w:top w:val="nil"/>
              <w:left w:val="nil"/>
              <w:bottom w:val="nil"/>
              <w:right w:val="nil"/>
            </w:tcBorders>
            <w:textDirection w:val="lrTb"/>
            <w:vAlign w:val="center"/>
            <w:hideMark/>
          </w:tcPr>
          <w:p w:rsidR="005318FA" w:rsidRPr="00AB304C" w:rsidP="006D395F">
            <w:pPr>
              <w:bidi w:val="0"/>
              <w:rPr>
                <w:rFonts w:ascii="Times New Roman" w:hAnsi="Times New Roman" w:cs="Times New Roman"/>
                <w:sz w:val="14"/>
                <w:szCs w:val="14"/>
                <w:lang w:eastAsia="sk-SK"/>
              </w:rPr>
            </w:pPr>
            <w:r w:rsidRPr="00AB304C">
              <w:rPr>
                <w:rFonts w:ascii="Times New Roman" w:hAnsi="Times New Roman" w:cs="Times New Roman"/>
                <w:sz w:val="14"/>
                <w:szCs w:val="14"/>
                <w:lang w:eastAsia="sk-SK"/>
              </w:rPr>
              <w:t>Skutočnosť osobných výdavkov v rokoch 2010 a 2011 - Štátny záverečný účet SR.</w:t>
              <w:br/>
              <w:t>Očakávaná skutočnosť v r. 2012 až 2015 zohľadňuje mimorozpočtové zdroje z dosiahnutej skutočnosti v roku 2011.</w:t>
            </w:r>
          </w:p>
        </w:tc>
      </w:tr>
    </w:tbl>
    <w:p w:rsidR="005318FA" w:rsidP="005318FA">
      <w:pPr>
        <w:bidi w:val="0"/>
        <w:ind w:firstLine="708"/>
        <w:jc w:val="both"/>
        <w:rPr>
          <w:rFonts w:ascii="Times New Roman" w:hAnsi="Times New Roman"/>
        </w:rPr>
      </w:pPr>
    </w:p>
    <w:p w:rsidR="005318FA" w:rsidRPr="00E1581C" w:rsidP="005318FA">
      <w:pPr>
        <w:bidi w:val="0"/>
        <w:ind w:firstLine="708"/>
        <w:jc w:val="both"/>
        <w:rPr>
          <w:rFonts w:ascii="Times New Roman" w:hAnsi="Times New Roman"/>
          <w:bCs/>
          <w:szCs w:val="22"/>
        </w:rPr>
      </w:pPr>
      <w:r w:rsidRPr="00262F5D">
        <w:rPr>
          <w:rFonts w:ascii="Times New Roman" w:hAnsi="Times New Roman"/>
          <w:bCs/>
          <w:szCs w:val="22"/>
        </w:rPr>
        <w:t xml:space="preserve">Návrh rozpočtu štátnych príspevkových organizácií na roky 2013 až 2015 predpokladá </w:t>
      </w:r>
      <w:r w:rsidR="00DD4F20">
        <w:rPr>
          <w:rFonts w:ascii="Times New Roman" w:hAnsi="Times New Roman"/>
          <w:bCs/>
          <w:szCs w:val="22"/>
        </w:rPr>
        <w:t>na</w:t>
      </w:r>
      <w:r w:rsidRPr="00262F5D">
        <w:rPr>
          <w:rFonts w:ascii="Times New Roman" w:hAnsi="Times New Roman"/>
          <w:bCs/>
          <w:szCs w:val="22"/>
        </w:rPr>
        <w:t xml:space="preserve"> rok 2013 čerpanie osobných výdavkov v sume 134 609 tis. eur (vrátane zdrojov Európskej únie a mimorozpočtových zdrojov, ktoré zohľadňujú  úroveň ich skutočného čerpania z roku 2011 aj </w:t>
      </w:r>
      <w:r w:rsidR="00DD4F20">
        <w:rPr>
          <w:rFonts w:ascii="Times New Roman" w:hAnsi="Times New Roman"/>
          <w:bCs/>
          <w:szCs w:val="22"/>
        </w:rPr>
        <w:t>na</w:t>
      </w:r>
      <w:r w:rsidRPr="00262F5D">
        <w:rPr>
          <w:rFonts w:ascii="Times New Roman" w:hAnsi="Times New Roman"/>
          <w:bCs/>
          <w:szCs w:val="22"/>
        </w:rPr>
        <w:t xml:space="preserve"> roky 2012 až 2015</w:t>
      </w:r>
      <w:r w:rsidRPr="00E1581C">
        <w:rPr>
          <w:rFonts w:ascii="Times New Roman" w:hAnsi="Times New Roman"/>
          <w:bCs/>
          <w:szCs w:val="22"/>
        </w:rPr>
        <w:t xml:space="preserve">). Po zohľadnení tejto skutočnosti sa pri 5% neplnení počtu zamestnancov v roku 2013 očakáva v príspevkových organizáciách priemerný mesačný mzdový výdavok v sume 838,44 eur. </w:t>
      </w:r>
    </w:p>
    <w:p w:rsidR="005318FA" w:rsidRPr="00E1581C" w:rsidP="005318FA">
      <w:pPr>
        <w:bidi w:val="0"/>
        <w:ind w:firstLine="708"/>
        <w:jc w:val="both"/>
        <w:rPr>
          <w:rFonts w:ascii="Times New Roman" w:hAnsi="Times New Roman"/>
          <w:bCs/>
          <w:szCs w:val="22"/>
        </w:rPr>
      </w:pPr>
    </w:p>
    <w:p w:rsidR="005318FA" w:rsidRPr="002B116D" w:rsidP="005318FA">
      <w:pPr>
        <w:bidi w:val="0"/>
        <w:ind w:left="720"/>
        <w:rPr>
          <w:rFonts w:ascii="Times New Roman" w:hAnsi="Times New Roman"/>
          <w:bCs/>
          <w:i/>
          <w:iCs/>
          <w:szCs w:val="22"/>
          <w:u w:val="single"/>
        </w:rPr>
      </w:pPr>
      <w:bookmarkStart w:id="55" w:name="_Toc273474209"/>
      <w:bookmarkStart w:id="56" w:name="_Toc273393359"/>
      <w:r w:rsidRPr="002B116D">
        <w:rPr>
          <w:rFonts w:ascii="Times New Roman" w:hAnsi="Times New Roman"/>
          <w:bCs/>
          <w:szCs w:val="22"/>
          <w:u w:val="single"/>
        </w:rPr>
        <w:t>Osobné výdavky regionálneho školstva financovaného zo štátneho rozpočtu</w:t>
      </w:r>
      <w:bookmarkEnd w:id="55"/>
    </w:p>
    <w:p w:rsidR="005318FA" w:rsidRPr="002B116D" w:rsidP="005318FA">
      <w:pPr>
        <w:bidi w:val="0"/>
        <w:ind w:firstLine="709"/>
        <w:jc w:val="both"/>
        <w:rPr>
          <w:rFonts w:ascii="Times New Roman" w:hAnsi="Times New Roman"/>
          <w:szCs w:val="22"/>
        </w:rPr>
      </w:pPr>
    </w:p>
    <w:p w:rsidR="005318FA" w:rsidRPr="002B116D" w:rsidP="005318FA">
      <w:pPr>
        <w:bidi w:val="0"/>
        <w:ind w:firstLine="709"/>
        <w:jc w:val="both"/>
        <w:rPr>
          <w:rFonts w:ascii="Times New Roman" w:hAnsi="Times New Roman"/>
          <w:szCs w:val="22"/>
        </w:rPr>
      </w:pPr>
      <w:r w:rsidRPr="002B116D">
        <w:rPr>
          <w:rFonts w:ascii="Times New Roman" w:hAnsi="Times New Roman"/>
          <w:szCs w:val="22"/>
        </w:rPr>
        <w:t>Financovanie zamestnancov regionálneho školstva upravuje zákon č. 597/2003 Z. z. o financovaní základných škôl, stredných škôl a školských zariadení v znení neskorších predpisov. Z kapitoly Ministerstva školstva, vedy, výskumu a športu SR sú financované rozpočtové a príspevkové špeciálne školy a školské zariadenia prostredníctvom krajských školských úradov, školy v obciach a vo vyšších územných celkoch v rámci preneseného výkonu štátnej správy a školy cirkevných a súkromných zriaďovateľov.</w:t>
      </w:r>
    </w:p>
    <w:p w:rsidR="005318FA" w:rsidRPr="002B116D" w:rsidP="005318FA">
      <w:pPr>
        <w:bidi w:val="0"/>
        <w:ind w:firstLine="709"/>
        <w:jc w:val="both"/>
        <w:rPr>
          <w:rFonts w:ascii="Times New Roman" w:hAnsi="Times New Roman"/>
          <w:szCs w:val="22"/>
        </w:rPr>
      </w:pPr>
    </w:p>
    <w:p w:rsidR="005318FA" w:rsidRPr="002B116D" w:rsidP="005318FA">
      <w:pPr>
        <w:bidi w:val="0"/>
        <w:ind w:firstLine="709"/>
        <w:jc w:val="both"/>
        <w:rPr>
          <w:rFonts w:ascii="Times New Roman" w:hAnsi="Times New Roman"/>
          <w:szCs w:val="22"/>
        </w:rPr>
      </w:pPr>
      <w:r w:rsidRPr="002B116D">
        <w:rPr>
          <w:rFonts w:ascii="Times New Roman" w:hAnsi="Times New Roman"/>
          <w:szCs w:val="22"/>
        </w:rPr>
        <w:t xml:space="preserve">Návrh rozpočtu osobných výdavkov zamestnancov regionálneho školstva v roku 2013 sa navrhuje na úrovni schváleného rozpočtu roku 2012 v sume 1 051 803 tis. eur, v tom mzdy a platy v sume 779 740 tis. eur. </w:t>
      </w:r>
    </w:p>
    <w:p w:rsidR="005318FA" w:rsidRPr="002B116D" w:rsidP="005318FA">
      <w:pPr>
        <w:bidi w:val="0"/>
        <w:ind w:firstLine="709"/>
        <w:jc w:val="both"/>
        <w:rPr>
          <w:rFonts w:ascii="Times New Roman" w:hAnsi="Times New Roman"/>
          <w:szCs w:val="22"/>
        </w:rPr>
      </w:pPr>
    </w:p>
    <w:p w:rsidR="005318FA" w:rsidRPr="002B116D" w:rsidP="005318FA">
      <w:pPr>
        <w:bidi w:val="0"/>
        <w:ind w:firstLine="709"/>
        <w:jc w:val="both"/>
        <w:rPr>
          <w:rFonts w:ascii="Times New Roman" w:hAnsi="Times New Roman"/>
          <w:szCs w:val="22"/>
        </w:rPr>
      </w:pPr>
      <w:r w:rsidRPr="002B116D">
        <w:rPr>
          <w:rFonts w:ascii="Times New Roman" w:hAnsi="Times New Roman"/>
          <w:szCs w:val="22"/>
        </w:rPr>
        <w:t>V súčinnosti s programovým vyhlásením vlády SR sa k úseku regionálneho školstva osobitným postupom pristupovalo aj pri 5% viazaní osobných výdavkov v rozpočtoch kapitol štátneho rozpočtu na rok 2013 až 2015. Osobné výdavky zamestnancov regionálneho školstva neboli predmetom viazania.</w:t>
      </w:r>
    </w:p>
    <w:p w:rsidR="005318FA" w:rsidRPr="002B116D" w:rsidP="005318FA">
      <w:pPr>
        <w:bidi w:val="0"/>
        <w:ind w:firstLine="709"/>
        <w:jc w:val="both"/>
        <w:rPr>
          <w:rFonts w:ascii="Times New Roman" w:hAnsi="Times New Roman"/>
          <w:szCs w:val="22"/>
        </w:rPr>
      </w:pPr>
    </w:p>
    <w:p w:rsidR="005318FA" w:rsidRPr="002B116D" w:rsidP="005318FA">
      <w:pPr>
        <w:bidi w:val="0"/>
        <w:ind w:firstLine="708"/>
        <w:jc w:val="both"/>
        <w:rPr>
          <w:rFonts w:ascii="Times New Roman" w:hAnsi="Times New Roman"/>
          <w:bCs/>
          <w:szCs w:val="22"/>
        </w:rPr>
      </w:pPr>
      <w:r w:rsidRPr="002B116D">
        <w:rPr>
          <w:rFonts w:ascii="Times New Roman" w:hAnsi="Times New Roman"/>
          <w:bCs/>
          <w:szCs w:val="22"/>
        </w:rPr>
        <w:t>Pomer počtu žiakov k počtu učiteľov regionálneho školstva medziročne dlhodobo klesá. V schválenom rozpočte na rok 2012 sa predpokladalo, že podiel žiakov na jedného pedagogického zamestnanca zostane zachovaný na úrovni roka 2009 (12,06). Uvedený zámer sa nenapĺňa vzhľadom na nízke tempo poklesu počtu pedagogických zamestnancov. V roku 2011 poklesol počet pedagogických zamestnancov oproti roku 2010 o 0,9 % a koeficient počtu žiakov na jedného učiteľa dosiahol úroveň 11,5.</w:t>
      </w:r>
    </w:p>
    <w:p w:rsidR="005318FA" w:rsidRPr="002B116D" w:rsidP="005318FA">
      <w:pPr>
        <w:bidi w:val="0"/>
        <w:ind w:firstLine="708"/>
        <w:jc w:val="both"/>
        <w:rPr>
          <w:rFonts w:ascii="Times New Roman" w:hAnsi="Times New Roman"/>
          <w:szCs w:val="22"/>
        </w:rPr>
      </w:pPr>
    </w:p>
    <w:p w:rsidR="005318FA" w:rsidP="005318FA">
      <w:pPr>
        <w:bidi w:val="0"/>
        <w:ind w:firstLine="708"/>
        <w:jc w:val="both"/>
        <w:rPr>
          <w:rFonts w:ascii="Times New Roman" w:hAnsi="Times New Roman"/>
          <w:bCs/>
          <w:szCs w:val="22"/>
        </w:rPr>
      </w:pPr>
      <w:r w:rsidRPr="002B116D">
        <w:rPr>
          <w:rFonts w:ascii="Times New Roman" w:hAnsi="Times New Roman"/>
          <w:szCs w:val="22"/>
        </w:rPr>
        <w:t xml:space="preserve">Oproti schválenému rozpočtu na rok 2012 bol po dohode s kapitolou MŠVVŠ SR počet zamestnancov regionálneho školstva </w:t>
      </w:r>
      <w:r>
        <w:rPr>
          <w:rFonts w:ascii="Times New Roman" w:hAnsi="Times New Roman"/>
          <w:szCs w:val="22"/>
        </w:rPr>
        <w:t>na</w:t>
      </w:r>
      <w:r w:rsidRPr="002B116D">
        <w:rPr>
          <w:rFonts w:ascii="Times New Roman" w:hAnsi="Times New Roman"/>
          <w:szCs w:val="22"/>
        </w:rPr>
        <w:t xml:space="preserve"> roky 201</w:t>
      </w:r>
      <w:r>
        <w:rPr>
          <w:rFonts w:ascii="Times New Roman" w:hAnsi="Times New Roman"/>
          <w:szCs w:val="22"/>
        </w:rPr>
        <w:t>2</w:t>
      </w:r>
      <w:r w:rsidRPr="002B116D">
        <w:rPr>
          <w:rFonts w:ascii="Times New Roman" w:hAnsi="Times New Roman"/>
          <w:szCs w:val="22"/>
        </w:rPr>
        <w:t xml:space="preserve"> až 2015 upravený tak, aby zohľadňoval skutočne dosiahnutú úroveň zamestnanosti za rok 2011 a predpokladaný demografický vývoj poklesu počtu žiakov.</w:t>
      </w:r>
      <w:r w:rsidRPr="002B116D">
        <w:rPr>
          <w:rFonts w:ascii="Times New Roman" w:hAnsi="Times New Roman"/>
          <w:bCs/>
          <w:szCs w:val="22"/>
        </w:rPr>
        <w:t xml:space="preserve"> V nadväznosti na uvedené sa v roku 2012 oproti roku 2011 očakáva pokles počtu pedagogických zamestnancov na úrovni 1,5 % a v  rokoch 2013 až 2015 na úrovni 1 %.</w:t>
      </w:r>
    </w:p>
    <w:p w:rsidR="005318FA" w:rsidP="005318FA">
      <w:pPr>
        <w:bidi w:val="0"/>
        <w:ind w:firstLine="708"/>
        <w:jc w:val="both"/>
        <w:rPr>
          <w:rFonts w:ascii="Times New Roman" w:hAnsi="Times New Roman"/>
          <w:bCs/>
          <w:szCs w:val="22"/>
        </w:rPr>
      </w:pPr>
    </w:p>
    <w:tbl>
      <w:tblPr>
        <w:tblStyle w:val="TableNormal"/>
        <w:tblW w:w="9040" w:type="dxa"/>
        <w:jc w:val="center"/>
        <w:tblInd w:w="55" w:type="dxa"/>
        <w:tblCellMar>
          <w:left w:w="70" w:type="dxa"/>
          <w:right w:w="70" w:type="dxa"/>
        </w:tblCellMar>
        <w:tblLook w:val="04A0"/>
      </w:tblPr>
      <w:tblGrid>
        <w:gridCol w:w="2880"/>
        <w:gridCol w:w="880"/>
        <w:gridCol w:w="880"/>
        <w:gridCol w:w="880"/>
        <w:gridCol w:w="880"/>
        <w:gridCol w:w="880"/>
        <w:gridCol w:w="880"/>
        <w:gridCol w:w="880"/>
      </w:tblGrid>
      <w:tr>
        <w:tblPrEx>
          <w:tblW w:w="9040" w:type="dxa"/>
          <w:jc w:val="center"/>
          <w:tblInd w:w="55" w:type="dxa"/>
          <w:tblCellMar>
            <w:left w:w="70" w:type="dxa"/>
            <w:right w:w="70" w:type="dxa"/>
          </w:tblCellMar>
          <w:tblLook w:val="04A0"/>
        </w:tblPrEx>
        <w:trPr>
          <w:trHeight w:val="330"/>
          <w:jc w:val="center"/>
        </w:trPr>
        <w:tc>
          <w:tcPr>
            <w:tcW w:w="288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b/>
                <w:bCs/>
                <w:color w:val="000000"/>
                <w:sz w:val="14"/>
                <w:szCs w:val="14"/>
                <w:lang w:eastAsia="sk-SK"/>
              </w:rPr>
              <w:t>Regionálne školstvo</w:t>
            </w:r>
            <w:r w:rsidRPr="001041F5">
              <w:rPr>
                <w:rFonts w:ascii="Times New Roman" w:hAnsi="Times New Roman" w:cs="Times New Roman"/>
                <w:color w:val="000000"/>
                <w:sz w:val="14"/>
                <w:szCs w:val="14"/>
                <w:lang w:eastAsia="sk-SK"/>
              </w:rPr>
              <w:t xml:space="preserve">   (osoby)</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2010 S</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2011 S</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2012 R</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2012 OS</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2013 N</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2014 N</w:t>
            </w:r>
          </w:p>
        </w:tc>
        <w:tc>
          <w:tcPr>
            <w:tcW w:w="88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color w:val="000000"/>
                <w:sz w:val="14"/>
                <w:szCs w:val="14"/>
                <w:lang w:eastAsia="sk-SK"/>
              </w:rPr>
            </w:pPr>
            <w:r w:rsidRPr="001041F5">
              <w:rPr>
                <w:rFonts w:ascii="Times New Roman" w:hAnsi="Times New Roman" w:cs="Times New Roman"/>
                <w:b/>
                <w:bCs/>
                <w:color w:val="000000"/>
                <w:sz w:val="14"/>
                <w:szCs w:val="14"/>
                <w:lang w:eastAsia="sk-SK"/>
              </w:rPr>
              <w:t>2015 N</w:t>
            </w:r>
          </w:p>
        </w:tc>
      </w:tr>
      <w:tr>
        <w:tblPrEx>
          <w:tblW w:w="9040" w:type="dxa"/>
          <w:jc w:val="center"/>
          <w:tblInd w:w="5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Počet  žiakov v školách</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758 045</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737 864</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722 304</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730 519</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720 541</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716 614</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707 952</w:t>
            </w:r>
          </w:p>
        </w:tc>
      </w:tr>
      <w:tr>
        <w:tblPrEx>
          <w:tblW w:w="9040" w:type="dxa"/>
          <w:jc w:val="center"/>
          <w:tblInd w:w="5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Počet pedagogických zamestnancov</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64 744</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64 156</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59 909</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63 194</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62 563</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61 937</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61 318</w:t>
            </w:r>
          </w:p>
        </w:tc>
      </w:tr>
      <w:tr>
        <w:tblPrEx>
          <w:tblW w:w="9040" w:type="dxa"/>
          <w:jc w:val="center"/>
          <w:tblInd w:w="5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Počet žiakov na pedagogického zamestnanca</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11,7</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11,5</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12,1</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11,6</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11,5</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11,6</w:t>
            </w:r>
          </w:p>
        </w:tc>
        <w:tc>
          <w:tcPr>
            <w:tcW w:w="88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11,6</w:t>
            </w:r>
          </w:p>
        </w:tc>
      </w:tr>
      <w:tr>
        <w:tblPrEx>
          <w:tblW w:w="9040" w:type="dxa"/>
          <w:jc w:val="center"/>
          <w:tblInd w:w="55" w:type="dxa"/>
          <w:tblCellMar>
            <w:left w:w="70" w:type="dxa"/>
            <w:right w:w="70" w:type="dxa"/>
          </w:tblCellMar>
          <w:tblLook w:val="04A0"/>
        </w:tblPrEx>
        <w:trPr>
          <w:trHeight w:val="240"/>
          <w:jc w:val="center"/>
        </w:trPr>
        <w:tc>
          <w:tcPr>
            <w:tcW w:w="2880" w:type="dxa"/>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i/>
                <w:iCs/>
                <w:color w:val="000000"/>
                <w:sz w:val="14"/>
                <w:szCs w:val="14"/>
                <w:lang w:eastAsia="sk-SK"/>
              </w:rPr>
            </w:pPr>
            <w:r w:rsidRPr="001041F5">
              <w:rPr>
                <w:rFonts w:ascii="Times New Roman" w:hAnsi="Times New Roman" w:cs="Times New Roman"/>
                <w:i/>
                <w:iCs/>
                <w:color w:val="000000"/>
                <w:sz w:val="14"/>
                <w:szCs w:val="14"/>
                <w:lang w:eastAsia="sk-SK"/>
              </w:rPr>
              <w:t>Poznámka:</w:t>
            </w:r>
          </w:p>
        </w:tc>
        <w:tc>
          <w:tcPr>
            <w:tcW w:w="88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color w:val="000000"/>
                <w:sz w:val="14"/>
                <w:szCs w:val="14"/>
                <w:lang w:eastAsia="sk-SK"/>
              </w:rPr>
            </w:pPr>
            <w:r w:rsidRPr="001041F5">
              <w:rPr>
                <w:rFonts w:ascii="Arial Narrow" w:hAnsi="Arial Narrow" w:cs="Times New Roman"/>
                <w:color w:val="000000"/>
                <w:sz w:val="14"/>
                <w:szCs w:val="14"/>
                <w:lang w:eastAsia="sk-SK"/>
              </w:rPr>
              <w:t> </w:t>
            </w:r>
          </w:p>
        </w:tc>
        <w:tc>
          <w:tcPr>
            <w:tcW w:w="88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color w:val="000000"/>
                <w:sz w:val="14"/>
                <w:szCs w:val="14"/>
                <w:lang w:eastAsia="sk-SK"/>
              </w:rPr>
            </w:pPr>
            <w:r w:rsidRPr="001041F5">
              <w:rPr>
                <w:rFonts w:ascii="Arial Narrow" w:hAnsi="Arial Narrow" w:cs="Times New Roman"/>
                <w:color w:val="000000"/>
                <w:sz w:val="14"/>
                <w:szCs w:val="14"/>
                <w:lang w:eastAsia="sk-SK"/>
              </w:rPr>
              <w:t> </w:t>
            </w:r>
          </w:p>
        </w:tc>
        <w:tc>
          <w:tcPr>
            <w:tcW w:w="88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color w:val="000000"/>
                <w:sz w:val="14"/>
                <w:szCs w:val="14"/>
                <w:lang w:eastAsia="sk-SK"/>
              </w:rPr>
            </w:pPr>
            <w:r w:rsidRPr="001041F5">
              <w:rPr>
                <w:rFonts w:ascii="Arial Narrow" w:hAnsi="Arial Narrow" w:cs="Times New Roman"/>
                <w:color w:val="000000"/>
                <w:sz w:val="14"/>
                <w:szCs w:val="14"/>
                <w:lang w:eastAsia="sk-SK"/>
              </w:rPr>
              <w:t> </w:t>
            </w:r>
          </w:p>
        </w:tc>
        <w:tc>
          <w:tcPr>
            <w:tcW w:w="88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color w:val="000000"/>
                <w:sz w:val="14"/>
                <w:szCs w:val="14"/>
                <w:lang w:eastAsia="sk-SK"/>
              </w:rPr>
            </w:pPr>
            <w:r w:rsidRPr="001041F5">
              <w:rPr>
                <w:rFonts w:ascii="Arial Narrow" w:hAnsi="Arial Narrow" w:cs="Times New Roman"/>
                <w:color w:val="000000"/>
                <w:sz w:val="14"/>
                <w:szCs w:val="14"/>
                <w:lang w:eastAsia="sk-SK"/>
              </w:rPr>
              <w:t> </w:t>
            </w:r>
          </w:p>
        </w:tc>
        <w:tc>
          <w:tcPr>
            <w:tcW w:w="88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color w:val="000000"/>
                <w:sz w:val="14"/>
                <w:szCs w:val="14"/>
                <w:lang w:eastAsia="sk-SK"/>
              </w:rPr>
            </w:pPr>
            <w:r w:rsidRPr="001041F5">
              <w:rPr>
                <w:rFonts w:ascii="Arial Narrow" w:hAnsi="Arial Narrow" w:cs="Times New Roman"/>
                <w:color w:val="000000"/>
                <w:sz w:val="14"/>
                <w:szCs w:val="14"/>
                <w:lang w:eastAsia="sk-SK"/>
              </w:rPr>
              <w:t> </w:t>
            </w:r>
          </w:p>
        </w:tc>
        <w:tc>
          <w:tcPr>
            <w:tcW w:w="88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color w:val="000000"/>
                <w:sz w:val="14"/>
                <w:szCs w:val="14"/>
                <w:lang w:eastAsia="sk-SK"/>
              </w:rPr>
            </w:pPr>
            <w:r w:rsidRPr="001041F5">
              <w:rPr>
                <w:rFonts w:ascii="Arial Narrow" w:hAnsi="Arial Narrow" w:cs="Times New Roman"/>
                <w:color w:val="000000"/>
                <w:sz w:val="14"/>
                <w:szCs w:val="14"/>
                <w:lang w:eastAsia="sk-SK"/>
              </w:rPr>
              <w:t> </w:t>
            </w:r>
          </w:p>
        </w:tc>
        <w:tc>
          <w:tcPr>
            <w:tcW w:w="88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color w:val="000000"/>
                <w:sz w:val="14"/>
                <w:szCs w:val="14"/>
                <w:lang w:eastAsia="sk-SK"/>
              </w:rPr>
            </w:pPr>
            <w:r w:rsidRPr="001041F5">
              <w:rPr>
                <w:rFonts w:ascii="Arial Narrow" w:hAnsi="Arial Narrow" w:cs="Times New Roman"/>
                <w:color w:val="000000"/>
                <w:sz w:val="14"/>
                <w:szCs w:val="14"/>
                <w:lang w:eastAsia="sk-SK"/>
              </w:rPr>
              <w:t> </w:t>
            </w:r>
          </w:p>
        </w:tc>
      </w:tr>
      <w:tr>
        <w:tblPrEx>
          <w:tblW w:w="9040" w:type="dxa"/>
          <w:jc w:val="center"/>
          <w:tblInd w:w="55" w:type="dxa"/>
          <w:tblCellMar>
            <w:left w:w="70" w:type="dxa"/>
            <w:right w:w="70" w:type="dxa"/>
          </w:tblCellMar>
          <w:tblLook w:val="04A0"/>
        </w:tblPrEx>
        <w:trPr>
          <w:trHeight w:val="330"/>
          <w:jc w:val="center"/>
        </w:trPr>
        <w:tc>
          <w:tcPr>
            <w:tcW w:w="2880" w:type="dxa"/>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color w:val="000000"/>
                <w:sz w:val="14"/>
                <w:szCs w:val="14"/>
                <w:lang w:eastAsia="sk-SK"/>
              </w:rPr>
            </w:pPr>
            <w:r w:rsidRPr="001041F5">
              <w:rPr>
                <w:rFonts w:ascii="Times New Roman" w:hAnsi="Times New Roman" w:cs="Times New Roman"/>
                <w:color w:val="000000"/>
                <w:sz w:val="14"/>
                <w:szCs w:val="14"/>
                <w:lang w:eastAsia="sk-SK"/>
              </w:rPr>
              <w:t>Zdroj: MŠVVŠ SR</w:t>
            </w:r>
          </w:p>
        </w:tc>
        <w:tc>
          <w:tcPr>
            <w:tcW w:w="880" w:type="dxa"/>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color w:val="000000"/>
                <w:sz w:val="14"/>
                <w:szCs w:val="14"/>
                <w:lang w:eastAsia="sk-SK"/>
              </w:rPr>
            </w:pPr>
          </w:p>
        </w:tc>
        <w:tc>
          <w:tcPr>
            <w:tcW w:w="880" w:type="dxa"/>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color w:val="000000"/>
                <w:sz w:val="14"/>
                <w:szCs w:val="14"/>
                <w:lang w:eastAsia="sk-SK"/>
              </w:rPr>
            </w:pPr>
          </w:p>
        </w:tc>
        <w:tc>
          <w:tcPr>
            <w:tcW w:w="880" w:type="dxa"/>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color w:val="000000"/>
                <w:sz w:val="14"/>
                <w:szCs w:val="14"/>
                <w:lang w:eastAsia="sk-SK"/>
              </w:rPr>
            </w:pPr>
          </w:p>
        </w:tc>
        <w:tc>
          <w:tcPr>
            <w:tcW w:w="880" w:type="dxa"/>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color w:val="000000"/>
                <w:sz w:val="14"/>
                <w:szCs w:val="14"/>
                <w:lang w:eastAsia="sk-SK"/>
              </w:rPr>
            </w:pPr>
          </w:p>
        </w:tc>
        <w:tc>
          <w:tcPr>
            <w:tcW w:w="880" w:type="dxa"/>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color w:val="000000"/>
                <w:sz w:val="14"/>
                <w:szCs w:val="14"/>
                <w:lang w:eastAsia="sk-SK"/>
              </w:rPr>
            </w:pPr>
          </w:p>
        </w:tc>
        <w:tc>
          <w:tcPr>
            <w:tcW w:w="880" w:type="dxa"/>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color w:val="000000"/>
                <w:sz w:val="14"/>
                <w:szCs w:val="14"/>
                <w:lang w:eastAsia="sk-SK"/>
              </w:rPr>
            </w:pPr>
          </w:p>
        </w:tc>
        <w:tc>
          <w:tcPr>
            <w:tcW w:w="880" w:type="dxa"/>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color w:val="000000"/>
                <w:sz w:val="14"/>
                <w:szCs w:val="14"/>
                <w:lang w:eastAsia="sk-SK"/>
              </w:rPr>
            </w:pPr>
          </w:p>
        </w:tc>
      </w:tr>
    </w:tbl>
    <w:p w:rsidR="005318FA" w:rsidRPr="002B116D" w:rsidP="005318FA">
      <w:pPr>
        <w:bidi w:val="0"/>
        <w:ind w:firstLine="708"/>
        <w:jc w:val="both"/>
        <w:rPr>
          <w:rFonts w:ascii="Times New Roman" w:hAnsi="Times New Roman"/>
          <w:bCs/>
          <w:szCs w:val="22"/>
        </w:rPr>
      </w:pPr>
    </w:p>
    <w:p w:rsidR="005318FA" w:rsidRPr="002B116D" w:rsidP="005318FA">
      <w:pPr>
        <w:bidi w:val="0"/>
        <w:ind w:firstLine="709"/>
        <w:jc w:val="both"/>
        <w:rPr>
          <w:rFonts w:ascii="Times New Roman" w:hAnsi="Times New Roman"/>
          <w:szCs w:val="22"/>
        </w:rPr>
      </w:pPr>
      <w:r w:rsidRPr="002B116D">
        <w:rPr>
          <w:rFonts w:ascii="Times New Roman" w:hAnsi="Times New Roman"/>
          <w:szCs w:val="22"/>
        </w:rPr>
        <w:t>Na základe uvedeného sa v roku 2013 predpokladá, že v regionálnom školstve bude zamestnaných celkom 82 718 zamestnancov (</w:t>
      </w:r>
      <w:r>
        <w:rPr>
          <w:rFonts w:ascii="Times New Roman" w:hAnsi="Times New Roman"/>
          <w:szCs w:val="22"/>
        </w:rPr>
        <w:t>zreálnenie počtu</w:t>
      </w:r>
      <w:r w:rsidRPr="002B116D">
        <w:rPr>
          <w:rFonts w:ascii="Times New Roman" w:hAnsi="Times New Roman"/>
          <w:szCs w:val="22"/>
        </w:rPr>
        <w:t xml:space="preserve"> o 1 260 osôb), z toho 10 028 zamestnancov v štátnych rozpočtových organizáciách, 295 zamestnancov v štátnych príspevkových organizáciách a 72 395 zamestnancov v územnej samospráve a u cirkevných a súkromných zriaďovateľov.</w:t>
      </w:r>
    </w:p>
    <w:p w:rsidR="005318FA" w:rsidRPr="002B116D" w:rsidP="005318FA">
      <w:pPr>
        <w:bidi w:val="0"/>
        <w:jc w:val="both"/>
        <w:rPr>
          <w:rFonts w:ascii="Times New Roman" w:hAnsi="Times New Roman"/>
          <w:szCs w:val="22"/>
        </w:rPr>
      </w:pPr>
    </w:p>
    <w:p w:rsidR="005318FA" w:rsidRPr="002B116D" w:rsidP="005318FA">
      <w:pPr>
        <w:bidi w:val="0"/>
        <w:ind w:firstLine="709"/>
        <w:jc w:val="both"/>
        <w:rPr>
          <w:rFonts w:ascii="Times New Roman" w:hAnsi="Times New Roman"/>
          <w:szCs w:val="22"/>
        </w:rPr>
      </w:pPr>
      <w:r w:rsidRPr="002B116D">
        <w:rPr>
          <w:rFonts w:ascii="Times New Roman" w:hAnsi="Times New Roman"/>
          <w:szCs w:val="22"/>
        </w:rPr>
        <w:t xml:space="preserve">Z celkového počtu 82 718 zamestnancov </w:t>
      </w:r>
      <w:r w:rsidR="00DD4F20">
        <w:rPr>
          <w:rFonts w:ascii="Times New Roman" w:hAnsi="Times New Roman"/>
          <w:szCs w:val="22"/>
        </w:rPr>
        <w:t>na</w:t>
      </w:r>
      <w:r w:rsidRPr="002B116D">
        <w:rPr>
          <w:rFonts w:ascii="Times New Roman" w:hAnsi="Times New Roman"/>
          <w:szCs w:val="22"/>
        </w:rPr>
        <w:t xml:space="preserve"> rok 2013 sa pre pedagogických zamestnancov v počte 62 563 osôb rozpočtujú osobné výdavky v sume 907 325 tis. eur, v tom mzdy a platy v sume 672 878 tis. eur. Objem finančných prostriedkov určených na platy pedagogických zamestnancov nie je záväzný, nakoľko rozdelenie finančných prostriedkov medzi pedagogických a nepedagogických zamestnancov je v kompetencii zriaďovateľov. V porovnaní s dosiahnutou skutočnosťou za rok 2011 (bez zdrojov Európskej únie a mimorozpočtových prostriedkov) rastie v roku 2013 objem finančných prostriedkov vyčlenených na platy zamestnancov regionálneho školstva o 51 340 tis. eur (7,0 %). Po pripočítaní zdrojov EÚ a mimorozpočtových zdrojov k dosiahnutej skutočnosti za rok 2011 medziročný rast predstavuj</w:t>
      </w:r>
      <w:r>
        <w:rPr>
          <w:rFonts w:ascii="Times New Roman" w:hAnsi="Times New Roman"/>
          <w:szCs w:val="22"/>
        </w:rPr>
        <w:t>e</w:t>
      </w:r>
      <w:r w:rsidRPr="002B116D">
        <w:rPr>
          <w:rFonts w:ascii="Times New Roman" w:hAnsi="Times New Roman"/>
          <w:szCs w:val="22"/>
        </w:rPr>
        <w:t xml:space="preserve"> úroveň 6,1</w:t>
      </w:r>
      <w:r>
        <w:rPr>
          <w:rFonts w:ascii="Times New Roman" w:hAnsi="Times New Roman"/>
          <w:szCs w:val="22"/>
        </w:rPr>
        <w:t xml:space="preserve"> </w:t>
      </w:r>
      <w:r w:rsidRPr="002B116D">
        <w:rPr>
          <w:rFonts w:ascii="Times New Roman" w:hAnsi="Times New Roman"/>
          <w:szCs w:val="22"/>
        </w:rPr>
        <w:t>%. Z vývoja predchádzajúcich rokov vyplýva, že mzdové výdavky rozpočtované zo štátneho rozpočtu v rámci rozpočtu výdavkov na regionálne školstvo nie sú čerpané v plnej miere (v roku 2011 na úrovni 97,2 %). Za predpokladu čerpania prostriedkov do úrovne schváleného rozpočtu by bol aj medziročný rast mzdových výdavkov zamestnancov regionálneho školstva vyšší.</w:t>
      </w:r>
    </w:p>
    <w:p w:rsidR="005318FA" w:rsidRPr="002B116D" w:rsidP="005318FA">
      <w:pPr>
        <w:bidi w:val="0"/>
        <w:ind w:firstLine="708"/>
        <w:jc w:val="both"/>
        <w:rPr>
          <w:rFonts w:ascii="Times New Roman" w:hAnsi="Times New Roman"/>
          <w:szCs w:val="22"/>
        </w:rPr>
      </w:pPr>
    </w:p>
    <w:p w:rsidR="005318FA" w:rsidRPr="002B116D" w:rsidP="005318FA">
      <w:pPr>
        <w:bidi w:val="0"/>
        <w:ind w:firstLine="708"/>
        <w:jc w:val="both"/>
        <w:rPr>
          <w:rFonts w:ascii="Times New Roman" w:hAnsi="Times New Roman"/>
          <w:bCs/>
          <w:szCs w:val="22"/>
        </w:rPr>
      </w:pPr>
      <w:r w:rsidRPr="002B116D">
        <w:rPr>
          <w:rFonts w:ascii="Times New Roman" w:hAnsi="Times New Roman"/>
          <w:bCs/>
          <w:szCs w:val="22"/>
        </w:rPr>
        <w:t>Zabezpečenie vyššieho rastu platov zamestnancov regionálneho školstva by bolo možné dosiahnuť aj racionalizáciou ich počtu, resp.  siete škôl a školských zariadení. Tento krok je však v plnej v kompetencii ich zriaďovateľov.</w:t>
      </w:r>
    </w:p>
    <w:p w:rsidR="005318FA" w:rsidRPr="002B116D" w:rsidP="005318FA">
      <w:pPr>
        <w:bidi w:val="0"/>
        <w:ind w:firstLine="708"/>
        <w:jc w:val="both"/>
        <w:rPr>
          <w:rFonts w:ascii="Times New Roman" w:hAnsi="Times New Roman"/>
          <w:szCs w:val="22"/>
        </w:rPr>
      </w:pPr>
    </w:p>
    <w:p w:rsidR="005318FA" w:rsidRPr="002B116D" w:rsidP="005318FA">
      <w:pPr>
        <w:bidi w:val="0"/>
        <w:ind w:firstLine="708"/>
        <w:jc w:val="both"/>
        <w:rPr>
          <w:rFonts w:ascii="Times New Roman" w:hAnsi="Times New Roman"/>
          <w:szCs w:val="22"/>
        </w:rPr>
      </w:pPr>
      <w:r w:rsidRPr="002B116D">
        <w:rPr>
          <w:rFonts w:ascii="Times New Roman" w:hAnsi="Times New Roman"/>
          <w:szCs w:val="22"/>
        </w:rPr>
        <w:t xml:space="preserve">Z očakávanej skutočnosti roku 2012 vyplýva, že priemerný mzdový výdavok pedagogického zamestnanca v roku 2012 dosiahne 94,8 % jeho rozpočtovanej úrovne (menej o 48,65 eur), zatiaľ čo rozpočtovaná úroveň priemerného mzdového výdavku pedagogického zamestnanca </w:t>
      </w:r>
      <w:r>
        <w:rPr>
          <w:rFonts w:ascii="Times New Roman" w:hAnsi="Times New Roman"/>
          <w:szCs w:val="22"/>
        </w:rPr>
        <w:t>na</w:t>
      </w:r>
      <w:r w:rsidRPr="002B116D">
        <w:rPr>
          <w:rFonts w:ascii="Times New Roman" w:hAnsi="Times New Roman"/>
          <w:szCs w:val="22"/>
        </w:rPr>
        <w:t xml:space="preserve"> rok 2013 sa </w:t>
      </w:r>
      <w:r>
        <w:rPr>
          <w:rFonts w:ascii="Times New Roman" w:hAnsi="Times New Roman"/>
          <w:szCs w:val="22"/>
        </w:rPr>
        <w:t>navrhuje</w:t>
      </w:r>
      <w:r w:rsidRPr="002B116D">
        <w:rPr>
          <w:rFonts w:ascii="Times New Roman" w:hAnsi="Times New Roman"/>
          <w:szCs w:val="22"/>
        </w:rPr>
        <w:t xml:space="preserve"> v sume 896,27 eur, čo je o 1,0 % viac oproti jeho očakávanej úrovni v roku 2012 (887,32 eur).</w:t>
      </w:r>
    </w:p>
    <w:p w:rsidR="005318FA" w:rsidRPr="002B116D" w:rsidP="005318FA">
      <w:pPr>
        <w:bidi w:val="0"/>
        <w:jc w:val="both"/>
        <w:rPr>
          <w:rFonts w:ascii="Times New Roman" w:hAnsi="Times New Roman"/>
          <w:bCs/>
          <w:szCs w:val="22"/>
        </w:rPr>
      </w:pPr>
    </w:p>
    <w:p w:rsidR="005318FA" w:rsidRPr="002B116D" w:rsidP="005318FA">
      <w:pPr>
        <w:bidi w:val="0"/>
        <w:ind w:firstLine="708"/>
        <w:jc w:val="both"/>
        <w:rPr>
          <w:rFonts w:ascii="Times New Roman" w:hAnsi="Times New Roman"/>
          <w:bCs/>
          <w:szCs w:val="22"/>
        </w:rPr>
      </w:pPr>
      <w:r w:rsidRPr="002B116D">
        <w:rPr>
          <w:rFonts w:ascii="Times New Roman" w:hAnsi="Times New Roman"/>
          <w:bCs/>
          <w:szCs w:val="22"/>
        </w:rPr>
        <w:t>Prehľad o skutočne dosiahnutých ukazovateľoch zamestnanosti v rokoch 2010 a</w:t>
      </w:r>
      <w:r>
        <w:rPr>
          <w:rFonts w:ascii="Times New Roman" w:hAnsi="Times New Roman"/>
          <w:bCs/>
          <w:szCs w:val="22"/>
        </w:rPr>
        <w:t> </w:t>
      </w:r>
      <w:r w:rsidRPr="002B116D">
        <w:rPr>
          <w:rFonts w:ascii="Times New Roman" w:hAnsi="Times New Roman"/>
          <w:bCs/>
          <w:szCs w:val="22"/>
        </w:rPr>
        <w:t>2011</w:t>
      </w:r>
      <w:r>
        <w:rPr>
          <w:rFonts w:ascii="Times New Roman" w:hAnsi="Times New Roman"/>
          <w:bCs/>
          <w:szCs w:val="22"/>
        </w:rPr>
        <w:t xml:space="preserve"> </w:t>
      </w:r>
      <w:r w:rsidRPr="002B116D">
        <w:rPr>
          <w:rFonts w:ascii="Times New Roman" w:hAnsi="Times New Roman"/>
          <w:bCs/>
          <w:szCs w:val="22"/>
        </w:rPr>
        <w:t>(vrátane zdrojov Európskej únie a mimorozpočtových prostriedkov), očakávanej skutočnosti v r. 2012 a návrhu rozpočtu na roky 2013 až 2015 je uvedený v priloženej tabuľke.</w:t>
      </w:r>
    </w:p>
    <w:p w:rsidR="005318FA" w:rsidP="005318FA">
      <w:pPr>
        <w:bidi w:val="0"/>
        <w:ind w:firstLine="708"/>
        <w:jc w:val="both"/>
        <w:rPr>
          <w:rFonts w:ascii="Times New Roman" w:hAnsi="Times New Roman"/>
          <w:bCs/>
          <w:szCs w:val="22"/>
        </w:rPr>
      </w:pPr>
    </w:p>
    <w:tbl>
      <w:tblPr>
        <w:tblStyle w:val="TableNormal"/>
        <w:tblW w:w="8972" w:type="dxa"/>
        <w:jc w:val="center"/>
        <w:tblInd w:w="240" w:type="dxa"/>
        <w:tblCellMar>
          <w:left w:w="70" w:type="dxa"/>
          <w:right w:w="70" w:type="dxa"/>
        </w:tblCellMar>
        <w:tblLook w:val="04A0"/>
      </w:tblPr>
      <w:tblGrid>
        <w:gridCol w:w="1895"/>
        <w:gridCol w:w="475"/>
        <w:gridCol w:w="840"/>
        <w:gridCol w:w="840"/>
        <w:gridCol w:w="972"/>
        <w:gridCol w:w="1015"/>
        <w:gridCol w:w="1015"/>
        <w:gridCol w:w="960"/>
        <w:gridCol w:w="960"/>
      </w:tblGrid>
      <w:tr>
        <w:tblPrEx>
          <w:tblW w:w="8972" w:type="dxa"/>
          <w:jc w:val="center"/>
          <w:tblInd w:w="240" w:type="dxa"/>
          <w:tblCellMar>
            <w:left w:w="70" w:type="dxa"/>
            <w:right w:w="70" w:type="dxa"/>
          </w:tblCellMar>
          <w:tblLook w:val="04A0"/>
        </w:tblPrEx>
        <w:trPr>
          <w:trHeight w:val="330"/>
          <w:jc w:val="center"/>
        </w:trPr>
        <w:tc>
          <w:tcPr>
            <w:tcW w:w="1895"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5318FA" w:rsidRPr="001041F5" w:rsidP="006D395F">
            <w:pPr>
              <w:bidi w:val="0"/>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Regionálne školstvo</w:t>
            </w:r>
          </w:p>
        </w:tc>
        <w:tc>
          <w:tcPr>
            <w:tcW w:w="47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 </w:t>
            </w:r>
          </w:p>
        </w:tc>
        <w:tc>
          <w:tcPr>
            <w:tcW w:w="8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2010 S</w:t>
            </w:r>
          </w:p>
        </w:tc>
        <w:tc>
          <w:tcPr>
            <w:tcW w:w="84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2011 S</w:t>
            </w:r>
          </w:p>
        </w:tc>
        <w:tc>
          <w:tcPr>
            <w:tcW w:w="97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 R</w:t>
            </w:r>
          </w:p>
        </w:tc>
        <w:tc>
          <w:tcPr>
            <w:tcW w:w="101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 OS</w:t>
            </w:r>
          </w:p>
        </w:tc>
        <w:tc>
          <w:tcPr>
            <w:tcW w:w="101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2013 N</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2014 N</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2015 N</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Počet zamestnancov</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85 514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84 713</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81 458</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83 349</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82 718</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82 092</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81 473</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xml:space="preserve">Osobné výdavky </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999 938 919</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991 820 444</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1 051 802 617</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1 051 802 617</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1 051 802 617</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1 051 802 617</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1 051 802 617</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280" w:firstLineChars="200"/>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z toho:</w:t>
            </w:r>
            <w:r w:rsidRPr="001041F5">
              <w:rPr>
                <w:rFonts w:ascii="Times New Roman" w:hAnsi="Times New Roman" w:cs="Times New Roman"/>
                <w:sz w:val="14"/>
                <w:szCs w:val="14"/>
                <w:lang w:eastAsia="sk-SK"/>
              </w:rPr>
              <w:t xml:space="preserve"> mzdové výdavky</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740 952 189</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734 954 016</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779 740 157</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779 740 157</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779 740 157</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779 740 157</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779 740 157</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Priemerný mzdový výdavok</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722,06</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722,98</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797,69</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779,59</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785,54</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791,53</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797,54</w:t>
            </w:r>
          </w:p>
        </w:tc>
      </w:tr>
      <w:tr>
        <w:tblPrEx>
          <w:tblW w:w="8972" w:type="dxa"/>
          <w:jc w:val="center"/>
          <w:tblInd w:w="240" w:type="dxa"/>
          <w:tblCellMar>
            <w:left w:w="70" w:type="dxa"/>
            <w:right w:w="70" w:type="dxa"/>
          </w:tblCellMar>
          <w:tblLook w:val="04A0"/>
        </w:tblPrEx>
        <w:trPr>
          <w:trHeight w:val="420"/>
          <w:jc w:val="center"/>
        </w:trPr>
        <w:tc>
          <w:tcPr>
            <w:tcW w:w="1895" w:type="dxa"/>
            <w:tcBorders>
              <w:top w:val="nil"/>
              <w:left w:val="single" w:sz="4" w:space="0" w:color="auto"/>
              <w:bottom w:val="single" w:sz="4" w:space="0" w:color="auto"/>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Priemerná mzda zamestnanca v hospodárstve SR</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769</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786</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805</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805</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832</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869</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912</w:t>
            </w:r>
          </w:p>
        </w:tc>
      </w:tr>
      <w:tr>
        <w:tblPrEx>
          <w:tblW w:w="8972" w:type="dxa"/>
          <w:jc w:val="center"/>
          <w:tblInd w:w="240" w:type="dxa"/>
          <w:tblCellMar>
            <w:left w:w="70" w:type="dxa"/>
            <w:right w:w="70" w:type="dxa"/>
          </w:tblCellMar>
          <w:tblLook w:val="04A0"/>
        </w:tblPrEx>
        <w:trPr>
          <w:trHeight w:val="630"/>
          <w:jc w:val="center"/>
        </w:trPr>
        <w:tc>
          <w:tcPr>
            <w:tcW w:w="1895" w:type="dxa"/>
            <w:tcBorders>
              <w:top w:val="nil"/>
              <w:left w:val="single" w:sz="4" w:space="0" w:color="auto"/>
              <w:bottom w:val="single" w:sz="4" w:space="0" w:color="auto"/>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Priemerný mzdový výdavok /Priemerná mzda zamestnanca v hosp. SR</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-6,1</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-8,0</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-0,9</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-3,2</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-5,6</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-8,9</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-12,6</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nil"/>
            </w:tcBorders>
            <w:noWrap/>
            <w:textDirection w:val="lrTb"/>
            <w:vAlign w:val="center"/>
            <w:hideMark/>
          </w:tcPr>
          <w:p w:rsidR="005318FA" w:rsidRPr="001041F5" w:rsidP="006D395F">
            <w:pPr>
              <w:bidi w:val="0"/>
              <w:ind w:firstLine="280" w:firstLineChars="200"/>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z toho:</w:t>
            </w:r>
          </w:p>
        </w:tc>
        <w:tc>
          <w:tcPr>
            <w:tcW w:w="475"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840"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840"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972"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1015"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1015"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5318FA" w:rsidRPr="001041F5" w:rsidP="006D395F">
            <w:pPr>
              <w:bidi w:val="0"/>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Pedagogickí zamestnanci</w:t>
            </w:r>
          </w:p>
        </w:tc>
        <w:tc>
          <w:tcPr>
            <w:tcW w:w="475"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 </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2010 S</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2011 S</w:t>
            </w:r>
          </w:p>
        </w:tc>
        <w:tc>
          <w:tcPr>
            <w:tcW w:w="972"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 R</w:t>
            </w:r>
          </w:p>
        </w:tc>
        <w:tc>
          <w:tcPr>
            <w:tcW w:w="1015"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 OS</w:t>
            </w:r>
          </w:p>
        </w:tc>
        <w:tc>
          <w:tcPr>
            <w:tcW w:w="1015"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2013 N</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2014 N</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2015 N</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Počet zamestnancov</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64 744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64 156</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59 909</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63 194</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62 563</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61 937</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61 318</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Osobné výdavky</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836 941 942</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829 675 999</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907 324 799</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907 324 799</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907 324 799</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907 324 799</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907 324 799</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280" w:firstLineChars="200"/>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z toho:</w:t>
            </w:r>
            <w:r w:rsidRPr="001041F5">
              <w:rPr>
                <w:rFonts w:ascii="Times New Roman" w:hAnsi="Times New Roman" w:cs="Times New Roman"/>
                <w:sz w:val="14"/>
                <w:szCs w:val="14"/>
                <w:lang w:eastAsia="sk-SK"/>
              </w:rPr>
              <w:t xml:space="preserve"> mzdové výdavky</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620 171 845</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614 802 519</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672 877 866</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672 877 866</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672 877 866</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672 877 866</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672 877 866</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Priemerný mzdový výdavok</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798,24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798,58</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935,97</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887,32</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896,27</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905,33</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914,46</w:t>
            </w:r>
          </w:p>
        </w:tc>
      </w:tr>
      <w:tr>
        <w:tblPrEx>
          <w:tblW w:w="8972" w:type="dxa"/>
          <w:jc w:val="center"/>
          <w:tblInd w:w="240" w:type="dxa"/>
          <w:tblCellMar>
            <w:left w:w="70" w:type="dxa"/>
            <w:right w:w="70" w:type="dxa"/>
          </w:tblCellMar>
          <w:tblLook w:val="04A0"/>
        </w:tblPrEx>
        <w:trPr>
          <w:trHeight w:val="420"/>
          <w:jc w:val="center"/>
        </w:trPr>
        <w:tc>
          <w:tcPr>
            <w:tcW w:w="1895" w:type="dxa"/>
            <w:tcBorders>
              <w:top w:val="nil"/>
              <w:left w:val="single" w:sz="4" w:space="0" w:color="auto"/>
              <w:bottom w:val="single" w:sz="4" w:space="0" w:color="auto"/>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Priemerná mzda zamestnanca v hospodárstve SR</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769</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786</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805</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805</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832</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869</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912</w:t>
            </w:r>
          </w:p>
        </w:tc>
      </w:tr>
      <w:tr>
        <w:tblPrEx>
          <w:tblW w:w="8972" w:type="dxa"/>
          <w:jc w:val="center"/>
          <w:tblInd w:w="240" w:type="dxa"/>
          <w:tblCellMar>
            <w:left w:w="70" w:type="dxa"/>
            <w:right w:w="70" w:type="dxa"/>
          </w:tblCellMar>
          <w:tblLook w:val="04A0"/>
        </w:tblPrEx>
        <w:trPr>
          <w:trHeight w:val="630"/>
          <w:jc w:val="center"/>
        </w:trPr>
        <w:tc>
          <w:tcPr>
            <w:tcW w:w="1895" w:type="dxa"/>
            <w:tcBorders>
              <w:top w:val="nil"/>
              <w:left w:val="single" w:sz="4" w:space="0" w:color="auto"/>
              <w:bottom w:val="single" w:sz="4" w:space="0" w:color="auto"/>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Priemerný mzdový výdavok /Priemerná mzda zamestnanca v hosp. SR</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3,8</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1,6</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16,3</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10,2</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7,7</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4,2</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0,3</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nil"/>
            </w:tcBorders>
            <w:noWrap/>
            <w:textDirection w:val="lrTb"/>
            <w:vAlign w:val="center"/>
            <w:hideMark/>
          </w:tcPr>
          <w:p w:rsidR="005318FA" w:rsidRPr="001041F5" w:rsidP="006D395F">
            <w:pPr>
              <w:bidi w:val="0"/>
              <w:ind w:firstLine="140" w:firstLineChars="100"/>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 </w:t>
            </w:r>
          </w:p>
        </w:tc>
        <w:tc>
          <w:tcPr>
            <w:tcW w:w="475"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840"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840"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972"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1015"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1015"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960" w:type="dxa"/>
            <w:tcBorders>
              <w:top w:val="nil"/>
              <w:left w:val="nil"/>
              <w:bottom w:val="single" w:sz="4" w:space="0" w:color="auto"/>
              <w:right w:val="nil"/>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 </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5318FA" w:rsidRPr="001041F5" w:rsidP="006D395F">
            <w:pPr>
              <w:bidi w:val="0"/>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Nepedagogickí zamestnanci</w:t>
            </w:r>
          </w:p>
        </w:tc>
        <w:tc>
          <w:tcPr>
            <w:tcW w:w="475"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 </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2010 S</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2011 S</w:t>
            </w:r>
          </w:p>
        </w:tc>
        <w:tc>
          <w:tcPr>
            <w:tcW w:w="972"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 R</w:t>
            </w:r>
          </w:p>
        </w:tc>
        <w:tc>
          <w:tcPr>
            <w:tcW w:w="1015"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2012 OS</w:t>
            </w:r>
          </w:p>
        </w:tc>
        <w:tc>
          <w:tcPr>
            <w:tcW w:w="1015"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2013 N</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2014 N</w:t>
            </w:r>
          </w:p>
        </w:tc>
        <w:tc>
          <w:tcPr>
            <w:tcW w:w="960" w:type="dxa"/>
            <w:tcBorders>
              <w:top w:val="nil"/>
              <w:left w:val="nil"/>
              <w:bottom w:val="single" w:sz="4" w:space="0" w:color="auto"/>
              <w:right w:val="single" w:sz="4" w:space="0" w:color="auto"/>
            </w:tcBorders>
            <w:shd w:val="clear" w:color="000000" w:fill="BFBFBF"/>
            <w:noWrap/>
            <w:textDirection w:val="lrTb"/>
            <w:vAlign w:val="center"/>
            <w:hideMark/>
          </w:tcPr>
          <w:p w:rsidR="005318FA" w:rsidRPr="001041F5" w:rsidP="006D395F">
            <w:pPr>
              <w:bidi w:val="0"/>
              <w:jc w:val="center"/>
              <w:rPr>
                <w:rFonts w:ascii="Times New Roman" w:hAnsi="Times New Roman" w:cs="Times New Roman"/>
                <w:b/>
                <w:bCs/>
                <w:sz w:val="14"/>
                <w:szCs w:val="14"/>
                <w:lang w:eastAsia="sk-SK"/>
              </w:rPr>
            </w:pPr>
            <w:r w:rsidRPr="001041F5">
              <w:rPr>
                <w:rFonts w:ascii="Times New Roman" w:hAnsi="Times New Roman" w:cs="Times New Roman"/>
                <w:b/>
                <w:bCs/>
                <w:sz w:val="14"/>
                <w:szCs w:val="14"/>
                <w:lang w:eastAsia="sk-SK"/>
              </w:rPr>
              <w:t>2015 N</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Počet zamestnancov</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osoby</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20 770</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20 557</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21 549</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20 155</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20 155</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20 155</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20 155</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Osobné výdavky</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162 996 977</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162 144 445</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144 477 818</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144 477 818</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144 477 818</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144 477 818</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144 477 818</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ind w:firstLine="280" w:firstLineChars="200"/>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z toho:</w:t>
            </w:r>
            <w:r w:rsidRPr="001041F5">
              <w:rPr>
                <w:rFonts w:ascii="Times New Roman" w:hAnsi="Times New Roman" w:cs="Times New Roman"/>
                <w:sz w:val="14"/>
                <w:szCs w:val="14"/>
                <w:lang w:eastAsia="sk-SK"/>
              </w:rPr>
              <w:t xml:space="preserve"> mzdové výdavky</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120 780 344</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120 151 497</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106 862 291</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106 862 291</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106 862 291</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106 862 291</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106 862 291</w:t>
            </w:r>
          </w:p>
        </w:tc>
      </w:tr>
      <w:tr>
        <w:tblPrEx>
          <w:tblW w:w="8972" w:type="dxa"/>
          <w:jc w:val="center"/>
          <w:tblInd w:w="240" w:type="dxa"/>
          <w:tblCellMar>
            <w:left w:w="70" w:type="dxa"/>
            <w:right w:w="70" w:type="dxa"/>
          </w:tblCellMar>
          <w:tblLook w:val="04A0"/>
        </w:tblPrEx>
        <w:trPr>
          <w:trHeight w:val="330"/>
          <w:jc w:val="center"/>
        </w:trPr>
        <w:tc>
          <w:tcPr>
            <w:tcW w:w="1895" w:type="dxa"/>
            <w:tcBorders>
              <w:top w:val="nil"/>
              <w:left w:val="single" w:sz="4" w:space="0" w:color="auto"/>
              <w:bottom w:val="single" w:sz="4" w:space="0" w:color="auto"/>
              <w:right w:val="single" w:sz="4" w:space="0" w:color="auto"/>
            </w:tcBorders>
            <w:noWrap/>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Priemerný mzdový výdavok</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484,59</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487,07</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413,25</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441,84</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441,84</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441,84</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441,84</w:t>
            </w:r>
          </w:p>
        </w:tc>
      </w:tr>
      <w:tr>
        <w:tblPrEx>
          <w:tblW w:w="8972" w:type="dxa"/>
          <w:jc w:val="center"/>
          <w:tblInd w:w="240" w:type="dxa"/>
          <w:tblCellMar>
            <w:left w:w="70" w:type="dxa"/>
            <w:right w:w="70" w:type="dxa"/>
          </w:tblCellMar>
          <w:tblLook w:val="04A0"/>
        </w:tblPrEx>
        <w:trPr>
          <w:trHeight w:val="420"/>
          <w:jc w:val="center"/>
        </w:trPr>
        <w:tc>
          <w:tcPr>
            <w:tcW w:w="1895" w:type="dxa"/>
            <w:tcBorders>
              <w:top w:val="nil"/>
              <w:left w:val="single" w:sz="4" w:space="0" w:color="auto"/>
              <w:bottom w:val="single" w:sz="4" w:space="0" w:color="auto"/>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Priemerná mzda zamestnanca v hospodárstve SR</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eur</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769</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786</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805</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805</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832</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869</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912</w:t>
            </w:r>
          </w:p>
        </w:tc>
      </w:tr>
      <w:tr>
        <w:tblPrEx>
          <w:tblW w:w="8972" w:type="dxa"/>
          <w:jc w:val="center"/>
          <w:tblInd w:w="240" w:type="dxa"/>
          <w:tblCellMar>
            <w:left w:w="70" w:type="dxa"/>
            <w:right w:w="70" w:type="dxa"/>
          </w:tblCellMar>
          <w:tblLook w:val="04A0"/>
        </w:tblPrEx>
        <w:trPr>
          <w:trHeight w:val="630"/>
          <w:jc w:val="center"/>
        </w:trPr>
        <w:tc>
          <w:tcPr>
            <w:tcW w:w="1895" w:type="dxa"/>
            <w:tcBorders>
              <w:top w:val="nil"/>
              <w:left w:val="single" w:sz="4" w:space="0" w:color="auto"/>
              <w:bottom w:val="single" w:sz="4" w:space="0" w:color="auto"/>
              <w:right w:val="single" w:sz="4" w:space="0" w:color="auto"/>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Priemerný mzdový výdavok /Priemerná mzda zamestnanca v hosp. SR</w:t>
            </w:r>
          </w:p>
        </w:tc>
        <w:tc>
          <w:tcPr>
            <w:tcW w:w="47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center"/>
              <w:rPr>
                <w:rFonts w:ascii="Times New Roman" w:hAnsi="Times New Roman" w:cs="Times New Roman"/>
                <w:sz w:val="14"/>
                <w:szCs w:val="14"/>
                <w:lang w:eastAsia="sk-SK"/>
              </w:rPr>
            </w:pPr>
            <w:r w:rsidRPr="001041F5">
              <w:rPr>
                <w:rFonts w:ascii="Times New Roman" w:hAnsi="Times New Roman" w:cs="Times New Roman"/>
                <w:sz w:val="14"/>
                <w:szCs w:val="14"/>
                <w:lang w:eastAsia="sk-SK"/>
              </w:rPr>
              <w:t>%</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-37,0</w:t>
            </w:r>
          </w:p>
        </w:tc>
        <w:tc>
          <w:tcPr>
            <w:tcW w:w="84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-38,0</w:t>
            </w:r>
          </w:p>
        </w:tc>
        <w:tc>
          <w:tcPr>
            <w:tcW w:w="972"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-48,7</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-45,1</w:t>
            </w:r>
          </w:p>
        </w:tc>
        <w:tc>
          <w:tcPr>
            <w:tcW w:w="1015"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-46,9</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-49,2</w:t>
            </w:r>
          </w:p>
        </w:tc>
        <w:tc>
          <w:tcPr>
            <w:tcW w:w="960" w:type="dxa"/>
            <w:tcBorders>
              <w:top w:val="nil"/>
              <w:left w:val="nil"/>
              <w:bottom w:val="single" w:sz="4" w:space="0" w:color="auto"/>
              <w:right w:val="single" w:sz="4" w:space="0" w:color="auto"/>
            </w:tcBorders>
            <w:noWrap/>
            <w:textDirection w:val="lrTb"/>
            <w:vAlign w:val="center"/>
            <w:hideMark/>
          </w:tcPr>
          <w:p w:rsidR="005318FA" w:rsidRPr="001041F5" w:rsidP="006D395F">
            <w:pPr>
              <w:bidi w:val="0"/>
              <w:jc w:val="right"/>
              <w:rPr>
                <w:rFonts w:ascii="Times New Roman" w:hAnsi="Times New Roman" w:cs="Times New Roman"/>
                <w:sz w:val="14"/>
                <w:szCs w:val="14"/>
                <w:lang w:eastAsia="sk-SK"/>
              </w:rPr>
            </w:pPr>
            <w:r w:rsidRPr="001041F5">
              <w:rPr>
                <w:rFonts w:ascii="Times New Roman" w:hAnsi="Times New Roman" w:cs="Times New Roman"/>
                <w:sz w:val="14"/>
                <w:szCs w:val="14"/>
                <w:lang w:eastAsia="sk-SK"/>
              </w:rPr>
              <w:t>-51,6</w:t>
            </w:r>
          </w:p>
        </w:tc>
      </w:tr>
      <w:tr>
        <w:tblPrEx>
          <w:tblW w:w="8972" w:type="dxa"/>
          <w:jc w:val="center"/>
          <w:tblInd w:w="240" w:type="dxa"/>
          <w:tblCellMar>
            <w:left w:w="70" w:type="dxa"/>
            <w:right w:w="70" w:type="dxa"/>
          </w:tblCellMar>
          <w:tblLook w:val="04A0"/>
        </w:tblPrEx>
        <w:trPr>
          <w:trHeight w:val="240"/>
          <w:jc w:val="center"/>
        </w:trPr>
        <w:tc>
          <w:tcPr>
            <w:tcW w:w="1895" w:type="dxa"/>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i/>
                <w:iCs/>
                <w:sz w:val="14"/>
                <w:szCs w:val="14"/>
                <w:lang w:eastAsia="sk-SK"/>
              </w:rPr>
            </w:pPr>
            <w:r w:rsidRPr="001041F5">
              <w:rPr>
                <w:rFonts w:ascii="Times New Roman" w:hAnsi="Times New Roman" w:cs="Times New Roman"/>
                <w:i/>
                <w:iCs/>
                <w:sz w:val="14"/>
                <w:szCs w:val="14"/>
                <w:lang w:eastAsia="sk-SK"/>
              </w:rPr>
              <w:t>Poznámka:</w:t>
            </w:r>
          </w:p>
        </w:tc>
        <w:tc>
          <w:tcPr>
            <w:tcW w:w="475"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84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84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972"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1015"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1015"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960" w:type="dxa"/>
            <w:tcBorders>
              <w:top w:val="nil"/>
              <w:left w:val="nil"/>
              <w:bottom w:val="nil"/>
              <w:right w:val="nil"/>
            </w:tcBorders>
            <w:noWrap/>
            <w:textDirection w:val="lrTb"/>
            <w:vAlign w:val="bottom"/>
            <w:hideMark/>
          </w:tcPr>
          <w:p w:rsidR="005318FA" w:rsidRPr="001041F5" w:rsidP="006D395F">
            <w:pPr>
              <w:bidi w:val="0"/>
              <w:ind w:firstLine="140" w:firstLineChars="100"/>
              <w:rPr>
                <w:rFonts w:ascii="Arial Narrow" w:hAnsi="Arial Narrow" w:cs="Times New Roman"/>
                <w:sz w:val="14"/>
                <w:szCs w:val="14"/>
                <w:lang w:eastAsia="sk-SK"/>
              </w:rPr>
            </w:pPr>
            <w:r w:rsidRPr="001041F5">
              <w:rPr>
                <w:rFonts w:ascii="Arial Narrow" w:hAnsi="Arial Narrow" w:cs="Times New Roman"/>
                <w:sz w:val="14"/>
                <w:szCs w:val="14"/>
                <w:lang w:eastAsia="sk-SK"/>
              </w:rPr>
              <w:t> </w:t>
            </w:r>
          </w:p>
        </w:tc>
        <w:tc>
          <w:tcPr>
            <w:tcW w:w="960" w:type="dxa"/>
            <w:tcBorders>
              <w:top w:val="nil"/>
              <w:left w:val="nil"/>
              <w:bottom w:val="nil"/>
              <w:right w:val="nil"/>
            </w:tcBorders>
            <w:noWrap/>
            <w:textDirection w:val="lrTb"/>
            <w:vAlign w:val="bottom"/>
            <w:hideMark/>
          </w:tcPr>
          <w:p w:rsidR="005318FA" w:rsidRPr="001041F5" w:rsidP="006D395F">
            <w:pPr>
              <w:bidi w:val="0"/>
              <w:rPr>
                <w:rFonts w:ascii="Arial Narrow" w:hAnsi="Arial Narrow" w:cs="Times New Roman"/>
                <w:sz w:val="14"/>
                <w:szCs w:val="14"/>
                <w:lang w:eastAsia="sk-SK"/>
              </w:rPr>
            </w:pPr>
          </w:p>
        </w:tc>
      </w:tr>
      <w:tr>
        <w:tblPrEx>
          <w:tblW w:w="8972" w:type="dxa"/>
          <w:jc w:val="center"/>
          <w:tblInd w:w="240" w:type="dxa"/>
          <w:tblCellMar>
            <w:left w:w="70" w:type="dxa"/>
            <w:right w:w="70" w:type="dxa"/>
          </w:tblCellMar>
          <w:tblLook w:val="04A0"/>
        </w:tblPrEx>
        <w:trPr>
          <w:trHeight w:val="240"/>
          <w:jc w:val="center"/>
        </w:trPr>
        <w:tc>
          <w:tcPr>
            <w:tcW w:w="8972" w:type="dxa"/>
            <w:gridSpan w:val="9"/>
            <w:tcBorders>
              <w:top w:val="nil"/>
              <w:left w:val="nil"/>
              <w:bottom w:val="nil"/>
              <w:right w:val="nil"/>
            </w:tcBorders>
            <w:textDirection w:val="lrTb"/>
            <w:vAlign w:val="center"/>
            <w:hideMark/>
          </w:tcPr>
          <w:p w:rsidR="005318FA" w:rsidRPr="001041F5" w:rsidP="006D395F">
            <w:pPr>
              <w:bidi w:val="0"/>
              <w:rPr>
                <w:rFonts w:ascii="Times New Roman" w:hAnsi="Times New Roman" w:cs="Times New Roman"/>
                <w:sz w:val="14"/>
                <w:szCs w:val="14"/>
                <w:lang w:eastAsia="sk-SK"/>
              </w:rPr>
            </w:pPr>
            <w:r w:rsidRPr="001041F5">
              <w:rPr>
                <w:rFonts w:ascii="Times New Roman" w:hAnsi="Times New Roman" w:cs="Times New Roman"/>
                <w:sz w:val="14"/>
                <w:szCs w:val="14"/>
                <w:lang w:eastAsia="sk-SK"/>
              </w:rPr>
              <w:t>Skutočnosť v rokoch 2010 a 2011 je uvedená vrátane zdrojov EÚ a mimorozpočtových prostriedkov.</w:t>
            </w:r>
          </w:p>
        </w:tc>
      </w:tr>
    </w:tbl>
    <w:p w:rsidR="005318FA" w:rsidP="005318FA">
      <w:pPr>
        <w:bidi w:val="0"/>
        <w:ind w:firstLine="708"/>
        <w:jc w:val="both"/>
        <w:rPr>
          <w:rFonts w:ascii="Times New Roman" w:hAnsi="Times New Roman"/>
          <w:bCs/>
          <w:szCs w:val="22"/>
        </w:rPr>
      </w:pPr>
    </w:p>
    <w:p w:rsidR="005318FA" w:rsidRPr="00AB0DEC" w:rsidP="005318FA">
      <w:pPr>
        <w:bidi w:val="0"/>
        <w:ind w:firstLine="708"/>
        <w:rPr>
          <w:rFonts w:ascii="Times New Roman" w:hAnsi="Times New Roman"/>
          <w:bCs/>
          <w:i/>
          <w:iCs/>
          <w:szCs w:val="22"/>
          <w:u w:val="single"/>
        </w:rPr>
      </w:pPr>
      <w:bookmarkEnd w:id="56"/>
      <w:r w:rsidRPr="00AB0DEC">
        <w:rPr>
          <w:rFonts w:ascii="Times New Roman" w:hAnsi="Times New Roman"/>
          <w:bCs/>
          <w:szCs w:val="22"/>
          <w:u w:val="single"/>
        </w:rPr>
        <w:t>Osobné výdavky verejných vysokých škôl</w:t>
      </w:r>
    </w:p>
    <w:p w:rsidR="005318FA" w:rsidP="005318FA">
      <w:pPr>
        <w:bidi w:val="0"/>
        <w:ind w:firstLine="709"/>
        <w:jc w:val="both"/>
        <w:rPr>
          <w:rFonts w:ascii="Times New Roman" w:hAnsi="Times New Roman"/>
          <w:szCs w:val="22"/>
        </w:rPr>
      </w:pPr>
    </w:p>
    <w:p w:rsidR="005318FA" w:rsidP="005318FA">
      <w:pPr>
        <w:bidi w:val="0"/>
        <w:ind w:firstLine="708"/>
        <w:jc w:val="both"/>
        <w:rPr>
          <w:rFonts w:ascii="Times New Roman" w:hAnsi="Times New Roman"/>
          <w:bCs/>
          <w:szCs w:val="22"/>
        </w:rPr>
      </w:pPr>
      <w:r w:rsidRPr="00AB0DEC">
        <w:rPr>
          <w:rFonts w:ascii="Times New Roman" w:hAnsi="Times New Roman"/>
          <w:bCs/>
          <w:szCs w:val="22"/>
        </w:rPr>
        <w:t xml:space="preserve">Hospodárenie verejných vysokých škôl je upravené zákonom č. 131/2002 Z. z. o vysokých školách a o zmene a doplnení niektorých zákonov v znení neskorších predpisov. </w:t>
      </w:r>
    </w:p>
    <w:p w:rsidR="005318FA" w:rsidRPr="00AB0DEC" w:rsidP="005318FA">
      <w:pPr>
        <w:bidi w:val="0"/>
        <w:jc w:val="both"/>
        <w:rPr>
          <w:rFonts w:ascii="Times New Roman" w:hAnsi="Times New Roman"/>
          <w:szCs w:val="22"/>
        </w:rPr>
      </w:pPr>
    </w:p>
    <w:p w:rsidR="005318FA" w:rsidRPr="009D5632" w:rsidP="005318FA">
      <w:pPr>
        <w:bidi w:val="0"/>
        <w:ind w:firstLine="708"/>
        <w:jc w:val="both"/>
        <w:rPr>
          <w:rFonts w:ascii="Times New Roman" w:hAnsi="Times New Roman"/>
          <w:bCs/>
          <w:szCs w:val="22"/>
        </w:rPr>
      </w:pPr>
      <w:r w:rsidRPr="00AB0DEC">
        <w:rPr>
          <w:rFonts w:ascii="Times New Roman" w:hAnsi="Times New Roman"/>
          <w:bCs/>
          <w:szCs w:val="22"/>
        </w:rPr>
        <w:t xml:space="preserve">Návrh rozpočtu osobných výdavkov rozpočtovaných v rozpočte na roky 2013 až 2015 vychádza z  nezávislého postavenia verejných vysokých škôl, čo v praxi znamená, že verejné vysoké školy si prijatý transfer rozpisujú plne vo svojej kompetencii. </w:t>
      </w:r>
      <w:r>
        <w:rPr>
          <w:rFonts w:ascii="Times New Roman" w:hAnsi="Times New Roman"/>
          <w:bCs/>
          <w:szCs w:val="22"/>
        </w:rPr>
        <w:t xml:space="preserve"> O</w:t>
      </w:r>
      <w:r>
        <w:rPr>
          <w:rFonts w:ascii="Times New Roman" w:hAnsi="Times New Roman"/>
          <w:szCs w:val="22"/>
        </w:rPr>
        <w:t>bdobne, ako osobné výdavky zamestnancov regionálneho školstva, neboli predmetom 5% viazania ani osobné výdavky zamestnancov</w:t>
      </w:r>
      <w:r w:rsidRPr="00AB0DEC">
        <w:rPr>
          <w:rFonts w:ascii="Times New Roman" w:hAnsi="Times New Roman"/>
          <w:szCs w:val="22"/>
        </w:rPr>
        <w:t xml:space="preserve"> verejných vysokých škôl</w:t>
      </w:r>
      <w:r>
        <w:rPr>
          <w:rFonts w:ascii="Times New Roman" w:hAnsi="Times New Roman"/>
          <w:szCs w:val="22"/>
        </w:rPr>
        <w:t>.</w:t>
      </w:r>
    </w:p>
    <w:p w:rsidR="005318FA" w:rsidP="005318FA">
      <w:pPr>
        <w:bidi w:val="0"/>
        <w:ind w:firstLine="708"/>
        <w:jc w:val="both"/>
        <w:rPr>
          <w:rFonts w:ascii="Times New Roman" w:hAnsi="Times New Roman"/>
          <w:bCs/>
          <w:szCs w:val="22"/>
        </w:rPr>
      </w:pPr>
    </w:p>
    <w:p w:rsidR="005318FA" w:rsidP="005318FA">
      <w:pPr>
        <w:bidi w:val="0"/>
        <w:ind w:firstLine="708"/>
        <w:jc w:val="both"/>
        <w:rPr>
          <w:rFonts w:ascii="Times New Roman" w:hAnsi="Times New Roman"/>
          <w:bCs/>
          <w:szCs w:val="22"/>
        </w:rPr>
      </w:pPr>
      <w:r w:rsidRPr="00AB0DEC">
        <w:rPr>
          <w:rFonts w:ascii="Times New Roman" w:hAnsi="Times New Roman"/>
          <w:bCs/>
          <w:szCs w:val="22"/>
        </w:rPr>
        <w:t xml:space="preserve">Rozpočet osobných výdavkov verejných vysokých škôl v roku 2013 oproti schválenému rozpočtu na rok  2012 predpokladá ich rast o 2,6 % (7 948 tis. eur) na sumu  </w:t>
      </w:r>
      <w:r>
        <w:rPr>
          <w:rFonts w:ascii="Times New Roman" w:hAnsi="Times New Roman"/>
          <w:bCs/>
          <w:szCs w:val="22"/>
        </w:rPr>
        <w:br/>
      </w:r>
      <w:r w:rsidRPr="00AB0DEC">
        <w:rPr>
          <w:rFonts w:ascii="Times New Roman" w:hAnsi="Times New Roman"/>
          <w:bCs/>
          <w:szCs w:val="22"/>
        </w:rPr>
        <w:t>315 597 tis. eur pre</w:t>
      </w:r>
      <w:r>
        <w:rPr>
          <w:rFonts w:ascii="Times New Roman" w:hAnsi="Times New Roman"/>
          <w:bCs/>
          <w:szCs w:val="22"/>
        </w:rPr>
        <w:t xml:space="preserve"> orientačný počet</w:t>
      </w:r>
      <w:r w:rsidRPr="00AB0DEC">
        <w:rPr>
          <w:rFonts w:ascii="Times New Roman" w:hAnsi="Times New Roman"/>
          <w:bCs/>
          <w:szCs w:val="22"/>
        </w:rPr>
        <w:t xml:space="preserve"> 21 529 zamestnancov. </w:t>
      </w:r>
    </w:p>
    <w:p w:rsidR="005318FA" w:rsidP="005318FA">
      <w:pPr>
        <w:bidi w:val="0"/>
        <w:ind w:firstLine="708"/>
        <w:jc w:val="both"/>
        <w:rPr>
          <w:rFonts w:ascii="Times New Roman" w:hAnsi="Times New Roman"/>
          <w:bCs/>
          <w:szCs w:val="22"/>
        </w:rPr>
      </w:pPr>
      <w:r w:rsidRPr="00AB0DEC">
        <w:rPr>
          <w:rFonts w:ascii="Times New Roman" w:hAnsi="Times New Roman"/>
          <w:bCs/>
          <w:szCs w:val="22"/>
        </w:rPr>
        <w:t>Prehľad o skutočne dosiahnutých ukazovateľoch zamestnanosti v rokoch 2010 a 2011, očakávanej skutočnosti v r. 2012 a rozpočtu na roky 2013 až 2015 je uvedený v priloženej tabuľke.</w:t>
      </w:r>
    </w:p>
    <w:p w:rsidR="005318FA" w:rsidP="005318FA">
      <w:pPr>
        <w:bidi w:val="0"/>
        <w:ind w:firstLine="708"/>
        <w:jc w:val="both"/>
        <w:rPr>
          <w:rFonts w:ascii="Times New Roman" w:hAnsi="Times New Roman"/>
          <w:bCs/>
          <w:szCs w:val="22"/>
        </w:rPr>
      </w:pPr>
    </w:p>
    <w:tbl>
      <w:tblPr>
        <w:tblStyle w:val="TableNormal"/>
        <w:tblW w:w="9399" w:type="dxa"/>
        <w:jc w:val="center"/>
        <w:tblInd w:w="55" w:type="dxa"/>
        <w:tblCellMar>
          <w:left w:w="70" w:type="dxa"/>
          <w:right w:w="70" w:type="dxa"/>
        </w:tblCellMar>
        <w:tblLook w:val="04A0"/>
      </w:tblPr>
      <w:tblGrid>
        <w:gridCol w:w="2779"/>
        <w:gridCol w:w="475"/>
        <w:gridCol w:w="880"/>
        <w:gridCol w:w="880"/>
        <w:gridCol w:w="880"/>
        <w:gridCol w:w="880"/>
        <w:gridCol w:w="880"/>
        <w:gridCol w:w="880"/>
        <w:gridCol w:w="880"/>
      </w:tblGrid>
      <w:tr>
        <w:tblPrEx>
          <w:tblW w:w="9399" w:type="dxa"/>
          <w:jc w:val="center"/>
          <w:tblInd w:w="55" w:type="dxa"/>
          <w:tblCellMar>
            <w:left w:w="70" w:type="dxa"/>
            <w:right w:w="70" w:type="dxa"/>
          </w:tblCellMar>
          <w:tblLook w:val="04A0"/>
        </w:tblPrEx>
        <w:trPr>
          <w:trHeight w:val="330"/>
          <w:jc w:val="center"/>
        </w:trPr>
        <w:tc>
          <w:tcPr>
            <w:tcW w:w="2779"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318FA" w:rsidRPr="00B12C0A" w:rsidP="006D395F">
            <w:pPr>
              <w:bidi w:val="0"/>
              <w:rPr>
                <w:rFonts w:ascii="Times New Roman" w:hAnsi="Times New Roman" w:cs="Times New Roman"/>
                <w:b/>
                <w:bCs/>
                <w:sz w:val="14"/>
                <w:szCs w:val="14"/>
                <w:lang w:eastAsia="sk-SK"/>
              </w:rPr>
            </w:pPr>
            <w:r w:rsidRPr="00B12C0A">
              <w:rPr>
                <w:rFonts w:ascii="Times New Roman" w:hAnsi="Times New Roman" w:cs="Times New Roman"/>
                <w:b/>
                <w:bCs/>
                <w:sz w:val="14"/>
                <w:szCs w:val="14"/>
                <w:lang w:eastAsia="sk-SK"/>
              </w:rPr>
              <w:t>Verejné vysoké školy</w:t>
            </w:r>
          </w:p>
        </w:tc>
        <w:tc>
          <w:tcPr>
            <w:tcW w:w="46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rPr>
                <w:rFonts w:ascii="Times New Roman" w:hAnsi="Times New Roman" w:cs="Times New Roman"/>
                <w:b/>
                <w:bCs/>
                <w:sz w:val="14"/>
                <w:szCs w:val="14"/>
                <w:lang w:eastAsia="sk-SK"/>
              </w:rPr>
            </w:pPr>
            <w:r w:rsidRPr="00B12C0A">
              <w:rPr>
                <w:rFonts w:ascii="Times New Roman" w:hAnsi="Times New Roman" w:cs="Times New Roman"/>
                <w:b/>
                <w:bCs/>
                <w:sz w:val="14"/>
                <w:szCs w:val="14"/>
                <w:lang w:eastAsia="sk-SK"/>
              </w:rPr>
              <w:t> </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sz w:val="14"/>
                <w:szCs w:val="14"/>
                <w:lang w:eastAsia="sk-SK"/>
              </w:rPr>
            </w:pPr>
            <w:r w:rsidRPr="00B12C0A">
              <w:rPr>
                <w:rFonts w:ascii="Times New Roman" w:hAnsi="Times New Roman" w:cs="Times New Roman"/>
                <w:b/>
                <w:bCs/>
                <w:sz w:val="14"/>
                <w:szCs w:val="14"/>
                <w:lang w:eastAsia="sk-SK"/>
              </w:rPr>
              <w:t>2010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sz w:val="14"/>
                <w:szCs w:val="14"/>
                <w:lang w:eastAsia="sk-SK"/>
              </w:rPr>
            </w:pPr>
            <w:r w:rsidRPr="00B12C0A">
              <w:rPr>
                <w:rFonts w:ascii="Times New Roman" w:hAnsi="Times New Roman" w:cs="Times New Roman"/>
                <w:b/>
                <w:bCs/>
                <w:sz w:val="14"/>
                <w:szCs w:val="14"/>
                <w:lang w:eastAsia="sk-SK"/>
              </w:rPr>
              <w:t>2011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sz w:val="14"/>
                <w:szCs w:val="14"/>
                <w:lang w:eastAsia="sk-SK"/>
              </w:rPr>
            </w:pPr>
            <w:r w:rsidRPr="00B12C0A">
              <w:rPr>
                <w:rFonts w:ascii="Times New Roman" w:hAnsi="Times New Roman" w:cs="Times New Roman"/>
                <w:b/>
                <w:bCs/>
                <w:sz w:val="14"/>
                <w:szCs w:val="14"/>
                <w:lang w:eastAsia="sk-SK"/>
              </w:rPr>
              <w:t>2012 R</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sz w:val="14"/>
                <w:szCs w:val="14"/>
                <w:lang w:eastAsia="sk-SK"/>
              </w:rPr>
            </w:pPr>
            <w:r w:rsidRPr="00B12C0A">
              <w:rPr>
                <w:rFonts w:ascii="Times New Roman" w:hAnsi="Times New Roman" w:cs="Times New Roman"/>
                <w:b/>
                <w:bCs/>
                <w:sz w:val="14"/>
                <w:szCs w:val="14"/>
                <w:lang w:eastAsia="sk-SK"/>
              </w:rPr>
              <w:t>2012 OS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sz w:val="14"/>
                <w:szCs w:val="14"/>
                <w:lang w:eastAsia="sk-SK"/>
              </w:rPr>
            </w:pPr>
            <w:r w:rsidRPr="00B12C0A">
              <w:rPr>
                <w:rFonts w:ascii="Times New Roman" w:hAnsi="Times New Roman" w:cs="Times New Roman"/>
                <w:b/>
                <w:bCs/>
                <w:sz w:val="14"/>
                <w:szCs w:val="14"/>
                <w:lang w:eastAsia="sk-SK"/>
              </w:rPr>
              <w:t>2013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sz w:val="14"/>
                <w:szCs w:val="14"/>
                <w:lang w:eastAsia="sk-SK"/>
              </w:rPr>
            </w:pPr>
            <w:r w:rsidRPr="00B12C0A">
              <w:rPr>
                <w:rFonts w:ascii="Times New Roman" w:hAnsi="Times New Roman" w:cs="Times New Roman"/>
                <w:b/>
                <w:bCs/>
                <w:sz w:val="14"/>
                <w:szCs w:val="14"/>
                <w:lang w:eastAsia="sk-SK"/>
              </w:rPr>
              <w:t>2014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sz w:val="14"/>
                <w:szCs w:val="14"/>
                <w:lang w:eastAsia="sk-SK"/>
              </w:rPr>
            </w:pPr>
            <w:r w:rsidRPr="00B12C0A">
              <w:rPr>
                <w:rFonts w:ascii="Times New Roman" w:hAnsi="Times New Roman" w:cs="Times New Roman"/>
                <w:b/>
                <w:bCs/>
                <w:sz w:val="14"/>
                <w:szCs w:val="14"/>
                <w:lang w:eastAsia="sk-SK"/>
              </w:rPr>
              <w:t>2015 N</w:t>
            </w:r>
          </w:p>
        </w:tc>
      </w:tr>
      <w:tr>
        <w:tblPrEx>
          <w:tblW w:w="9399" w:type="dxa"/>
          <w:jc w:val="center"/>
          <w:tblInd w:w="55" w:type="dxa"/>
          <w:tblCellMar>
            <w:left w:w="70" w:type="dxa"/>
            <w:right w:w="70" w:type="dxa"/>
          </w:tblCellMar>
          <w:tblLook w:val="04A0"/>
        </w:tblPrEx>
        <w:trPr>
          <w:trHeight w:val="330"/>
          <w:jc w:val="center"/>
        </w:trPr>
        <w:tc>
          <w:tcPr>
            <w:tcW w:w="2779" w:type="dxa"/>
            <w:tcBorders>
              <w:top w:val="nil"/>
              <w:left w:val="single" w:sz="4" w:space="0" w:color="auto"/>
              <w:bottom w:val="single" w:sz="4" w:space="0" w:color="auto"/>
              <w:right w:val="single" w:sz="4" w:space="0" w:color="auto"/>
            </w:tcBorders>
            <w:noWrap/>
            <w:textDirection w:val="lrTb"/>
            <w:vAlign w:val="center"/>
            <w:hideMark/>
          </w:tcPr>
          <w:p w:rsidR="005318FA" w:rsidRPr="00B12C0A" w:rsidP="006D395F">
            <w:pPr>
              <w:bidi w:val="0"/>
              <w:rPr>
                <w:rFonts w:ascii="Times New Roman" w:hAnsi="Times New Roman" w:cs="Times New Roman"/>
                <w:sz w:val="14"/>
                <w:szCs w:val="14"/>
                <w:lang w:eastAsia="sk-SK"/>
              </w:rPr>
            </w:pPr>
            <w:r w:rsidRPr="00B12C0A">
              <w:rPr>
                <w:rFonts w:ascii="Times New Roman" w:hAnsi="Times New Roman" w:cs="Times New Roman"/>
                <w:sz w:val="14"/>
                <w:szCs w:val="14"/>
                <w:lang w:eastAsia="sk-SK"/>
              </w:rPr>
              <w:t>Počet zamestnancov</w:t>
            </w:r>
          </w:p>
        </w:tc>
        <w:tc>
          <w:tcPr>
            <w:tcW w:w="46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center"/>
              <w:rPr>
                <w:rFonts w:ascii="Times New Roman" w:hAnsi="Times New Roman" w:cs="Times New Roman"/>
                <w:sz w:val="14"/>
                <w:szCs w:val="14"/>
                <w:lang w:eastAsia="sk-SK"/>
              </w:rPr>
            </w:pPr>
            <w:r w:rsidRPr="00B12C0A">
              <w:rPr>
                <w:rFonts w:ascii="Times New Roman" w:hAnsi="Times New Roman" w:cs="Times New Roman"/>
                <w:sz w:val="14"/>
                <w:szCs w:val="14"/>
                <w:lang w:eastAsia="sk-SK"/>
              </w:rPr>
              <w:t>osoby</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21 673</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21 538</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19 666</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21 572</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21 529</w:t>
            </w:r>
          </w:p>
        </w:tc>
      </w:tr>
      <w:tr>
        <w:tblPrEx>
          <w:tblW w:w="9399" w:type="dxa"/>
          <w:jc w:val="center"/>
          <w:tblInd w:w="55" w:type="dxa"/>
          <w:tblCellMar>
            <w:left w:w="70" w:type="dxa"/>
            <w:right w:w="70" w:type="dxa"/>
          </w:tblCellMar>
          <w:tblLook w:val="04A0"/>
        </w:tblPrEx>
        <w:trPr>
          <w:trHeight w:val="330"/>
          <w:jc w:val="center"/>
        </w:trPr>
        <w:tc>
          <w:tcPr>
            <w:tcW w:w="2779" w:type="dxa"/>
            <w:tcBorders>
              <w:top w:val="nil"/>
              <w:left w:val="single" w:sz="4" w:space="0" w:color="auto"/>
              <w:bottom w:val="single" w:sz="4" w:space="0" w:color="auto"/>
              <w:right w:val="single" w:sz="4" w:space="0" w:color="auto"/>
            </w:tcBorders>
            <w:noWrap/>
            <w:textDirection w:val="lrTb"/>
            <w:vAlign w:val="center"/>
            <w:hideMark/>
          </w:tcPr>
          <w:p w:rsidR="005318FA" w:rsidRPr="00B12C0A" w:rsidP="006D395F">
            <w:pPr>
              <w:bidi w:val="0"/>
              <w:rPr>
                <w:rFonts w:ascii="Times New Roman" w:hAnsi="Times New Roman" w:cs="Times New Roman"/>
                <w:sz w:val="14"/>
                <w:szCs w:val="14"/>
                <w:lang w:eastAsia="sk-SK"/>
              </w:rPr>
            </w:pPr>
            <w:r w:rsidRPr="00B12C0A">
              <w:rPr>
                <w:rFonts w:ascii="Times New Roman" w:hAnsi="Times New Roman" w:cs="Times New Roman"/>
                <w:sz w:val="14"/>
                <w:szCs w:val="14"/>
                <w:lang w:eastAsia="sk-SK"/>
              </w:rPr>
              <w:t>Osobné výdavky</w:t>
            </w:r>
          </w:p>
        </w:tc>
        <w:tc>
          <w:tcPr>
            <w:tcW w:w="46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center"/>
              <w:rPr>
                <w:rFonts w:ascii="Times New Roman" w:hAnsi="Times New Roman" w:cs="Times New Roman"/>
                <w:sz w:val="14"/>
                <w:szCs w:val="14"/>
                <w:lang w:eastAsia="sk-SK"/>
              </w:rPr>
            </w:pPr>
            <w:r w:rsidRPr="00B12C0A">
              <w:rPr>
                <w:rFonts w:ascii="Times New Roman" w:hAnsi="Times New Roman" w:cs="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307 246 636</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310 178 990</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307 648 707</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314 225 724</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315 597 169</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300 020 501</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300 133 355</w:t>
            </w:r>
          </w:p>
        </w:tc>
      </w:tr>
      <w:tr>
        <w:tblPrEx>
          <w:tblW w:w="9399" w:type="dxa"/>
          <w:jc w:val="center"/>
          <w:tblInd w:w="55" w:type="dxa"/>
          <w:tblCellMar>
            <w:left w:w="70" w:type="dxa"/>
            <w:right w:w="70" w:type="dxa"/>
          </w:tblCellMar>
          <w:tblLook w:val="04A0"/>
        </w:tblPrEx>
        <w:trPr>
          <w:trHeight w:val="330"/>
          <w:jc w:val="center"/>
        </w:trPr>
        <w:tc>
          <w:tcPr>
            <w:tcW w:w="2779" w:type="dxa"/>
            <w:tcBorders>
              <w:top w:val="nil"/>
              <w:left w:val="single" w:sz="4" w:space="0" w:color="auto"/>
              <w:bottom w:val="single" w:sz="4" w:space="0" w:color="auto"/>
              <w:right w:val="single" w:sz="4" w:space="0" w:color="auto"/>
            </w:tcBorders>
            <w:noWrap/>
            <w:textDirection w:val="lrTb"/>
            <w:vAlign w:val="center"/>
            <w:hideMark/>
          </w:tcPr>
          <w:p w:rsidR="005318FA" w:rsidRPr="00B12C0A" w:rsidP="006D395F">
            <w:pPr>
              <w:bidi w:val="0"/>
              <w:ind w:firstLine="280" w:firstLineChars="200"/>
              <w:rPr>
                <w:rFonts w:ascii="Times New Roman" w:hAnsi="Times New Roman" w:cs="Times New Roman"/>
                <w:i/>
                <w:iCs/>
                <w:sz w:val="14"/>
                <w:szCs w:val="14"/>
                <w:lang w:eastAsia="sk-SK"/>
              </w:rPr>
            </w:pPr>
            <w:r w:rsidRPr="00B12C0A">
              <w:rPr>
                <w:rFonts w:ascii="Times New Roman" w:hAnsi="Times New Roman" w:cs="Times New Roman"/>
                <w:i/>
                <w:iCs/>
                <w:sz w:val="14"/>
                <w:szCs w:val="14"/>
                <w:lang w:eastAsia="sk-SK"/>
              </w:rPr>
              <w:t>z toho:</w:t>
            </w:r>
            <w:r w:rsidRPr="00B12C0A">
              <w:rPr>
                <w:rFonts w:ascii="Times New Roman" w:hAnsi="Times New Roman" w:cs="Times New Roman"/>
                <w:sz w:val="14"/>
                <w:szCs w:val="14"/>
                <w:lang w:eastAsia="sk-SK"/>
              </w:rPr>
              <w:t xml:space="preserve"> mzdové výdavky</w:t>
            </w:r>
          </w:p>
        </w:tc>
        <w:tc>
          <w:tcPr>
            <w:tcW w:w="46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center"/>
              <w:rPr>
                <w:rFonts w:ascii="Times New Roman" w:hAnsi="Times New Roman" w:cs="Times New Roman"/>
                <w:sz w:val="14"/>
                <w:szCs w:val="14"/>
                <w:lang w:eastAsia="sk-SK"/>
              </w:rPr>
            </w:pPr>
            <w:r w:rsidRPr="00B12C0A">
              <w:rPr>
                <w:rFonts w:ascii="Times New Roman" w:hAnsi="Times New Roman" w:cs="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229 154 969</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230 675 209</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227 550 819</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232 415 476</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234 611 682</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224 471 872</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224 646 426</w:t>
            </w:r>
          </w:p>
        </w:tc>
      </w:tr>
      <w:tr>
        <w:tblPrEx>
          <w:tblW w:w="9399" w:type="dxa"/>
          <w:jc w:val="center"/>
          <w:tblInd w:w="55" w:type="dxa"/>
          <w:tblCellMar>
            <w:left w:w="70" w:type="dxa"/>
            <w:right w:w="70" w:type="dxa"/>
          </w:tblCellMar>
          <w:tblLook w:val="04A0"/>
        </w:tblPrEx>
        <w:trPr>
          <w:trHeight w:val="330"/>
          <w:jc w:val="center"/>
        </w:trPr>
        <w:tc>
          <w:tcPr>
            <w:tcW w:w="2779" w:type="dxa"/>
            <w:tcBorders>
              <w:top w:val="nil"/>
              <w:left w:val="single" w:sz="4" w:space="0" w:color="auto"/>
              <w:bottom w:val="single" w:sz="4" w:space="0" w:color="auto"/>
              <w:right w:val="single" w:sz="4" w:space="0" w:color="auto"/>
            </w:tcBorders>
            <w:noWrap/>
            <w:textDirection w:val="lrTb"/>
            <w:vAlign w:val="center"/>
            <w:hideMark/>
          </w:tcPr>
          <w:p w:rsidR="005318FA" w:rsidRPr="00B12C0A" w:rsidP="006D395F">
            <w:pPr>
              <w:bidi w:val="0"/>
              <w:rPr>
                <w:rFonts w:ascii="Times New Roman" w:hAnsi="Times New Roman" w:cs="Times New Roman"/>
                <w:sz w:val="14"/>
                <w:szCs w:val="14"/>
                <w:lang w:eastAsia="sk-SK"/>
              </w:rPr>
            </w:pPr>
            <w:r w:rsidRPr="00B12C0A">
              <w:rPr>
                <w:rFonts w:ascii="Times New Roman" w:hAnsi="Times New Roman" w:cs="Times New Roman"/>
                <w:sz w:val="14"/>
                <w:szCs w:val="14"/>
                <w:lang w:eastAsia="sk-SK"/>
              </w:rPr>
              <w:t>Priemerný mzdový výdavok</w:t>
            </w:r>
          </w:p>
        </w:tc>
        <w:tc>
          <w:tcPr>
            <w:tcW w:w="46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center"/>
              <w:rPr>
                <w:rFonts w:ascii="Times New Roman" w:hAnsi="Times New Roman" w:cs="Times New Roman"/>
                <w:sz w:val="14"/>
                <w:szCs w:val="14"/>
                <w:lang w:eastAsia="sk-SK"/>
              </w:rPr>
            </w:pPr>
            <w:r w:rsidRPr="00B12C0A">
              <w:rPr>
                <w:rFonts w:ascii="Times New Roman" w:hAnsi="Times New Roman" w:cs="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881,11</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892,51</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964,23</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897,83</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908,12</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868,87</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869,55</w:t>
            </w:r>
          </w:p>
        </w:tc>
      </w:tr>
      <w:tr>
        <w:tblPrEx>
          <w:tblW w:w="9399" w:type="dxa"/>
          <w:jc w:val="center"/>
          <w:tblInd w:w="55" w:type="dxa"/>
          <w:tblCellMar>
            <w:left w:w="70" w:type="dxa"/>
            <w:right w:w="70" w:type="dxa"/>
          </w:tblCellMar>
          <w:tblLook w:val="04A0"/>
        </w:tblPrEx>
        <w:trPr>
          <w:trHeight w:val="330"/>
          <w:jc w:val="center"/>
        </w:trPr>
        <w:tc>
          <w:tcPr>
            <w:tcW w:w="2779" w:type="dxa"/>
            <w:tcBorders>
              <w:top w:val="nil"/>
              <w:left w:val="single" w:sz="4" w:space="0" w:color="auto"/>
              <w:bottom w:val="single" w:sz="4" w:space="0" w:color="auto"/>
              <w:right w:val="single" w:sz="4" w:space="0" w:color="auto"/>
            </w:tcBorders>
            <w:noWrap/>
            <w:textDirection w:val="lrTb"/>
            <w:vAlign w:val="center"/>
            <w:hideMark/>
          </w:tcPr>
          <w:p w:rsidR="005318FA" w:rsidRPr="00B12C0A" w:rsidP="006D395F">
            <w:pPr>
              <w:bidi w:val="0"/>
              <w:rPr>
                <w:rFonts w:ascii="Times New Roman" w:hAnsi="Times New Roman" w:cs="Times New Roman"/>
                <w:sz w:val="14"/>
                <w:szCs w:val="14"/>
                <w:lang w:eastAsia="sk-SK"/>
              </w:rPr>
            </w:pPr>
            <w:r w:rsidRPr="00B12C0A">
              <w:rPr>
                <w:rFonts w:ascii="Times New Roman" w:hAnsi="Times New Roman" w:cs="Times New Roman"/>
                <w:sz w:val="14"/>
                <w:szCs w:val="14"/>
                <w:lang w:eastAsia="sk-SK"/>
              </w:rPr>
              <w:t>Priemerná mzda zamestnanca v hospodárstve SR</w:t>
            </w:r>
          </w:p>
        </w:tc>
        <w:tc>
          <w:tcPr>
            <w:tcW w:w="46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center"/>
              <w:rPr>
                <w:rFonts w:ascii="Times New Roman" w:hAnsi="Times New Roman" w:cs="Times New Roman"/>
                <w:sz w:val="14"/>
                <w:szCs w:val="14"/>
                <w:lang w:eastAsia="sk-SK"/>
              </w:rPr>
            </w:pPr>
            <w:r w:rsidRPr="00B12C0A">
              <w:rPr>
                <w:rFonts w:ascii="Times New Roman" w:hAnsi="Times New Roman" w:cs="Times New Roman"/>
                <w:sz w:val="14"/>
                <w:szCs w:val="14"/>
                <w:lang w:eastAsia="sk-SK"/>
              </w:rPr>
              <w:t>eur</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769</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786</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805</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805</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832</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869</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912</w:t>
            </w:r>
          </w:p>
        </w:tc>
      </w:tr>
      <w:tr>
        <w:tblPrEx>
          <w:tblW w:w="9399" w:type="dxa"/>
          <w:jc w:val="center"/>
          <w:tblInd w:w="55" w:type="dxa"/>
          <w:tblCellMar>
            <w:left w:w="70" w:type="dxa"/>
            <w:right w:w="70" w:type="dxa"/>
          </w:tblCellMar>
          <w:tblLook w:val="04A0"/>
        </w:tblPrEx>
        <w:trPr>
          <w:trHeight w:val="540"/>
          <w:jc w:val="center"/>
        </w:trPr>
        <w:tc>
          <w:tcPr>
            <w:tcW w:w="2779" w:type="dxa"/>
            <w:tcBorders>
              <w:top w:val="nil"/>
              <w:left w:val="single" w:sz="4" w:space="0" w:color="auto"/>
              <w:bottom w:val="single" w:sz="4" w:space="0" w:color="auto"/>
              <w:right w:val="single" w:sz="4" w:space="0" w:color="auto"/>
            </w:tcBorders>
            <w:textDirection w:val="lrTb"/>
            <w:vAlign w:val="center"/>
            <w:hideMark/>
          </w:tcPr>
          <w:p w:rsidR="005318FA" w:rsidRPr="00B12C0A" w:rsidP="006D395F">
            <w:pPr>
              <w:bidi w:val="0"/>
              <w:rPr>
                <w:rFonts w:ascii="Times New Roman" w:hAnsi="Times New Roman" w:cs="Times New Roman"/>
                <w:sz w:val="14"/>
                <w:szCs w:val="14"/>
                <w:lang w:eastAsia="sk-SK"/>
              </w:rPr>
            </w:pPr>
            <w:r w:rsidRPr="00B12C0A">
              <w:rPr>
                <w:rFonts w:ascii="Times New Roman" w:hAnsi="Times New Roman" w:cs="Times New Roman"/>
                <w:sz w:val="14"/>
                <w:szCs w:val="14"/>
                <w:lang w:eastAsia="sk-SK"/>
              </w:rPr>
              <w:t>Priemerný mzdový výdavok /Priemerná mzda zamestnanca v hosp. SR</w:t>
            </w:r>
          </w:p>
        </w:tc>
        <w:tc>
          <w:tcPr>
            <w:tcW w:w="46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center"/>
              <w:rPr>
                <w:rFonts w:ascii="Times New Roman" w:hAnsi="Times New Roman" w:cs="Times New Roman"/>
                <w:sz w:val="14"/>
                <w:szCs w:val="14"/>
                <w:lang w:eastAsia="sk-SK"/>
              </w:rPr>
            </w:pPr>
            <w:r w:rsidRPr="00B12C0A">
              <w:rPr>
                <w:rFonts w:ascii="Times New Roman" w:hAnsi="Times New Roman" w:cs="Times New Roman"/>
                <w:sz w:val="14"/>
                <w:szCs w:val="14"/>
                <w:lang w:eastAsia="sk-SK"/>
              </w:rPr>
              <w:t>%</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14,6</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13,6</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19,8</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11,5</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9,1</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0,0</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-4,7</w:t>
            </w:r>
          </w:p>
        </w:tc>
      </w:tr>
      <w:tr>
        <w:tblPrEx>
          <w:tblW w:w="9399" w:type="dxa"/>
          <w:jc w:val="center"/>
          <w:tblInd w:w="55" w:type="dxa"/>
          <w:tblCellMar>
            <w:left w:w="70" w:type="dxa"/>
            <w:right w:w="70" w:type="dxa"/>
          </w:tblCellMar>
          <w:tblLook w:val="04A0"/>
        </w:tblPrEx>
        <w:trPr>
          <w:trHeight w:val="240"/>
          <w:jc w:val="center"/>
        </w:trPr>
        <w:tc>
          <w:tcPr>
            <w:tcW w:w="2779" w:type="dxa"/>
            <w:tcBorders>
              <w:top w:val="nil"/>
              <w:left w:val="nil"/>
              <w:bottom w:val="nil"/>
              <w:right w:val="nil"/>
            </w:tcBorders>
            <w:textDirection w:val="lrTb"/>
            <w:vAlign w:val="center"/>
            <w:hideMark/>
          </w:tcPr>
          <w:p w:rsidR="005318FA" w:rsidRPr="00B12C0A" w:rsidP="006D395F">
            <w:pPr>
              <w:bidi w:val="0"/>
              <w:rPr>
                <w:rFonts w:ascii="Times New Roman" w:hAnsi="Times New Roman" w:cs="Times New Roman"/>
                <w:i/>
                <w:iCs/>
                <w:sz w:val="14"/>
                <w:szCs w:val="14"/>
                <w:lang w:eastAsia="sk-SK"/>
              </w:rPr>
            </w:pPr>
            <w:r w:rsidRPr="00B12C0A">
              <w:rPr>
                <w:rFonts w:ascii="Times New Roman" w:hAnsi="Times New Roman" w:cs="Times New Roman"/>
                <w:i/>
                <w:iCs/>
                <w:sz w:val="14"/>
                <w:szCs w:val="14"/>
                <w:lang w:eastAsia="sk-SK"/>
              </w:rPr>
              <w:t>Poznámka:</w:t>
            </w:r>
          </w:p>
        </w:tc>
        <w:tc>
          <w:tcPr>
            <w:tcW w:w="460" w:type="dxa"/>
            <w:tcBorders>
              <w:top w:val="nil"/>
              <w:left w:val="nil"/>
              <w:bottom w:val="nil"/>
              <w:right w:val="nil"/>
            </w:tcBorders>
            <w:noWrap/>
            <w:textDirection w:val="lrTb"/>
            <w:vAlign w:val="bottom"/>
            <w:hideMark/>
          </w:tcPr>
          <w:p w:rsidR="005318FA" w:rsidRPr="00B12C0A" w:rsidP="006D395F">
            <w:pPr>
              <w:bidi w:val="0"/>
              <w:ind w:firstLine="140" w:firstLineChars="100"/>
              <w:rPr>
                <w:rFonts w:ascii="Arial Narrow" w:hAnsi="Arial Narrow" w:cs="Times New Roman"/>
                <w:sz w:val="14"/>
                <w:szCs w:val="14"/>
                <w:lang w:eastAsia="sk-SK"/>
              </w:rPr>
            </w:pPr>
            <w:r w:rsidRPr="00B12C0A">
              <w:rPr>
                <w:rFonts w:ascii="Arial Narrow" w:hAnsi="Arial Narrow" w:cs="Times New Roman"/>
                <w:sz w:val="14"/>
                <w:szCs w:val="14"/>
                <w:lang w:eastAsia="sk-SK"/>
              </w:rPr>
              <w:t> </w:t>
            </w:r>
          </w:p>
        </w:tc>
        <w:tc>
          <w:tcPr>
            <w:tcW w:w="880" w:type="dxa"/>
            <w:tcBorders>
              <w:top w:val="nil"/>
              <w:left w:val="nil"/>
              <w:bottom w:val="nil"/>
              <w:right w:val="nil"/>
            </w:tcBorders>
            <w:noWrap/>
            <w:textDirection w:val="lrTb"/>
            <w:vAlign w:val="bottom"/>
            <w:hideMark/>
          </w:tcPr>
          <w:p w:rsidR="005318FA" w:rsidRPr="00B12C0A" w:rsidP="006D395F">
            <w:pPr>
              <w:bidi w:val="0"/>
              <w:ind w:firstLine="140" w:firstLineChars="100"/>
              <w:rPr>
                <w:rFonts w:ascii="Arial Narrow" w:hAnsi="Arial Narrow" w:cs="Times New Roman"/>
                <w:sz w:val="14"/>
                <w:szCs w:val="14"/>
                <w:lang w:eastAsia="sk-SK"/>
              </w:rPr>
            </w:pPr>
            <w:r w:rsidRPr="00B12C0A">
              <w:rPr>
                <w:rFonts w:ascii="Arial Narrow" w:hAnsi="Arial Narrow" w:cs="Times New Roman"/>
                <w:sz w:val="14"/>
                <w:szCs w:val="14"/>
                <w:lang w:eastAsia="sk-SK"/>
              </w:rPr>
              <w:t> </w:t>
            </w:r>
          </w:p>
        </w:tc>
        <w:tc>
          <w:tcPr>
            <w:tcW w:w="880" w:type="dxa"/>
            <w:tcBorders>
              <w:top w:val="nil"/>
              <w:left w:val="nil"/>
              <w:bottom w:val="nil"/>
              <w:right w:val="nil"/>
            </w:tcBorders>
            <w:noWrap/>
            <w:textDirection w:val="lrTb"/>
            <w:vAlign w:val="bottom"/>
            <w:hideMark/>
          </w:tcPr>
          <w:p w:rsidR="005318FA" w:rsidRPr="00B12C0A" w:rsidP="006D395F">
            <w:pPr>
              <w:bidi w:val="0"/>
              <w:ind w:firstLine="140" w:firstLineChars="100"/>
              <w:rPr>
                <w:rFonts w:ascii="Arial Narrow" w:hAnsi="Arial Narrow" w:cs="Times New Roman"/>
                <w:sz w:val="14"/>
                <w:szCs w:val="14"/>
                <w:lang w:eastAsia="sk-SK"/>
              </w:rPr>
            </w:pPr>
            <w:r w:rsidRPr="00B12C0A">
              <w:rPr>
                <w:rFonts w:ascii="Arial Narrow" w:hAnsi="Arial Narrow" w:cs="Times New Roman"/>
                <w:sz w:val="14"/>
                <w:szCs w:val="14"/>
                <w:lang w:eastAsia="sk-SK"/>
              </w:rPr>
              <w:t> </w:t>
            </w:r>
          </w:p>
        </w:tc>
        <w:tc>
          <w:tcPr>
            <w:tcW w:w="880" w:type="dxa"/>
            <w:tcBorders>
              <w:top w:val="nil"/>
              <w:left w:val="nil"/>
              <w:bottom w:val="nil"/>
              <w:right w:val="nil"/>
            </w:tcBorders>
            <w:noWrap/>
            <w:textDirection w:val="lrTb"/>
            <w:vAlign w:val="bottom"/>
            <w:hideMark/>
          </w:tcPr>
          <w:p w:rsidR="005318FA" w:rsidRPr="00B12C0A" w:rsidP="006D395F">
            <w:pPr>
              <w:bidi w:val="0"/>
              <w:ind w:firstLine="140" w:firstLineChars="100"/>
              <w:rPr>
                <w:rFonts w:ascii="Arial Narrow" w:hAnsi="Arial Narrow" w:cs="Times New Roman"/>
                <w:sz w:val="14"/>
                <w:szCs w:val="14"/>
                <w:lang w:eastAsia="sk-SK"/>
              </w:rPr>
            </w:pPr>
            <w:r w:rsidRPr="00B12C0A">
              <w:rPr>
                <w:rFonts w:ascii="Arial Narrow" w:hAnsi="Arial Narrow" w:cs="Times New Roman"/>
                <w:sz w:val="14"/>
                <w:szCs w:val="14"/>
                <w:lang w:eastAsia="sk-SK"/>
              </w:rPr>
              <w:t> </w:t>
            </w:r>
          </w:p>
        </w:tc>
        <w:tc>
          <w:tcPr>
            <w:tcW w:w="880" w:type="dxa"/>
            <w:tcBorders>
              <w:top w:val="nil"/>
              <w:left w:val="nil"/>
              <w:bottom w:val="nil"/>
              <w:right w:val="nil"/>
            </w:tcBorders>
            <w:noWrap/>
            <w:textDirection w:val="lrTb"/>
            <w:vAlign w:val="bottom"/>
            <w:hideMark/>
          </w:tcPr>
          <w:p w:rsidR="005318FA" w:rsidRPr="00B12C0A" w:rsidP="006D395F">
            <w:pPr>
              <w:bidi w:val="0"/>
              <w:ind w:firstLine="140" w:firstLineChars="100"/>
              <w:rPr>
                <w:rFonts w:ascii="Arial Narrow" w:hAnsi="Arial Narrow" w:cs="Times New Roman"/>
                <w:sz w:val="14"/>
                <w:szCs w:val="14"/>
                <w:lang w:eastAsia="sk-SK"/>
              </w:rPr>
            </w:pPr>
            <w:r w:rsidRPr="00B12C0A">
              <w:rPr>
                <w:rFonts w:ascii="Arial Narrow" w:hAnsi="Arial Narrow" w:cs="Times New Roman"/>
                <w:sz w:val="14"/>
                <w:szCs w:val="14"/>
                <w:lang w:eastAsia="sk-SK"/>
              </w:rPr>
              <w:t> </w:t>
            </w:r>
          </w:p>
        </w:tc>
        <w:tc>
          <w:tcPr>
            <w:tcW w:w="880" w:type="dxa"/>
            <w:tcBorders>
              <w:top w:val="nil"/>
              <w:left w:val="nil"/>
              <w:bottom w:val="nil"/>
              <w:right w:val="nil"/>
            </w:tcBorders>
            <w:noWrap/>
            <w:textDirection w:val="lrTb"/>
            <w:vAlign w:val="bottom"/>
            <w:hideMark/>
          </w:tcPr>
          <w:p w:rsidR="005318FA" w:rsidRPr="00B12C0A" w:rsidP="006D395F">
            <w:pPr>
              <w:bidi w:val="0"/>
              <w:ind w:firstLine="140" w:firstLineChars="100"/>
              <w:rPr>
                <w:rFonts w:ascii="Arial Narrow" w:hAnsi="Arial Narrow" w:cs="Times New Roman"/>
                <w:sz w:val="14"/>
                <w:szCs w:val="14"/>
                <w:lang w:eastAsia="sk-SK"/>
              </w:rPr>
            </w:pPr>
            <w:r w:rsidRPr="00B12C0A">
              <w:rPr>
                <w:rFonts w:ascii="Arial Narrow" w:hAnsi="Arial Narrow" w:cs="Times New Roman"/>
                <w:sz w:val="14"/>
                <w:szCs w:val="14"/>
                <w:lang w:eastAsia="sk-SK"/>
              </w:rPr>
              <w:t> </w:t>
            </w:r>
          </w:p>
        </w:tc>
        <w:tc>
          <w:tcPr>
            <w:tcW w:w="880" w:type="dxa"/>
            <w:tcBorders>
              <w:top w:val="nil"/>
              <w:left w:val="nil"/>
              <w:bottom w:val="nil"/>
              <w:right w:val="nil"/>
            </w:tcBorders>
            <w:noWrap/>
            <w:textDirection w:val="lrTb"/>
            <w:vAlign w:val="bottom"/>
            <w:hideMark/>
          </w:tcPr>
          <w:p w:rsidR="005318FA" w:rsidRPr="00B12C0A" w:rsidP="006D395F">
            <w:pPr>
              <w:bidi w:val="0"/>
              <w:ind w:firstLine="140" w:firstLineChars="100"/>
              <w:rPr>
                <w:rFonts w:ascii="Arial Narrow" w:hAnsi="Arial Narrow" w:cs="Times New Roman"/>
                <w:sz w:val="14"/>
                <w:szCs w:val="14"/>
                <w:lang w:eastAsia="sk-SK"/>
              </w:rPr>
            </w:pPr>
            <w:r w:rsidRPr="00B12C0A">
              <w:rPr>
                <w:rFonts w:ascii="Arial Narrow" w:hAnsi="Arial Narrow" w:cs="Times New Roman"/>
                <w:sz w:val="14"/>
                <w:szCs w:val="14"/>
                <w:lang w:eastAsia="sk-SK"/>
              </w:rPr>
              <w:t> </w:t>
            </w: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sz w:val="14"/>
                <w:szCs w:val="14"/>
                <w:lang w:eastAsia="sk-SK"/>
              </w:rPr>
            </w:pPr>
          </w:p>
        </w:tc>
      </w:tr>
      <w:tr>
        <w:tblPrEx>
          <w:tblW w:w="9399" w:type="dxa"/>
          <w:jc w:val="center"/>
          <w:tblInd w:w="55" w:type="dxa"/>
          <w:tblCellMar>
            <w:left w:w="70" w:type="dxa"/>
            <w:right w:w="70" w:type="dxa"/>
          </w:tblCellMar>
          <w:tblLook w:val="04A0"/>
        </w:tblPrEx>
        <w:trPr>
          <w:trHeight w:val="255"/>
          <w:jc w:val="center"/>
        </w:trPr>
        <w:tc>
          <w:tcPr>
            <w:tcW w:w="9399" w:type="dxa"/>
            <w:gridSpan w:val="9"/>
            <w:tcBorders>
              <w:top w:val="nil"/>
              <w:left w:val="nil"/>
              <w:bottom w:val="nil"/>
              <w:right w:val="nil"/>
            </w:tcBorders>
            <w:textDirection w:val="lrTb"/>
            <w:vAlign w:val="center"/>
            <w:hideMark/>
          </w:tcPr>
          <w:p w:rsidR="005318FA" w:rsidRPr="00B12C0A" w:rsidP="006D395F">
            <w:pPr>
              <w:bidi w:val="0"/>
              <w:rPr>
                <w:rFonts w:ascii="Times New Roman" w:hAnsi="Times New Roman" w:cs="Times New Roman"/>
                <w:sz w:val="14"/>
                <w:szCs w:val="14"/>
                <w:lang w:eastAsia="sk-SK"/>
              </w:rPr>
            </w:pPr>
            <w:r w:rsidRPr="00B12C0A">
              <w:rPr>
                <w:rFonts w:ascii="Times New Roman" w:hAnsi="Times New Roman" w:cs="Times New Roman"/>
                <w:sz w:val="14"/>
                <w:szCs w:val="14"/>
                <w:lang w:eastAsia="sk-SK"/>
              </w:rPr>
              <w:t>Skutočnosť osobných výdavkov v rokoch 2010 a 2011 z výkazu FIN 1-04.</w:t>
            </w:r>
          </w:p>
        </w:tc>
      </w:tr>
    </w:tbl>
    <w:p w:rsidR="005318FA" w:rsidRPr="00AB0DEC" w:rsidP="005318FA">
      <w:pPr>
        <w:bidi w:val="0"/>
        <w:ind w:firstLine="708"/>
        <w:jc w:val="both"/>
        <w:rPr>
          <w:rFonts w:ascii="Times New Roman" w:hAnsi="Times New Roman"/>
          <w:bCs/>
          <w:szCs w:val="22"/>
        </w:rPr>
      </w:pPr>
    </w:p>
    <w:p w:rsidR="005318FA" w:rsidRPr="00D617A0" w:rsidP="005318FA">
      <w:pPr>
        <w:bidi w:val="0"/>
        <w:ind w:firstLine="708"/>
        <w:jc w:val="both"/>
        <w:rPr>
          <w:rFonts w:ascii="Times New Roman" w:hAnsi="Times New Roman"/>
          <w:bCs/>
          <w:szCs w:val="22"/>
        </w:rPr>
      </w:pPr>
      <w:r>
        <w:rPr>
          <w:rFonts w:ascii="Times New Roman" w:hAnsi="Times New Roman"/>
          <w:bCs/>
          <w:szCs w:val="22"/>
        </w:rPr>
        <w:t>Vzhľadom na dlhodobý pokles počtu</w:t>
      </w:r>
      <w:r w:rsidRPr="00D617A0">
        <w:rPr>
          <w:rFonts w:ascii="Times New Roman" w:hAnsi="Times New Roman"/>
          <w:bCs/>
          <w:szCs w:val="22"/>
        </w:rPr>
        <w:t xml:space="preserve"> študentov</w:t>
      </w:r>
      <w:r>
        <w:rPr>
          <w:rFonts w:ascii="Times New Roman" w:hAnsi="Times New Roman"/>
          <w:bCs/>
          <w:szCs w:val="22"/>
        </w:rPr>
        <w:t xml:space="preserve">  schválený </w:t>
      </w:r>
      <w:r w:rsidRPr="00D617A0">
        <w:rPr>
          <w:rFonts w:ascii="Times New Roman" w:hAnsi="Times New Roman"/>
          <w:bCs/>
          <w:szCs w:val="22"/>
        </w:rPr>
        <w:t>rozpoč</w:t>
      </w:r>
      <w:r>
        <w:rPr>
          <w:rFonts w:ascii="Times New Roman" w:hAnsi="Times New Roman"/>
          <w:bCs/>
          <w:szCs w:val="22"/>
        </w:rPr>
        <w:t>e</w:t>
      </w:r>
      <w:r w:rsidRPr="00D617A0">
        <w:rPr>
          <w:rFonts w:ascii="Times New Roman" w:hAnsi="Times New Roman"/>
          <w:bCs/>
          <w:szCs w:val="22"/>
        </w:rPr>
        <w:t>t na rok 2012 predpokladal</w:t>
      </w:r>
      <w:r>
        <w:rPr>
          <w:rFonts w:ascii="Times New Roman" w:hAnsi="Times New Roman"/>
          <w:bCs/>
          <w:szCs w:val="22"/>
        </w:rPr>
        <w:t xml:space="preserve"> zachovanie </w:t>
      </w:r>
      <w:r w:rsidRPr="00D617A0">
        <w:rPr>
          <w:rFonts w:ascii="Times New Roman" w:hAnsi="Times New Roman"/>
          <w:bCs/>
          <w:szCs w:val="22"/>
        </w:rPr>
        <w:t>podiel</w:t>
      </w:r>
      <w:r>
        <w:rPr>
          <w:rFonts w:ascii="Times New Roman" w:hAnsi="Times New Roman"/>
          <w:bCs/>
          <w:szCs w:val="22"/>
        </w:rPr>
        <w:t>u</w:t>
      </w:r>
      <w:r w:rsidRPr="00D617A0">
        <w:rPr>
          <w:rFonts w:ascii="Times New Roman" w:hAnsi="Times New Roman"/>
          <w:bCs/>
          <w:szCs w:val="22"/>
        </w:rPr>
        <w:t xml:space="preserve"> </w:t>
      </w:r>
      <w:r>
        <w:rPr>
          <w:rFonts w:ascii="Times New Roman" w:hAnsi="Times New Roman"/>
          <w:bCs/>
          <w:szCs w:val="22"/>
        </w:rPr>
        <w:t xml:space="preserve">počtu </w:t>
      </w:r>
      <w:r w:rsidRPr="00D617A0">
        <w:rPr>
          <w:rFonts w:ascii="Times New Roman" w:hAnsi="Times New Roman"/>
          <w:bCs/>
          <w:szCs w:val="22"/>
        </w:rPr>
        <w:t>študentov  na jedného zamestnanca na úrovni roka 2009</w:t>
      </w:r>
      <w:r>
        <w:rPr>
          <w:rFonts w:ascii="Times New Roman" w:hAnsi="Times New Roman"/>
          <w:bCs/>
          <w:szCs w:val="22"/>
        </w:rPr>
        <w:t xml:space="preserve"> (8,12).</w:t>
      </w:r>
      <w:r w:rsidRPr="00D617A0">
        <w:rPr>
          <w:rFonts w:ascii="Times New Roman" w:hAnsi="Times New Roman"/>
          <w:bCs/>
          <w:szCs w:val="22"/>
        </w:rPr>
        <w:t xml:space="preserve"> </w:t>
      </w:r>
      <w:r>
        <w:rPr>
          <w:rFonts w:ascii="Times New Roman" w:hAnsi="Times New Roman"/>
          <w:bCs/>
          <w:szCs w:val="22"/>
        </w:rPr>
        <w:t>Z dosiahnutej skutočnosti  počtu zamestnancov za roky 2010 a 2011 vyplýva, že u</w:t>
      </w:r>
      <w:r w:rsidRPr="00D617A0">
        <w:rPr>
          <w:rFonts w:ascii="Times New Roman" w:hAnsi="Times New Roman"/>
          <w:bCs/>
          <w:szCs w:val="22"/>
        </w:rPr>
        <w:t xml:space="preserve">vedený zámer </w:t>
      </w:r>
      <w:r>
        <w:rPr>
          <w:rFonts w:ascii="Times New Roman" w:hAnsi="Times New Roman"/>
          <w:bCs/>
          <w:szCs w:val="22"/>
        </w:rPr>
        <w:t>sa n</w:t>
      </w:r>
      <w:r w:rsidRPr="00D617A0">
        <w:rPr>
          <w:rFonts w:ascii="Times New Roman" w:hAnsi="Times New Roman"/>
          <w:bCs/>
          <w:szCs w:val="22"/>
        </w:rPr>
        <w:t>enapĺňa</w:t>
      </w:r>
      <w:r>
        <w:rPr>
          <w:rFonts w:ascii="Times New Roman" w:hAnsi="Times New Roman"/>
          <w:bCs/>
          <w:szCs w:val="22"/>
        </w:rPr>
        <w:t>.</w:t>
      </w:r>
      <w:r w:rsidRPr="00D617A0">
        <w:rPr>
          <w:rFonts w:ascii="Times New Roman" w:hAnsi="Times New Roman"/>
          <w:bCs/>
          <w:szCs w:val="22"/>
        </w:rPr>
        <w:t xml:space="preserve"> V roku 2011 poklesol počet zamestnancov oproti roku 2010 </w:t>
      </w:r>
      <w:r>
        <w:rPr>
          <w:rFonts w:ascii="Times New Roman" w:hAnsi="Times New Roman"/>
          <w:bCs/>
          <w:szCs w:val="22"/>
        </w:rPr>
        <w:br/>
      </w:r>
      <w:r w:rsidRPr="00D617A0">
        <w:rPr>
          <w:rFonts w:ascii="Times New Roman" w:hAnsi="Times New Roman"/>
          <w:bCs/>
          <w:szCs w:val="22"/>
        </w:rPr>
        <w:t xml:space="preserve">o 0,6 % a koeficient počtu študentov na jedného zamestnanca dosiahol </w:t>
      </w:r>
      <w:r w:rsidRPr="00C410E3">
        <w:rPr>
          <w:rFonts w:ascii="Times New Roman" w:hAnsi="Times New Roman"/>
          <w:bCs/>
          <w:szCs w:val="22"/>
        </w:rPr>
        <w:t>úroveň 7,5.</w:t>
      </w:r>
    </w:p>
    <w:p w:rsidR="005318FA" w:rsidRPr="00D617A0" w:rsidP="005318FA">
      <w:pPr>
        <w:bidi w:val="0"/>
        <w:ind w:firstLine="708"/>
        <w:jc w:val="both"/>
        <w:rPr>
          <w:rFonts w:ascii="Times New Roman" w:hAnsi="Times New Roman"/>
          <w:bCs/>
          <w:szCs w:val="22"/>
        </w:rPr>
      </w:pPr>
    </w:p>
    <w:p w:rsidR="005318FA" w:rsidP="005318FA">
      <w:pPr>
        <w:bidi w:val="0"/>
        <w:ind w:firstLine="708"/>
        <w:jc w:val="both"/>
        <w:rPr>
          <w:rFonts w:ascii="Times New Roman" w:hAnsi="Times New Roman"/>
          <w:bCs/>
          <w:szCs w:val="22"/>
        </w:rPr>
      </w:pPr>
      <w:r w:rsidRPr="00D617A0">
        <w:rPr>
          <w:rFonts w:ascii="Times New Roman" w:hAnsi="Times New Roman"/>
          <w:bCs/>
          <w:szCs w:val="22"/>
        </w:rPr>
        <w:t xml:space="preserve">Medziročne sa </w:t>
      </w:r>
      <w:r>
        <w:rPr>
          <w:rFonts w:ascii="Times New Roman" w:hAnsi="Times New Roman"/>
          <w:bCs/>
          <w:szCs w:val="22"/>
        </w:rPr>
        <w:t xml:space="preserve">orientačný </w:t>
      </w:r>
      <w:r w:rsidRPr="00D617A0">
        <w:rPr>
          <w:rFonts w:ascii="Times New Roman" w:hAnsi="Times New Roman"/>
          <w:bCs/>
          <w:szCs w:val="22"/>
        </w:rPr>
        <w:t xml:space="preserve">počet zamestnancov verejných vysokých škôl </w:t>
      </w:r>
      <w:r>
        <w:rPr>
          <w:rFonts w:ascii="Times New Roman" w:hAnsi="Times New Roman"/>
          <w:bCs/>
          <w:szCs w:val="22"/>
        </w:rPr>
        <w:t>na</w:t>
      </w:r>
      <w:r w:rsidRPr="00D617A0">
        <w:rPr>
          <w:rFonts w:ascii="Times New Roman" w:hAnsi="Times New Roman"/>
          <w:bCs/>
          <w:szCs w:val="22"/>
        </w:rPr>
        <w:t xml:space="preserve"> rok 2013 </w:t>
      </w:r>
      <w:r>
        <w:rPr>
          <w:rFonts w:ascii="Times New Roman" w:hAnsi="Times New Roman"/>
          <w:bCs/>
          <w:szCs w:val="22"/>
        </w:rPr>
        <w:t xml:space="preserve">zreálňuje </w:t>
      </w:r>
      <w:r w:rsidRPr="00D617A0">
        <w:rPr>
          <w:rFonts w:ascii="Times New Roman" w:hAnsi="Times New Roman"/>
          <w:bCs/>
          <w:szCs w:val="22"/>
        </w:rPr>
        <w:t xml:space="preserve">v nadväznosti na jeho </w:t>
      </w:r>
      <w:r>
        <w:rPr>
          <w:rFonts w:ascii="Times New Roman" w:hAnsi="Times New Roman"/>
          <w:bCs/>
          <w:szCs w:val="22"/>
        </w:rPr>
        <w:t>plnenie v predchádzajúcich rokoch</w:t>
      </w:r>
      <w:r w:rsidRPr="00D617A0">
        <w:rPr>
          <w:rFonts w:ascii="Times New Roman" w:hAnsi="Times New Roman"/>
          <w:bCs/>
          <w:szCs w:val="22"/>
        </w:rPr>
        <w:t xml:space="preserve"> o 1 863 osôb, čím sa vracia na úroveň rozpočtu roku 2011.</w:t>
      </w:r>
    </w:p>
    <w:p w:rsidR="005318FA" w:rsidP="005318FA">
      <w:pPr>
        <w:bidi w:val="0"/>
        <w:ind w:firstLine="708"/>
        <w:jc w:val="both"/>
        <w:rPr>
          <w:rFonts w:ascii="Times New Roman" w:hAnsi="Times New Roman"/>
          <w:bCs/>
          <w:szCs w:val="22"/>
        </w:rPr>
      </w:pPr>
    </w:p>
    <w:tbl>
      <w:tblPr>
        <w:tblStyle w:val="TableNormal"/>
        <w:tblW w:w="9040" w:type="dxa"/>
        <w:jc w:val="center"/>
        <w:tblInd w:w="55" w:type="dxa"/>
        <w:tblCellMar>
          <w:left w:w="70" w:type="dxa"/>
          <w:right w:w="70" w:type="dxa"/>
        </w:tblCellMar>
        <w:tblLook w:val="04A0"/>
      </w:tblPr>
      <w:tblGrid>
        <w:gridCol w:w="2880"/>
        <w:gridCol w:w="880"/>
        <w:gridCol w:w="880"/>
        <w:gridCol w:w="880"/>
        <w:gridCol w:w="880"/>
        <w:gridCol w:w="880"/>
        <w:gridCol w:w="880"/>
        <w:gridCol w:w="880"/>
      </w:tblGrid>
      <w:tr>
        <w:tblPrEx>
          <w:tblW w:w="9040" w:type="dxa"/>
          <w:jc w:val="center"/>
          <w:tblInd w:w="55" w:type="dxa"/>
          <w:tblCellMar>
            <w:left w:w="70" w:type="dxa"/>
            <w:right w:w="70" w:type="dxa"/>
          </w:tblCellMar>
          <w:tblLook w:val="04A0"/>
        </w:tblPrEx>
        <w:trPr>
          <w:trHeight w:val="330"/>
          <w:jc w:val="center"/>
        </w:trPr>
        <w:tc>
          <w:tcPr>
            <w:tcW w:w="288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5318FA" w:rsidRPr="00B12C0A" w:rsidP="006D395F">
            <w:pPr>
              <w:bidi w:val="0"/>
              <w:rPr>
                <w:rFonts w:ascii="Times New Roman" w:hAnsi="Times New Roman" w:cs="Times New Roman"/>
                <w:b/>
                <w:bCs/>
                <w:color w:val="000000"/>
                <w:sz w:val="14"/>
                <w:szCs w:val="14"/>
                <w:lang w:eastAsia="sk-SK"/>
              </w:rPr>
            </w:pPr>
            <w:r w:rsidRPr="00B12C0A">
              <w:rPr>
                <w:rFonts w:ascii="Times New Roman" w:hAnsi="Times New Roman" w:cs="Times New Roman"/>
                <w:b/>
                <w:bCs/>
                <w:color w:val="000000"/>
                <w:sz w:val="14"/>
                <w:szCs w:val="14"/>
                <w:lang w:eastAsia="sk-SK"/>
              </w:rPr>
              <w:t xml:space="preserve">Verejné vysoké školy   </w:t>
            </w:r>
            <w:r w:rsidRPr="00B12C0A">
              <w:rPr>
                <w:rFonts w:ascii="Times New Roman" w:hAnsi="Times New Roman" w:cs="Times New Roman"/>
                <w:color w:val="000000"/>
                <w:sz w:val="14"/>
                <w:szCs w:val="14"/>
                <w:lang w:eastAsia="sk-SK"/>
              </w:rPr>
              <w:t>(osoby)</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color w:val="000000"/>
                <w:sz w:val="14"/>
                <w:szCs w:val="14"/>
                <w:lang w:eastAsia="sk-SK"/>
              </w:rPr>
            </w:pPr>
            <w:r w:rsidRPr="00B12C0A">
              <w:rPr>
                <w:rFonts w:ascii="Times New Roman" w:hAnsi="Times New Roman" w:cs="Times New Roman"/>
                <w:b/>
                <w:bCs/>
                <w:color w:val="000000"/>
                <w:sz w:val="14"/>
                <w:szCs w:val="14"/>
                <w:lang w:eastAsia="sk-SK"/>
              </w:rPr>
              <w:t>2010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color w:val="000000"/>
                <w:sz w:val="14"/>
                <w:szCs w:val="14"/>
                <w:lang w:eastAsia="sk-SK"/>
              </w:rPr>
            </w:pPr>
            <w:r w:rsidRPr="00B12C0A">
              <w:rPr>
                <w:rFonts w:ascii="Times New Roman" w:hAnsi="Times New Roman" w:cs="Times New Roman"/>
                <w:b/>
                <w:bCs/>
                <w:color w:val="000000"/>
                <w:sz w:val="14"/>
                <w:szCs w:val="14"/>
                <w:lang w:eastAsia="sk-SK"/>
              </w:rPr>
              <w:t>2011 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color w:val="000000"/>
                <w:sz w:val="14"/>
                <w:szCs w:val="14"/>
                <w:lang w:eastAsia="sk-SK"/>
              </w:rPr>
            </w:pPr>
            <w:r w:rsidRPr="00B12C0A">
              <w:rPr>
                <w:rFonts w:ascii="Times New Roman" w:hAnsi="Times New Roman" w:cs="Times New Roman"/>
                <w:b/>
                <w:bCs/>
                <w:color w:val="000000"/>
                <w:sz w:val="14"/>
                <w:szCs w:val="14"/>
                <w:lang w:eastAsia="sk-SK"/>
              </w:rPr>
              <w:t>2012 R</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color w:val="000000"/>
                <w:sz w:val="14"/>
                <w:szCs w:val="14"/>
                <w:lang w:eastAsia="sk-SK"/>
              </w:rPr>
            </w:pPr>
            <w:r w:rsidRPr="00B12C0A">
              <w:rPr>
                <w:rFonts w:ascii="Times New Roman" w:hAnsi="Times New Roman" w:cs="Times New Roman"/>
                <w:b/>
                <w:bCs/>
                <w:color w:val="000000"/>
                <w:sz w:val="14"/>
                <w:szCs w:val="14"/>
                <w:lang w:eastAsia="sk-SK"/>
              </w:rPr>
              <w:t>2012 OS</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color w:val="000000"/>
                <w:sz w:val="14"/>
                <w:szCs w:val="14"/>
                <w:lang w:eastAsia="sk-SK"/>
              </w:rPr>
            </w:pPr>
            <w:r w:rsidRPr="00B12C0A">
              <w:rPr>
                <w:rFonts w:ascii="Times New Roman" w:hAnsi="Times New Roman" w:cs="Times New Roman"/>
                <w:b/>
                <w:bCs/>
                <w:color w:val="000000"/>
                <w:sz w:val="14"/>
                <w:szCs w:val="14"/>
                <w:lang w:eastAsia="sk-SK"/>
              </w:rPr>
              <w:t>2013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color w:val="000000"/>
                <w:sz w:val="14"/>
                <w:szCs w:val="14"/>
                <w:lang w:eastAsia="sk-SK"/>
              </w:rPr>
            </w:pPr>
            <w:r w:rsidRPr="00B12C0A">
              <w:rPr>
                <w:rFonts w:ascii="Times New Roman" w:hAnsi="Times New Roman" w:cs="Times New Roman"/>
                <w:b/>
                <w:bCs/>
                <w:color w:val="000000"/>
                <w:sz w:val="14"/>
                <w:szCs w:val="14"/>
                <w:lang w:eastAsia="sk-SK"/>
              </w:rPr>
              <w:t>2014 N</w:t>
            </w:r>
          </w:p>
        </w:tc>
        <w:tc>
          <w:tcPr>
            <w:tcW w:w="88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5318FA" w:rsidRPr="00B12C0A" w:rsidP="006D395F">
            <w:pPr>
              <w:bidi w:val="0"/>
              <w:jc w:val="center"/>
              <w:rPr>
                <w:rFonts w:ascii="Times New Roman" w:hAnsi="Times New Roman" w:cs="Times New Roman"/>
                <w:b/>
                <w:bCs/>
                <w:color w:val="000000"/>
                <w:sz w:val="14"/>
                <w:szCs w:val="14"/>
                <w:lang w:eastAsia="sk-SK"/>
              </w:rPr>
            </w:pPr>
            <w:r w:rsidRPr="00B12C0A">
              <w:rPr>
                <w:rFonts w:ascii="Times New Roman" w:hAnsi="Times New Roman" w:cs="Times New Roman"/>
                <w:b/>
                <w:bCs/>
                <w:color w:val="000000"/>
                <w:sz w:val="14"/>
                <w:szCs w:val="14"/>
                <w:lang w:eastAsia="sk-SK"/>
              </w:rPr>
              <w:t>2015 N</w:t>
            </w:r>
          </w:p>
        </w:tc>
      </w:tr>
      <w:tr>
        <w:tblPrEx>
          <w:tblW w:w="9040" w:type="dxa"/>
          <w:jc w:val="center"/>
          <w:tblInd w:w="5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5318FA" w:rsidRPr="00B12C0A" w:rsidP="006D395F">
            <w:pPr>
              <w:bidi w:val="0"/>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Počet študentov (denní a externí) spolu</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165 160</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161 552</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159 678</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159 678</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156 365</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151 26</w:t>
            </w:r>
            <w:r>
              <w:rPr>
                <w:rFonts w:ascii="Times New Roman" w:hAnsi="Times New Roman" w:cs="Times New Roman"/>
                <w:sz w:val="14"/>
                <w:szCs w:val="14"/>
                <w:lang w:eastAsia="sk-SK"/>
              </w:rPr>
              <w:t>4</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sz w:val="14"/>
                <w:szCs w:val="14"/>
                <w:lang w:eastAsia="sk-SK"/>
              </w:rPr>
            </w:pPr>
            <w:r w:rsidRPr="00B12C0A">
              <w:rPr>
                <w:rFonts w:ascii="Times New Roman" w:hAnsi="Times New Roman" w:cs="Times New Roman"/>
                <w:sz w:val="14"/>
                <w:szCs w:val="14"/>
                <w:lang w:eastAsia="sk-SK"/>
              </w:rPr>
              <w:t>145 282</w:t>
            </w:r>
          </w:p>
        </w:tc>
      </w:tr>
      <w:tr>
        <w:tblPrEx>
          <w:tblW w:w="9040" w:type="dxa"/>
          <w:jc w:val="center"/>
          <w:tblInd w:w="5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5318FA" w:rsidRPr="00B12C0A" w:rsidP="006D395F">
            <w:pPr>
              <w:bidi w:val="0"/>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Počet zamestnancov</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21 673</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21 538</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19 666</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21 572</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21 529</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21 529</w:t>
            </w:r>
          </w:p>
        </w:tc>
      </w:tr>
      <w:tr>
        <w:tblPrEx>
          <w:tblW w:w="9040" w:type="dxa"/>
          <w:jc w:val="center"/>
          <w:tblInd w:w="55" w:type="dxa"/>
          <w:tblCellMar>
            <w:left w:w="70" w:type="dxa"/>
            <w:right w:w="70" w:type="dxa"/>
          </w:tblCellMar>
          <w:tblLook w:val="04A0"/>
        </w:tblPrEx>
        <w:trPr>
          <w:trHeight w:val="330"/>
          <w:jc w:val="center"/>
        </w:trPr>
        <w:tc>
          <w:tcPr>
            <w:tcW w:w="2880" w:type="dxa"/>
            <w:tcBorders>
              <w:top w:val="nil"/>
              <w:left w:val="single" w:sz="4" w:space="0" w:color="auto"/>
              <w:bottom w:val="single" w:sz="4" w:space="0" w:color="auto"/>
              <w:right w:val="single" w:sz="4" w:space="0" w:color="auto"/>
            </w:tcBorders>
            <w:noWrap/>
            <w:textDirection w:val="lrTb"/>
            <w:vAlign w:val="center"/>
            <w:hideMark/>
          </w:tcPr>
          <w:p w:rsidR="005318FA" w:rsidRPr="00B12C0A" w:rsidP="006D395F">
            <w:pPr>
              <w:bidi w:val="0"/>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Počet študentov na 1 zamestnanca</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7,6</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7,5</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8,1</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7,4</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7,3</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7,0</w:t>
            </w:r>
          </w:p>
        </w:tc>
        <w:tc>
          <w:tcPr>
            <w:tcW w:w="880" w:type="dxa"/>
            <w:tcBorders>
              <w:top w:val="nil"/>
              <w:left w:val="nil"/>
              <w:bottom w:val="single" w:sz="4" w:space="0" w:color="auto"/>
              <w:right w:val="single" w:sz="4" w:space="0" w:color="auto"/>
            </w:tcBorders>
            <w:noWrap/>
            <w:textDirection w:val="lrTb"/>
            <w:vAlign w:val="center"/>
            <w:hideMark/>
          </w:tcPr>
          <w:p w:rsidR="005318FA" w:rsidRPr="00B12C0A" w:rsidP="006D395F">
            <w:pPr>
              <w:bidi w:val="0"/>
              <w:jc w:val="right"/>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6,8</w:t>
            </w:r>
          </w:p>
        </w:tc>
      </w:tr>
      <w:tr>
        <w:tblPrEx>
          <w:tblW w:w="9040" w:type="dxa"/>
          <w:jc w:val="center"/>
          <w:tblInd w:w="55" w:type="dxa"/>
          <w:tblCellMar>
            <w:left w:w="70" w:type="dxa"/>
            <w:right w:w="70" w:type="dxa"/>
          </w:tblCellMar>
          <w:tblLook w:val="04A0"/>
        </w:tblPrEx>
        <w:trPr>
          <w:trHeight w:val="240"/>
          <w:jc w:val="center"/>
        </w:trPr>
        <w:tc>
          <w:tcPr>
            <w:tcW w:w="2880" w:type="dxa"/>
            <w:tcBorders>
              <w:top w:val="nil"/>
              <w:left w:val="nil"/>
              <w:bottom w:val="nil"/>
              <w:right w:val="nil"/>
            </w:tcBorders>
            <w:textDirection w:val="lrTb"/>
            <w:vAlign w:val="center"/>
            <w:hideMark/>
          </w:tcPr>
          <w:p w:rsidR="005318FA" w:rsidRPr="00B12C0A" w:rsidP="006D395F">
            <w:pPr>
              <w:bidi w:val="0"/>
              <w:rPr>
                <w:rFonts w:ascii="Times New Roman" w:hAnsi="Times New Roman" w:cs="Times New Roman"/>
                <w:i/>
                <w:iCs/>
                <w:color w:val="000000"/>
                <w:sz w:val="14"/>
                <w:szCs w:val="14"/>
                <w:lang w:eastAsia="sk-SK"/>
              </w:rPr>
            </w:pPr>
            <w:r w:rsidRPr="00B12C0A">
              <w:rPr>
                <w:rFonts w:ascii="Times New Roman" w:hAnsi="Times New Roman" w:cs="Times New Roman"/>
                <w:i/>
                <w:iCs/>
                <w:color w:val="000000"/>
                <w:sz w:val="14"/>
                <w:szCs w:val="14"/>
                <w:lang w:eastAsia="sk-SK"/>
              </w:rPr>
              <w:t>Poznámka:</w:t>
            </w: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r>
      <w:tr>
        <w:tblPrEx>
          <w:tblW w:w="9040" w:type="dxa"/>
          <w:jc w:val="center"/>
          <w:tblInd w:w="55" w:type="dxa"/>
          <w:tblCellMar>
            <w:left w:w="70" w:type="dxa"/>
            <w:right w:w="70" w:type="dxa"/>
          </w:tblCellMar>
          <w:tblLook w:val="04A0"/>
        </w:tblPrEx>
        <w:trPr>
          <w:trHeight w:val="240"/>
          <w:jc w:val="center"/>
        </w:trPr>
        <w:tc>
          <w:tcPr>
            <w:tcW w:w="2880" w:type="dxa"/>
            <w:tcBorders>
              <w:top w:val="nil"/>
              <w:left w:val="nil"/>
              <w:bottom w:val="nil"/>
              <w:right w:val="nil"/>
            </w:tcBorders>
            <w:noWrap/>
            <w:textDirection w:val="lrTb"/>
            <w:vAlign w:val="center"/>
            <w:hideMark/>
          </w:tcPr>
          <w:p w:rsidR="005318FA" w:rsidRPr="00B12C0A" w:rsidP="006D395F">
            <w:pPr>
              <w:bidi w:val="0"/>
              <w:rPr>
                <w:rFonts w:ascii="Times New Roman" w:hAnsi="Times New Roman" w:cs="Times New Roman"/>
                <w:color w:val="000000"/>
                <w:sz w:val="14"/>
                <w:szCs w:val="14"/>
                <w:lang w:eastAsia="sk-SK"/>
              </w:rPr>
            </w:pPr>
            <w:r w:rsidRPr="00B12C0A">
              <w:rPr>
                <w:rFonts w:ascii="Times New Roman" w:hAnsi="Times New Roman" w:cs="Times New Roman"/>
                <w:color w:val="000000"/>
                <w:sz w:val="14"/>
                <w:szCs w:val="14"/>
                <w:lang w:eastAsia="sk-SK"/>
              </w:rPr>
              <w:t>*Zdroj: MŠVVŠ SR</w:t>
            </w: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c>
          <w:tcPr>
            <w:tcW w:w="880" w:type="dxa"/>
            <w:tcBorders>
              <w:top w:val="nil"/>
              <w:left w:val="nil"/>
              <w:bottom w:val="nil"/>
              <w:right w:val="nil"/>
            </w:tcBorders>
            <w:noWrap/>
            <w:textDirection w:val="lrTb"/>
            <w:vAlign w:val="bottom"/>
            <w:hideMark/>
          </w:tcPr>
          <w:p w:rsidR="005318FA" w:rsidRPr="00B12C0A" w:rsidP="006D395F">
            <w:pPr>
              <w:bidi w:val="0"/>
              <w:rPr>
                <w:rFonts w:ascii="Arial Narrow" w:hAnsi="Arial Narrow" w:cs="Times New Roman"/>
                <w:color w:val="000000"/>
                <w:sz w:val="22"/>
                <w:szCs w:val="22"/>
                <w:lang w:eastAsia="sk-SK"/>
              </w:rPr>
            </w:pPr>
          </w:p>
        </w:tc>
      </w:tr>
    </w:tbl>
    <w:p w:rsidR="00F16607"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D83F50" w:rsidP="00EA53ED">
      <w:pPr>
        <w:bidi w:val="0"/>
        <w:rPr>
          <w:rFonts w:ascii="Times New Roman" w:hAnsi="Times New Roman" w:cs="Times New Roman"/>
          <w:color w:val="0070C0"/>
        </w:rPr>
      </w:pPr>
    </w:p>
    <w:p w:rsidR="00EA53ED" w:rsidRPr="00EA53ED" w:rsidP="00EA53ED">
      <w:pPr>
        <w:pStyle w:val="Heading2"/>
        <w:bidi w:val="0"/>
        <w:spacing w:before="0" w:after="0"/>
        <w:rPr>
          <w:rFonts w:ascii="Times New Roman" w:hAnsi="Times New Roman"/>
          <w:bCs w:val="0"/>
          <w:i w:val="0"/>
          <w:iCs w:val="0"/>
          <w:sz w:val="24"/>
          <w:szCs w:val="24"/>
        </w:rPr>
      </w:pPr>
      <w:bookmarkStart w:id="57" w:name="_Toc314471181"/>
      <w:bookmarkStart w:id="58" w:name="_Toc337237757"/>
      <w:r w:rsidRPr="00EA53ED">
        <w:rPr>
          <w:rFonts w:ascii="Times New Roman" w:hAnsi="Times New Roman"/>
          <w:bCs w:val="0"/>
          <w:i w:val="0"/>
          <w:iCs w:val="0"/>
          <w:sz w:val="24"/>
          <w:szCs w:val="24"/>
        </w:rPr>
        <w:t>4.3. Rozpočtovanie výdavkov podľa vybraných oblastí</w:t>
      </w:r>
      <w:bookmarkEnd w:id="57"/>
      <w:bookmarkEnd w:id="58"/>
    </w:p>
    <w:p w:rsidR="00D567B7" w:rsidP="00D567B7">
      <w:pPr>
        <w:bidi w:val="0"/>
        <w:rPr>
          <w:rFonts w:ascii="Times New Roman" w:hAnsi="Times New Roman" w:cs="Times New Roman"/>
          <w:color w:val="0070C0"/>
        </w:rPr>
      </w:pPr>
    </w:p>
    <w:p w:rsidR="009D2A34" w:rsidRPr="00291C28" w:rsidP="009D2A34">
      <w:pPr>
        <w:pBdr>
          <w:bottom w:val="single" w:sz="4" w:space="1" w:color="auto"/>
        </w:pBdr>
        <w:bidi w:val="0"/>
        <w:jc w:val="both"/>
        <w:rPr>
          <w:rFonts w:ascii="Times New Roman" w:hAnsi="Times New Roman" w:cs="Times New Roman"/>
          <w:b/>
          <w:bCs/>
          <w:lang w:eastAsia="en-US"/>
        </w:rPr>
      </w:pPr>
      <w:r w:rsidRPr="00291C28">
        <w:rPr>
          <w:rFonts w:ascii="Times New Roman" w:hAnsi="Times New Roman" w:cs="Times New Roman"/>
          <w:b/>
          <w:bCs/>
          <w:lang w:eastAsia="en-US"/>
        </w:rPr>
        <w:t>Ministerstvo školstva, vedy, výskumu a športu SR</w:t>
      </w:r>
    </w:p>
    <w:p w:rsidR="009D2A34" w:rsidRPr="00291C28" w:rsidP="009D2A34">
      <w:pPr>
        <w:bidi w:val="0"/>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2479"/>
        <w:gridCol w:w="961"/>
        <w:gridCol w:w="962"/>
        <w:gridCol w:w="962"/>
        <w:gridCol w:w="962"/>
        <w:gridCol w:w="962"/>
        <w:gridCol w:w="962"/>
        <w:gridCol w:w="962"/>
      </w:tblGrid>
      <w:tr>
        <w:tblPrEx>
          <w:tblW w:w="5000" w:type="pct"/>
          <w:tblCellMar>
            <w:left w:w="70" w:type="dxa"/>
            <w:right w:w="70" w:type="dxa"/>
          </w:tblCellMar>
          <w:tblLook w:val="04A0"/>
        </w:tblPrEx>
        <w:trPr>
          <w:trHeight w:val="255"/>
        </w:trPr>
        <w:tc>
          <w:tcPr>
            <w:tcW w:w="134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v eurách</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2010 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2011 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2012 R</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2012 OS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2013 N</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2014 N</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Zdroje príslušnej kapitoly</w:t>
            </w:r>
          </w:p>
        </w:tc>
        <w:tc>
          <w:tcPr>
            <w:tcW w:w="522" w:type="pct"/>
            <w:tcBorders>
              <w:top w:val="nil"/>
              <w:left w:val="nil"/>
              <w:bottom w:val="single" w:sz="4" w:space="0" w:color="auto"/>
              <w:right w:val="single" w:sz="4" w:space="0" w:color="auto"/>
            </w:tcBorders>
            <w:shd w:val="clear" w:color="000000" w:fill="C0C0C0"/>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2 089 773 788</w:t>
            </w:r>
          </w:p>
        </w:tc>
        <w:tc>
          <w:tcPr>
            <w:tcW w:w="522" w:type="pct"/>
            <w:tcBorders>
              <w:top w:val="nil"/>
              <w:left w:val="nil"/>
              <w:bottom w:val="single" w:sz="4" w:space="0" w:color="auto"/>
              <w:right w:val="single" w:sz="4" w:space="0" w:color="auto"/>
            </w:tcBorders>
            <w:shd w:val="clear" w:color="000000" w:fill="C0C0C0"/>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2 016 603 974</w:t>
            </w:r>
          </w:p>
        </w:tc>
        <w:tc>
          <w:tcPr>
            <w:tcW w:w="522" w:type="pct"/>
            <w:tcBorders>
              <w:top w:val="nil"/>
              <w:left w:val="nil"/>
              <w:bottom w:val="single" w:sz="4" w:space="0" w:color="auto"/>
              <w:right w:val="single" w:sz="4" w:space="0" w:color="auto"/>
            </w:tcBorders>
            <w:shd w:val="clear" w:color="000000" w:fill="C0C0C0"/>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2 434 334 571</w:t>
            </w:r>
          </w:p>
        </w:tc>
        <w:tc>
          <w:tcPr>
            <w:tcW w:w="522" w:type="pct"/>
            <w:tcBorders>
              <w:top w:val="nil"/>
              <w:left w:val="nil"/>
              <w:bottom w:val="single" w:sz="4" w:space="0" w:color="auto"/>
              <w:right w:val="single" w:sz="4" w:space="0" w:color="auto"/>
            </w:tcBorders>
            <w:shd w:val="clear" w:color="000000" w:fill="C0C0C0"/>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2 261 724 254</w:t>
            </w:r>
          </w:p>
        </w:tc>
        <w:tc>
          <w:tcPr>
            <w:tcW w:w="522" w:type="pct"/>
            <w:tcBorders>
              <w:top w:val="nil"/>
              <w:left w:val="nil"/>
              <w:bottom w:val="single" w:sz="4" w:space="0" w:color="auto"/>
              <w:right w:val="single" w:sz="4" w:space="0" w:color="auto"/>
            </w:tcBorders>
            <w:shd w:val="clear" w:color="000000" w:fill="C0C0C0"/>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2 464 621 850</w:t>
            </w:r>
          </w:p>
        </w:tc>
        <w:tc>
          <w:tcPr>
            <w:tcW w:w="522" w:type="pct"/>
            <w:tcBorders>
              <w:top w:val="nil"/>
              <w:left w:val="nil"/>
              <w:bottom w:val="single" w:sz="4" w:space="0" w:color="auto"/>
              <w:right w:val="single" w:sz="4" w:space="0" w:color="auto"/>
            </w:tcBorders>
            <w:shd w:val="clear" w:color="000000" w:fill="C0C0C0"/>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2 329 842 850</w:t>
            </w:r>
          </w:p>
        </w:tc>
        <w:tc>
          <w:tcPr>
            <w:tcW w:w="522" w:type="pct"/>
            <w:tcBorders>
              <w:top w:val="nil"/>
              <w:left w:val="nil"/>
              <w:bottom w:val="single" w:sz="4" w:space="0" w:color="auto"/>
              <w:right w:val="single" w:sz="4" w:space="0" w:color="auto"/>
            </w:tcBorders>
            <w:shd w:val="clear" w:color="000000" w:fill="C0C0C0"/>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2 171 177 765</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z toho:</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 </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 </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 </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 xml:space="preserve">rozpočtové zdroje kapitoly (111 +11H) </w:t>
            </w:r>
          </w:p>
        </w:tc>
        <w:tc>
          <w:tcPr>
            <w:tcW w:w="52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1 923 281 485</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1 849 276 063</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1 904 318 943</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1 903 757 254</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1 907 818 441</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1 905 017 505</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1 903 530 087</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v tom: bežné výdavky 600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1 835 397 252</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1 826 340 376</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1 886 481 080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1 884 038 890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1 889 390 048</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1 886 754 352</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1 885 431 934</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610 mzdy</w:t>
            </w:r>
          </w:p>
        </w:tc>
        <w:tc>
          <w:tcPr>
            <w:tcW w:w="52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105 738 983</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101 426 448</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101 803 282</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107 427 940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101 100 725</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101 618 839</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101 628 236</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620 odvody</w:t>
            </w:r>
          </w:p>
        </w:tc>
        <w:tc>
          <w:tcPr>
            <w:tcW w:w="52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36 745 922</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35 912 541</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35 578 899</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36 079 920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35 334 704</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35 515 758</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35 519 034</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630 tovary a služby</w:t>
            </w:r>
          </w:p>
        </w:tc>
        <w:tc>
          <w:tcPr>
            <w:tcW w:w="52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68 465 611</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74 513 035</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92 271 193</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88 949 816</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81 735 008</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82 667 361</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78 553 303</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640 bežné transfery</w:t>
            </w:r>
          </w:p>
        </w:tc>
        <w:tc>
          <w:tcPr>
            <w:tcW w:w="52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1 624 446 736</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1 614 488 352</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1 656 827 706</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1 651 581 214</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1 671 219 611</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1 666 952 394</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1 669 731 361</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kapitálové výdavky 700</w:t>
            </w:r>
          </w:p>
        </w:tc>
        <w:tc>
          <w:tcPr>
            <w:tcW w:w="52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87 884 233</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22 935 687</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17 837 863</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19 718 364</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18 428 393</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18 263 153</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18 098 153</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 xml:space="preserve">zdroje EÚ vrátane spolufinancovania: </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73 426 406</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166 567 845</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530 015 628</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357 901 048</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556 803 409</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424 825 345</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267 647 678</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EÚ prostriedky</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65 571 341</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146 215 024</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463 611 709</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311 571 957</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477 718 453</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363 887 705</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229 361 579</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spolufinancovanie zo ŠR</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7 855 065</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20 352 821</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66 403 919</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46 329 091</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79 084 956</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60 937 640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38 286 099</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presun z minulých rokov §8</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93 065 897</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760 066</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65 952</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z toho: štátny rozpočet</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1 141 247</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0</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EÚ prostriedky</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79 571 189</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646 137</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56 043</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0</w:t>
            </w:r>
          </w:p>
        </w:tc>
      </w:tr>
      <w:tr>
        <w:tblPrEx>
          <w:tblW w:w="5000" w:type="pct"/>
          <w:tblCellMar>
            <w:left w:w="70" w:type="dxa"/>
            <w:right w:w="70" w:type="dxa"/>
          </w:tblCellMar>
          <w:tblLook w:val="04A0"/>
        </w:tblPrEx>
        <w:trPr>
          <w:trHeight w:val="255"/>
        </w:trPr>
        <w:tc>
          <w:tcPr>
            <w:tcW w:w="1346"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                spolufinancovanie zo ŠR</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12 353 461</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113 929</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9 909</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0</w:t>
            </w:r>
          </w:p>
        </w:tc>
        <w:tc>
          <w:tcPr>
            <w:tcW w:w="522"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0</w:t>
            </w:r>
          </w:p>
        </w:tc>
      </w:tr>
    </w:tbl>
    <w:p w:rsidR="009D2A34" w:rsidRPr="00291C28" w:rsidP="009D2A34">
      <w:pPr>
        <w:bidi w:val="0"/>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 xml:space="preserve">Celkové výdavky kapitoly Ministerstva školstva, vedy, výskumu a športu SR (ďalej len „MŠVVŠ SR“) na rok 2013 sa navrhujú v sume 2,46 mld. eur a oproti schválenému rozpočtu  roku 2012 rastú o 30,3 mil. eur, t. j. o 1,24 %. Na medziročnej zmene sa podieľajú prostriedky Európskej únii zo štrukturálnych fondov vrátane prostriedkov na spolufinancovanie zo štátneho rozpočtu nárastom v sume 26,8 mil. eur, čo predstavuje 5,05 % a zdroje štátneho rozpočtu v sumu 3,5 mil. eur, t. j. o 0,18 %. </w:t>
      </w:r>
    </w:p>
    <w:p w:rsidR="009D2A34" w:rsidRPr="00291C28" w:rsidP="009D2A34">
      <w:pPr>
        <w:bidi w:val="0"/>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 xml:space="preserve">Osobné výdavky sa rozpočtujú v sume 136 mil. eur, čo predstavuje pokles oproti schválenému rozpočtu roku 2012 o 0,95 mil. eur, t. j. 0,69 %. </w:t>
      </w:r>
    </w:p>
    <w:p w:rsidR="009D2A34" w:rsidRPr="00291C28" w:rsidP="009D2A34">
      <w:pPr>
        <w:bidi w:val="0"/>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 xml:space="preserve">V oblasti tovarov a služieb sa rozpočtujú výdavky na zdroji štátneho rozpočtu v sume 81,7 mil. eur, čo predstavuje pokles o 10,5 mil. eur, t. j. o 11,42 % oproti schválenému rozpočtu roku 2012. Pokles je z dôvodu uplatnenia úsporného opatrenia čiastočného viazania výdavkov na tovary a služby a vnútornej realokácie výdavkov z tovarov a služieb do bežných transferov na vedu a techniku v sume 1,31 mil. eur a kapitálových výdavkov 591 tis. eur. </w:t>
      </w:r>
    </w:p>
    <w:p w:rsidR="009D2A34" w:rsidRPr="00291C28" w:rsidP="009D2A34">
      <w:pPr>
        <w:bidi w:val="0"/>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 xml:space="preserve">Bežné transfery sa navrhujú v sume 1,67 mld. eur, čo predstavuje medziročný nárast o 14,4 mil. eur, t. j. o 0,87 %.  K najvýraznejšiemu zvýšeniu bežných transferov  došlo v oblasti vedy a techniky, ktoré v porovnaní so schváleným rozpočtom roku 2012 rastú </w:t>
      </w:r>
      <w:r w:rsidR="00737B8B">
        <w:rPr>
          <w:rFonts w:ascii="Times New Roman" w:hAnsi="Times New Roman" w:cs="Times New Roman"/>
          <w:lang w:eastAsia="en-US"/>
        </w:rPr>
        <w:br/>
      </w:r>
      <w:r w:rsidRPr="00291C28">
        <w:rPr>
          <w:rFonts w:ascii="Times New Roman" w:hAnsi="Times New Roman" w:cs="Times New Roman"/>
          <w:lang w:eastAsia="en-US"/>
        </w:rPr>
        <w:t xml:space="preserve">o 20,4 mil. eur (vnútorným preklasifikovaním výdavkov z tovarov a služieb a presunom v rámci bežných transferov vo VVŠ). </w:t>
      </w:r>
    </w:p>
    <w:p w:rsidR="009D2A34" w:rsidRPr="00291C28" w:rsidP="009D2A34">
      <w:pPr>
        <w:bidi w:val="0"/>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Kapitálové výdavky sa rozpočtujú na rok 2013 v sume 18,4 mil. eur, čo predstavuje medziročný nárast o 591 tis. eur, t. j. o 3,31</w:t>
      </w:r>
      <w:r w:rsidR="00976089">
        <w:rPr>
          <w:rFonts w:ascii="Times New Roman" w:hAnsi="Times New Roman" w:cs="Times New Roman"/>
          <w:lang w:eastAsia="en-US"/>
        </w:rPr>
        <w:t xml:space="preserve"> </w:t>
      </w:r>
      <w:r w:rsidRPr="00291C28">
        <w:rPr>
          <w:rFonts w:ascii="Times New Roman" w:hAnsi="Times New Roman" w:cs="Times New Roman"/>
          <w:lang w:eastAsia="en-US"/>
        </w:rPr>
        <w:t>%. Z celkového objemu kapitálových výdavkov je 10,2 mil. eur rozpočtovaných ako kapitálový transfer pre verejné vysoké školy,</w:t>
      </w:r>
      <w:r w:rsidRPr="00291C28">
        <w:rPr>
          <w:rFonts w:ascii="Times New Roman" w:hAnsi="Times New Roman" w:cs="Times New Roman"/>
          <w:b/>
          <w:lang w:eastAsia="en-US"/>
        </w:rPr>
        <w:t xml:space="preserve"> </w:t>
      </w:r>
      <w:r w:rsidRPr="00291C28">
        <w:rPr>
          <w:rFonts w:ascii="Times New Roman" w:hAnsi="Times New Roman" w:cs="Times New Roman"/>
          <w:lang w:eastAsia="en-US"/>
        </w:rPr>
        <w:t>čo je v súlade s rozpisom VVŠ.</w:t>
      </w:r>
    </w:p>
    <w:p w:rsidR="009D2A34" w:rsidRPr="00291C28" w:rsidP="009D2A34">
      <w:pPr>
        <w:bidi w:val="0"/>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 xml:space="preserve">Nasledujúca tabuľka zobrazuje výdavky MŠVVŠ SR z rozpočtových prostriedkov kapitoly na jednotlivé oblasti. </w:t>
      </w:r>
    </w:p>
    <w:tbl>
      <w:tblPr>
        <w:tblStyle w:val="TableNormal"/>
        <w:tblW w:w="5000" w:type="pct"/>
        <w:tblCellMar>
          <w:left w:w="70" w:type="dxa"/>
          <w:right w:w="70" w:type="dxa"/>
        </w:tblCellMar>
        <w:tblLook w:val="04A0"/>
      </w:tblPr>
      <w:tblGrid>
        <w:gridCol w:w="2597"/>
        <w:gridCol w:w="945"/>
        <w:gridCol w:w="945"/>
        <w:gridCol w:w="945"/>
        <w:gridCol w:w="945"/>
        <w:gridCol w:w="945"/>
        <w:gridCol w:w="945"/>
        <w:gridCol w:w="945"/>
      </w:tblGrid>
      <w:tr>
        <w:tblPrEx>
          <w:tblW w:w="5000" w:type="pct"/>
          <w:tblCellMar>
            <w:left w:w="70" w:type="dxa"/>
            <w:right w:w="70" w:type="dxa"/>
          </w:tblCellMar>
          <w:tblLook w:val="04A0"/>
        </w:tblPrEx>
        <w:trPr>
          <w:trHeight w:val="255"/>
        </w:trPr>
        <w:tc>
          <w:tcPr>
            <w:tcW w:w="141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v eurách</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2010 S</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2011 S</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2012 R</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2012 OS</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2013 N</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2014 N</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255"/>
        </w:trPr>
        <w:tc>
          <w:tcPr>
            <w:tcW w:w="1410" w:type="pct"/>
            <w:tcBorders>
              <w:top w:val="nil"/>
              <w:left w:val="single" w:sz="4" w:space="0" w:color="auto"/>
              <w:bottom w:val="single" w:sz="4" w:space="0" w:color="auto"/>
              <w:right w:val="single" w:sz="4" w:space="0" w:color="auto"/>
            </w:tcBorders>
            <w:shd w:val="clear" w:color="000000" w:fill="BFBFBF"/>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Zdroje príslušnej kapitoly z toho:</w:t>
            </w:r>
          </w:p>
        </w:tc>
        <w:tc>
          <w:tcPr>
            <w:tcW w:w="51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2 089 773 788</w:t>
            </w:r>
          </w:p>
        </w:tc>
        <w:tc>
          <w:tcPr>
            <w:tcW w:w="51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2 016 603 974</w:t>
            </w:r>
          </w:p>
        </w:tc>
        <w:tc>
          <w:tcPr>
            <w:tcW w:w="51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2 434 334 571</w:t>
            </w:r>
          </w:p>
        </w:tc>
        <w:tc>
          <w:tcPr>
            <w:tcW w:w="51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2 261 724 253</w:t>
            </w:r>
          </w:p>
        </w:tc>
        <w:tc>
          <w:tcPr>
            <w:tcW w:w="51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2 464 621 850</w:t>
            </w:r>
          </w:p>
        </w:tc>
        <w:tc>
          <w:tcPr>
            <w:tcW w:w="51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2 329 842 850</w:t>
            </w:r>
          </w:p>
        </w:tc>
        <w:tc>
          <w:tcPr>
            <w:tcW w:w="51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2 171 177 765</w:t>
            </w:r>
          </w:p>
        </w:tc>
      </w:tr>
      <w:tr>
        <w:tblPrEx>
          <w:tblW w:w="5000" w:type="pct"/>
          <w:tblCellMar>
            <w:left w:w="70" w:type="dxa"/>
            <w:right w:w="70" w:type="dxa"/>
          </w:tblCellMar>
          <w:tblLook w:val="04A0"/>
        </w:tblPrEx>
        <w:trPr>
          <w:trHeight w:val="255"/>
        </w:trPr>
        <w:tc>
          <w:tcPr>
            <w:tcW w:w="141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Výdavky na regionálne školstvo </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1 313 301 069</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1 314 103 426</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1 351 164 101</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1 349 478 491</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1 351 988 935</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1 353 392 575</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1 353 400 484</w:t>
            </w:r>
          </w:p>
        </w:tc>
      </w:tr>
      <w:tr>
        <w:tblPrEx>
          <w:tblW w:w="5000" w:type="pct"/>
          <w:tblCellMar>
            <w:left w:w="70" w:type="dxa"/>
            <w:right w:w="70" w:type="dxa"/>
          </w:tblCellMar>
          <w:tblLook w:val="04A0"/>
        </w:tblPrEx>
        <w:trPr>
          <w:trHeight w:val="255"/>
        </w:trPr>
        <w:tc>
          <w:tcPr>
            <w:tcW w:w="141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Výdavky na vysoké školy</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458 564 751</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440 099 382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450 655 547</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450 555 735</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452 814 726</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452 015 263</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450 515 263</w:t>
            </w:r>
          </w:p>
        </w:tc>
      </w:tr>
      <w:tr>
        <w:tblPrEx>
          <w:tblW w:w="5000" w:type="pct"/>
          <w:tblCellMar>
            <w:left w:w="70" w:type="dxa"/>
            <w:right w:w="70" w:type="dxa"/>
          </w:tblCellMar>
          <w:tblLook w:val="04A0"/>
        </w:tblPrEx>
        <w:trPr>
          <w:trHeight w:val="255"/>
        </w:trPr>
        <w:tc>
          <w:tcPr>
            <w:tcW w:w="141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Výdavky na vedu a techniku*</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88 806 352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117 636 534</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403 512 290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239 912 775</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332 097 704</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241 944 448</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191 432 282</w:t>
            </w:r>
          </w:p>
        </w:tc>
      </w:tr>
      <w:tr>
        <w:tblPrEx>
          <w:tblW w:w="5000" w:type="pct"/>
          <w:tblCellMar>
            <w:left w:w="70" w:type="dxa"/>
            <w:right w:w="70" w:type="dxa"/>
          </w:tblCellMar>
          <w:tblLook w:val="04A0"/>
        </w:tblPrEx>
        <w:trPr>
          <w:trHeight w:val="255"/>
        </w:trPr>
        <w:tc>
          <w:tcPr>
            <w:tcW w:w="141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Výdavky na šport </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74 748 224</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27 458 014</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30 414 925</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30 402 635</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30 403 390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30 353 390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30 353 390</w:t>
            </w:r>
          </w:p>
        </w:tc>
      </w:tr>
      <w:tr>
        <w:tblPrEx>
          <w:tblW w:w="5000" w:type="pct"/>
          <w:tblCellMar>
            <w:left w:w="70" w:type="dxa"/>
            <w:right w:w="70" w:type="dxa"/>
          </w:tblCellMar>
          <w:tblLook w:val="04A0"/>
        </w:tblPrEx>
        <w:trPr>
          <w:trHeight w:val="255"/>
        </w:trPr>
        <w:tc>
          <w:tcPr>
            <w:tcW w:w="141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Výdavky na administratívu</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27 119 156</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22 405 230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24 164 435</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25 683 536</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24 750 566</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25 308 053</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25 312 726</w:t>
            </w:r>
          </w:p>
        </w:tc>
      </w:tr>
      <w:tr>
        <w:tblPrEx>
          <w:tblW w:w="5000" w:type="pct"/>
          <w:tblCellMar>
            <w:left w:w="70" w:type="dxa"/>
            <w:right w:w="70" w:type="dxa"/>
          </w:tblCellMar>
          <w:tblLook w:val="04A0"/>
        </w:tblPrEx>
        <w:trPr>
          <w:trHeight w:val="255"/>
        </w:trPr>
        <w:tc>
          <w:tcPr>
            <w:tcW w:w="141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Výdavky EÚ a spolufinancovania**</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127 234 236</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94 901 388</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174 423 273</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165 691 081</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272 566 529</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226 829 121</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120 163 620</w:t>
            </w:r>
          </w:p>
        </w:tc>
      </w:tr>
    </w:tbl>
    <w:p w:rsidR="009D2A34" w:rsidRPr="00291C28" w:rsidP="009D2A34">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   bez vysokoškolskej vedy,  výskumu v ostatných  štátnych organizáciách, rezortnej vedy ďalších kapitol a SAV</w:t>
      </w:r>
    </w:p>
    <w:p w:rsidR="009D2A34" w:rsidRPr="00291C28" w:rsidP="009D2A34">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 xml:space="preserve">** bez výdavkov EÚ a spolufinancovania uvedených v oblasti veda a technika  </w:t>
      </w:r>
    </w:p>
    <w:p w:rsidR="009D2A34" w:rsidRPr="00291C28" w:rsidP="009D2A34">
      <w:pPr>
        <w:bidi w:val="0"/>
        <w:jc w:val="both"/>
        <w:rPr>
          <w:rFonts w:ascii="Times New Roman" w:hAnsi="Times New Roman" w:cs="Times New Roman"/>
          <w:lang w:eastAsia="en-US"/>
        </w:rPr>
      </w:pPr>
    </w:p>
    <w:p w:rsidR="009D2A34" w:rsidRPr="00291C28" w:rsidP="009D2A34">
      <w:pPr>
        <w:bidi w:val="0"/>
        <w:jc w:val="both"/>
        <w:rPr>
          <w:rFonts w:ascii="Times New Roman" w:hAnsi="Times New Roman" w:cs="Times New Roman"/>
          <w:b/>
          <w:lang w:eastAsia="en-US"/>
        </w:rPr>
      </w:pPr>
      <w:r w:rsidRPr="00291C28">
        <w:rPr>
          <w:rFonts w:ascii="Times New Roman" w:hAnsi="Times New Roman" w:cs="Times New Roman"/>
          <w:b/>
          <w:lang w:eastAsia="en-US"/>
        </w:rPr>
        <w:t>Regionálne školstvo</w:t>
      </w:r>
    </w:p>
    <w:p w:rsidR="009D2A34" w:rsidRPr="00291C28" w:rsidP="009D2A34">
      <w:pPr>
        <w:bidi w:val="0"/>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2597"/>
        <w:gridCol w:w="945"/>
        <w:gridCol w:w="945"/>
        <w:gridCol w:w="945"/>
        <w:gridCol w:w="945"/>
        <w:gridCol w:w="945"/>
        <w:gridCol w:w="945"/>
        <w:gridCol w:w="945"/>
      </w:tblGrid>
      <w:tr>
        <w:tblPrEx>
          <w:tblW w:w="5000" w:type="pct"/>
          <w:tblCellMar>
            <w:left w:w="70" w:type="dxa"/>
            <w:right w:w="70" w:type="dxa"/>
          </w:tblCellMar>
          <w:tblLook w:val="04A0"/>
        </w:tblPrEx>
        <w:trPr>
          <w:trHeight w:hRule="exact" w:val="255"/>
        </w:trPr>
        <w:tc>
          <w:tcPr>
            <w:tcW w:w="141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v eurách</w:t>
            </w:r>
          </w:p>
        </w:tc>
        <w:tc>
          <w:tcPr>
            <w:tcW w:w="51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2010 S</w:t>
            </w:r>
          </w:p>
        </w:tc>
        <w:tc>
          <w:tcPr>
            <w:tcW w:w="51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2011S</w:t>
            </w:r>
          </w:p>
        </w:tc>
        <w:tc>
          <w:tcPr>
            <w:tcW w:w="51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R</w:t>
            </w:r>
          </w:p>
        </w:tc>
        <w:tc>
          <w:tcPr>
            <w:tcW w:w="51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OS</w:t>
            </w:r>
          </w:p>
        </w:tc>
        <w:tc>
          <w:tcPr>
            <w:tcW w:w="51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2013 N</w:t>
            </w:r>
          </w:p>
        </w:tc>
        <w:tc>
          <w:tcPr>
            <w:tcW w:w="51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2014 N</w:t>
            </w:r>
          </w:p>
        </w:tc>
        <w:tc>
          <w:tcPr>
            <w:tcW w:w="51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141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Výdavky kapitoly MŠVVŠ SR</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1 313 301 069</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1 314 103 426</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1 351 164 101</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1 349 478 491</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1 351 988 935</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1 353 392 575</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1 353 400 484</w:t>
            </w:r>
          </w:p>
        </w:tc>
      </w:tr>
      <w:tr>
        <w:tblPrEx>
          <w:tblW w:w="5000" w:type="pct"/>
          <w:tblCellMar>
            <w:left w:w="70" w:type="dxa"/>
            <w:right w:w="70" w:type="dxa"/>
          </w:tblCellMar>
          <w:tblLook w:val="04A0"/>
        </w:tblPrEx>
        <w:trPr>
          <w:trHeight w:hRule="exact" w:val="255"/>
        </w:trPr>
        <w:tc>
          <w:tcPr>
            <w:tcW w:w="141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Normatívne výdavky </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1 213 170 465</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1 198 345 180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1 239 969 983</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1 236 844 812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1 239 969 983</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1 239 969 983</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1 239 969 983</w:t>
            </w:r>
          </w:p>
        </w:tc>
      </w:tr>
      <w:tr>
        <w:tblPrEx>
          <w:tblW w:w="5000" w:type="pct"/>
          <w:tblCellMar>
            <w:left w:w="70" w:type="dxa"/>
            <w:right w:w="70" w:type="dxa"/>
          </w:tblCellMar>
          <w:tblLook w:val="04A0"/>
        </w:tblPrEx>
        <w:trPr>
          <w:trHeight w:hRule="exact" w:val="255"/>
        </w:trPr>
        <w:tc>
          <w:tcPr>
            <w:tcW w:w="1410" w:type="pct"/>
            <w:tcBorders>
              <w:top w:val="nil"/>
              <w:left w:val="single" w:sz="4" w:space="0" w:color="auto"/>
              <w:bottom w:val="single" w:sz="4" w:space="0" w:color="auto"/>
              <w:right w:val="single" w:sz="4" w:space="0" w:color="auto"/>
            </w:tcBorders>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Nenormatívne  výdavky podľa zákona</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44 346 879</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51 553 060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57 162 969</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57 162 969</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57 558 787</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57 558 787</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57 558 787</w:t>
            </w:r>
          </w:p>
        </w:tc>
      </w:tr>
      <w:tr>
        <w:tblPrEx>
          <w:tblW w:w="5000" w:type="pct"/>
          <w:tblCellMar>
            <w:left w:w="70" w:type="dxa"/>
            <w:right w:w="70" w:type="dxa"/>
          </w:tblCellMar>
          <w:tblLook w:val="04A0"/>
        </w:tblPrEx>
        <w:trPr>
          <w:trHeight w:hRule="exact" w:val="255"/>
        </w:trPr>
        <w:tc>
          <w:tcPr>
            <w:tcW w:w="141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Ostatné nenormatívne výdavky </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22 817 369</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25 329 585</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24 374 900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24 533 900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24 396 711</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24 396 711</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24 396 711</w:t>
            </w:r>
          </w:p>
        </w:tc>
      </w:tr>
      <w:tr>
        <w:tblPrEx>
          <w:tblW w:w="5000" w:type="pct"/>
          <w:tblCellMar>
            <w:left w:w="70" w:type="dxa"/>
            <w:right w:w="70" w:type="dxa"/>
          </w:tblCellMar>
          <w:tblLook w:val="04A0"/>
        </w:tblPrEx>
        <w:trPr>
          <w:trHeight w:hRule="exact" w:val="255"/>
        </w:trPr>
        <w:tc>
          <w:tcPr>
            <w:tcW w:w="141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Administratívne výdavky </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29 515 788</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35 380 999</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26 265 917</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27 546 478</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26 673 122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28 076 762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28 084 671</w:t>
            </w:r>
          </w:p>
        </w:tc>
      </w:tr>
      <w:tr>
        <w:tblPrEx>
          <w:tblW w:w="5000" w:type="pct"/>
          <w:tblCellMar>
            <w:left w:w="70" w:type="dxa"/>
            <w:right w:w="70" w:type="dxa"/>
          </w:tblCellMar>
          <w:tblLook w:val="04A0"/>
        </w:tblPrEx>
        <w:trPr>
          <w:trHeight w:hRule="exact" w:val="255"/>
        </w:trPr>
        <w:tc>
          <w:tcPr>
            <w:tcW w:w="141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Výdavky na štipendiá </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3 450 568</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3 494 602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3 390 332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3 390 332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3 390 332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3 390 332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3 390 332</w:t>
            </w:r>
          </w:p>
        </w:tc>
      </w:tr>
    </w:tbl>
    <w:p w:rsidR="009D2A34" w:rsidRPr="00291C28" w:rsidP="009D2A34">
      <w:pPr>
        <w:bidi w:val="0"/>
        <w:ind w:firstLine="708"/>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Výdavky štátneho rozpočtu bez zdrojov EÚ a príslušného spolufinancovania poskytované pre oblasť regionálneho školstva prostredníctvom MŠVVŠ SR v roku 2013 rastú oproti schválenému rozpočtu roku 2012 o 825 tis. eur, t. j. o 0,06 %. Zvýšenie výdavkov sa týka nenormatívnych výdavkov určených zákonom č. 597/2003 Z. z. o financovaní základných škôl, stredných škôl a školských zariadení v znení neskorších predpisov a ostatných nenormatívnych výdavkov v celkovej sume 418 tis. eur. Výška normatívnych výdavkov je zachovaná na úrovni schváleného rozpočtu roku 2012.</w:t>
      </w:r>
    </w:p>
    <w:p w:rsidR="009D2A34" w:rsidRPr="00291C28" w:rsidP="009D2A34">
      <w:pPr>
        <w:bidi w:val="0"/>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V limite výdavkov sú zabezpečené normatívne výdavky, nenormatívne výdavky určené zákonom a ostatné nenormatívne výdavky, administratívne výdavky pre organizácie rezortu, ktoré vykonávajú činnosť súvisiacu s regionálnym školstvom a výdavky na štipendiá.</w:t>
      </w:r>
    </w:p>
    <w:p w:rsidR="009D2A34" w:rsidRPr="00291C28" w:rsidP="009D2A34">
      <w:pPr>
        <w:bidi w:val="0"/>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2768"/>
        <w:gridCol w:w="910"/>
        <w:gridCol w:w="910"/>
        <w:gridCol w:w="910"/>
        <w:gridCol w:w="910"/>
        <w:gridCol w:w="910"/>
        <w:gridCol w:w="949"/>
        <w:gridCol w:w="945"/>
      </w:tblGrid>
      <w:tr>
        <w:tblPrEx>
          <w:tblW w:w="5000" w:type="pct"/>
          <w:tblCellMar>
            <w:left w:w="70" w:type="dxa"/>
            <w:right w:w="70" w:type="dxa"/>
          </w:tblCellMar>
          <w:tblLook w:val="04A0"/>
        </w:tblPrEx>
        <w:trPr>
          <w:trHeight w:val="255"/>
        </w:trPr>
        <w:tc>
          <w:tcPr>
            <w:tcW w:w="150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w:t>
            </w:r>
          </w:p>
        </w:tc>
        <w:tc>
          <w:tcPr>
            <w:tcW w:w="49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2010 S</w:t>
            </w:r>
          </w:p>
        </w:tc>
        <w:tc>
          <w:tcPr>
            <w:tcW w:w="49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2011S</w:t>
            </w:r>
          </w:p>
        </w:tc>
        <w:tc>
          <w:tcPr>
            <w:tcW w:w="49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R</w:t>
            </w:r>
          </w:p>
        </w:tc>
        <w:tc>
          <w:tcPr>
            <w:tcW w:w="49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OS</w:t>
            </w:r>
          </w:p>
        </w:tc>
        <w:tc>
          <w:tcPr>
            <w:tcW w:w="49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2013 N</w:t>
            </w:r>
          </w:p>
        </w:tc>
        <w:tc>
          <w:tcPr>
            <w:tcW w:w="515"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2014 N</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val="255"/>
        </w:trPr>
        <w:tc>
          <w:tcPr>
            <w:tcW w:w="1502"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Počet žiakov v školách</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758 045</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737 864</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722 304</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730 519</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720 541</w:t>
            </w:r>
          </w:p>
        </w:tc>
        <w:tc>
          <w:tcPr>
            <w:tcW w:w="51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716 614</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707 952</w:t>
            </w:r>
          </w:p>
        </w:tc>
      </w:tr>
      <w:tr>
        <w:tblPrEx>
          <w:tblW w:w="5000" w:type="pct"/>
          <w:tblCellMar>
            <w:left w:w="70" w:type="dxa"/>
            <w:right w:w="70" w:type="dxa"/>
          </w:tblCellMar>
          <w:tblLook w:val="04A0"/>
        </w:tblPrEx>
        <w:trPr>
          <w:trHeight w:val="255"/>
        </w:trPr>
        <w:tc>
          <w:tcPr>
            <w:tcW w:w="150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medziročná zmena v %</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-1,71</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-2,66</w:t>
            </w:r>
            <w:r w:rsidR="00737B8B">
              <w:rPr>
                <w:rFonts w:ascii="Times New Roman" w:hAnsi="Times New Roman" w:cs="Times New Roman"/>
                <w:sz w:val="14"/>
                <w:szCs w:val="14"/>
                <w:lang w:eastAsia="sk-SK"/>
              </w:rPr>
              <w:t xml:space="preserve"> </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-2,11</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-1,00</w:t>
            </w:r>
            <w:r w:rsidR="00737B8B">
              <w:rPr>
                <w:rFonts w:ascii="Times New Roman" w:hAnsi="Times New Roman" w:cs="Times New Roman"/>
                <w:sz w:val="14"/>
                <w:szCs w:val="14"/>
                <w:lang w:eastAsia="sk-SK"/>
              </w:rPr>
              <w:t xml:space="preserve"> </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-0,24</w:t>
            </w:r>
            <w:r w:rsidR="00737B8B">
              <w:rPr>
                <w:rFonts w:ascii="Times New Roman" w:hAnsi="Times New Roman" w:cs="Times New Roman"/>
                <w:color w:val="000000"/>
                <w:sz w:val="14"/>
                <w:szCs w:val="14"/>
                <w:lang w:eastAsia="sk-SK"/>
              </w:rPr>
              <w:t xml:space="preserve"> </w:t>
            </w:r>
          </w:p>
        </w:tc>
        <w:tc>
          <w:tcPr>
            <w:tcW w:w="515"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-0,55</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-1,21</w:t>
            </w:r>
          </w:p>
        </w:tc>
      </w:tr>
      <w:tr>
        <w:tblPrEx>
          <w:tblW w:w="5000" w:type="pct"/>
          <w:tblCellMar>
            <w:left w:w="70" w:type="dxa"/>
            <w:right w:w="70" w:type="dxa"/>
          </w:tblCellMar>
          <w:tblLook w:val="04A0"/>
        </w:tblPrEx>
        <w:trPr>
          <w:trHeight w:val="255"/>
        </w:trPr>
        <w:tc>
          <w:tcPr>
            <w:tcW w:w="1502"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Výdavky rezortu na žiaka školy v eurách</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1 733</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1 781</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1 871</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1 847</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1 876</w:t>
            </w:r>
          </w:p>
        </w:tc>
        <w:tc>
          <w:tcPr>
            <w:tcW w:w="51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1 889</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1 912</w:t>
            </w:r>
          </w:p>
        </w:tc>
      </w:tr>
      <w:tr>
        <w:tblPrEx>
          <w:tblW w:w="5000" w:type="pct"/>
          <w:tblCellMar>
            <w:left w:w="70" w:type="dxa"/>
            <w:right w:w="70" w:type="dxa"/>
          </w:tblCellMar>
          <w:tblLook w:val="04A0"/>
        </w:tblPrEx>
        <w:trPr>
          <w:trHeight w:val="255"/>
        </w:trPr>
        <w:tc>
          <w:tcPr>
            <w:tcW w:w="150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medziročná zmena v %</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1,78</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2,78</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5,04</w:t>
            </w:r>
            <w:r w:rsidR="00737B8B">
              <w:rPr>
                <w:rFonts w:ascii="Times New Roman" w:hAnsi="Times New Roman" w:cs="Times New Roman"/>
                <w:b/>
                <w:bCs/>
                <w:sz w:val="14"/>
                <w:szCs w:val="14"/>
                <w:lang w:eastAsia="sk-SK"/>
              </w:rPr>
              <w:t xml:space="preserve"> </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3,72</w:t>
            </w:r>
          </w:p>
        </w:tc>
        <w:tc>
          <w:tcPr>
            <w:tcW w:w="494"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3B1959">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0,31</w:t>
            </w:r>
          </w:p>
        </w:tc>
        <w:tc>
          <w:tcPr>
            <w:tcW w:w="515"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7D39F4">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0,65</w:t>
            </w:r>
            <w:r w:rsidR="00737B8B">
              <w:rPr>
                <w:rFonts w:ascii="Times New Roman" w:hAnsi="Times New Roman" w:cs="Times New Roman"/>
                <w:b/>
                <w:color w:val="000000"/>
                <w:sz w:val="14"/>
                <w:szCs w:val="14"/>
                <w:lang w:eastAsia="sk-SK"/>
              </w:rPr>
              <w:t xml:space="preserve"> </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7D39F4">
            <w:pPr>
              <w:bidi w:val="0"/>
              <w:jc w:val="right"/>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1,22</w:t>
            </w:r>
          </w:p>
        </w:tc>
      </w:tr>
    </w:tbl>
    <w:p w:rsidR="009D2A34" w:rsidRPr="00291C28" w:rsidP="009D2A34">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 xml:space="preserve">*zdroj MŠVVŠ SR  </w:t>
      </w:r>
    </w:p>
    <w:p w:rsidR="009D2A34" w:rsidRPr="00291C28" w:rsidP="009D2A34">
      <w:pPr>
        <w:bidi w:val="0"/>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Počty žiakov medziročne klesajú vplyvom demografického vývoja. Výdavky štátneho rozpočtu na jedného žiaka školy v roku 2013 oproti schválenému rozpočtu roku 2012 rastú o 0,31 %. V roku 2013 výdavky štátneho rozpočtu na jedného žiaka oproti skutočným výdavkom na jedného žiaka roku 2010 rastú o 144 eur, čo predstavuje 8,30 %.</w:t>
      </w:r>
    </w:p>
    <w:p w:rsidR="009D2A34" w:rsidRPr="00291C28" w:rsidP="009D2A34">
      <w:pPr>
        <w:bidi w:val="0"/>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Pri financovaní regionálneho školstva sa uplatňuje financovanie prostredníctvom normatívu na žiaka. V objeme bežných výdavkov sú zahrnuté okrem osobných výdavkov a prevádzky všetkých typov škôl aj nenormatívne výdavky v zmysle  zákona o financovaní základných škôl, stredných škôl a školských zariadení na úhradu vakcín proti hepatitíde typu A a B, výdavky na bezplatnú výchovu detí od 5 rokov v materských školách, na dopravné žiakom, na asistentov učiteľa, na odchodné, vzdelávacie poukazy, mimoriadne výsledky žiakov, výdavky pre žiakov zo sociálne znevýhodneného prostredia a výdavky, ktoré školy nedostávajú priamo v zmysle uvedeného zákona určené na učebnice, prevádzku Infoveku, súťaže žiakov, ako aj ďalšie výdavky. Kapitálové výdavky kapitoly MŠVVŠ SR pre regionálne školstvo sú navrhované vo výške 4,9 mil. eur, čo je menej oproti schválenému rozpočtu roku 2012 o 752 tis. eur. Tieto sú určené hlavne na havarijné stavby a rekonštrukcie škôl a štátnych školských zariadení.</w:t>
      </w:r>
    </w:p>
    <w:p w:rsidR="009D2A34" w:rsidRPr="00291C28" w:rsidP="009D2A34">
      <w:pPr>
        <w:bidi w:val="0"/>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 xml:space="preserve">Do disponibilných zdrojov na regionálne školstvo okrem výdavkov zo štátneho rozpočtu poskytovaných prostredníctvom MŠVVŠ SR vstupujú tiež výdavky MV SR, ktoré financuje stredné odborné školy vo svojej zriaďovateľskej pôsobnosti v sume 13,0 mil. eur a prostriedky štrukturálnych fondov vrátane spolufinancovania zo štátneho rozpočtu </w:t>
      </w:r>
      <w:r w:rsidR="00737B8B">
        <w:rPr>
          <w:rFonts w:ascii="Times New Roman" w:hAnsi="Times New Roman" w:cs="Times New Roman"/>
          <w:lang w:eastAsia="en-US"/>
        </w:rPr>
        <w:br/>
      </w:r>
      <w:r w:rsidRPr="00291C28">
        <w:rPr>
          <w:rFonts w:ascii="Times New Roman" w:hAnsi="Times New Roman" w:cs="Times New Roman"/>
          <w:lang w:eastAsia="en-US"/>
        </w:rPr>
        <w:t>z OP Vzdelávanie v sume 23,5 mil. eur, ako aj výdavky z OP Regionálny operačný program na  financovanie infraštruktúry vzdelávania v sume 61,7 mil. eur.</w:t>
      </w:r>
    </w:p>
    <w:p w:rsidR="009D2A34" w:rsidRPr="00291C28" w:rsidP="009D2A34">
      <w:pPr>
        <w:bidi w:val="0"/>
        <w:jc w:val="both"/>
        <w:rPr>
          <w:rFonts w:ascii="Times New Roman" w:hAnsi="Times New Roman" w:cs="Times New Roman"/>
          <w:lang w:eastAsia="en-US"/>
        </w:rPr>
      </w:pPr>
    </w:p>
    <w:p w:rsidR="009D2A34" w:rsidRPr="00291C28" w:rsidP="009D2A34">
      <w:pPr>
        <w:bidi w:val="0"/>
        <w:ind w:firstLine="708"/>
        <w:jc w:val="both"/>
        <w:rPr>
          <w:rFonts w:ascii="Times New Roman" w:hAnsi="Times New Roman" w:cs="Times New Roman"/>
          <w:lang w:eastAsia="en-US"/>
        </w:rPr>
      </w:pPr>
      <w:r w:rsidRPr="00291C28">
        <w:rPr>
          <w:rFonts w:ascii="Times New Roman" w:hAnsi="Times New Roman" w:cs="Times New Roman"/>
          <w:lang w:eastAsia="en-US"/>
        </w:rPr>
        <w:t>Prehľad administratívnych výdavkov pre organizácie rezortu, ktoré vykonávajú činnosť súvisiacu s regionálnym školstvom.</w:t>
      </w:r>
    </w:p>
    <w:p w:rsidR="009D2A34" w:rsidRPr="00291C28" w:rsidP="009D2A34">
      <w:pPr>
        <w:bidi w:val="0"/>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3279"/>
        <w:gridCol w:w="911"/>
        <w:gridCol w:w="836"/>
        <w:gridCol w:w="836"/>
        <w:gridCol w:w="838"/>
        <w:gridCol w:w="838"/>
        <w:gridCol w:w="838"/>
        <w:gridCol w:w="836"/>
      </w:tblGrid>
      <w:tr>
        <w:tblPrEx>
          <w:tblW w:w="5000" w:type="pct"/>
          <w:tblCellMar>
            <w:left w:w="70" w:type="dxa"/>
            <w:right w:w="70" w:type="dxa"/>
          </w:tblCellMar>
          <w:tblLook w:val="04A0"/>
        </w:tblPrEx>
        <w:trPr>
          <w:trHeight w:val="255"/>
        </w:trPr>
        <w:tc>
          <w:tcPr>
            <w:tcW w:w="177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v eurách</w:t>
            </w:r>
          </w:p>
        </w:tc>
        <w:tc>
          <w:tcPr>
            <w:tcW w:w="49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2010 S</w:t>
            </w:r>
          </w:p>
        </w:tc>
        <w:tc>
          <w:tcPr>
            <w:tcW w:w="45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2011 S</w:t>
            </w:r>
          </w:p>
        </w:tc>
        <w:tc>
          <w:tcPr>
            <w:tcW w:w="45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R</w:t>
            </w:r>
          </w:p>
        </w:tc>
        <w:tc>
          <w:tcPr>
            <w:tcW w:w="45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OS</w:t>
            </w:r>
          </w:p>
        </w:tc>
        <w:tc>
          <w:tcPr>
            <w:tcW w:w="45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2013 N</w:t>
            </w:r>
          </w:p>
        </w:tc>
        <w:tc>
          <w:tcPr>
            <w:tcW w:w="45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2014 N</w:t>
            </w:r>
          </w:p>
        </w:tc>
        <w:tc>
          <w:tcPr>
            <w:tcW w:w="454"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val="255"/>
        </w:trPr>
        <w:tc>
          <w:tcPr>
            <w:tcW w:w="177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Rozpočtové a príspevkové  organizácie spolu</w:t>
            </w:r>
          </w:p>
        </w:tc>
        <w:tc>
          <w:tcPr>
            <w:tcW w:w="49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29 515 788</w:t>
            </w:r>
          </w:p>
        </w:tc>
        <w:tc>
          <w:tcPr>
            <w:tcW w:w="45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35 380 999</w:t>
            </w:r>
          </w:p>
        </w:tc>
        <w:tc>
          <w:tcPr>
            <w:tcW w:w="45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26 265 917</w:t>
            </w:r>
          </w:p>
        </w:tc>
        <w:tc>
          <w:tcPr>
            <w:tcW w:w="455"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27 546 478</w:t>
            </w:r>
          </w:p>
        </w:tc>
        <w:tc>
          <w:tcPr>
            <w:tcW w:w="455"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26 673 122</w:t>
            </w:r>
          </w:p>
        </w:tc>
        <w:tc>
          <w:tcPr>
            <w:tcW w:w="455"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28 076 762</w:t>
            </w:r>
          </w:p>
        </w:tc>
        <w:tc>
          <w:tcPr>
            <w:tcW w:w="454" w:type="pct"/>
            <w:tcBorders>
              <w:top w:val="single" w:sz="4" w:space="0" w:color="auto"/>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28 084 671</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Rozpočtové organizácie spolu z toho:</w:t>
            </w:r>
          </w:p>
        </w:tc>
        <w:tc>
          <w:tcPr>
            <w:tcW w:w="494"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27 866 935</w:t>
            </w:r>
          </w:p>
        </w:tc>
        <w:tc>
          <w:tcPr>
            <w:tcW w:w="454"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34 441 569</w:t>
            </w:r>
          </w:p>
        </w:tc>
        <w:tc>
          <w:tcPr>
            <w:tcW w:w="454"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25 339 887</w:t>
            </w:r>
          </w:p>
        </w:tc>
        <w:tc>
          <w:tcPr>
            <w:tcW w:w="455"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26 604 428</w:t>
            </w:r>
          </w:p>
        </w:tc>
        <w:tc>
          <w:tcPr>
            <w:tcW w:w="455"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25 729 092</w:t>
            </w:r>
          </w:p>
        </w:tc>
        <w:tc>
          <w:tcPr>
            <w:tcW w:w="455"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27 150 732</w:t>
            </w:r>
          </w:p>
        </w:tc>
        <w:tc>
          <w:tcPr>
            <w:tcW w:w="454"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27 158 641</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Ústav informácií a prognóz školstva</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2 832 053</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7 318 208</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761 650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1 428 118</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711 562</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711 562</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711 562</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Metodicko-pedagogické centrum</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3 214 508</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3 355 884</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2 742 625</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3 062 879</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2 792 788</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2 792 788</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2 792 788</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Štátny inštitút odborného vzdelávania</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1 536 140</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2 371 122</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832 873</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1 106 873</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796 092</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796 092</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796 092</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Štátny pedagogický ústav</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2 571 208</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4 829 005</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1 539 332</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3 770 898</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1 837 033</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1 470 995</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1 470 995</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Štátna školská inšpekcia</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4 494 248</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4 112 867</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4 110 307</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4 120 647</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4 024 362</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3 874 362</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3 874 362</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Slovenská pedagogická knižnica</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308 894</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303 987</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281 629</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287 567</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262 398</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262 398</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262 398</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Národný ústav certifikovaných meraní vzdelávania</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2 479 835</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2 745 053</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1 453 237</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1 600 527</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1 418 081</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1 319 081</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1 319 081</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Krajský školský úrad Bratislava</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616 762</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541 919</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525 204</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556 167</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491 183</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491 183</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491 183</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Krajský školský úrad Košice</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851 258</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694 777</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682 729</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717 309</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639 491</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639 491</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639 491</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Krajský školský úrad Trnava</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706 073</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616 795</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598 143</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616 425</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560 012</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560 012</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560 012</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Krajský školský úrad Žilina</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782 836</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686 758</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643 566</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668 761</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601 902</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601 902</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601 902</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Krajský školský úrad Trenčín</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580 366</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595 781</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511 612</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571 064</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478 714</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478 714</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478 714</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Krajský školský úrad Prešov</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855 158</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726 094</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715 682</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719 097</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670 885</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670 885</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670 885</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Krajský školský úrad Banská Bystrica</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812 314</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672 557</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656 920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683 672</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615 450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615 450</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615 450</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Krajský školský úrad Nitra</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675 543</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621 660</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594 235</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594 235</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555 589</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555 589</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555 589</w:t>
            </w:r>
          </w:p>
        </w:tc>
      </w:tr>
      <w:tr>
        <w:tblPrEx>
          <w:tblW w:w="5000" w:type="pct"/>
          <w:tblCellMar>
            <w:left w:w="70" w:type="dxa"/>
            <w:right w:w="70" w:type="dxa"/>
          </w:tblCellMar>
          <w:tblLook w:val="04A0"/>
        </w:tblPrEx>
        <w:trPr>
          <w:trHeight w:val="255"/>
        </w:trPr>
        <w:tc>
          <w:tcPr>
            <w:tcW w:w="1779" w:type="pct"/>
            <w:tcBorders>
              <w:top w:val="nil"/>
              <w:left w:val="single" w:sz="8"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Školské úrady obcí, VÚC a cirkevným zriaď.</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3 699 674</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3 686 880</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3 813 580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3 761 252</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3 813 580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3 813 580</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3 813 580</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Ministerstvo školstva, vedy, výskumu a športu SR</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850 065</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562 222</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4 876 563</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2 338 937</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5 459 970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7 496 648</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7 504 557</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Príspevkové organizácie spolu</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1 648 853</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939 430</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926 030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942 050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944 030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926 030</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926 030</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IUVENTA</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327 873</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Domov Speváckeho zboru slovenských učiteľov</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258 348</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290 086</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288 086</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288 086</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288 086</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288 086</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288 086</w:t>
            </w:r>
          </w:p>
        </w:tc>
      </w:tr>
      <w:tr>
        <w:tblPrEx>
          <w:tblW w:w="5000" w:type="pct"/>
          <w:tblCellMar>
            <w:left w:w="70" w:type="dxa"/>
            <w:right w:w="70" w:type="dxa"/>
          </w:tblCellMar>
          <w:tblLook w:val="04A0"/>
        </w:tblPrEx>
        <w:trPr>
          <w:trHeight w:val="255"/>
        </w:trPr>
        <w:tc>
          <w:tcPr>
            <w:tcW w:w="177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Výskumný ústav detskej psychológie a patopsychológie</w:t>
            </w:r>
          </w:p>
        </w:tc>
        <w:tc>
          <w:tcPr>
            <w:tcW w:w="49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1 062 632</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649 344</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637 944</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653 964</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655 944</w:t>
            </w:r>
          </w:p>
        </w:tc>
        <w:tc>
          <w:tcPr>
            <w:tcW w:w="455"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637 944</w:t>
            </w:r>
          </w:p>
        </w:tc>
        <w:tc>
          <w:tcPr>
            <w:tcW w:w="454"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637 944</w:t>
            </w:r>
          </w:p>
        </w:tc>
      </w:tr>
    </w:tbl>
    <w:p w:rsidR="009D2A34" w:rsidRPr="00291C28" w:rsidP="009D2A34">
      <w:pPr>
        <w:bidi w:val="0"/>
        <w:jc w:val="both"/>
        <w:rPr>
          <w:rFonts w:ascii="Times New Roman" w:hAnsi="Times New Roman" w:cs="Times New Roman"/>
          <w:b/>
          <w:lang w:eastAsia="en-US"/>
        </w:rPr>
      </w:pPr>
    </w:p>
    <w:p w:rsidR="009D2A34" w:rsidRPr="00291C28" w:rsidP="009D2A34">
      <w:pPr>
        <w:bidi w:val="0"/>
        <w:jc w:val="both"/>
        <w:rPr>
          <w:rFonts w:ascii="Times New Roman" w:hAnsi="Times New Roman" w:cs="Times New Roman"/>
          <w:b/>
          <w:lang w:eastAsia="en-US"/>
        </w:rPr>
      </w:pPr>
      <w:r w:rsidRPr="00291C28">
        <w:rPr>
          <w:rFonts w:ascii="Times New Roman" w:hAnsi="Times New Roman" w:cs="Times New Roman"/>
          <w:b/>
          <w:lang w:eastAsia="en-US"/>
        </w:rPr>
        <w:t>Vysoké školstvo vrátane rezortného vysokého školstva</w:t>
      </w:r>
    </w:p>
    <w:p w:rsidR="009D2A34" w:rsidRPr="00291C28" w:rsidP="009D2A34">
      <w:pPr>
        <w:bidi w:val="0"/>
        <w:jc w:val="both"/>
        <w:rPr>
          <w:rFonts w:ascii="Times New Roman" w:hAnsi="Times New Roman" w:cs="Times New Roman"/>
          <w:highlight w:val="yellow"/>
          <w:lang w:eastAsia="en-US"/>
        </w:rPr>
      </w:pPr>
    </w:p>
    <w:tbl>
      <w:tblPr>
        <w:tblStyle w:val="TableNormal"/>
        <w:tblW w:w="5000" w:type="pct"/>
        <w:tblCellMar>
          <w:left w:w="70" w:type="dxa"/>
          <w:right w:w="70" w:type="dxa"/>
        </w:tblCellMar>
        <w:tblLook w:val="04A0"/>
      </w:tblPr>
      <w:tblGrid>
        <w:gridCol w:w="3332"/>
        <w:gridCol w:w="840"/>
        <w:gridCol w:w="840"/>
        <w:gridCol w:w="840"/>
        <w:gridCol w:w="840"/>
        <w:gridCol w:w="840"/>
        <w:gridCol w:w="840"/>
        <w:gridCol w:w="840"/>
      </w:tblGrid>
      <w:tr>
        <w:tblPrEx>
          <w:tblW w:w="5000" w:type="pct"/>
          <w:tblCellMar>
            <w:left w:w="70" w:type="dxa"/>
            <w:right w:w="70" w:type="dxa"/>
          </w:tblCellMar>
          <w:tblLook w:val="04A0"/>
        </w:tblPrEx>
        <w:trPr>
          <w:trHeight w:hRule="exact" w:val="255"/>
        </w:trPr>
        <w:tc>
          <w:tcPr>
            <w:tcW w:w="180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v eurách</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2010 S</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2011 S</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R</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 xml:space="preserve"> 2012 OS</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2013 N</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2014 N</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1809"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Výdavky pre VVŠ spolu cez MŠVVŠ SR</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458 564 751</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440 099 382</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450 655 547</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450 555 735</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452 814 726</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452 015 263</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450 515 263</w:t>
            </w:r>
          </w:p>
        </w:tc>
      </w:tr>
      <w:tr>
        <w:tblPrEx>
          <w:tblW w:w="5000" w:type="pct"/>
          <w:tblCellMar>
            <w:left w:w="70" w:type="dxa"/>
            <w:right w:w="70" w:type="dxa"/>
          </w:tblCellMar>
          <w:tblLook w:val="04A0"/>
        </w:tblPrEx>
        <w:trPr>
          <w:trHeight w:hRule="exact" w:val="255"/>
        </w:trPr>
        <w:tc>
          <w:tcPr>
            <w:tcW w:w="180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Verejné vysoké školy cez MŠVVŠ SR</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455 983 062</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437 477 198</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447 790 176</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447 690 364</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449 874 355</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449 074 892</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447 574 892</w:t>
            </w:r>
          </w:p>
        </w:tc>
      </w:tr>
      <w:tr>
        <w:tblPrEx>
          <w:tblW w:w="5000" w:type="pct"/>
          <w:tblCellMar>
            <w:left w:w="70" w:type="dxa"/>
            <w:right w:w="70" w:type="dxa"/>
          </w:tblCellMar>
          <w:tblLook w:val="04A0"/>
        </w:tblPrEx>
        <w:trPr>
          <w:trHeight w:hRule="exact" w:val="255"/>
        </w:trPr>
        <w:tc>
          <w:tcPr>
            <w:tcW w:w="180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Štipendiá pre zahraničných študentov cez MŠVVŠ SR</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632 042</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680 901</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889 005</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889 005</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964 005</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964 005</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964 005</w:t>
            </w:r>
          </w:p>
        </w:tc>
      </w:tr>
      <w:tr>
        <w:tblPrEx>
          <w:tblW w:w="5000" w:type="pct"/>
          <w:tblCellMar>
            <w:left w:w="70" w:type="dxa"/>
            <w:right w:w="70" w:type="dxa"/>
          </w:tblCellMar>
          <w:tblLook w:val="04A0"/>
        </w:tblPrEx>
        <w:trPr>
          <w:trHeight w:hRule="exact" w:val="255"/>
        </w:trPr>
        <w:tc>
          <w:tcPr>
            <w:tcW w:w="180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Oficiálna rozvojová pomoc</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1 949 647</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1 941 283</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1 976 366</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1 976 366</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1 976 366</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1 976 366</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1 976 366</w:t>
            </w:r>
          </w:p>
        </w:tc>
      </w:tr>
      <w:tr>
        <w:tblPrEx>
          <w:tblW w:w="5000" w:type="pct"/>
          <w:tblCellMar>
            <w:left w:w="70" w:type="dxa"/>
            <w:right w:w="70" w:type="dxa"/>
          </w:tblCellMar>
          <w:tblLook w:val="04A0"/>
        </w:tblPrEx>
        <w:trPr>
          <w:trHeight w:hRule="exact" w:val="255"/>
        </w:trPr>
        <w:tc>
          <w:tcPr>
            <w:tcW w:w="1809"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1F6144" w:rsidP="006338E5">
            <w:pPr>
              <w:bidi w:val="0"/>
              <w:rPr>
                <w:rFonts w:ascii="Times New Roman" w:hAnsi="Times New Roman" w:cs="Times New Roman"/>
                <w:b/>
                <w:sz w:val="14"/>
                <w:szCs w:val="14"/>
                <w:lang w:eastAsia="sk-SK"/>
              </w:rPr>
            </w:pPr>
            <w:r w:rsidRPr="001F6144">
              <w:rPr>
                <w:rFonts w:ascii="Times New Roman" w:hAnsi="Times New Roman" w:cs="Times New Roman"/>
                <w:b/>
                <w:sz w:val="14"/>
                <w:szCs w:val="14"/>
                <w:lang w:eastAsia="sk-SK"/>
              </w:rPr>
              <w:t>Rezortné vysokoškolské vzdelávanie*</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1F6144" w:rsidP="006338E5">
            <w:pPr>
              <w:bidi w:val="0"/>
              <w:jc w:val="right"/>
              <w:rPr>
                <w:rFonts w:ascii="Times New Roman" w:hAnsi="Times New Roman" w:cs="Times New Roman"/>
                <w:b/>
                <w:sz w:val="14"/>
                <w:szCs w:val="14"/>
                <w:lang w:eastAsia="sk-SK"/>
              </w:rPr>
            </w:pPr>
            <w:r w:rsidRPr="001F6144">
              <w:rPr>
                <w:rFonts w:ascii="Times New Roman" w:hAnsi="Times New Roman" w:cs="Times New Roman"/>
                <w:b/>
                <w:sz w:val="14"/>
                <w:szCs w:val="14"/>
                <w:lang w:eastAsia="sk-SK"/>
              </w:rPr>
              <w:t>26 196 886</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1F6144" w:rsidP="006338E5">
            <w:pPr>
              <w:bidi w:val="0"/>
              <w:jc w:val="right"/>
              <w:rPr>
                <w:rFonts w:ascii="Times New Roman" w:hAnsi="Times New Roman" w:cs="Times New Roman"/>
                <w:b/>
                <w:sz w:val="14"/>
                <w:szCs w:val="14"/>
                <w:lang w:eastAsia="sk-SK"/>
              </w:rPr>
            </w:pPr>
            <w:r w:rsidRPr="001F6144">
              <w:rPr>
                <w:rFonts w:ascii="Times New Roman" w:hAnsi="Times New Roman" w:cs="Times New Roman"/>
                <w:b/>
                <w:sz w:val="14"/>
                <w:szCs w:val="14"/>
                <w:lang w:eastAsia="sk-SK"/>
              </w:rPr>
              <w:t>22 010 194</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1F6144" w:rsidP="006338E5">
            <w:pPr>
              <w:bidi w:val="0"/>
              <w:jc w:val="right"/>
              <w:rPr>
                <w:rFonts w:ascii="Times New Roman" w:hAnsi="Times New Roman" w:cs="Times New Roman"/>
                <w:b/>
                <w:sz w:val="14"/>
                <w:szCs w:val="14"/>
                <w:lang w:eastAsia="sk-SK"/>
              </w:rPr>
            </w:pPr>
            <w:r w:rsidRPr="001F6144">
              <w:rPr>
                <w:rFonts w:ascii="Times New Roman" w:hAnsi="Times New Roman" w:cs="Times New Roman"/>
                <w:b/>
                <w:sz w:val="14"/>
                <w:szCs w:val="14"/>
                <w:lang w:eastAsia="sk-SK"/>
              </w:rPr>
              <w:t>21 280 278</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1F6144" w:rsidP="006338E5">
            <w:pPr>
              <w:bidi w:val="0"/>
              <w:jc w:val="right"/>
              <w:rPr>
                <w:rFonts w:ascii="Times New Roman" w:hAnsi="Times New Roman" w:cs="Times New Roman"/>
                <w:b/>
                <w:sz w:val="14"/>
                <w:szCs w:val="14"/>
                <w:lang w:eastAsia="sk-SK"/>
              </w:rPr>
            </w:pPr>
            <w:r w:rsidRPr="001F6144">
              <w:rPr>
                <w:rFonts w:ascii="Times New Roman" w:hAnsi="Times New Roman" w:cs="Times New Roman"/>
                <w:b/>
                <w:sz w:val="14"/>
                <w:szCs w:val="14"/>
                <w:lang w:eastAsia="sk-SK"/>
              </w:rPr>
              <w:t>24 318 538</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1F6144" w:rsidP="006338E5">
            <w:pPr>
              <w:bidi w:val="0"/>
              <w:jc w:val="right"/>
              <w:rPr>
                <w:rFonts w:ascii="Times New Roman" w:hAnsi="Times New Roman" w:cs="Times New Roman"/>
                <w:b/>
                <w:bCs/>
                <w:sz w:val="14"/>
                <w:szCs w:val="14"/>
                <w:lang w:eastAsia="sk-SK"/>
              </w:rPr>
            </w:pPr>
            <w:r w:rsidRPr="001F6144">
              <w:rPr>
                <w:rFonts w:ascii="Times New Roman" w:hAnsi="Times New Roman" w:cs="Times New Roman"/>
                <w:b/>
                <w:bCs/>
                <w:sz w:val="14"/>
                <w:szCs w:val="14"/>
                <w:lang w:eastAsia="sk-SK"/>
              </w:rPr>
              <w:t>21 229 753</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1F6144" w:rsidP="006338E5">
            <w:pPr>
              <w:bidi w:val="0"/>
              <w:jc w:val="right"/>
              <w:rPr>
                <w:rFonts w:ascii="Times New Roman" w:hAnsi="Times New Roman" w:cs="Times New Roman"/>
                <w:b/>
                <w:bCs/>
                <w:sz w:val="14"/>
                <w:szCs w:val="14"/>
                <w:lang w:eastAsia="sk-SK"/>
              </w:rPr>
            </w:pPr>
            <w:r w:rsidRPr="001F6144">
              <w:rPr>
                <w:rFonts w:ascii="Times New Roman" w:hAnsi="Times New Roman" w:cs="Times New Roman"/>
                <w:b/>
                <w:bCs/>
                <w:sz w:val="14"/>
                <w:szCs w:val="14"/>
                <w:lang w:eastAsia="sk-SK"/>
              </w:rPr>
              <w:t>22 607 646</w:t>
            </w:r>
          </w:p>
        </w:tc>
        <w:tc>
          <w:tcPr>
            <w:tcW w:w="45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1F6144" w:rsidP="006338E5">
            <w:pPr>
              <w:bidi w:val="0"/>
              <w:jc w:val="right"/>
              <w:rPr>
                <w:rFonts w:ascii="Times New Roman" w:hAnsi="Times New Roman" w:cs="Times New Roman"/>
                <w:b/>
                <w:bCs/>
                <w:sz w:val="14"/>
                <w:szCs w:val="14"/>
                <w:lang w:eastAsia="sk-SK"/>
              </w:rPr>
            </w:pPr>
            <w:r w:rsidRPr="001F6144">
              <w:rPr>
                <w:rFonts w:ascii="Times New Roman" w:hAnsi="Times New Roman" w:cs="Times New Roman"/>
                <w:b/>
                <w:bCs/>
                <w:sz w:val="14"/>
                <w:szCs w:val="14"/>
                <w:lang w:eastAsia="sk-SK"/>
              </w:rPr>
              <w:t>21 675 688</w:t>
            </w:r>
          </w:p>
        </w:tc>
      </w:tr>
      <w:tr>
        <w:tblPrEx>
          <w:tblW w:w="5000" w:type="pct"/>
          <w:tblCellMar>
            <w:left w:w="70" w:type="dxa"/>
            <w:right w:w="70" w:type="dxa"/>
          </w:tblCellMar>
          <w:tblLook w:val="04A0"/>
        </w:tblPrEx>
        <w:trPr>
          <w:trHeight w:hRule="exact" w:val="255"/>
        </w:trPr>
        <w:tc>
          <w:tcPr>
            <w:tcW w:w="180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 xml:space="preserve">Výdavky štátneho rozpočtu na VŠ spolu </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484 761 637</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462 109 576</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471 935 825</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474 874 273</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474 044 479</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474 622 909</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472 190 951</w:t>
            </w:r>
          </w:p>
        </w:tc>
      </w:tr>
    </w:tbl>
    <w:p w:rsidR="009D2A34" w:rsidRPr="00291C28" w:rsidP="009D2A34">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 Rezortné vysokoškolské vzdelávanie je zabezpečované cez Ministerstvo obrany SR, Ministerstvo vnútra SR a Ministerstvo zdravotníctva SR</w:t>
      </w: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Výdavky štátneho rozpočtu poskytované prostredníctvom kapitoly MŠVVŠ SR verejným vysokým školám rastú o 2,16 mil. eur, t. j. o 0,48 %. Výdavky rozpočtované na programe Vysokoškolské vzdelávanie a veda, sociálna podpora študentov vysokých škôl rastú oproti schválenému rozpočtu roku 2012 o 2,08 mil. eur, t. j. o 0,47 %.</w:t>
      </w:r>
      <w:r w:rsidRPr="00291C28">
        <w:rPr>
          <w:rFonts w:ascii="Times New Roman" w:hAnsi="Times New Roman" w:cs="Times New Roman"/>
          <w:b/>
          <w:lang w:eastAsia="en-US"/>
        </w:rPr>
        <w:t xml:space="preserve"> </w:t>
      </w:r>
      <w:r w:rsidRPr="00291C28">
        <w:rPr>
          <w:rFonts w:ascii="Times New Roman" w:hAnsi="Times New Roman" w:cs="Times New Roman"/>
          <w:lang w:eastAsia="en-US"/>
        </w:rPr>
        <w:t>Taktiež rastú aj výdavky pre zahraničných študentov vrátane štipendií o 75 tis. eur , t. j. o 8,44 %  a výdavky na oficiálnu rozvojovú pomoc si zachovávajú rozpočtovanú úroveň  roku  2012.</w:t>
      </w:r>
    </w:p>
    <w:p w:rsidR="009D2A34" w:rsidRPr="00291C28" w:rsidP="009D2A34">
      <w:pPr>
        <w:bidi w:val="0"/>
        <w:contextualSpacing/>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3407"/>
        <w:gridCol w:w="824"/>
        <w:gridCol w:w="871"/>
        <w:gridCol w:w="822"/>
        <w:gridCol w:w="822"/>
        <w:gridCol w:w="822"/>
        <w:gridCol w:w="822"/>
        <w:gridCol w:w="822"/>
      </w:tblGrid>
      <w:tr>
        <w:tblPrEx>
          <w:tblW w:w="5000" w:type="pct"/>
          <w:tblCellMar>
            <w:left w:w="70" w:type="dxa"/>
            <w:right w:w="70" w:type="dxa"/>
          </w:tblCellMar>
          <w:tblLook w:val="04A0"/>
        </w:tblPrEx>
        <w:trPr>
          <w:trHeight w:val="255"/>
        </w:trPr>
        <w:tc>
          <w:tcPr>
            <w:tcW w:w="185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v eurách</w:t>
            </w:r>
          </w:p>
        </w:tc>
        <w:tc>
          <w:tcPr>
            <w:tcW w:w="4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2010 S</w:t>
            </w:r>
          </w:p>
        </w:tc>
        <w:tc>
          <w:tcPr>
            <w:tcW w:w="47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2011 S</w:t>
            </w:r>
          </w:p>
        </w:tc>
        <w:tc>
          <w:tcPr>
            <w:tcW w:w="44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R</w:t>
            </w:r>
          </w:p>
        </w:tc>
        <w:tc>
          <w:tcPr>
            <w:tcW w:w="44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 xml:space="preserve"> 2012 OS</w:t>
            </w:r>
          </w:p>
        </w:tc>
        <w:tc>
          <w:tcPr>
            <w:tcW w:w="44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2013 N</w:t>
            </w:r>
          </w:p>
        </w:tc>
        <w:tc>
          <w:tcPr>
            <w:tcW w:w="44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2014 N</w:t>
            </w:r>
          </w:p>
        </w:tc>
        <w:tc>
          <w:tcPr>
            <w:tcW w:w="44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val="255"/>
        </w:trPr>
        <w:tc>
          <w:tcPr>
            <w:tcW w:w="185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Rozpočtové organizácie spolu z toho:</w:t>
            </w:r>
          </w:p>
        </w:tc>
        <w:tc>
          <w:tcPr>
            <w:tcW w:w="4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2 588 083</w:t>
            </w:r>
          </w:p>
        </w:tc>
        <w:tc>
          <w:tcPr>
            <w:tcW w:w="47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2 528 778</w:t>
            </w:r>
          </w:p>
        </w:tc>
        <w:tc>
          <w:tcPr>
            <w:tcW w:w="44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389 801</w:t>
            </w:r>
          </w:p>
        </w:tc>
        <w:tc>
          <w:tcPr>
            <w:tcW w:w="44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1 603 128</w:t>
            </w:r>
          </w:p>
        </w:tc>
        <w:tc>
          <w:tcPr>
            <w:tcW w:w="44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416 599</w:t>
            </w:r>
          </w:p>
        </w:tc>
        <w:tc>
          <w:tcPr>
            <w:tcW w:w="44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383 299</w:t>
            </w:r>
          </w:p>
        </w:tc>
        <w:tc>
          <w:tcPr>
            <w:tcW w:w="44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383 299</w:t>
            </w:r>
          </w:p>
        </w:tc>
      </w:tr>
      <w:tr>
        <w:tblPrEx>
          <w:tblW w:w="5000" w:type="pct"/>
          <w:tblCellMar>
            <w:left w:w="70" w:type="dxa"/>
            <w:right w:w="70" w:type="dxa"/>
          </w:tblCellMar>
          <w:tblLook w:val="04A0"/>
        </w:tblPrEx>
        <w:trPr>
          <w:trHeight w:val="255"/>
        </w:trPr>
        <w:tc>
          <w:tcPr>
            <w:tcW w:w="185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Medzinárodné laserové centrum</w:t>
            </w:r>
          </w:p>
        </w:tc>
        <w:tc>
          <w:tcPr>
            <w:tcW w:w="44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472 359</w:t>
            </w:r>
          </w:p>
        </w:tc>
        <w:tc>
          <w:tcPr>
            <w:tcW w:w="47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433 521</w:t>
            </w:r>
          </w:p>
        </w:tc>
        <w:tc>
          <w:tcPr>
            <w:tcW w:w="44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389 801</w:t>
            </w:r>
          </w:p>
        </w:tc>
        <w:tc>
          <w:tcPr>
            <w:tcW w:w="44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436 433</w:t>
            </w:r>
          </w:p>
        </w:tc>
        <w:tc>
          <w:tcPr>
            <w:tcW w:w="44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383 299</w:t>
            </w:r>
          </w:p>
        </w:tc>
        <w:tc>
          <w:tcPr>
            <w:tcW w:w="44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383 299</w:t>
            </w:r>
          </w:p>
        </w:tc>
        <w:tc>
          <w:tcPr>
            <w:tcW w:w="44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383 299</w:t>
            </w:r>
          </w:p>
        </w:tc>
      </w:tr>
      <w:tr>
        <w:tblPrEx>
          <w:tblW w:w="5000" w:type="pct"/>
          <w:tblCellMar>
            <w:left w:w="70" w:type="dxa"/>
            <w:right w:w="70" w:type="dxa"/>
          </w:tblCellMar>
          <w:tblLook w:val="04A0"/>
        </w:tblPrEx>
        <w:trPr>
          <w:trHeight w:val="255"/>
        </w:trPr>
        <w:tc>
          <w:tcPr>
            <w:tcW w:w="185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Ústav informácií a prognóz školstva</w:t>
            </w:r>
          </w:p>
        </w:tc>
        <w:tc>
          <w:tcPr>
            <w:tcW w:w="44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2 115 724</w:t>
            </w:r>
          </w:p>
        </w:tc>
        <w:tc>
          <w:tcPr>
            <w:tcW w:w="47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2 095 257</w:t>
            </w:r>
          </w:p>
        </w:tc>
        <w:tc>
          <w:tcPr>
            <w:tcW w:w="44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44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1 166 695</w:t>
            </w:r>
          </w:p>
        </w:tc>
        <w:tc>
          <w:tcPr>
            <w:tcW w:w="44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33 300</w:t>
            </w:r>
          </w:p>
        </w:tc>
        <w:tc>
          <w:tcPr>
            <w:tcW w:w="44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44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r>
    </w:tbl>
    <w:p w:rsidR="009D2A34" w:rsidRPr="00291C28" w:rsidP="009D2A34">
      <w:pPr>
        <w:bidi w:val="0"/>
        <w:contextualSpacing/>
        <w:jc w:val="both"/>
        <w:rPr>
          <w:rFonts w:ascii="Times New Roman" w:hAnsi="Times New Roman" w:cs="Times New Roman"/>
          <w:lang w:eastAsia="en-US"/>
        </w:rPr>
      </w:pPr>
    </w:p>
    <w:p w:rsidR="009D2A34" w:rsidRPr="00291C28" w:rsidP="00D83F50">
      <w:pPr>
        <w:bidi w:val="0"/>
        <w:ind w:firstLine="709"/>
        <w:jc w:val="both"/>
        <w:rPr>
          <w:rFonts w:ascii="Times New Roman" w:hAnsi="Times New Roman" w:cs="Times New Roman"/>
          <w:lang w:eastAsia="en-US"/>
        </w:rPr>
      </w:pPr>
      <w:r w:rsidRPr="00291C28">
        <w:rPr>
          <w:rFonts w:ascii="Times New Roman" w:hAnsi="Times New Roman" w:cs="Times New Roman"/>
          <w:lang w:eastAsia="en-US"/>
        </w:rPr>
        <w:t xml:space="preserve">V roku 2013 verejné vysoké školy budú používať na financovanie svojej hlavnej činnosti okrem prostriedkov poskytnutých MŠVVŠ SR aj vlastné zdroje v sume </w:t>
        <w:br/>
        <w:t xml:space="preserve">134,6 mil. eur, čo predstavuje pokles oproti schválenému rozpočtu roku 2012 o 479 tis. eur, </w:t>
        <w:br/>
        <w:t>t. j. 0,35 %. V rokoch 2014 a 2015 sú zapracované zvýšené príjmy z poplatkov VVŠ za výučbu v cudzom jazyku vyplývajúce z novely vysokoškolského zákona.</w:t>
      </w:r>
    </w:p>
    <w:p w:rsidR="009D2A34" w:rsidRPr="00291C28" w:rsidP="009D2A34">
      <w:pPr>
        <w:bidi w:val="0"/>
        <w:contextualSpacing/>
        <w:jc w:val="both"/>
        <w:rPr>
          <w:rFonts w:ascii="Times New Roman" w:hAnsi="Times New Roman" w:cs="Times New Roman"/>
          <w:lang w:eastAsia="en-US"/>
        </w:rPr>
      </w:pPr>
    </w:p>
    <w:tbl>
      <w:tblPr>
        <w:tblStyle w:val="TableNormal"/>
        <w:tblW w:w="5456" w:type="pct"/>
        <w:tblCellMar>
          <w:left w:w="70" w:type="dxa"/>
          <w:right w:w="70" w:type="dxa"/>
        </w:tblCellMar>
        <w:tblLook w:val="04A0"/>
      </w:tblPr>
      <w:tblGrid>
        <w:gridCol w:w="3334"/>
        <w:gridCol w:w="840"/>
        <w:gridCol w:w="840"/>
        <w:gridCol w:w="840"/>
        <w:gridCol w:w="840"/>
        <w:gridCol w:w="840"/>
        <w:gridCol w:w="840"/>
        <w:gridCol w:w="840"/>
        <w:gridCol w:w="838"/>
      </w:tblGrid>
      <w:tr>
        <w:tblPrEx>
          <w:tblW w:w="5456" w:type="pct"/>
          <w:tblCellMar>
            <w:left w:w="70" w:type="dxa"/>
            <w:right w:w="70" w:type="dxa"/>
          </w:tblCellMar>
          <w:tblLook w:val="04A0"/>
        </w:tblPrEx>
        <w:trPr>
          <w:gridAfter w:val="1"/>
          <w:wAfter w:w="417" w:type="dxa"/>
          <w:trHeight w:hRule="exact" w:val="255"/>
        </w:trPr>
        <w:tc>
          <w:tcPr>
            <w:tcW w:w="1658"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v eurách</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2010 S</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2011 S</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R</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 xml:space="preserve"> 2012 OS</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2013 N</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2014 N</w:t>
            </w:r>
          </w:p>
        </w:tc>
        <w:tc>
          <w:tcPr>
            <w:tcW w:w="4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2015 N</w:t>
            </w:r>
          </w:p>
        </w:tc>
      </w:tr>
      <w:tr>
        <w:tblPrEx>
          <w:tblW w:w="5456" w:type="pct"/>
          <w:tblCellMar>
            <w:left w:w="70" w:type="dxa"/>
            <w:right w:w="70" w:type="dxa"/>
          </w:tblCellMar>
          <w:tblLook w:val="04A0"/>
        </w:tblPrEx>
        <w:trPr>
          <w:trHeight w:hRule="exact" w:val="255"/>
        </w:trPr>
        <w:tc>
          <w:tcPr>
            <w:tcW w:w="1658"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Vlastné zdroje VVŠ</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133 201 730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139 166 060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135 120 586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134 381 200</w:t>
            </w:r>
          </w:p>
        </w:tc>
        <w:tc>
          <w:tcPr>
            <w:tcW w:w="418" w:type="pct"/>
            <w:tcBorders>
              <w:top w:val="nil"/>
              <w:left w:val="nil"/>
              <w:bottom w:val="single" w:sz="4" w:space="0" w:color="auto"/>
              <w:right w:val="single" w:sz="4" w:space="0" w:color="auto"/>
            </w:tcBorders>
            <w:noWrap/>
            <w:textDirection w:val="lrTb"/>
            <w:vAlign w:val="center"/>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134 641 101</w:t>
            </w:r>
          </w:p>
        </w:tc>
        <w:tc>
          <w:tcPr>
            <w:tcW w:w="418" w:type="pct"/>
            <w:tcBorders>
              <w:top w:val="nil"/>
              <w:left w:val="nil"/>
              <w:bottom w:val="single" w:sz="4" w:space="0" w:color="auto"/>
              <w:right w:val="single" w:sz="4" w:space="0" w:color="auto"/>
            </w:tcBorders>
            <w:noWrap/>
            <w:textDirection w:val="lrTb"/>
            <w:vAlign w:val="center"/>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137 766 208</w:t>
            </w:r>
          </w:p>
        </w:tc>
        <w:tc>
          <w:tcPr>
            <w:tcW w:w="417" w:type="pct"/>
            <w:tcBorders>
              <w:top w:val="nil"/>
              <w:left w:val="nil"/>
              <w:bottom w:val="single" w:sz="4" w:space="0" w:color="auto"/>
              <w:right w:val="single" w:sz="4" w:space="0" w:color="auto"/>
            </w:tcBorders>
            <w:noWrap/>
            <w:textDirection w:val="lrTb"/>
            <w:vAlign w:val="center"/>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140 937 737</w:t>
            </w:r>
          </w:p>
        </w:tc>
        <w:tc>
          <w:tcPr>
            <w:tcW w:w="417" w:type="pct"/>
            <w:tcBorders>
              <w:top w:val="none" w:sz="0" w:space="0" w:color="auto"/>
              <w:left w:val="none" w:sz="0" w:space="0" w:color="auto"/>
              <w:bottom w:val="none" w:sz="0" w:space="0" w:color="auto"/>
              <w:right w:val="none" w:sz="0" w:space="0" w:color="auto"/>
            </w:tcBorders>
            <w:textDirection w:val="lrTb"/>
            <w:vAlign w:val="top"/>
          </w:tcPr>
          <w:p w:rsidR="009D2A34" w:rsidRPr="00291C28" w:rsidP="006338E5">
            <w:pPr>
              <w:bidi w:val="0"/>
              <w:jc w:val="right"/>
              <w:rPr>
                <w:rFonts w:ascii="Times New Roman" w:hAnsi="Times New Roman" w:cs="Times New Roman"/>
                <w:sz w:val="14"/>
                <w:szCs w:val="14"/>
                <w:lang w:eastAsia="sk-SK"/>
              </w:rPr>
            </w:pPr>
          </w:p>
        </w:tc>
      </w:tr>
    </w:tbl>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Okrem prostriedkov štátneho rozpočtu poskytnutých z MŠVVŠ SR verejné vysoké školy budú mať k dispozícii aj zdroje zo štrukturálnych fondov vrátane spolufinancovania zo štátneho rozpočtu z operačných programov Vzdelávanie a Výskum a vývoj </w:t>
      </w:r>
      <w:r w:rsidR="003B1959">
        <w:rPr>
          <w:rFonts w:ascii="Times New Roman" w:hAnsi="Times New Roman" w:cs="Times New Roman"/>
          <w:lang w:eastAsia="en-US"/>
        </w:rPr>
        <w:t>na</w:t>
      </w:r>
      <w:r w:rsidRPr="00291C28">
        <w:rPr>
          <w:rFonts w:ascii="Times New Roman" w:hAnsi="Times New Roman" w:cs="Times New Roman"/>
          <w:lang w:eastAsia="en-US"/>
        </w:rPr>
        <w:t xml:space="preserve"> rok 2013 v objeme 150,3 mil. eur, pre rok 2014 v objeme 105,2 mil. eur a pre rok 2015 v objeme </w:t>
        <w:br/>
        <w:t xml:space="preserve">96,8 mil. eur. </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Ďalší disponibilný zdroj na financovanie projektov vedy a výskumu, ktorý môžu verejné vysoké školy v priebehu roku 2013 získať z Agentúry na podporu vedy a výskumu, je navrhovaný transfer v sume 4,</w:t>
      </w:r>
      <w:r>
        <w:rPr>
          <w:rFonts w:ascii="Times New Roman" w:hAnsi="Times New Roman" w:cs="Times New Roman"/>
          <w:lang w:eastAsia="en-US"/>
        </w:rPr>
        <w:t>17</w:t>
      </w:r>
      <w:r w:rsidRPr="00291C28">
        <w:rPr>
          <w:rFonts w:ascii="Times New Roman" w:hAnsi="Times New Roman" w:cs="Times New Roman"/>
          <w:lang w:eastAsia="en-US"/>
        </w:rPr>
        <w:t xml:space="preserve"> mil. eur.</w:t>
      </w:r>
    </w:p>
    <w:p w:rsidR="009D2A34" w:rsidRPr="00291C28" w:rsidP="009D2A34">
      <w:pPr>
        <w:bidi w:val="0"/>
        <w:contextualSpacing/>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2720"/>
        <w:gridCol w:w="1082"/>
        <w:gridCol w:w="1082"/>
        <w:gridCol w:w="1082"/>
        <w:gridCol w:w="1082"/>
        <w:gridCol w:w="1082"/>
        <w:gridCol w:w="1082"/>
      </w:tblGrid>
      <w:tr>
        <w:tblPrEx>
          <w:tblW w:w="5000" w:type="pct"/>
          <w:tblCellMar>
            <w:left w:w="70" w:type="dxa"/>
            <w:right w:w="70" w:type="dxa"/>
          </w:tblCellMar>
          <w:tblLook w:val="04A0"/>
        </w:tblPrEx>
        <w:trPr>
          <w:trHeight w:hRule="exact" w:val="255"/>
        </w:trPr>
        <w:tc>
          <w:tcPr>
            <w:tcW w:w="2720" w:type="dxa"/>
            <w:vMerge w:val="restart"/>
            <w:tcBorders>
              <w:top w:val="single" w:sz="4" w:space="0" w:color="auto"/>
              <w:left w:val="single" w:sz="4" w:space="0" w:color="auto"/>
              <w:bottom w:val="single" w:sz="4" w:space="0" w:color="000000"/>
              <w:right w:val="single" w:sz="4" w:space="0" w:color="auto"/>
            </w:tcBorders>
            <w:shd w:val="clear" w:color="auto" w:fill="A6A6A6"/>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Forma štúdia</w:t>
            </w:r>
          </w:p>
        </w:tc>
        <w:tc>
          <w:tcPr>
            <w:tcW w:w="2164" w:type="dxa"/>
            <w:gridSpan w:val="2"/>
            <w:tcBorders>
              <w:top w:val="single" w:sz="4" w:space="0" w:color="auto"/>
              <w:left w:val="nil"/>
              <w:bottom w:val="single" w:sz="4" w:space="0" w:color="auto"/>
              <w:right w:val="nil"/>
            </w:tcBorders>
            <w:shd w:val="clear" w:color="auto"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Počet študentov v roku</w:t>
            </w:r>
          </w:p>
        </w:tc>
        <w:tc>
          <w:tcPr>
            <w:tcW w:w="4328" w:type="dxa"/>
            <w:gridSpan w:val="4"/>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Prognóza počtu študujúcich</w:t>
            </w:r>
          </w:p>
        </w:tc>
      </w:tr>
      <w:tr>
        <w:tblPrEx>
          <w:tblW w:w="5000" w:type="pct"/>
          <w:tblCellMar>
            <w:left w:w="70" w:type="dxa"/>
            <w:right w:w="70" w:type="dxa"/>
          </w:tblCellMar>
          <w:tblLook w:val="04A0"/>
        </w:tblPrEx>
        <w:trPr>
          <w:trHeight w:hRule="exact" w:val="255"/>
        </w:trPr>
        <w:tc>
          <w:tcPr>
            <w:tcW w:w="2720" w:type="dxa"/>
            <w:vMerge/>
            <w:tcBorders>
              <w:top w:val="single" w:sz="4" w:space="0" w:color="auto"/>
              <w:left w:val="single" w:sz="4" w:space="0" w:color="auto"/>
              <w:bottom w:val="single" w:sz="4" w:space="0" w:color="000000"/>
              <w:right w:val="single" w:sz="4" w:space="0" w:color="auto"/>
            </w:tcBorders>
            <w:shd w:val="clear" w:color="auto" w:fill="A6A6A6"/>
            <w:textDirection w:val="lrTb"/>
            <w:vAlign w:val="center"/>
            <w:hideMark/>
          </w:tcPr>
          <w:p w:rsidR="009D2A34" w:rsidRPr="00291C28" w:rsidP="006338E5">
            <w:pPr>
              <w:bidi w:val="0"/>
              <w:rPr>
                <w:rFonts w:ascii="Times New Roman" w:hAnsi="Times New Roman" w:cs="Times New Roman"/>
                <w:b/>
                <w:bCs/>
                <w:sz w:val="14"/>
                <w:szCs w:val="14"/>
                <w:lang w:eastAsia="sk-SK"/>
              </w:rPr>
            </w:pPr>
          </w:p>
        </w:tc>
        <w:tc>
          <w:tcPr>
            <w:tcW w:w="1082" w:type="dxa"/>
            <w:tcBorders>
              <w:top w:val="nil"/>
              <w:left w:val="nil"/>
              <w:bottom w:val="single" w:sz="4" w:space="0" w:color="auto"/>
              <w:right w:val="single" w:sz="4" w:space="0" w:color="auto"/>
            </w:tcBorders>
            <w:shd w:val="clear" w:color="auto"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2010</w:t>
            </w:r>
          </w:p>
        </w:tc>
        <w:tc>
          <w:tcPr>
            <w:tcW w:w="1082" w:type="dxa"/>
            <w:tcBorders>
              <w:top w:val="nil"/>
              <w:left w:val="nil"/>
              <w:bottom w:val="single" w:sz="4" w:space="0" w:color="auto"/>
              <w:right w:val="single" w:sz="4" w:space="0" w:color="auto"/>
            </w:tcBorders>
            <w:shd w:val="clear" w:color="auto"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2011</w:t>
            </w:r>
          </w:p>
        </w:tc>
        <w:tc>
          <w:tcPr>
            <w:tcW w:w="1082" w:type="dxa"/>
            <w:tcBorders>
              <w:top w:val="nil"/>
              <w:left w:val="nil"/>
              <w:bottom w:val="single" w:sz="4" w:space="0" w:color="auto"/>
              <w:right w:val="single" w:sz="4" w:space="0" w:color="auto"/>
            </w:tcBorders>
            <w:shd w:val="clear" w:color="auto"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w:t>
            </w:r>
          </w:p>
        </w:tc>
        <w:tc>
          <w:tcPr>
            <w:tcW w:w="1082" w:type="dxa"/>
            <w:tcBorders>
              <w:top w:val="nil"/>
              <w:left w:val="nil"/>
              <w:bottom w:val="single" w:sz="4" w:space="0" w:color="auto"/>
              <w:right w:val="single" w:sz="4" w:space="0" w:color="auto"/>
            </w:tcBorders>
            <w:shd w:val="clear" w:color="auto"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2013</w:t>
            </w:r>
          </w:p>
        </w:tc>
        <w:tc>
          <w:tcPr>
            <w:tcW w:w="1082" w:type="dxa"/>
            <w:tcBorders>
              <w:top w:val="nil"/>
              <w:left w:val="nil"/>
              <w:bottom w:val="single" w:sz="4" w:space="0" w:color="auto"/>
              <w:right w:val="single" w:sz="4" w:space="0" w:color="auto"/>
            </w:tcBorders>
            <w:shd w:val="clear" w:color="auto"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2014</w:t>
            </w:r>
          </w:p>
        </w:tc>
        <w:tc>
          <w:tcPr>
            <w:tcW w:w="1082" w:type="dxa"/>
            <w:tcBorders>
              <w:top w:val="nil"/>
              <w:left w:val="nil"/>
              <w:bottom w:val="single" w:sz="4" w:space="0" w:color="auto"/>
              <w:right w:val="single" w:sz="4" w:space="0" w:color="auto"/>
            </w:tcBorders>
            <w:shd w:val="clear" w:color="auto"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2015</w:t>
            </w:r>
          </w:p>
        </w:tc>
      </w:tr>
      <w:tr>
        <w:tblPrEx>
          <w:tblW w:w="5000" w:type="pct"/>
          <w:tblCellMar>
            <w:left w:w="70" w:type="dxa"/>
            <w:right w:w="70" w:type="dxa"/>
          </w:tblCellMar>
          <w:tblLook w:val="04A0"/>
        </w:tblPrEx>
        <w:trPr>
          <w:trHeight w:hRule="exact" w:val="255"/>
        </w:trPr>
        <w:tc>
          <w:tcPr>
            <w:tcW w:w="2720"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denné</w:t>
            </w:r>
          </w:p>
        </w:tc>
        <w:tc>
          <w:tcPr>
            <w:tcW w:w="108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125 501</w:t>
            </w:r>
          </w:p>
        </w:tc>
        <w:tc>
          <w:tcPr>
            <w:tcW w:w="1082" w:type="dxa"/>
            <w:tcBorders>
              <w:top w:val="nil"/>
              <w:left w:val="nil"/>
              <w:bottom w:val="single" w:sz="4" w:space="0" w:color="auto"/>
              <w:right w:val="nil"/>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123 229</w:t>
            </w:r>
          </w:p>
        </w:tc>
        <w:tc>
          <w:tcPr>
            <w:tcW w:w="1082"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122 131</w:t>
            </w:r>
          </w:p>
        </w:tc>
        <w:tc>
          <w:tcPr>
            <w:tcW w:w="108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119 807</w:t>
            </w:r>
          </w:p>
        </w:tc>
        <w:tc>
          <w:tcPr>
            <w:tcW w:w="108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115 870</w:t>
            </w:r>
          </w:p>
        </w:tc>
        <w:tc>
          <w:tcPr>
            <w:tcW w:w="108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110 548</w:t>
            </w:r>
          </w:p>
        </w:tc>
      </w:tr>
      <w:tr>
        <w:tblPrEx>
          <w:tblW w:w="5000" w:type="pct"/>
          <w:tblCellMar>
            <w:left w:w="70" w:type="dxa"/>
            <w:right w:w="70" w:type="dxa"/>
          </w:tblCellMar>
          <w:tblLook w:val="04A0"/>
        </w:tblPrEx>
        <w:trPr>
          <w:trHeight w:hRule="exact" w:val="255"/>
        </w:trPr>
        <w:tc>
          <w:tcPr>
            <w:tcW w:w="2720"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Cs/>
                <w:sz w:val="14"/>
                <w:szCs w:val="14"/>
                <w:lang w:eastAsia="sk-SK"/>
              </w:rPr>
            </w:pPr>
            <w:r w:rsidRPr="00291C28">
              <w:rPr>
                <w:rFonts w:ascii="Times New Roman" w:hAnsi="Times New Roman" w:cs="Times New Roman"/>
                <w:bCs/>
                <w:sz w:val="14"/>
                <w:szCs w:val="14"/>
                <w:lang w:eastAsia="sk-SK"/>
              </w:rPr>
              <w:t>externé</w:t>
            </w:r>
          </w:p>
        </w:tc>
        <w:tc>
          <w:tcPr>
            <w:tcW w:w="108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39 659</w:t>
            </w:r>
          </w:p>
        </w:tc>
        <w:tc>
          <w:tcPr>
            <w:tcW w:w="1082" w:type="dxa"/>
            <w:tcBorders>
              <w:top w:val="nil"/>
              <w:left w:val="nil"/>
              <w:bottom w:val="single" w:sz="4" w:space="0" w:color="auto"/>
              <w:right w:val="nil"/>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38 323</w:t>
            </w:r>
          </w:p>
        </w:tc>
        <w:tc>
          <w:tcPr>
            <w:tcW w:w="1082"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37 547</w:t>
            </w:r>
          </w:p>
        </w:tc>
        <w:tc>
          <w:tcPr>
            <w:tcW w:w="108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36 558</w:t>
            </w:r>
          </w:p>
        </w:tc>
        <w:tc>
          <w:tcPr>
            <w:tcW w:w="108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35 394</w:t>
            </w:r>
          </w:p>
        </w:tc>
        <w:tc>
          <w:tcPr>
            <w:tcW w:w="108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34 734</w:t>
            </w:r>
          </w:p>
        </w:tc>
      </w:tr>
      <w:tr>
        <w:tblPrEx>
          <w:tblW w:w="5000" w:type="pct"/>
          <w:tblCellMar>
            <w:left w:w="70" w:type="dxa"/>
            <w:right w:w="70" w:type="dxa"/>
          </w:tblCellMar>
          <w:tblLook w:val="04A0"/>
        </w:tblPrEx>
        <w:trPr>
          <w:trHeight w:hRule="exact" w:val="255"/>
        </w:trPr>
        <w:tc>
          <w:tcPr>
            <w:tcW w:w="272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 xml:space="preserve">Študenti spolu </w:t>
            </w:r>
          </w:p>
        </w:tc>
        <w:tc>
          <w:tcPr>
            <w:tcW w:w="108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165 160</w:t>
            </w:r>
          </w:p>
        </w:tc>
        <w:tc>
          <w:tcPr>
            <w:tcW w:w="1082" w:type="dxa"/>
            <w:tcBorders>
              <w:top w:val="single" w:sz="4" w:space="0" w:color="auto"/>
              <w:left w:val="nil"/>
              <w:bottom w:val="single" w:sz="4" w:space="0" w:color="auto"/>
              <w:right w:val="nil"/>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161 552</w:t>
            </w:r>
          </w:p>
        </w:tc>
        <w:tc>
          <w:tcPr>
            <w:tcW w:w="108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159 678</w:t>
            </w:r>
          </w:p>
        </w:tc>
        <w:tc>
          <w:tcPr>
            <w:tcW w:w="108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156 365</w:t>
            </w:r>
          </w:p>
        </w:tc>
        <w:tc>
          <w:tcPr>
            <w:tcW w:w="108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151 264</w:t>
            </w:r>
          </w:p>
        </w:tc>
        <w:tc>
          <w:tcPr>
            <w:tcW w:w="108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145 282</w:t>
            </w:r>
          </w:p>
        </w:tc>
      </w:tr>
    </w:tbl>
    <w:p w:rsidR="009D2A34" w:rsidRPr="00291C28" w:rsidP="009D2A34">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*Zdroj: MŠVVŠ SR</w:t>
      </w:r>
    </w:p>
    <w:p w:rsidR="009D2A34" w:rsidRPr="00291C28" w:rsidP="009D2A34">
      <w:pPr>
        <w:bidi w:val="0"/>
        <w:contextualSpacing/>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3332"/>
        <w:gridCol w:w="840"/>
        <w:gridCol w:w="840"/>
        <w:gridCol w:w="840"/>
        <w:gridCol w:w="840"/>
        <w:gridCol w:w="840"/>
        <w:gridCol w:w="840"/>
        <w:gridCol w:w="840"/>
      </w:tblGrid>
      <w:tr>
        <w:tblPrEx>
          <w:tblW w:w="5000" w:type="pct"/>
          <w:tblCellMar>
            <w:left w:w="70" w:type="dxa"/>
            <w:right w:w="70" w:type="dxa"/>
          </w:tblCellMar>
          <w:tblLook w:val="04A0"/>
        </w:tblPrEx>
        <w:trPr>
          <w:trHeight w:hRule="exact" w:val="255"/>
        </w:trPr>
        <w:tc>
          <w:tcPr>
            <w:tcW w:w="180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v eurách</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2010 S</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2011 S</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R</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 xml:space="preserve"> 2012 OS</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2013 N</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2014 N</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180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Výdavky pre  VVŠ spolu cez MŠVVŠ SR</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458 564 751</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440 099 382</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450 655 547</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450 555 735</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452 814 726</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452 015 263</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450 515 263</w:t>
            </w:r>
          </w:p>
        </w:tc>
      </w:tr>
      <w:tr>
        <w:tblPrEx>
          <w:tblW w:w="5000" w:type="pct"/>
          <w:tblCellMar>
            <w:left w:w="70" w:type="dxa"/>
            <w:right w:w="70" w:type="dxa"/>
          </w:tblCellMar>
          <w:tblLook w:val="04A0"/>
        </w:tblPrEx>
        <w:trPr>
          <w:trHeight w:hRule="exact" w:val="255"/>
        </w:trPr>
        <w:tc>
          <w:tcPr>
            <w:tcW w:w="180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Rezortné vysokoškolské vzdelávanie</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26 196 886</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22 010 194</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21 280 278</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24 318 538</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21 229 753</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22 607 646</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21 675 688</w:t>
            </w:r>
          </w:p>
        </w:tc>
      </w:tr>
      <w:tr>
        <w:tblPrEx>
          <w:tblW w:w="5000" w:type="pct"/>
          <w:tblCellMar>
            <w:left w:w="70" w:type="dxa"/>
            <w:right w:w="70" w:type="dxa"/>
          </w:tblCellMar>
          <w:tblLook w:val="04A0"/>
        </w:tblPrEx>
        <w:trPr>
          <w:trHeight w:hRule="exact" w:val="255"/>
        </w:trPr>
        <w:tc>
          <w:tcPr>
            <w:tcW w:w="180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Výdavky štátneho rozpočtu spolu </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484 761 637</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462 109 576</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471 935 825</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474 874 273</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474 044 479</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474 622 909</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472 190 951</w:t>
            </w:r>
          </w:p>
        </w:tc>
      </w:tr>
      <w:tr>
        <w:tblPrEx>
          <w:tblW w:w="5000" w:type="pct"/>
          <w:tblCellMar>
            <w:left w:w="70" w:type="dxa"/>
            <w:right w:w="70" w:type="dxa"/>
          </w:tblCellMar>
          <w:tblLook w:val="04A0"/>
        </w:tblPrEx>
        <w:trPr>
          <w:trHeight w:hRule="exact" w:val="255"/>
        </w:trPr>
        <w:tc>
          <w:tcPr>
            <w:tcW w:w="180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Počet študentov (denní a externí) spolu</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165 160</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161 552</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159 678</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159 678</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156 365</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151 264</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145 282</w:t>
            </w:r>
          </w:p>
        </w:tc>
      </w:tr>
      <w:tr>
        <w:tblPrEx>
          <w:tblW w:w="5000" w:type="pct"/>
          <w:tblCellMar>
            <w:left w:w="70" w:type="dxa"/>
            <w:right w:w="70" w:type="dxa"/>
          </w:tblCellMar>
          <w:tblLook w:val="04A0"/>
        </w:tblPrEx>
        <w:trPr>
          <w:trHeight w:hRule="exact" w:val="255"/>
        </w:trPr>
        <w:tc>
          <w:tcPr>
            <w:tcW w:w="180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Výdavky na študenta vysokej školy </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2 935</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2 860</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2 956</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2 974</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3 032</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3 138</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3 250</w:t>
            </w:r>
          </w:p>
        </w:tc>
      </w:tr>
      <w:tr>
        <w:tblPrEx>
          <w:tblW w:w="5000" w:type="pct"/>
          <w:tblCellMar>
            <w:left w:w="70" w:type="dxa"/>
            <w:right w:w="70" w:type="dxa"/>
          </w:tblCellMar>
          <w:tblLook w:val="04A0"/>
        </w:tblPrEx>
        <w:trPr>
          <w:trHeight w:hRule="exact" w:val="255"/>
        </w:trPr>
        <w:tc>
          <w:tcPr>
            <w:tcW w:w="1809"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medziročná zmena v %</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3B1959">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5,04</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3B1959">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-2,54</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3B1959">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2,66</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3B1959">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3,97</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3B1959">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2,58</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3B1959">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3,50</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3B1959">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3,58</w:t>
            </w:r>
          </w:p>
        </w:tc>
      </w:tr>
    </w:tbl>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Celkový počet študentov vysokých škôl v dennej a externej forme štúdia každoročne klesá, pričom výdavky na jedného študenta rastú. Medzi rokom 2010 a rokom 2013 ide o pokles 8 795 osôb a v rozmedzí rokov 2010 až 2015 sa odhaduje pokles o 19 878 osôb.  </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V roku 2013 výdavky na jedného študenta vysokej školy rastú o 76 eur, čo predstavuje rast o 2,6 % oproti schválenému rozpočtu roku 2012, v porovnaní s rokom 2010 tento nárast je v absolútnom vyjadrení 97 eur, t. j. 3,3 %.</w:t>
      </w:r>
    </w:p>
    <w:p w:rsidR="009D2A34" w:rsidRPr="00291C28" w:rsidP="009D2A34">
      <w:pPr>
        <w:bidi w:val="0"/>
        <w:ind w:firstLine="708"/>
        <w:contextualSpacing/>
        <w:jc w:val="both"/>
        <w:rPr>
          <w:rFonts w:ascii="Times New Roman" w:hAnsi="Times New Roman" w:cs="Times New Roman"/>
          <w:lang w:eastAsia="en-US"/>
        </w:rPr>
      </w:pPr>
    </w:p>
    <w:p w:rsidR="009D2A34" w:rsidRPr="00291C28" w:rsidP="009D2A34">
      <w:pPr>
        <w:bidi w:val="0"/>
        <w:contextualSpacing/>
        <w:jc w:val="both"/>
        <w:rPr>
          <w:rFonts w:ascii="Times New Roman" w:hAnsi="Times New Roman" w:cs="Times New Roman"/>
          <w:b/>
          <w:lang w:eastAsia="en-US"/>
        </w:rPr>
      </w:pPr>
      <w:r w:rsidRPr="00291C28">
        <w:rPr>
          <w:rFonts w:ascii="Times New Roman" w:hAnsi="Times New Roman" w:cs="Times New Roman"/>
          <w:b/>
          <w:lang w:eastAsia="en-US"/>
        </w:rPr>
        <w:t>Veda a technika</w:t>
      </w:r>
    </w:p>
    <w:p w:rsidR="009D2A34" w:rsidRPr="00291C28" w:rsidP="009D2A34">
      <w:pPr>
        <w:bidi w:val="0"/>
        <w:contextualSpacing/>
        <w:jc w:val="both"/>
        <w:rPr>
          <w:rFonts w:ascii="Times New Roman" w:hAnsi="Times New Roman" w:cs="Times New Roman"/>
          <w:b/>
          <w:lang w:eastAsia="en-US"/>
        </w:rPr>
      </w:pPr>
    </w:p>
    <w:tbl>
      <w:tblPr>
        <w:tblStyle w:val="TableNormal"/>
        <w:tblW w:w="9707" w:type="dxa"/>
        <w:tblCellMar>
          <w:left w:w="70" w:type="dxa"/>
          <w:right w:w="70" w:type="dxa"/>
        </w:tblCellMar>
        <w:tblLook w:val="04A0"/>
      </w:tblPr>
      <w:tblGrid>
        <w:gridCol w:w="277"/>
        <w:gridCol w:w="3550"/>
        <w:gridCol w:w="840"/>
        <w:gridCol w:w="840"/>
        <w:gridCol w:w="840"/>
        <w:gridCol w:w="840"/>
        <w:gridCol w:w="840"/>
        <w:gridCol w:w="840"/>
        <w:gridCol w:w="840"/>
      </w:tblGrid>
      <w:tr>
        <w:tblPrEx>
          <w:tblW w:w="9707"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2010 S</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2011 S</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2012 R</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2012 OS</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2013 N</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2014 N</w:t>
            </w:r>
          </w:p>
        </w:tc>
        <w:tc>
          <w:tcPr>
            <w:tcW w:w="0" w:type="auto"/>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2015 N</w:t>
            </w:r>
          </w:p>
        </w:tc>
      </w:tr>
      <w:tr>
        <w:tblPrEx>
          <w:tblW w:w="9707"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Výdavky na vedy a techniku celkom</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261 284 966</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318 448 363</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584 249 487</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471 559 747</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549 949 021</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459 785 661</w:t>
            </w:r>
          </w:p>
        </w:tc>
        <w:tc>
          <w:tcPr>
            <w:tcW w:w="0" w:type="auto"/>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409 269 453</w:t>
            </w:r>
          </w:p>
        </w:tc>
      </w:tr>
      <w:tr>
        <w:tblPrEx>
          <w:tblW w:w="9707"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auto"/>
            </w:tcBorders>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Veda a technika v MŠVVŠ SR zo štátneho rozpočtu (A až E) v tom:</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123 996 124</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152 248 849</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154 995 921</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192 200 889</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193 526 298</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189 595 698</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189 595 698</w:t>
            </w:r>
          </w:p>
        </w:tc>
      </w:tr>
      <w:tr>
        <w:tblPrEx>
          <w:tblW w:w="9707" w:type="dxa"/>
          <w:tblCellMar>
            <w:left w:w="70" w:type="dxa"/>
            <w:right w:w="70" w:type="dxa"/>
          </w:tblCellMar>
          <w:tblLook w:val="04A0"/>
        </w:tblPrEx>
        <w:trPr>
          <w:trHeight w:val="360"/>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i/>
                <w:iCs/>
                <w:color w:val="000000"/>
                <w:sz w:val="14"/>
                <w:szCs w:val="14"/>
                <w:lang w:eastAsia="sk-SK"/>
              </w:rPr>
            </w:pPr>
            <w:r w:rsidRPr="00291C28">
              <w:rPr>
                <w:rFonts w:ascii="Times New Roman" w:hAnsi="Times New Roman" w:cs="Times New Roman"/>
                <w:b/>
                <w:bCs/>
                <w:i/>
                <w:iCs/>
                <w:color w:val="000000"/>
                <w:sz w:val="14"/>
                <w:szCs w:val="14"/>
                <w:lang w:eastAsia="sk-SK"/>
              </w:rPr>
              <w:t>A.</w:t>
            </w:r>
          </w:p>
        </w:tc>
        <w:tc>
          <w:tcPr>
            <w:tcW w:w="0" w:type="auto"/>
            <w:tcBorders>
              <w:top w:val="nil"/>
              <w:left w:val="nil"/>
              <w:bottom w:val="single" w:sz="4" w:space="0" w:color="auto"/>
              <w:right w:val="single" w:sz="4" w:space="0" w:color="auto"/>
            </w:tcBorders>
            <w:textDirection w:val="lrTb"/>
            <w:vAlign w:val="center"/>
            <w:hideMark/>
          </w:tcPr>
          <w:p w:rsidR="009D2A34" w:rsidRPr="00291C28" w:rsidP="006338E5">
            <w:pPr>
              <w:bidi w:val="0"/>
              <w:rPr>
                <w:rFonts w:ascii="Times New Roman" w:hAnsi="Times New Roman" w:cs="Times New Roman"/>
                <w:b/>
                <w:bCs/>
                <w:i/>
                <w:iCs/>
                <w:color w:val="000000"/>
                <w:sz w:val="14"/>
                <w:szCs w:val="14"/>
                <w:lang w:eastAsia="sk-SK"/>
              </w:rPr>
            </w:pPr>
            <w:r w:rsidRPr="00291C28">
              <w:rPr>
                <w:rFonts w:ascii="Times New Roman" w:hAnsi="Times New Roman" w:cs="Times New Roman"/>
                <w:b/>
                <w:bCs/>
                <w:i/>
                <w:iCs/>
                <w:color w:val="000000"/>
                <w:sz w:val="14"/>
                <w:szCs w:val="14"/>
                <w:lang w:eastAsia="sk-SK"/>
              </w:rPr>
              <w:t>Vysokoškolská  veda cez MŠVVŠ SR vrátane osobných výdavkov pedagogických zamestnancov na výskum</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70 331 067</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103 863 675</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103 946 042</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142 524 032</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142 517 530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142 517 530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color w:val="000000"/>
                <w:sz w:val="14"/>
                <w:szCs w:val="14"/>
                <w:lang w:eastAsia="sk-SK"/>
              </w:rPr>
            </w:pPr>
            <w:r w:rsidRPr="00291C28">
              <w:rPr>
                <w:rFonts w:ascii="Times New Roman" w:hAnsi="Times New Roman" w:cs="Times New Roman"/>
                <w:i/>
                <w:iCs/>
                <w:color w:val="000000"/>
                <w:sz w:val="14"/>
                <w:szCs w:val="14"/>
                <w:lang w:eastAsia="sk-SK"/>
              </w:rPr>
              <w:t>142 517 530</w:t>
            </w:r>
          </w:p>
        </w:tc>
      </w:tr>
      <w:tr>
        <w:tblPrEx>
          <w:tblW w:w="9707"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i/>
                <w:iCs/>
                <w:color w:val="000000"/>
                <w:sz w:val="14"/>
                <w:szCs w:val="14"/>
                <w:lang w:eastAsia="sk-SK"/>
              </w:rPr>
            </w:pPr>
            <w:r w:rsidRPr="00291C28">
              <w:rPr>
                <w:rFonts w:ascii="Times New Roman" w:hAnsi="Times New Roman" w:cs="Times New Roman"/>
                <w:b/>
                <w:bCs/>
                <w:i/>
                <w:iCs/>
                <w:color w:val="000000"/>
                <w:sz w:val="14"/>
                <w:szCs w:val="14"/>
                <w:lang w:eastAsia="sk-SK"/>
              </w:rPr>
              <w:t>B.</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i/>
                <w:iCs/>
                <w:color w:val="000000"/>
                <w:sz w:val="14"/>
                <w:szCs w:val="14"/>
                <w:lang w:eastAsia="sk-SK"/>
              </w:rPr>
            </w:pPr>
            <w:r w:rsidRPr="00291C28">
              <w:rPr>
                <w:rFonts w:ascii="Times New Roman" w:hAnsi="Times New Roman" w:cs="Times New Roman"/>
                <w:b/>
                <w:bCs/>
                <w:i/>
                <w:iCs/>
                <w:color w:val="000000"/>
                <w:sz w:val="14"/>
                <w:szCs w:val="14"/>
                <w:lang w:eastAsia="sk-SK"/>
              </w:rPr>
              <w:t>Agentúra na podporu výskumu a vývoja MŠVVŠ SR</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31 038 568</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19 443 863</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20 386 180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23 486 180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26 663 731</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23 663 731</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color w:val="000000"/>
                <w:sz w:val="14"/>
                <w:szCs w:val="14"/>
                <w:lang w:eastAsia="sk-SK"/>
              </w:rPr>
            </w:pPr>
            <w:r w:rsidRPr="00291C28">
              <w:rPr>
                <w:rFonts w:ascii="Times New Roman" w:hAnsi="Times New Roman" w:cs="Times New Roman"/>
                <w:i/>
                <w:iCs/>
                <w:color w:val="000000"/>
                <w:sz w:val="14"/>
                <w:szCs w:val="14"/>
                <w:lang w:eastAsia="sk-SK"/>
              </w:rPr>
              <w:t>23 663 731</w:t>
            </w:r>
          </w:p>
        </w:tc>
      </w:tr>
      <w:tr>
        <w:tblPrEx>
          <w:tblW w:w="9707"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i/>
                <w:iCs/>
                <w:color w:val="000000"/>
                <w:sz w:val="14"/>
                <w:szCs w:val="14"/>
                <w:lang w:eastAsia="sk-SK"/>
              </w:rPr>
            </w:pPr>
            <w:r w:rsidRPr="00291C28">
              <w:rPr>
                <w:rFonts w:ascii="Times New Roman" w:hAnsi="Times New Roman" w:cs="Times New Roman"/>
                <w:b/>
                <w:bCs/>
                <w:i/>
                <w:iCs/>
                <w:color w:val="000000"/>
                <w:sz w:val="14"/>
                <w:szCs w:val="14"/>
                <w:lang w:eastAsia="sk-SK"/>
              </w:rPr>
              <w:t>C.</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i/>
                <w:iCs/>
                <w:color w:val="000000"/>
                <w:sz w:val="14"/>
                <w:szCs w:val="14"/>
                <w:lang w:eastAsia="sk-SK"/>
              </w:rPr>
            </w:pPr>
            <w:r w:rsidRPr="00291C28">
              <w:rPr>
                <w:rFonts w:ascii="Times New Roman" w:hAnsi="Times New Roman" w:cs="Times New Roman"/>
                <w:b/>
                <w:bCs/>
                <w:i/>
                <w:iCs/>
                <w:color w:val="000000"/>
                <w:sz w:val="14"/>
                <w:szCs w:val="14"/>
                <w:lang w:eastAsia="sk-SK"/>
              </w:rPr>
              <w:t>Štátne programy MŠVVŠ SR</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730 266</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32 900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32 900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132 000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158</w:t>
            </w:r>
            <w:r w:rsidR="001F6144">
              <w:rPr>
                <w:rFonts w:ascii="Times New Roman" w:hAnsi="Times New Roman" w:cs="Times New Roman"/>
                <w:i/>
                <w:iCs/>
                <w:sz w:val="14"/>
                <w:szCs w:val="14"/>
                <w:lang w:eastAsia="sk-SK"/>
              </w:rPr>
              <w:t xml:space="preserve"> </w:t>
            </w:r>
            <w:r w:rsidRPr="00291C28">
              <w:rPr>
                <w:rFonts w:ascii="Times New Roman" w:hAnsi="Times New Roman" w:cs="Times New Roman"/>
                <w:i/>
                <w:iCs/>
                <w:sz w:val="14"/>
                <w:szCs w:val="14"/>
                <w:lang w:eastAsia="sk-SK"/>
              </w:rPr>
              <w:t>000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color w:val="000000"/>
                <w:sz w:val="14"/>
                <w:szCs w:val="14"/>
                <w:lang w:eastAsia="sk-SK"/>
              </w:rPr>
            </w:pPr>
            <w:r w:rsidRPr="00291C28">
              <w:rPr>
                <w:rFonts w:ascii="Times New Roman" w:hAnsi="Times New Roman" w:cs="Times New Roman"/>
                <w:i/>
                <w:iCs/>
                <w:color w:val="000000"/>
                <w:sz w:val="14"/>
                <w:szCs w:val="14"/>
                <w:lang w:eastAsia="sk-SK"/>
              </w:rPr>
              <w:t>0</w:t>
            </w:r>
          </w:p>
        </w:tc>
      </w:tr>
      <w:tr>
        <w:tblPrEx>
          <w:tblW w:w="9707"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i/>
                <w:iCs/>
                <w:color w:val="000000"/>
                <w:sz w:val="14"/>
                <w:szCs w:val="14"/>
                <w:lang w:eastAsia="sk-SK"/>
              </w:rPr>
            </w:pPr>
            <w:r w:rsidRPr="00291C28">
              <w:rPr>
                <w:rFonts w:ascii="Times New Roman" w:hAnsi="Times New Roman" w:cs="Times New Roman"/>
                <w:b/>
                <w:bCs/>
                <w:i/>
                <w:iCs/>
                <w:color w:val="000000"/>
                <w:sz w:val="14"/>
                <w:szCs w:val="14"/>
                <w:lang w:eastAsia="sk-SK"/>
              </w:rPr>
              <w:t>D.</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i/>
                <w:iCs/>
                <w:color w:val="000000"/>
                <w:sz w:val="14"/>
                <w:szCs w:val="14"/>
                <w:lang w:eastAsia="sk-SK"/>
              </w:rPr>
            </w:pPr>
            <w:r w:rsidRPr="00291C28">
              <w:rPr>
                <w:rFonts w:ascii="Times New Roman" w:hAnsi="Times New Roman" w:cs="Times New Roman"/>
                <w:b/>
                <w:bCs/>
                <w:i/>
                <w:iCs/>
                <w:color w:val="000000"/>
                <w:sz w:val="14"/>
                <w:szCs w:val="14"/>
                <w:lang w:eastAsia="sk-SK"/>
              </w:rPr>
              <w:t>Členské príspevky medzinárod. organizác. v MŠVVŠ SR</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3 344 677</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10 221 236</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10 223 118</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8 463 118</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9 096 718</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sz w:val="14"/>
                <w:szCs w:val="14"/>
                <w:lang w:eastAsia="sk-SK"/>
              </w:rPr>
            </w:pPr>
            <w:r w:rsidRPr="00291C28">
              <w:rPr>
                <w:rFonts w:ascii="Times New Roman" w:hAnsi="Times New Roman" w:cs="Times New Roman"/>
                <w:i/>
                <w:iCs/>
                <w:sz w:val="14"/>
                <w:szCs w:val="14"/>
                <w:lang w:eastAsia="sk-SK"/>
              </w:rPr>
              <w:t>8 463 118</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i/>
                <w:iCs/>
                <w:color w:val="000000"/>
                <w:sz w:val="14"/>
                <w:szCs w:val="14"/>
                <w:lang w:eastAsia="sk-SK"/>
              </w:rPr>
            </w:pPr>
            <w:r w:rsidRPr="00291C28">
              <w:rPr>
                <w:rFonts w:ascii="Times New Roman" w:hAnsi="Times New Roman" w:cs="Times New Roman"/>
                <w:i/>
                <w:iCs/>
                <w:color w:val="000000"/>
                <w:sz w:val="14"/>
                <w:szCs w:val="14"/>
                <w:lang w:eastAsia="sk-SK"/>
              </w:rPr>
              <w:t>8 463 118</w:t>
            </w:r>
          </w:p>
        </w:tc>
      </w:tr>
      <w:tr>
        <w:tblPrEx>
          <w:tblW w:w="9707"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i/>
                <w:iCs/>
                <w:color w:val="000000"/>
                <w:sz w:val="14"/>
                <w:szCs w:val="14"/>
                <w:lang w:eastAsia="sk-SK"/>
              </w:rPr>
            </w:pPr>
            <w:r w:rsidRPr="00291C28">
              <w:rPr>
                <w:rFonts w:ascii="Times New Roman" w:hAnsi="Times New Roman" w:cs="Times New Roman"/>
                <w:b/>
                <w:bCs/>
                <w:i/>
                <w:iCs/>
                <w:color w:val="000000"/>
                <w:sz w:val="14"/>
                <w:szCs w:val="14"/>
                <w:lang w:eastAsia="sk-SK"/>
              </w:rPr>
              <w:t>E.</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i/>
                <w:iCs/>
                <w:color w:val="000000"/>
                <w:sz w:val="14"/>
                <w:szCs w:val="14"/>
                <w:lang w:eastAsia="sk-SK"/>
              </w:rPr>
            </w:pPr>
            <w:r w:rsidRPr="00291C28">
              <w:rPr>
                <w:rFonts w:ascii="Times New Roman" w:hAnsi="Times New Roman" w:cs="Times New Roman"/>
                <w:b/>
                <w:bCs/>
                <w:i/>
                <w:iCs/>
                <w:color w:val="000000"/>
                <w:sz w:val="14"/>
                <w:szCs w:val="14"/>
                <w:lang w:eastAsia="sk-SK"/>
              </w:rPr>
              <w:t>Ostatné výdavky na vedu a techniku v MŠVVŠ SR z toho:</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i/>
                <w:iCs/>
                <w:sz w:val="14"/>
                <w:szCs w:val="14"/>
                <w:lang w:eastAsia="sk-SK"/>
              </w:rPr>
            </w:pPr>
            <w:r w:rsidRPr="00291C28">
              <w:rPr>
                <w:rFonts w:ascii="Times New Roman" w:hAnsi="Times New Roman" w:cs="Times New Roman"/>
                <w:b/>
                <w:bCs/>
                <w:i/>
                <w:iCs/>
                <w:sz w:val="14"/>
                <w:szCs w:val="14"/>
                <w:lang w:eastAsia="sk-SK"/>
              </w:rPr>
              <w:t>18 551 546</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i/>
                <w:iCs/>
                <w:sz w:val="14"/>
                <w:szCs w:val="14"/>
                <w:lang w:eastAsia="sk-SK"/>
              </w:rPr>
            </w:pPr>
            <w:r w:rsidRPr="00291C28">
              <w:rPr>
                <w:rFonts w:ascii="Times New Roman" w:hAnsi="Times New Roman" w:cs="Times New Roman"/>
                <w:b/>
                <w:bCs/>
                <w:i/>
                <w:iCs/>
                <w:sz w:val="14"/>
                <w:szCs w:val="14"/>
                <w:lang w:eastAsia="sk-SK"/>
              </w:rPr>
              <w:t>18 720 075</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i/>
                <w:iCs/>
                <w:sz w:val="14"/>
                <w:szCs w:val="14"/>
                <w:lang w:eastAsia="sk-SK"/>
              </w:rPr>
            </w:pPr>
            <w:r w:rsidRPr="00291C28">
              <w:rPr>
                <w:rFonts w:ascii="Times New Roman" w:hAnsi="Times New Roman" w:cs="Times New Roman"/>
                <w:b/>
                <w:bCs/>
                <w:i/>
                <w:iCs/>
                <w:sz w:val="14"/>
                <w:szCs w:val="14"/>
                <w:lang w:eastAsia="sk-SK"/>
              </w:rPr>
              <w:t>20 407 681</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i/>
                <w:iCs/>
                <w:sz w:val="14"/>
                <w:szCs w:val="14"/>
                <w:lang w:eastAsia="sk-SK"/>
              </w:rPr>
            </w:pPr>
            <w:r w:rsidRPr="00291C28">
              <w:rPr>
                <w:rFonts w:ascii="Times New Roman" w:hAnsi="Times New Roman" w:cs="Times New Roman"/>
                <w:b/>
                <w:bCs/>
                <w:i/>
                <w:iCs/>
                <w:sz w:val="14"/>
                <w:szCs w:val="14"/>
                <w:lang w:eastAsia="sk-SK"/>
              </w:rPr>
              <w:t>17 694 659</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i/>
                <w:iCs/>
                <w:sz w:val="14"/>
                <w:szCs w:val="14"/>
                <w:lang w:eastAsia="sk-SK"/>
              </w:rPr>
            </w:pPr>
            <w:r w:rsidRPr="00291C28">
              <w:rPr>
                <w:rFonts w:ascii="Times New Roman" w:hAnsi="Times New Roman" w:cs="Times New Roman"/>
                <w:b/>
                <w:bCs/>
                <w:i/>
                <w:iCs/>
                <w:sz w:val="14"/>
                <w:szCs w:val="14"/>
                <w:lang w:eastAsia="sk-SK"/>
              </w:rPr>
              <w:t>15 116 319</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i/>
                <w:iCs/>
                <w:sz w:val="14"/>
                <w:szCs w:val="14"/>
                <w:lang w:eastAsia="sk-SK"/>
              </w:rPr>
            </w:pPr>
            <w:r w:rsidRPr="00291C28">
              <w:rPr>
                <w:rFonts w:ascii="Times New Roman" w:hAnsi="Times New Roman" w:cs="Times New Roman"/>
                <w:b/>
                <w:bCs/>
                <w:i/>
                <w:iCs/>
                <w:sz w:val="14"/>
                <w:szCs w:val="14"/>
                <w:lang w:eastAsia="sk-SK"/>
              </w:rPr>
              <w:t>14 793 319</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14 951 319</w:t>
            </w:r>
          </w:p>
        </w:tc>
      </w:tr>
      <w:tr>
        <w:tblPrEx>
          <w:tblW w:w="9707"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1. CVTI príspevková organizácia</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3 560 232</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3 964 415</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3 544 730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3 544 730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4 023 730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3 544 730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3 544 730</w:t>
            </w:r>
          </w:p>
        </w:tc>
      </w:tr>
      <w:tr>
        <w:tblPrEx>
          <w:tblW w:w="9707"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2. APVV prevádzka</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1 604 666</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1 459 820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1 427 463</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1 507 463</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1 307 640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1 307 640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1 307 640</w:t>
            </w:r>
          </w:p>
        </w:tc>
      </w:tr>
      <w:tr>
        <w:tblPrEx>
          <w:tblW w:w="9707"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3. Koordin. prierez. aktivít ŠVT politiky</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10 106 377</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10 129 438</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12 305 544</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9 512 522</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6 637 005</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6 811 005</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6 969 005</w:t>
            </w:r>
          </w:p>
        </w:tc>
      </w:tr>
      <w:tr>
        <w:tblPrEx>
          <w:tblW w:w="9707" w:type="dxa"/>
          <w:tblCellMar>
            <w:left w:w="70" w:type="dxa"/>
            <w:right w:w="70" w:type="dxa"/>
          </w:tblCellMar>
          <w:tblLook w:val="04A0"/>
        </w:tblPrEx>
        <w:trPr>
          <w:trHeigh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4. Výskum v ostatných štát. organizáciách</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3 280 271</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3 166 402</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3 129 944</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3 129 944</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3 147 944</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3 129 944</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3 129 944</w:t>
            </w:r>
          </w:p>
        </w:tc>
      </w:tr>
      <w:tr>
        <w:tblPrEx>
          <w:tblW w:w="9707"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Prostriedky  EÚ a spolufinancovanie  zo ŠR v MŠVVŠ SR</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38 421 566</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72 417 762</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355 592 355</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193 365 862</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284 236 880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197 996 224</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147 484 058</w:t>
            </w:r>
          </w:p>
        </w:tc>
      </w:tr>
      <w:tr>
        <w:tblPrEx>
          <w:tblW w:w="9707"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Slovenská akadémia vied</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74 855 327</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71 937 654</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55 802 171</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71 698 555</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55 676 290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55 676 290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55 676 290</w:t>
            </w:r>
          </w:p>
        </w:tc>
      </w:tr>
      <w:tr>
        <w:tblPrEx>
          <w:tblW w:w="9707" w:type="dxa"/>
          <w:tblCellMar>
            <w:left w:w="70" w:type="dxa"/>
            <w:right w:w="70" w:type="dxa"/>
          </w:tblCellMar>
          <w:tblLook w:val="04A0"/>
        </w:tblPrEx>
        <w:trPr>
          <w:trHeight w:val="255"/>
        </w:trPr>
        <w:tc>
          <w:tcPr>
            <w:tcW w:w="0" w:type="auto"/>
            <w:gridSpan w:val="2"/>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 xml:space="preserve">Rezortná veda </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24 011 949</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21 844 098</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17 859 040</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14 294 441</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16 509 553</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16 517 449</w:t>
            </w:r>
          </w:p>
        </w:tc>
        <w:tc>
          <w:tcPr>
            <w:tcW w:w="0" w:type="auto"/>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16 513 407</w:t>
            </w:r>
          </w:p>
        </w:tc>
      </w:tr>
    </w:tbl>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Verejné výdavky na vedu a techniku v roku 2013 sa rozpočtujú  vo výške 550 mil. eur, čo predstavuje pokles oproti schválenému rozpočtu roku 2012 o 5,87 % z dôvodu nižšej alokácie zdrojov EÚ vrátane spolufinancovania rozpísaných pre oblasť vedy a techniky.</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Celkové výdavky štátneho rozpočtu poskytované MŠVVŠ SR na vedu a techniku medziročne rastú o 38,5 mil. eur, t. j. 24,9 %. Oproti schválenému rozpočtu na rok 2012 dochádza k nárastu výdavkov z dôvodu posilnenia výdavkov rozpísaných v rámci verejných vysokých škôl práve na oblasť podpory vysokoškolskej vedy a techniky formou doktorandských štipendií.</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Výdavky MŠVVŠ SR na vedu a techniku sú tvorené hlavne výdavkami na podporu vysokoškolskej vedy a techniky vrátane mzdových výdavkov pedagogických pracovníkov vysokých škôl, ktorých pracovnou náplňou je aj vedecká činnosť, ďalej zmenou rozpočtovania výdavkov na štipendiá pre doktorandov, ktoré rastú medziročne o 38,6 mil. eur, t. j. 37,1 %. </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Agentúra na podporu výskumu a vývoja predstavuje významnú položku výdavkov na vedu a techniku z MŠVVŠ SR. Jej výdavky rastú oproti schválenému rozpočtu na rok 2012 o 6,28 mil. eur, čo predstavuje 30,8 %. </w:t>
      </w:r>
    </w:p>
    <w:p w:rsidR="009D2A34" w:rsidRPr="00291C28" w:rsidP="009D2A34">
      <w:pPr>
        <w:bidi w:val="0"/>
        <w:contextualSpacing/>
        <w:jc w:val="both"/>
        <w:rPr>
          <w:rFonts w:ascii="Times New Roman" w:hAnsi="Times New Roman" w:cs="Times New Roman"/>
          <w:lang w:eastAsia="en-US"/>
        </w:rPr>
      </w:pPr>
    </w:p>
    <w:p w:rsidR="009D2A34"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Ďalším zdrojom financovania vedy a techniky z verejných zdrojov v kapitole MŠVVŠ SR sú aj finančné zdroje zo štrukturálnych fondov EÚ, ktoré sa navrhujú v sume </w:t>
      </w:r>
      <w:r w:rsidR="007D39F4">
        <w:rPr>
          <w:rFonts w:ascii="Times New Roman" w:hAnsi="Times New Roman" w:cs="Times New Roman"/>
          <w:lang w:eastAsia="en-US"/>
        </w:rPr>
        <w:br/>
      </w:r>
      <w:r w:rsidRPr="00291C28">
        <w:rPr>
          <w:rFonts w:ascii="Times New Roman" w:hAnsi="Times New Roman" w:cs="Times New Roman"/>
          <w:lang w:eastAsia="en-US"/>
        </w:rPr>
        <w:t xml:space="preserve">284 mil. eur. Pokles týchto zdrojov oproti schválenému rozpočtu roku 2012 predstavuje </w:t>
      </w:r>
      <w:r w:rsidR="007D39F4">
        <w:rPr>
          <w:rFonts w:ascii="Times New Roman" w:hAnsi="Times New Roman" w:cs="Times New Roman"/>
          <w:lang w:eastAsia="en-US"/>
        </w:rPr>
        <w:br/>
      </w:r>
      <w:r w:rsidRPr="00291C28">
        <w:rPr>
          <w:rFonts w:ascii="Times New Roman" w:hAnsi="Times New Roman" w:cs="Times New Roman"/>
          <w:lang w:eastAsia="en-US"/>
        </w:rPr>
        <w:t xml:space="preserve">20,1 %, čo vyplýva z nižšej alokácie zdrojov štrukturálnych fondov vrátane spolufinancovania zo štátneho rozpočtu rozpísanej pre túto oblasť. Efektívne čerpanie týchto výdavkov spočíva len na kvalitne vypracovaných projektoch predložených vedeckou obcou v súlade </w:t>
      </w:r>
      <w:r w:rsidR="007D39F4">
        <w:rPr>
          <w:rFonts w:ascii="Times New Roman" w:hAnsi="Times New Roman" w:cs="Times New Roman"/>
          <w:lang w:eastAsia="en-US"/>
        </w:rPr>
        <w:br/>
      </w:r>
      <w:r w:rsidRPr="00291C28">
        <w:rPr>
          <w:rFonts w:ascii="Times New Roman" w:hAnsi="Times New Roman" w:cs="Times New Roman"/>
          <w:lang w:eastAsia="en-US"/>
        </w:rPr>
        <w:t xml:space="preserve">s OP Výskum a vývoj a OP Vzdelávanie. Okrem toho môžu slovenské subjekty čerpať na vedecké projekty zdroje aj zo 7. rámcového programu EÚ. </w:t>
      </w:r>
    </w:p>
    <w:p w:rsidR="007D39F4" w:rsidRPr="00291C28" w:rsidP="009D2A34">
      <w:pPr>
        <w:bidi w:val="0"/>
        <w:ind w:firstLine="708"/>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Slovenská akadémia vied ako najvýznamnejší predstaviteľ základného výskumu v Slovenskej republike predstavuje druhú najväčšiu položku na celkovej sume výdavkov na základný výskum, a to 55,7 mil. eur na rok 2013. Pokles výdavkov SAV oproti roku 2012 je vo výške 126 tis. eur, t.</w:t>
      </w:r>
      <w:r w:rsidR="007D39F4">
        <w:rPr>
          <w:rFonts w:ascii="Times New Roman" w:hAnsi="Times New Roman" w:cs="Times New Roman"/>
          <w:lang w:eastAsia="en-US"/>
        </w:rPr>
        <w:t xml:space="preserve"> </w:t>
      </w:r>
      <w:r w:rsidRPr="00291C28">
        <w:rPr>
          <w:rFonts w:ascii="Times New Roman" w:hAnsi="Times New Roman" w:cs="Times New Roman"/>
          <w:lang w:eastAsia="en-US"/>
        </w:rPr>
        <w:t xml:space="preserve">j. 0,23 %. </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Financovanie vedy a techniky je realizované aj ďalšími rezortmi ako sú Ministerstvo zdravotníctva SR, Ministerstvo pôdohospodárstva a rozvoja vidieka SR, Ministerstvo obrany SR, Úrad pre normalizáciu, metrológiu a skúšobníctvo SR atď. Výdavky na rezortnú vedu a techniku medziročne klesajú o 1,35 mil. eur.</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contextualSpacing/>
        <w:jc w:val="both"/>
        <w:rPr>
          <w:rFonts w:ascii="Times New Roman" w:hAnsi="Times New Roman" w:cs="Times New Roman"/>
          <w:b/>
          <w:lang w:eastAsia="en-US"/>
        </w:rPr>
      </w:pPr>
      <w:r w:rsidRPr="00291C28">
        <w:rPr>
          <w:rFonts w:ascii="Times New Roman" w:hAnsi="Times New Roman" w:cs="Times New Roman"/>
          <w:b/>
          <w:lang w:eastAsia="en-US"/>
        </w:rPr>
        <w:t>Šport</w:t>
      </w:r>
    </w:p>
    <w:p w:rsidR="009D2A34" w:rsidRPr="00291C28" w:rsidP="009D2A34">
      <w:pPr>
        <w:bidi w:val="0"/>
        <w:contextualSpacing/>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2957"/>
        <w:gridCol w:w="840"/>
        <w:gridCol w:w="842"/>
        <w:gridCol w:w="975"/>
        <w:gridCol w:w="918"/>
        <w:gridCol w:w="918"/>
        <w:gridCol w:w="881"/>
        <w:gridCol w:w="881"/>
      </w:tblGrid>
      <w:tr>
        <w:tblPrEx>
          <w:tblW w:w="5000" w:type="pct"/>
          <w:tblCellMar>
            <w:left w:w="70" w:type="dxa"/>
            <w:right w:w="70" w:type="dxa"/>
          </w:tblCellMar>
          <w:tblLook w:val="04A0"/>
        </w:tblPrEx>
        <w:trPr>
          <w:trHeight w:val="255"/>
        </w:trPr>
        <w:tc>
          <w:tcPr>
            <w:tcW w:w="160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v eurách</w:t>
            </w:r>
          </w:p>
        </w:tc>
        <w:tc>
          <w:tcPr>
            <w:tcW w:w="45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2010 S</w:t>
            </w:r>
          </w:p>
        </w:tc>
        <w:tc>
          <w:tcPr>
            <w:tcW w:w="45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2011 S</w:t>
            </w:r>
          </w:p>
        </w:tc>
        <w:tc>
          <w:tcPr>
            <w:tcW w:w="52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R</w:t>
            </w:r>
          </w:p>
        </w:tc>
        <w:tc>
          <w:tcPr>
            <w:tcW w:w="49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OS</w:t>
            </w:r>
          </w:p>
        </w:tc>
        <w:tc>
          <w:tcPr>
            <w:tcW w:w="49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2013 N</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2014 N</w:t>
            </w:r>
          </w:p>
        </w:tc>
        <w:tc>
          <w:tcPr>
            <w:tcW w:w="47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val="255"/>
        </w:trPr>
        <w:tc>
          <w:tcPr>
            <w:tcW w:w="160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Zdroje štátneho rozpočtu</w:t>
            </w:r>
          </w:p>
        </w:tc>
        <w:tc>
          <w:tcPr>
            <w:tcW w:w="456"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92 319 306</w:t>
            </w:r>
          </w:p>
        </w:tc>
        <w:tc>
          <w:tcPr>
            <w:tcW w:w="45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34 000 375</w:t>
            </w:r>
          </w:p>
        </w:tc>
        <w:tc>
          <w:tcPr>
            <w:tcW w:w="52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36 009 470</w:t>
            </w:r>
          </w:p>
        </w:tc>
        <w:tc>
          <w:tcPr>
            <w:tcW w:w="49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36 602 167</w:t>
            </w:r>
          </w:p>
        </w:tc>
        <w:tc>
          <w:tcPr>
            <w:tcW w:w="49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36 105 458</w:t>
            </w:r>
          </w:p>
        </w:tc>
        <w:tc>
          <w:tcPr>
            <w:tcW w:w="47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36 055 458</w:t>
            </w:r>
          </w:p>
        </w:tc>
        <w:tc>
          <w:tcPr>
            <w:tcW w:w="47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36 055 458</w:t>
            </w:r>
          </w:p>
        </w:tc>
      </w:tr>
      <w:tr>
        <w:tblPrEx>
          <w:tblW w:w="5000" w:type="pct"/>
          <w:tblCellMar>
            <w:left w:w="70" w:type="dxa"/>
            <w:right w:w="70" w:type="dxa"/>
          </w:tblCellMar>
          <w:tblLook w:val="04A0"/>
        </w:tblPrEx>
        <w:trPr>
          <w:trHeight w:val="255"/>
        </w:trPr>
        <w:tc>
          <w:tcPr>
            <w:tcW w:w="1604"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Ministerstvo školstva, vedy, výskumu a športu SR</w:t>
            </w:r>
          </w:p>
        </w:tc>
        <w:tc>
          <w:tcPr>
            <w:tcW w:w="456"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74 748 224</w:t>
            </w:r>
          </w:p>
        </w:tc>
        <w:tc>
          <w:tcPr>
            <w:tcW w:w="45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27 458 014</w:t>
            </w:r>
          </w:p>
        </w:tc>
        <w:tc>
          <w:tcPr>
            <w:tcW w:w="529"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30 414 925</w:t>
            </w:r>
          </w:p>
        </w:tc>
        <w:tc>
          <w:tcPr>
            <w:tcW w:w="49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30 402 635</w:t>
            </w:r>
          </w:p>
        </w:tc>
        <w:tc>
          <w:tcPr>
            <w:tcW w:w="49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30 403 390</w:t>
            </w:r>
          </w:p>
        </w:tc>
        <w:tc>
          <w:tcPr>
            <w:tcW w:w="47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30 353 390</w:t>
            </w:r>
          </w:p>
        </w:tc>
        <w:tc>
          <w:tcPr>
            <w:tcW w:w="47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30 353 390</w:t>
            </w:r>
          </w:p>
        </w:tc>
      </w:tr>
      <w:tr>
        <w:tblPrEx>
          <w:tblW w:w="5000" w:type="pct"/>
          <w:tblCellMar>
            <w:left w:w="70" w:type="dxa"/>
            <w:right w:w="70" w:type="dxa"/>
          </w:tblCellMar>
          <w:tblLook w:val="04A0"/>
        </w:tblPrEx>
        <w:trPr>
          <w:trHeight w:val="255"/>
        </w:trPr>
        <w:tc>
          <w:tcPr>
            <w:tcW w:w="1604"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Ministerstvo obrany SR</w:t>
            </w:r>
          </w:p>
        </w:tc>
        <w:tc>
          <w:tcPr>
            <w:tcW w:w="45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5 919 603</w:t>
            </w:r>
          </w:p>
        </w:tc>
        <w:tc>
          <w:tcPr>
            <w:tcW w:w="45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3 901 915</w:t>
            </w:r>
          </w:p>
        </w:tc>
        <w:tc>
          <w:tcPr>
            <w:tcW w:w="529"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4 145 197</w:t>
            </w:r>
          </w:p>
        </w:tc>
        <w:tc>
          <w:tcPr>
            <w:tcW w:w="49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4 357 966</w:t>
            </w:r>
          </w:p>
        </w:tc>
        <w:tc>
          <w:tcPr>
            <w:tcW w:w="49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4 032 926</w:t>
            </w:r>
          </w:p>
        </w:tc>
        <w:tc>
          <w:tcPr>
            <w:tcW w:w="47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4 032 926</w:t>
            </w:r>
          </w:p>
        </w:tc>
        <w:tc>
          <w:tcPr>
            <w:tcW w:w="47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4 032 926</w:t>
            </w:r>
          </w:p>
        </w:tc>
      </w:tr>
      <w:tr>
        <w:tblPrEx>
          <w:tblW w:w="5000" w:type="pct"/>
          <w:tblCellMar>
            <w:left w:w="70" w:type="dxa"/>
            <w:right w:w="70" w:type="dxa"/>
          </w:tblCellMar>
          <w:tblLook w:val="04A0"/>
        </w:tblPrEx>
        <w:trPr>
          <w:trHeight w:val="255"/>
        </w:trPr>
        <w:tc>
          <w:tcPr>
            <w:tcW w:w="1604"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Ministerstvo vnútra SR</w:t>
            </w:r>
          </w:p>
        </w:tc>
        <w:tc>
          <w:tcPr>
            <w:tcW w:w="45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3 280 223</w:t>
            </w:r>
          </w:p>
        </w:tc>
        <w:tc>
          <w:tcPr>
            <w:tcW w:w="45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2 640 446</w:t>
            </w:r>
          </w:p>
        </w:tc>
        <w:tc>
          <w:tcPr>
            <w:tcW w:w="529"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1 449 348</w:t>
            </w:r>
          </w:p>
        </w:tc>
        <w:tc>
          <w:tcPr>
            <w:tcW w:w="49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1 841 566</w:t>
            </w:r>
          </w:p>
        </w:tc>
        <w:tc>
          <w:tcPr>
            <w:tcW w:w="49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1 669 142</w:t>
            </w:r>
          </w:p>
        </w:tc>
        <w:tc>
          <w:tcPr>
            <w:tcW w:w="47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1 669 142</w:t>
            </w:r>
          </w:p>
        </w:tc>
        <w:tc>
          <w:tcPr>
            <w:tcW w:w="47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1 669 142</w:t>
            </w:r>
          </w:p>
        </w:tc>
      </w:tr>
      <w:tr>
        <w:tblPrEx>
          <w:tblW w:w="5000" w:type="pct"/>
          <w:tblCellMar>
            <w:left w:w="70" w:type="dxa"/>
            <w:right w:w="70" w:type="dxa"/>
          </w:tblCellMar>
          <w:tblLook w:val="04A0"/>
        </w:tblPrEx>
        <w:trPr>
          <w:trHeight w:val="255"/>
        </w:trPr>
        <w:tc>
          <w:tcPr>
            <w:tcW w:w="1604"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Úrad vlády SR </w:t>
            </w:r>
          </w:p>
        </w:tc>
        <w:tc>
          <w:tcPr>
            <w:tcW w:w="45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8 371 256</w:t>
            </w:r>
          </w:p>
        </w:tc>
        <w:tc>
          <w:tcPr>
            <w:tcW w:w="45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529"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49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49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47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47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r>
    </w:tbl>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Celkové výdavky na podporu športu v roku 2013 oproti schválenému rozpočtu  roku 2012 rastú o 96 tis. eur, t. j. o 0,27 %.</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Výdavky na podporu športu poskytované MŠVVŠ SR </w:t>
      </w:r>
      <w:r w:rsidR="001F6144">
        <w:rPr>
          <w:rFonts w:ascii="Times New Roman" w:hAnsi="Times New Roman" w:cs="Times New Roman"/>
          <w:lang w:eastAsia="en-US"/>
        </w:rPr>
        <w:t xml:space="preserve">sú </w:t>
      </w:r>
      <w:r w:rsidRPr="00291C28">
        <w:rPr>
          <w:rFonts w:ascii="Times New Roman" w:hAnsi="Times New Roman" w:cs="Times New Roman"/>
          <w:lang w:eastAsia="en-US"/>
        </w:rPr>
        <w:t xml:space="preserve">v roku 2013 </w:t>
      </w:r>
      <w:r w:rsidR="001F6144">
        <w:rPr>
          <w:rFonts w:ascii="Times New Roman" w:hAnsi="Times New Roman" w:cs="Times New Roman"/>
          <w:lang w:eastAsia="en-US"/>
        </w:rPr>
        <w:t xml:space="preserve">približne na úrovni </w:t>
      </w:r>
      <w:r w:rsidRPr="00291C28">
        <w:rPr>
          <w:rFonts w:ascii="Times New Roman" w:hAnsi="Times New Roman" w:cs="Times New Roman"/>
          <w:lang w:eastAsia="en-US"/>
        </w:rPr>
        <w:t>schválené</w:t>
      </w:r>
      <w:r w:rsidR="001F6144">
        <w:rPr>
          <w:rFonts w:ascii="Times New Roman" w:hAnsi="Times New Roman" w:cs="Times New Roman"/>
          <w:lang w:eastAsia="en-US"/>
        </w:rPr>
        <w:t>ho rozpočtu roku 2012</w:t>
      </w:r>
      <w:r w:rsidRPr="00291C28">
        <w:rPr>
          <w:rFonts w:ascii="Times New Roman" w:hAnsi="Times New Roman" w:cs="Times New Roman"/>
          <w:lang w:eastAsia="en-US"/>
        </w:rPr>
        <w:t xml:space="preserve">. </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Výdavky na šport v porovnaní so skutočnosťou roku 2010 klesajú z dôvodu realizovanej rekonštrukcie Zimného štadióna Ondreja Nepelu v súvislosti s konaním Majstrovstiev sveta v ľadovom hokeji v roku 2011. Výdavky v roku 2010 na rekonštrukciu štadióna predstavovali objem 40,6 mil. eur. </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Na športovú reprezentáciu Slovenskej republiky sú okrem výdavkov rozpočtovaných v kapitole MŠVVŠ SR rozpočtované aj výdavky v kapitolách Ministerstvo obrany SR a Ministerstvo vnútra SR. Výdavky rozpočtované na šport v kapitole Ministerstvo obrany SR klesajú v roku 2013 oproti schválenému rozpočtu roku 2012 o 2,71 % a v kapitole Ministerstvo vnútra SR majú rastúci trend v roku  2013 oproti schválenému rozpočtu roku  2012 o 15,2 %.</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contextualSpacing/>
        <w:jc w:val="both"/>
        <w:rPr>
          <w:rFonts w:ascii="Times New Roman" w:hAnsi="Times New Roman" w:cs="Times New Roman"/>
          <w:b/>
          <w:lang w:eastAsia="en-US"/>
        </w:rPr>
      </w:pPr>
      <w:r w:rsidRPr="00291C28">
        <w:rPr>
          <w:rFonts w:ascii="Times New Roman" w:hAnsi="Times New Roman" w:cs="Times New Roman"/>
          <w:b/>
          <w:lang w:eastAsia="en-US"/>
        </w:rPr>
        <w:t>Administratíva a iné výdavky</w:t>
      </w:r>
    </w:p>
    <w:p w:rsidR="009D2A34" w:rsidRPr="00291C28" w:rsidP="009D2A34">
      <w:pPr>
        <w:bidi w:val="0"/>
        <w:contextualSpacing/>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2883"/>
        <w:gridCol w:w="1009"/>
        <w:gridCol w:w="945"/>
        <w:gridCol w:w="945"/>
        <w:gridCol w:w="770"/>
        <w:gridCol w:w="945"/>
        <w:gridCol w:w="945"/>
        <w:gridCol w:w="770"/>
      </w:tblGrid>
      <w:tr>
        <w:tblPrEx>
          <w:tblW w:w="5000" w:type="pct"/>
          <w:tblCellMar>
            <w:left w:w="70" w:type="dxa"/>
            <w:right w:w="70" w:type="dxa"/>
          </w:tblCellMar>
          <w:tblLook w:val="04A0"/>
        </w:tblPrEx>
        <w:trPr>
          <w:trHeight w:val="255"/>
        </w:trPr>
        <w:tc>
          <w:tcPr>
            <w:tcW w:w="156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v eurách</w:t>
            </w:r>
          </w:p>
        </w:tc>
        <w:tc>
          <w:tcPr>
            <w:tcW w:w="54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2010 S</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2011 S</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R</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OS</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2013 N</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2014 N</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val="255"/>
        </w:trPr>
        <w:tc>
          <w:tcPr>
            <w:tcW w:w="1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Administratíva spolu</w:t>
            </w:r>
          </w:p>
        </w:tc>
        <w:tc>
          <w:tcPr>
            <w:tcW w:w="547"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27 119 156</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22 405 230</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24 164 435</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25 683 536</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24 750 566</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25 308 053</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25 312 726</w:t>
            </w:r>
          </w:p>
        </w:tc>
      </w:tr>
      <w:tr>
        <w:tblPrEx>
          <w:tblW w:w="5000" w:type="pct"/>
          <w:tblCellMar>
            <w:left w:w="70" w:type="dxa"/>
            <w:right w:w="70" w:type="dxa"/>
          </w:tblCellMar>
          <w:tblLook w:val="04A0"/>
        </w:tblPrEx>
        <w:trPr>
          <w:trHeight w:val="255"/>
        </w:trPr>
        <w:tc>
          <w:tcPr>
            <w:tcW w:w="1564"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Tvorba a implementácia politík</w:t>
            </w:r>
          </w:p>
        </w:tc>
        <w:tc>
          <w:tcPr>
            <w:tcW w:w="54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23 466 998</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18 735 399</w:t>
            </w:r>
          </w:p>
        </w:tc>
        <w:tc>
          <w:tcPr>
            <w:tcW w:w="513"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20 188 287</w:t>
            </w:r>
          </w:p>
        </w:tc>
        <w:tc>
          <w:tcPr>
            <w:tcW w:w="418" w:type="pct"/>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22 053 411</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20 366 551</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20 131 438</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20 136 111</w:t>
            </w:r>
          </w:p>
        </w:tc>
      </w:tr>
      <w:tr>
        <w:tblPrEx>
          <w:tblW w:w="5000" w:type="pct"/>
          <w:tblCellMar>
            <w:left w:w="70" w:type="dxa"/>
            <w:right w:w="70" w:type="dxa"/>
          </w:tblCellMar>
          <w:tblLook w:val="04A0"/>
        </w:tblPrEx>
        <w:trPr>
          <w:trHeight w:val="255"/>
        </w:trPr>
        <w:tc>
          <w:tcPr>
            <w:tcW w:w="1564"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Hospodárska mobilizácia</w:t>
            </w:r>
          </w:p>
        </w:tc>
        <w:tc>
          <w:tcPr>
            <w:tcW w:w="54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1 338</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173</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5 886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5 886</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5 297</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5 297</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5 297</w:t>
            </w:r>
          </w:p>
        </w:tc>
      </w:tr>
      <w:tr>
        <w:tblPrEx>
          <w:tblW w:w="5000" w:type="pct"/>
          <w:tblCellMar>
            <w:left w:w="70" w:type="dxa"/>
            <w:right w:w="70" w:type="dxa"/>
          </w:tblCellMar>
          <w:tblLook w:val="04A0"/>
        </w:tblPrEx>
        <w:trPr>
          <w:trHeight w:val="255"/>
        </w:trPr>
        <w:tc>
          <w:tcPr>
            <w:tcW w:w="1564"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Podpora detí a mládeže</w:t>
            </w:r>
          </w:p>
        </w:tc>
        <w:tc>
          <w:tcPr>
            <w:tcW w:w="54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3 650 820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3 669 658</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3 574 239</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3 574 239</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3 614 232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3 564 232</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3 564 232</w:t>
            </w:r>
          </w:p>
        </w:tc>
      </w:tr>
      <w:tr>
        <w:tblPrEx>
          <w:tblW w:w="5000" w:type="pct"/>
          <w:tblCellMar>
            <w:left w:w="70" w:type="dxa"/>
            <w:right w:w="70" w:type="dxa"/>
          </w:tblCellMar>
          <w:tblLook w:val="04A0"/>
        </w:tblPrEx>
        <w:trPr>
          <w:trHeight w:val="255"/>
        </w:trPr>
        <w:tc>
          <w:tcPr>
            <w:tcW w:w="1564"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 xml:space="preserve">Výdavky na koordináciu prierezových aktivít </w:t>
            </w:r>
          </w:p>
        </w:tc>
        <w:tc>
          <w:tcPr>
            <w:tcW w:w="54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346 023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724 486</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1 567 086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1 567 086</w:t>
            </w:r>
          </w:p>
        </w:tc>
      </w:tr>
      <w:tr>
        <w:tblPrEx>
          <w:tblW w:w="5000" w:type="pct"/>
          <w:tblCellMar>
            <w:left w:w="70" w:type="dxa"/>
            <w:right w:w="70" w:type="dxa"/>
          </w:tblCellMar>
          <w:tblLook w:val="04A0"/>
        </w:tblPrEx>
        <w:trPr>
          <w:trHeight w:val="255"/>
        </w:trPr>
        <w:tc>
          <w:tcPr>
            <w:tcW w:w="1564"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MŠVVŠ SR protidrogová politika</w:t>
            </w:r>
          </w:p>
        </w:tc>
        <w:tc>
          <w:tcPr>
            <w:tcW w:w="54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50 000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50 000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40 000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40 000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40 000</w:t>
            </w:r>
          </w:p>
        </w:tc>
      </w:tr>
    </w:tbl>
    <w:p w:rsidR="00BD1196" w:rsidP="009D2A34">
      <w:pPr>
        <w:bidi w:val="0"/>
        <w:ind w:firstLine="708"/>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Na rok 2013 na administratívu a iné výdavky kapitoly sú vyčlenené finančné prostriedky v sume 24,</w:t>
      </w:r>
      <w:r>
        <w:rPr>
          <w:rFonts w:ascii="Times New Roman" w:hAnsi="Times New Roman" w:cs="Times New Roman"/>
          <w:lang w:eastAsia="en-US"/>
        </w:rPr>
        <w:t>8</w:t>
      </w:r>
      <w:r w:rsidRPr="00291C28">
        <w:rPr>
          <w:rFonts w:ascii="Times New Roman" w:hAnsi="Times New Roman" w:cs="Times New Roman"/>
          <w:lang w:eastAsia="en-US"/>
        </w:rPr>
        <w:t xml:space="preserve"> mil. eur, čo je oproti schválenému rozpočtu roku 2012 nárast </w:t>
        <w:br/>
        <w:t>o 586 tis. eur, t. j. o 2,43 %.</w:t>
      </w: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Na ďalšom náraste v roku 2013 sa podieľa zvýšenie výdavkov na Koordináciu prierezových aktivít, ktoré budú v roku 2013 súčasťou výdavkov financovania vedy a výskumu, a to o 378 tis. eur oproti schválenému rozpočtu roku 2012.</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Výdavky na podporu  detí a mládeže rastú na rok 2013 oproti schválenému rozpočtu roku 2012 o 40 tis. eur presunom výdavkov z regionálneho školstva.</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V rámci programu Tvorba a implementácia politík sú rozpočtované výdavky pre tri rozpočtové organizácie vrátane úradu ministerstva a jednu príspevkovú organizáciu. Výdavky na rok 2013 zaznamenávajú nárast oproti schválenému rozpočtu roku 2012 o 178 tis. eur, </w:t>
      </w:r>
      <w:r w:rsidR="007D39F4">
        <w:rPr>
          <w:rFonts w:ascii="Times New Roman" w:hAnsi="Times New Roman" w:cs="Times New Roman"/>
          <w:lang w:eastAsia="en-US"/>
        </w:rPr>
        <w:br/>
      </w:r>
      <w:r w:rsidRPr="00291C28">
        <w:rPr>
          <w:rFonts w:ascii="Times New Roman" w:hAnsi="Times New Roman" w:cs="Times New Roman"/>
          <w:lang w:eastAsia="en-US"/>
        </w:rPr>
        <w:t>t. j. 0,88 %.</w:t>
      </w:r>
    </w:p>
    <w:p w:rsidR="009D2A34" w:rsidRPr="00291C28" w:rsidP="009D2A34">
      <w:pPr>
        <w:bidi w:val="0"/>
        <w:contextualSpacing/>
        <w:jc w:val="both"/>
        <w:rPr>
          <w:rFonts w:ascii="Times New Roman" w:hAnsi="Times New Roman" w:cs="Times New Roman"/>
          <w:lang w:eastAsia="en-US"/>
        </w:rPr>
      </w:pPr>
    </w:p>
    <w:tbl>
      <w:tblPr>
        <w:tblStyle w:val="TableNormal"/>
        <w:tblW w:w="5000" w:type="pct"/>
        <w:tblCellMar>
          <w:left w:w="70" w:type="dxa"/>
          <w:right w:w="70" w:type="dxa"/>
        </w:tblCellMar>
        <w:tblLook w:val="04A0"/>
      </w:tblPr>
      <w:tblGrid>
        <w:gridCol w:w="2882"/>
        <w:gridCol w:w="1010"/>
        <w:gridCol w:w="945"/>
        <w:gridCol w:w="945"/>
        <w:gridCol w:w="770"/>
        <w:gridCol w:w="945"/>
        <w:gridCol w:w="945"/>
        <w:gridCol w:w="770"/>
      </w:tblGrid>
      <w:tr>
        <w:tblPrEx>
          <w:tblW w:w="5000" w:type="pct"/>
          <w:tblCellMar>
            <w:left w:w="70" w:type="dxa"/>
            <w:right w:w="70" w:type="dxa"/>
          </w:tblCellMar>
          <w:tblLook w:val="04A0"/>
        </w:tblPrEx>
        <w:trPr>
          <w:trHeight w:hRule="exact" w:val="255"/>
        </w:trPr>
        <w:tc>
          <w:tcPr>
            <w:tcW w:w="156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v eurách</w:t>
            </w:r>
          </w:p>
        </w:tc>
        <w:tc>
          <w:tcPr>
            <w:tcW w:w="54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2010 S</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2011 S</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R</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2012 OS</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2013 N</w:t>
            </w:r>
          </w:p>
        </w:tc>
        <w:tc>
          <w:tcPr>
            <w:tcW w:w="51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2014 N</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1564"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Rozpočtové a príspevkové  organizácie spolu</w:t>
            </w:r>
          </w:p>
        </w:tc>
        <w:tc>
          <w:tcPr>
            <w:tcW w:w="54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23 466 998</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18 735 399</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20 188 287</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22 053 411</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20 366 551</w:t>
            </w:r>
          </w:p>
        </w:tc>
        <w:tc>
          <w:tcPr>
            <w:tcW w:w="51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20 131 438</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20 136 111</w:t>
            </w:r>
          </w:p>
        </w:tc>
      </w:tr>
      <w:tr>
        <w:tblPrEx>
          <w:tblW w:w="5000" w:type="pct"/>
          <w:tblCellMar>
            <w:left w:w="70" w:type="dxa"/>
            <w:right w:w="70" w:type="dxa"/>
          </w:tblCellMar>
          <w:tblLook w:val="04A0"/>
        </w:tblPrEx>
        <w:trPr>
          <w:trHeight w:hRule="exact" w:val="255"/>
        </w:trPr>
        <w:tc>
          <w:tcPr>
            <w:tcW w:w="1564"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Príspevkové organizácie spolu z toho:</w:t>
            </w:r>
          </w:p>
        </w:tc>
        <w:tc>
          <w:tcPr>
            <w:tcW w:w="54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601 362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287 496</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202 496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1 062 269</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451 537</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262 496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sz w:val="14"/>
                <w:szCs w:val="14"/>
                <w:lang w:eastAsia="sk-SK"/>
              </w:rPr>
            </w:pPr>
            <w:r w:rsidRPr="00291C28">
              <w:rPr>
                <w:rFonts w:ascii="Times New Roman" w:hAnsi="Times New Roman" w:cs="Times New Roman"/>
                <w:b/>
                <w:sz w:val="14"/>
                <w:szCs w:val="14"/>
                <w:lang w:eastAsia="sk-SK"/>
              </w:rPr>
              <w:t>254 496</w:t>
            </w:r>
          </w:p>
        </w:tc>
      </w:tr>
      <w:tr>
        <w:tblPrEx>
          <w:tblW w:w="5000" w:type="pct"/>
          <w:tblCellMar>
            <w:left w:w="70" w:type="dxa"/>
            <w:right w:w="70" w:type="dxa"/>
          </w:tblCellMar>
          <w:tblLook w:val="04A0"/>
        </w:tblPrEx>
        <w:trPr>
          <w:trHeight w:hRule="exact" w:val="255"/>
        </w:trPr>
        <w:tc>
          <w:tcPr>
            <w:tcW w:w="1564"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Národný ústav celoživotného vzdelávania</w:t>
            </w:r>
          </w:p>
        </w:tc>
        <w:tc>
          <w:tcPr>
            <w:tcW w:w="54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601 362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287 496</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202 496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1 062 269</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451 537</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262 496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254 496</w:t>
            </w:r>
          </w:p>
        </w:tc>
      </w:tr>
      <w:tr>
        <w:tblPrEx>
          <w:tblW w:w="5000" w:type="pct"/>
          <w:tblCellMar>
            <w:left w:w="70" w:type="dxa"/>
            <w:right w:w="70" w:type="dxa"/>
          </w:tblCellMar>
          <w:tblLook w:val="04A0"/>
        </w:tblPrEx>
        <w:trPr>
          <w:trHeight w:hRule="exact" w:val="255"/>
        </w:trPr>
        <w:tc>
          <w:tcPr>
            <w:tcW w:w="1564"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Rozpočtové organizácie spolu z toho:</w:t>
            </w:r>
          </w:p>
        </w:tc>
        <w:tc>
          <w:tcPr>
            <w:tcW w:w="54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22 865 636</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18 447 903</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19 985 791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20 991 142</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19 915 014</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19 868 942</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sz w:val="14"/>
                <w:szCs w:val="14"/>
                <w:lang w:eastAsia="sk-SK"/>
              </w:rPr>
            </w:pPr>
            <w:r w:rsidRPr="00291C28">
              <w:rPr>
                <w:rFonts w:ascii="Times New Roman" w:hAnsi="Times New Roman" w:cs="Times New Roman"/>
                <w:b/>
                <w:bCs/>
                <w:sz w:val="14"/>
                <w:szCs w:val="14"/>
                <w:lang w:eastAsia="sk-SK"/>
              </w:rPr>
              <w:t>19 881 615</w:t>
            </w:r>
          </w:p>
        </w:tc>
      </w:tr>
      <w:tr>
        <w:tblPrEx>
          <w:tblW w:w="5000" w:type="pct"/>
          <w:tblCellMar>
            <w:left w:w="70" w:type="dxa"/>
            <w:right w:w="70" w:type="dxa"/>
          </w:tblCellMar>
          <w:tblLook w:val="04A0"/>
        </w:tblPrEx>
        <w:trPr>
          <w:trHeight w:hRule="exact" w:val="255"/>
        </w:trPr>
        <w:tc>
          <w:tcPr>
            <w:tcW w:w="1564"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Ústav informácii a prognóz školstva</w:t>
            </w:r>
          </w:p>
        </w:tc>
        <w:tc>
          <w:tcPr>
            <w:tcW w:w="54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2 247 324</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1 682 778</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2 186 750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2 187 750</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2 022 553</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1 807 553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1 657 553</w:t>
            </w:r>
          </w:p>
        </w:tc>
      </w:tr>
      <w:tr>
        <w:tblPrEx>
          <w:tblW w:w="5000" w:type="pct"/>
          <w:tblCellMar>
            <w:left w:w="70" w:type="dxa"/>
            <w:right w:w="70" w:type="dxa"/>
          </w:tblCellMar>
          <w:tblLook w:val="04A0"/>
        </w:tblPrEx>
        <w:trPr>
          <w:trHeight w:hRule="exact" w:val="255"/>
        </w:trPr>
        <w:tc>
          <w:tcPr>
            <w:tcW w:w="1564"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Agentúra pre štrukturálne fondy</w:t>
            </w:r>
          </w:p>
        </w:tc>
        <w:tc>
          <w:tcPr>
            <w:tcW w:w="54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1 721 825</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1 470 251</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2 006 405</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2 006 405</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1 862 754</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2 217 846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2 217 846</w:t>
            </w:r>
          </w:p>
        </w:tc>
      </w:tr>
      <w:tr>
        <w:tblPrEx>
          <w:tblW w:w="5000" w:type="pct"/>
          <w:tblCellMar>
            <w:left w:w="70" w:type="dxa"/>
            <w:right w:w="70" w:type="dxa"/>
          </w:tblCellMar>
          <w:tblLook w:val="04A0"/>
        </w:tblPrEx>
        <w:trPr>
          <w:trHeight w:hRule="exact" w:val="255"/>
        </w:trPr>
        <w:tc>
          <w:tcPr>
            <w:tcW w:w="1564"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sz w:val="14"/>
                <w:szCs w:val="14"/>
                <w:lang w:eastAsia="sk-SK"/>
              </w:rPr>
            </w:pPr>
            <w:r w:rsidRPr="00291C28">
              <w:rPr>
                <w:rFonts w:ascii="Times New Roman" w:hAnsi="Times New Roman" w:cs="Times New Roman"/>
                <w:sz w:val="14"/>
                <w:szCs w:val="14"/>
                <w:lang w:eastAsia="sk-SK"/>
              </w:rPr>
              <w:t>Úrad MŠVVŠ SR</w:t>
            </w:r>
          </w:p>
        </w:tc>
        <w:tc>
          <w:tcPr>
            <w:tcW w:w="54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18 896 487</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15 294 874</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15 792 636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16 796 987</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16 029 707</w:t>
            </w:r>
          </w:p>
        </w:tc>
        <w:tc>
          <w:tcPr>
            <w:tcW w:w="51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15 843 543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sz w:val="14"/>
                <w:szCs w:val="14"/>
                <w:lang w:eastAsia="sk-SK"/>
              </w:rPr>
            </w:pPr>
            <w:r w:rsidRPr="00291C28">
              <w:rPr>
                <w:rFonts w:ascii="Times New Roman" w:hAnsi="Times New Roman" w:cs="Times New Roman"/>
                <w:sz w:val="14"/>
                <w:szCs w:val="14"/>
                <w:lang w:eastAsia="sk-SK"/>
              </w:rPr>
              <w:t>16 006 216</w:t>
            </w:r>
          </w:p>
        </w:tc>
      </w:tr>
    </w:tbl>
    <w:p w:rsidR="009D2A34" w:rsidRPr="00291C28" w:rsidP="009D2A34">
      <w:pPr>
        <w:bidi w:val="0"/>
        <w:jc w:val="both"/>
        <w:rPr>
          <w:rFonts w:ascii="Times New Roman" w:hAnsi="Times New Roman" w:cs="Times New Roman"/>
          <w:lang w:eastAsia="en-US"/>
        </w:rPr>
      </w:pPr>
    </w:p>
    <w:p w:rsidR="009D2A34" w:rsidRPr="00291C28" w:rsidP="009D2A34">
      <w:pPr>
        <w:bidi w:val="0"/>
        <w:jc w:val="both"/>
        <w:rPr>
          <w:rFonts w:ascii="Times New Roman" w:hAnsi="Times New Roman" w:cs="Times New Roman"/>
          <w:b/>
          <w:lang w:eastAsia="en-US"/>
        </w:rPr>
      </w:pPr>
      <w:r w:rsidRPr="00291C28">
        <w:rPr>
          <w:rFonts w:ascii="Times New Roman" w:hAnsi="Times New Roman" w:cs="Times New Roman"/>
          <w:b/>
          <w:lang w:eastAsia="en-US"/>
        </w:rPr>
        <w:t>Prostriedky EÚ a spolufinancovania</w:t>
      </w:r>
    </w:p>
    <w:p w:rsidR="009D2A34" w:rsidRPr="00291C28" w:rsidP="009D2A34">
      <w:pPr>
        <w:bidi w:val="0"/>
        <w:contextualSpacing/>
        <w:jc w:val="both"/>
        <w:rPr>
          <w:rFonts w:ascii="Times New Roman" w:hAnsi="Times New Roman" w:cs="Times New Roman"/>
          <w:lang w:eastAsia="en-US"/>
        </w:rPr>
      </w:pPr>
    </w:p>
    <w:tbl>
      <w:tblPr>
        <w:tblStyle w:val="TableNormal"/>
        <w:tblW w:w="9366" w:type="dxa"/>
        <w:tblInd w:w="55" w:type="dxa"/>
        <w:tblLayout w:type="fixed"/>
        <w:tblCellMar>
          <w:left w:w="70" w:type="dxa"/>
          <w:right w:w="70" w:type="dxa"/>
        </w:tblCellMar>
        <w:tblLook w:val="04A0"/>
      </w:tblPr>
      <w:tblGrid>
        <w:gridCol w:w="2992"/>
        <w:gridCol w:w="910"/>
        <w:gridCol w:w="911"/>
        <w:gridCol w:w="910"/>
        <w:gridCol w:w="911"/>
        <w:gridCol w:w="910"/>
        <w:gridCol w:w="911"/>
        <w:gridCol w:w="911"/>
      </w:tblGrid>
      <w:tr>
        <w:tblPrEx>
          <w:tblW w:w="9366" w:type="dxa"/>
          <w:tblInd w:w="55" w:type="dxa"/>
          <w:tblLayout w:type="fixed"/>
          <w:tblCellMar>
            <w:left w:w="70" w:type="dxa"/>
            <w:right w:w="70" w:type="dxa"/>
          </w:tblCellMar>
          <w:tblLook w:val="04A0"/>
        </w:tblPrEx>
        <w:trPr>
          <w:trHeight w:val="255"/>
        </w:trPr>
        <w:tc>
          <w:tcPr>
            <w:tcW w:w="299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v eurách</w:t>
            </w:r>
          </w:p>
        </w:tc>
        <w:tc>
          <w:tcPr>
            <w:tcW w:w="91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2010 S</w:t>
            </w:r>
          </w:p>
        </w:tc>
        <w:tc>
          <w:tcPr>
            <w:tcW w:w="91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2011 S</w:t>
            </w:r>
          </w:p>
        </w:tc>
        <w:tc>
          <w:tcPr>
            <w:tcW w:w="91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2012 R</w:t>
            </w:r>
          </w:p>
        </w:tc>
        <w:tc>
          <w:tcPr>
            <w:tcW w:w="91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2012 OS</w:t>
            </w:r>
          </w:p>
        </w:tc>
        <w:tc>
          <w:tcPr>
            <w:tcW w:w="91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2013 N</w:t>
            </w:r>
          </w:p>
        </w:tc>
        <w:tc>
          <w:tcPr>
            <w:tcW w:w="91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2014 N</w:t>
            </w:r>
          </w:p>
        </w:tc>
        <w:tc>
          <w:tcPr>
            <w:tcW w:w="91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2015 N</w:t>
            </w:r>
          </w:p>
        </w:tc>
      </w:tr>
      <w:tr>
        <w:tblPrEx>
          <w:tblW w:w="9366" w:type="dxa"/>
          <w:tblInd w:w="55" w:type="dxa"/>
          <w:tblLayout w:type="fixed"/>
          <w:tblCellMar>
            <w:left w:w="70" w:type="dxa"/>
            <w:right w:w="70" w:type="dxa"/>
          </w:tblCellMar>
          <w:tblLook w:val="04A0"/>
        </w:tblPrEx>
        <w:trPr>
          <w:trHeight w:val="255"/>
        </w:trPr>
        <w:tc>
          <w:tcPr>
            <w:tcW w:w="2992"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b/>
                <w:color w:val="000000"/>
                <w:sz w:val="14"/>
                <w:szCs w:val="14"/>
                <w:lang w:eastAsia="sk-SK"/>
              </w:rPr>
            </w:pPr>
            <w:r w:rsidRPr="00291C28">
              <w:rPr>
                <w:rFonts w:ascii="Times New Roman" w:hAnsi="Times New Roman" w:cs="Times New Roman"/>
                <w:b/>
                <w:color w:val="000000"/>
                <w:sz w:val="14"/>
                <w:szCs w:val="14"/>
                <w:lang w:eastAsia="sk-SK"/>
              </w:rPr>
              <w:t xml:space="preserve">Operačné programy spolu </w:t>
            </w:r>
          </w:p>
        </w:tc>
        <w:tc>
          <w:tcPr>
            <w:tcW w:w="910" w:type="dxa"/>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127 234 236</w:t>
            </w:r>
          </w:p>
        </w:tc>
        <w:tc>
          <w:tcPr>
            <w:tcW w:w="911" w:type="dxa"/>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94 901 388</w:t>
            </w:r>
          </w:p>
        </w:tc>
        <w:tc>
          <w:tcPr>
            <w:tcW w:w="910" w:type="dxa"/>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174 423 273</w:t>
            </w:r>
          </w:p>
        </w:tc>
        <w:tc>
          <w:tcPr>
            <w:tcW w:w="911" w:type="dxa"/>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165 691 081</w:t>
            </w:r>
          </w:p>
        </w:tc>
        <w:tc>
          <w:tcPr>
            <w:tcW w:w="910" w:type="dxa"/>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272 566 529</w:t>
            </w:r>
          </w:p>
        </w:tc>
        <w:tc>
          <w:tcPr>
            <w:tcW w:w="911" w:type="dxa"/>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226 829 121</w:t>
            </w:r>
          </w:p>
        </w:tc>
        <w:tc>
          <w:tcPr>
            <w:tcW w:w="911" w:type="dxa"/>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120 163 620</w:t>
            </w:r>
          </w:p>
        </w:tc>
      </w:tr>
      <w:tr>
        <w:tblPrEx>
          <w:tblW w:w="9366" w:type="dxa"/>
          <w:tblInd w:w="55" w:type="dxa"/>
          <w:tblLayout w:type="fixed"/>
          <w:tblCellMar>
            <w:left w:w="70" w:type="dxa"/>
            <w:right w:w="70" w:type="dxa"/>
          </w:tblCellMar>
          <w:tblLook w:val="04A0"/>
        </w:tblPrEx>
        <w:trPr>
          <w:trHeight w:val="255"/>
        </w:trPr>
        <w:tc>
          <w:tcPr>
            <w:tcW w:w="2992"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 xml:space="preserve">OP Vzdelávanie z toho: </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41 533 605</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34 296 195</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124 458 385</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111 558 600</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162 279 517</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134 807 283</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85 393 029</w:t>
            </w:r>
          </w:p>
        </w:tc>
      </w:tr>
      <w:tr>
        <w:tblPrEx>
          <w:tblW w:w="9366" w:type="dxa"/>
          <w:tblInd w:w="55" w:type="dxa"/>
          <w:tblLayout w:type="fixed"/>
          <w:tblCellMar>
            <w:left w:w="70" w:type="dxa"/>
            <w:right w:w="70" w:type="dxa"/>
          </w:tblCellMar>
          <w:tblLook w:val="04A0"/>
        </w:tblPrEx>
        <w:trPr>
          <w:trHeight w:val="255"/>
        </w:trPr>
        <w:tc>
          <w:tcPr>
            <w:tcW w:w="2992"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Regionálne školstvo</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18 560 935</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15 451 769</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8 269 598</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12 039 962</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23 513 374</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22 489 389</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17 026 262</w:t>
            </w:r>
          </w:p>
        </w:tc>
      </w:tr>
      <w:tr>
        <w:tblPrEx>
          <w:tblW w:w="9366" w:type="dxa"/>
          <w:tblInd w:w="55" w:type="dxa"/>
          <w:tblLayout w:type="fixed"/>
          <w:tblCellMar>
            <w:left w:w="70" w:type="dxa"/>
            <w:right w:w="70" w:type="dxa"/>
          </w:tblCellMar>
          <w:tblLook w:val="04A0"/>
        </w:tblPrEx>
        <w:trPr>
          <w:trHeight w:val="255"/>
        </w:trPr>
        <w:tc>
          <w:tcPr>
            <w:tcW w:w="2992"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Vysoké školy</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3 420 980</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3 480 807</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5 995 220</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7 539 795</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7 482 371</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13 654 535</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15 528 685</w:t>
            </w:r>
          </w:p>
        </w:tc>
      </w:tr>
      <w:tr>
        <w:tblPrEx>
          <w:tblW w:w="9366" w:type="dxa"/>
          <w:tblInd w:w="55" w:type="dxa"/>
          <w:tblLayout w:type="fixed"/>
          <w:tblCellMar>
            <w:left w:w="70" w:type="dxa"/>
            <w:right w:w="70" w:type="dxa"/>
          </w:tblCellMar>
          <w:tblLook w:val="04A0"/>
        </w:tblPrEx>
        <w:trPr>
          <w:trHeight w:val="255"/>
        </w:trPr>
        <w:tc>
          <w:tcPr>
            <w:tcW w:w="2992"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Disponibilné zdroje pre ďalšie subjekty</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19 551 690</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15 363 619</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110 193 567</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91 978 843</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131 283 772</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98 663 359</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52 838 082</w:t>
            </w:r>
          </w:p>
        </w:tc>
      </w:tr>
      <w:tr>
        <w:tblPrEx>
          <w:tblW w:w="9366" w:type="dxa"/>
          <w:tblInd w:w="55" w:type="dxa"/>
          <w:tblLayout w:type="fixed"/>
          <w:tblCellMar>
            <w:left w:w="70" w:type="dxa"/>
            <w:right w:w="70" w:type="dxa"/>
          </w:tblCellMar>
          <w:tblLook w:val="04A0"/>
        </w:tblPrEx>
        <w:trPr>
          <w:trHeight w:val="255"/>
        </w:trPr>
        <w:tc>
          <w:tcPr>
            <w:tcW w:w="2992"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OP Výskum a vývoj z toho:</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77 712 299</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56 200 162</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49 964 888</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51 198 153</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110 287 012</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92 021 838</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34 770 591</w:t>
            </w:r>
          </w:p>
        </w:tc>
      </w:tr>
      <w:tr>
        <w:tblPrEx>
          <w:tblW w:w="9366" w:type="dxa"/>
          <w:tblInd w:w="55" w:type="dxa"/>
          <w:tblLayout w:type="fixed"/>
          <w:tblCellMar>
            <w:left w:w="70" w:type="dxa"/>
            <w:right w:w="70" w:type="dxa"/>
          </w:tblCellMar>
          <w:tblLook w:val="04A0"/>
        </w:tblPrEx>
        <w:trPr>
          <w:trHeight w:val="255"/>
        </w:trPr>
        <w:tc>
          <w:tcPr>
            <w:tcW w:w="2992"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Vysoké školy</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57 769 807</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48 831 419</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45 612 685</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47 471 356</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21 764 799</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14 948 711</w:t>
            </w:r>
          </w:p>
        </w:tc>
      </w:tr>
      <w:tr>
        <w:tblPrEx>
          <w:tblW w:w="9366" w:type="dxa"/>
          <w:tblInd w:w="55" w:type="dxa"/>
          <w:tblLayout w:type="fixed"/>
          <w:tblCellMar>
            <w:left w:w="70" w:type="dxa"/>
            <w:right w:w="70" w:type="dxa"/>
          </w:tblCellMar>
          <w:tblLook w:val="04A0"/>
        </w:tblPrEx>
        <w:trPr>
          <w:trHeight w:val="255"/>
        </w:trPr>
        <w:tc>
          <w:tcPr>
            <w:tcW w:w="2992"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Disponibilné zdroje pre ďalšie subjekty</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19 942 492</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7 368 743</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49 964 888</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5 585 468</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62 815 656</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70 257 039</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19 821 880</w:t>
            </w:r>
          </w:p>
        </w:tc>
      </w:tr>
      <w:tr>
        <w:tblPrEx>
          <w:tblW w:w="9366" w:type="dxa"/>
          <w:tblInd w:w="55" w:type="dxa"/>
          <w:tblLayout w:type="fixed"/>
          <w:tblCellMar>
            <w:left w:w="70" w:type="dxa"/>
            <w:right w:w="70" w:type="dxa"/>
          </w:tblCellMar>
          <w:tblLook w:val="04A0"/>
        </w:tblPrEx>
        <w:trPr>
          <w:trHeight w:val="255"/>
        </w:trPr>
        <w:tc>
          <w:tcPr>
            <w:tcW w:w="2992"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OP Ľudské zdroje - aktívna politika trhu práce</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149 702</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r>
      <w:tr>
        <w:tblPrEx>
          <w:tblW w:w="9366" w:type="dxa"/>
          <w:tblInd w:w="55" w:type="dxa"/>
          <w:tblLayout w:type="fixed"/>
          <w:tblCellMar>
            <w:left w:w="70" w:type="dxa"/>
            <w:right w:w="70" w:type="dxa"/>
          </w:tblCellMar>
          <w:tblLook w:val="04A0"/>
        </w:tblPrEx>
        <w:trPr>
          <w:trHeight w:val="255"/>
        </w:trPr>
        <w:tc>
          <w:tcPr>
            <w:tcW w:w="2992"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OP od iných kapitol</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7 838 630</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4 405 031</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2 934 328</w:t>
            </w:r>
          </w:p>
        </w:tc>
        <w:tc>
          <w:tcPr>
            <w:tcW w:w="910"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1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r>
    </w:tbl>
    <w:p w:rsidR="009D2A34" w:rsidRPr="00291C28" w:rsidP="009D2A34">
      <w:pPr>
        <w:bidi w:val="0"/>
        <w:jc w:val="both"/>
        <w:rPr>
          <w:rFonts w:ascii="Times New Roman" w:hAnsi="Times New Roman" w:cs="Times New Roman"/>
          <w:sz w:val="14"/>
          <w:szCs w:val="14"/>
          <w:lang w:eastAsia="en-US"/>
        </w:rPr>
      </w:pPr>
      <w:r w:rsidRPr="00291C28">
        <w:rPr>
          <w:rFonts w:ascii="Times New Roman" w:hAnsi="Times New Roman" w:cs="Times New Roman"/>
          <w:sz w:val="14"/>
          <w:szCs w:val="14"/>
          <w:lang w:eastAsia="en-US"/>
        </w:rPr>
        <w:t>*Výdavky OP Výskum a vývoj a OP Vzdelávanie konkrétne určené pre oblasť vedy a techniky sú uvádzané v rámci oblasti Veda a technika</w:t>
      </w:r>
    </w:p>
    <w:p w:rsidR="009D2A34" w:rsidRPr="00291C28" w:rsidP="009D2A34">
      <w:pPr>
        <w:bidi w:val="0"/>
        <w:contextualSpacing/>
        <w:jc w:val="both"/>
        <w:rPr>
          <w:rFonts w:ascii="Times New Roman" w:hAnsi="Times New Roman" w:cs="Times New Roman"/>
          <w:lang w:eastAsia="en-US"/>
        </w:rPr>
      </w:pPr>
    </w:p>
    <w:p w:rsidR="009D2A34" w:rsidRPr="00291C28" w:rsidP="009D2A34">
      <w:pPr>
        <w:bidi w:val="0"/>
        <w:ind w:firstLine="708"/>
        <w:contextualSpacing/>
        <w:jc w:val="both"/>
        <w:rPr>
          <w:rFonts w:ascii="Times New Roman" w:hAnsi="Times New Roman" w:cs="Times New Roman"/>
          <w:lang w:eastAsia="en-US"/>
        </w:rPr>
      </w:pPr>
      <w:r w:rsidRPr="00291C28">
        <w:rPr>
          <w:rFonts w:ascii="Times New Roman" w:hAnsi="Times New Roman" w:cs="Times New Roman"/>
          <w:lang w:eastAsia="en-US"/>
        </w:rPr>
        <w:t xml:space="preserve">V rámci výdavkov sú uvádzané zdroje OP Vzdelávanie, ktoré sú rozčlenené podľa  jednotlivých vyššie uvedených oblastí (regionálne školstvo, verejné vysoké školy). Obdobne je tomu aj pri zdrojoch OP Výskum a vývoj, okrem zdrojov priamo určených pre oblasť vedy a techniky, ktoré sú rozpísané priamo v tejto oblasti. Zároveň sa tu uvádzajú aj zdroje </w:t>
      </w:r>
      <w:r w:rsidR="007D39F4">
        <w:rPr>
          <w:rFonts w:ascii="Times New Roman" w:hAnsi="Times New Roman" w:cs="Times New Roman"/>
          <w:lang w:eastAsia="en-US"/>
        </w:rPr>
        <w:br/>
      </w:r>
      <w:r w:rsidRPr="00291C28">
        <w:rPr>
          <w:rFonts w:ascii="Times New Roman" w:hAnsi="Times New Roman" w:cs="Times New Roman"/>
          <w:lang w:eastAsia="en-US"/>
        </w:rPr>
        <w:t>OP Ľudské zdroje určené pre aktívnu politiku trhu práce a zdroje z OP od iných rozpočtových kapitol.</w:t>
      </w:r>
    </w:p>
    <w:p w:rsidR="009D2A34" w:rsidP="009D2A34">
      <w:pPr>
        <w:bidi w:val="0"/>
        <w:contextualSpacing/>
        <w:jc w:val="both"/>
        <w:rPr>
          <w:rFonts w:ascii="Times New Roman" w:hAnsi="Times New Roman" w:cs="Times New Roman"/>
          <w:highlight w:val="yellow"/>
          <w:lang w:eastAsia="en-US"/>
        </w:rPr>
      </w:pPr>
    </w:p>
    <w:p w:rsidR="0059702E" w:rsidP="009D2A34">
      <w:pPr>
        <w:bidi w:val="0"/>
        <w:contextualSpacing/>
        <w:jc w:val="both"/>
        <w:rPr>
          <w:rFonts w:ascii="Times New Roman" w:hAnsi="Times New Roman" w:cs="Times New Roman"/>
          <w:highlight w:val="yellow"/>
          <w:lang w:eastAsia="en-US"/>
        </w:rPr>
      </w:pPr>
    </w:p>
    <w:p w:rsidR="0059702E" w:rsidP="009D2A34">
      <w:pPr>
        <w:bidi w:val="0"/>
        <w:contextualSpacing/>
        <w:jc w:val="both"/>
        <w:rPr>
          <w:rFonts w:ascii="Times New Roman" w:hAnsi="Times New Roman" w:cs="Times New Roman"/>
          <w:highlight w:val="yellow"/>
          <w:lang w:eastAsia="en-US"/>
        </w:rPr>
      </w:pPr>
    </w:p>
    <w:p w:rsidR="0059702E" w:rsidP="009D2A34">
      <w:pPr>
        <w:bidi w:val="0"/>
        <w:contextualSpacing/>
        <w:jc w:val="both"/>
        <w:rPr>
          <w:rFonts w:ascii="Times New Roman" w:hAnsi="Times New Roman" w:cs="Times New Roman"/>
          <w:highlight w:val="yellow"/>
          <w:lang w:eastAsia="en-US"/>
        </w:rPr>
      </w:pPr>
    </w:p>
    <w:p w:rsidR="0059702E" w:rsidP="009D2A34">
      <w:pPr>
        <w:bidi w:val="0"/>
        <w:contextualSpacing/>
        <w:jc w:val="both"/>
        <w:rPr>
          <w:rFonts w:ascii="Times New Roman" w:hAnsi="Times New Roman" w:cs="Times New Roman"/>
          <w:highlight w:val="yellow"/>
          <w:lang w:eastAsia="en-US"/>
        </w:rPr>
      </w:pPr>
    </w:p>
    <w:p w:rsidR="009D2A34" w:rsidP="009D2A34">
      <w:pPr>
        <w:bidi w:val="0"/>
        <w:contextualSpacing/>
        <w:jc w:val="both"/>
        <w:rPr>
          <w:rFonts w:ascii="Times New Roman" w:hAnsi="Times New Roman" w:cs="Times New Roman"/>
          <w:highlight w:val="yellow"/>
          <w:lang w:eastAsia="en-US"/>
        </w:rPr>
      </w:pPr>
    </w:p>
    <w:p w:rsidR="009D2A34" w:rsidP="009D2A34">
      <w:pPr>
        <w:bidi w:val="0"/>
        <w:rPr>
          <w:rFonts w:ascii="Times New Roman" w:hAnsi="Times New Roman" w:cs="Times New Roman"/>
          <w:b/>
          <w:bCs/>
        </w:rPr>
      </w:pPr>
    </w:p>
    <w:p w:rsidR="009D2A34" w:rsidP="009D2A34">
      <w:pPr>
        <w:bidi w:val="0"/>
        <w:rPr>
          <w:rFonts w:ascii="Times New Roman" w:hAnsi="Times New Roman" w:cs="Times New Roman"/>
          <w:b/>
          <w:bCs/>
        </w:rPr>
      </w:pPr>
    </w:p>
    <w:p w:rsidR="009D2A34" w:rsidP="009D2A34">
      <w:pPr>
        <w:bidi w:val="0"/>
        <w:rPr>
          <w:rFonts w:ascii="Times New Roman" w:hAnsi="Times New Roman" w:cs="Times New Roman"/>
          <w:b/>
          <w:bCs/>
        </w:rPr>
      </w:pPr>
    </w:p>
    <w:p w:rsidR="009D2A34" w:rsidP="009D2A34">
      <w:pPr>
        <w:bidi w:val="0"/>
        <w:rPr>
          <w:rFonts w:ascii="Times New Roman" w:hAnsi="Times New Roman" w:cs="Times New Roman"/>
          <w:b/>
          <w:bCs/>
        </w:rPr>
      </w:pPr>
    </w:p>
    <w:p w:rsidR="009D2A34" w:rsidRPr="00932B61" w:rsidP="009D2A34">
      <w:pPr>
        <w:pBdr>
          <w:bottom w:val="single" w:sz="4" w:space="1" w:color="auto"/>
        </w:pBdr>
        <w:bidi w:val="0"/>
        <w:rPr>
          <w:rFonts w:ascii="Times New Roman" w:hAnsi="Times New Roman" w:cs="Times New Roman"/>
          <w:b/>
          <w:bCs/>
        </w:rPr>
      </w:pPr>
      <w:r w:rsidRPr="00932B61">
        <w:rPr>
          <w:rFonts w:ascii="Times New Roman" w:hAnsi="Times New Roman" w:cs="Times New Roman"/>
          <w:b/>
          <w:bCs/>
        </w:rPr>
        <w:t>Ministerstvo dopravy, výstavby a regionálneho rozvoja SR</w:t>
      </w:r>
    </w:p>
    <w:p w:rsidR="009D2A34" w:rsidRPr="00932B61" w:rsidP="009D2A34">
      <w:pPr>
        <w:bidi w:val="0"/>
        <w:jc w:val="both"/>
        <w:rPr>
          <w:rFonts w:ascii="Times New Roman" w:hAnsi="Times New Roman" w:cs="Times New Roman"/>
          <w:b/>
        </w:rPr>
      </w:pPr>
    </w:p>
    <w:tbl>
      <w:tblPr>
        <w:tblStyle w:val="TableNormal"/>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88"/>
        <w:gridCol w:w="970"/>
        <w:gridCol w:w="971"/>
        <w:gridCol w:w="971"/>
        <w:gridCol w:w="971"/>
        <w:gridCol w:w="971"/>
        <w:gridCol w:w="971"/>
        <w:gridCol w:w="971"/>
      </w:tblGrid>
      <w:tr>
        <w:tblPrEx>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xml:space="preserve">v eurách </w:t>
            </w:r>
          </w:p>
        </w:tc>
        <w:tc>
          <w:tcPr>
            <w:tcW w:w="97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lang w:eastAsia="sk-SK"/>
              </w:rPr>
            </w:pPr>
            <w:r w:rsidRPr="00932B61">
              <w:rPr>
                <w:rFonts w:ascii="Times New Roman" w:hAnsi="Times New Roman" w:cs="Times New Roman"/>
                <w:b/>
                <w:bCs/>
                <w:color w:val="000000"/>
                <w:sz w:val="14"/>
                <w:szCs w:val="14"/>
                <w:lang w:eastAsia="sk-SK"/>
              </w:rPr>
              <w:t>2010S</w:t>
            </w:r>
          </w:p>
        </w:tc>
        <w:tc>
          <w:tcPr>
            <w:tcW w:w="97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lang w:eastAsia="sk-SK"/>
              </w:rPr>
            </w:pPr>
            <w:r w:rsidRPr="00932B61">
              <w:rPr>
                <w:rFonts w:ascii="Times New Roman" w:hAnsi="Times New Roman" w:cs="Times New Roman"/>
                <w:b/>
                <w:bCs/>
                <w:color w:val="000000"/>
                <w:sz w:val="14"/>
                <w:szCs w:val="14"/>
                <w:lang w:eastAsia="sk-SK"/>
              </w:rPr>
              <w:t>2011 S</w:t>
            </w:r>
          </w:p>
        </w:tc>
        <w:tc>
          <w:tcPr>
            <w:tcW w:w="97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lang w:eastAsia="sk-SK"/>
              </w:rPr>
            </w:pPr>
            <w:r w:rsidRPr="00932B61">
              <w:rPr>
                <w:rFonts w:ascii="Times New Roman" w:hAnsi="Times New Roman" w:cs="Times New Roman"/>
                <w:b/>
                <w:bCs/>
                <w:color w:val="000000"/>
                <w:sz w:val="14"/>
                <w:szCs w:val="14"/>
                <w:lang w:eastAsia="sk-SK"/>
              </w:rPr>
              <w:t>2012 R</w:t>
            </w:r>
          </w:p>
        </w:tc>
        <w:tc>
          <w:tcPr>
            <w:tcW w:w="97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lang w:eastAsia="sk-SK"/>
              </w:rPr>
            </w:pPr>
            <w:r w:rsidRPr="00932B61">
              <w:rPr>
                <w:rFonts w:ascii="Times New Roman" w:hAnsi="Times New Roman" w:cs="Times New Roman"/>
                <w:b/>
                <w:bCs/>
                <w:color w:val="000000"/>
                <w:sz w:val="14"/>
                <w:szCs w:val="14"/>
                <w:lang w:eastAsia="sk-SK"/>
              </w:rPr>
              <w:t>2012 OS</w:t>
            </w:r>
          </w:p>
        </w:tc>
        <w:tc>
          <w:tcPr>
            <w:tcW w:w="97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lang w:eastAsia="sk-SK"/>
              </w:rPr>
            </w:pPr>
            <w:r w:rsidRPr="00932B61">
              <w:rPr>
                <w:rFonts w:ascii="Times New Roman" w:hAnsi="Times New Roman" w:cs="Times New Roman"/>
                <w:b/>
                <w:bCs/>
                <w:color w:val="000000"/>
                <w:sz w:val="14"/>
                <w:szCs w:val="14"/>
                <w:lang w:eastAsia="sk-SK"/>
              </w:rPr>
              <w:t>2013 N</w:t>
            </w:r>
          </w:p>
        </w:tc>
        <w:tc>
          <w:tcPr>
            <w:tcW w:w="97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lang w:eastAsia="sk-SK"/>
              </w:rPr>
            </w:pPr>
            <w:r w:rsidRPr="00932B61">
              <w:rPr>
                <w:rFonts w:ascii="Times New Roman" w:hAnsi="Times New Roman" w:cs="Times New Roman"/>
                <w:b/>
                <w:bCs/>
                <w:color w:val="000000"/>
                <w:sz w:val="14"/>
                <w:szCs w:val="14"/>
                <w:lang w:eastAsia="sk-SK"/>
              </w:rPr>
              <w:t>2014 N</w:t>
            </w:r>
          </w:p>
        </w:tc>
        <w:tc>
          <w:tcPr>
            <w:tcW w:w="97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lang w:eastAsia="sk-SK"/>
              </w:rPr>
            </w:pPr>
            <w:r w:rsidRPr="00932B61">
              <w:rPr>
                <w:rFonts w:ascii="Times New Roman" w:hAnsi="Times New Roman" w:cs="Times New Roman"/>
                <w:b/>
                <w:bCs/>
                <w:color w:val="000000"/>
                <w:sz w:val="14"/>
                <w:szCs w:val="14"/>
                <w:lang w:eastAsia="sk-SK"/>
              </w:rPr>
              <w:t>2015 N</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932B61" w:rsidP="006338E5">
            <w:pPr>
              <w:bidi w:val="0"/>
              <w:rPr>
                <w:rFonts w:ascii="Times New Roman" w:hAnsi="Times New Roman" w:cs="Times New Roman"/>
                <w:b/>
                <w:bCs/>
                <w:color w:val="000000"/>
                <w:sz w:val="14"/>
                <w:szCs w:val="14"/>
                <w:lang w:eastAsia="sk-SK"/>
              </w:rPr>
            </w:pPr>
            <w:r w:rsidRPr="00932B61">
              <w:rPr>
                <w:rFonts w:ascii="Times New Roman" w:hAnsi="Times New Roman" w:cs="Times New Roman"/>
                <w:b/>
                <w:bCs/>
                <w:color w:val="000000"/>
                <w:sz w:val="14"/>
                <w:szCs w:val="14"/>
                <w:lang w:eastAsia="sk-SK"/>
              </w:rPr>
              <w:t>Zdroje príslušnej kapitoly</w:t>
            </w:r>
          </w:p>
        </w:tc>
        <w:tc>
          <w:tcPr>
            <w:tcW w:w="970"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1 296 282 427</w:t>
            </w:r>
          </w:p>
        </w:tc>
        <w:tc>
          <w:tcPr>
            <w:tcW w:w="971"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1 574 892 051</w:t>
            </w:r>
          </w:p>
        </w:tc>
        <w:tc>
          <w:tcPr>
            <w:tcW w:w="971"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2 126 190 949</w:t>
            </w:r>
          </w:p>
        </w:tc>
        <w:tc>
          <w:tcPr>
            <w:tcW w:w="971"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1 697 165 097</w:t>
            </w:r>
          </w:p>
        </w:tc>
        <w:tc>
          <w:tcPr>
            <w:tcW w:w="971"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hideMark/>
          </w:tcPr>
          <w:p w:rsidR="009D2A34" w:rsidRPr="003C22A9" w:rsidP="006338E5">
            <w:pPr>
              <w:bidi w:val="0"/>
              <w:jc w:val="right"/>
              <w:rPr>
                <w:rFonts w:ascii="Times New Roman" w:hAnsi="Times New Roman" w:cs="Times New Roman"/>
                <w:b/>
                <w:bCs/>
                <w:color w:val="000000"/>
                <w:sz w:val="14"/>
                <w:szCs w:val="14"/>
              </w:rPr>
            </w:pPr>
            <w:r w:rsidRPr="003C22A9">
              <w:rPr>
                <w:rFonts w:ascii="Times New Roman" w:hAnsi="Times New Roman" w:cs="Times New Roman"/>
                <w:b/>
                <w:bCs/>
                <w:color w:val="000000"/>
                <w:sz w:val="14"/>
                <w:szCs w:val="14"/>
              </w:rPr>
              <w:t>2 2</w:t>
            </w:r>
            <w:r>
              <w:rPr>
                <w:rFonts w:ascii="Times New Roman" w:hAnsi="Times New Roman" w:cs="Times New Roman"/>
                <w:b/>
                <w:bCs/>
                <w:color w:val="000000"/>
                <w:sz w:val="14"/>
                <w:szCs w:val="14"/>
              </w:rPr>
              <w:t>8</w:t>
            </w:r>
            <w:r w:rsidRPr="003C22A9">
              <w:rPr>
                <w:rFonts w:ascii="Times New Roman" w:hAnsi="Times New Roman" w:cs="Times New Roman"/>
                <w:b/>
                <w:bCs/>
                <w:color w:val="000000"/>
                <w:sz w:val="14"/>
                <w:szCs w:val="14"/>
              </w:rPr>
              <w:t>8 121 084</w:t>
            </w:r>
          </w:p>
        </w:tc>
        <w:tc>
          <w:tcPr>
            <w:tcW w:w="971"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2 122 988 378</w:t>
            </w:r>
          </w:p>
        </w:tc>
        <w:tc>
          <w:tcPr>
            <w:tcW w:w="971" w:type="dxa"/>
            <w:tcBorders>
              <w:top w:val="single" w:sz="4" w:space="0" w:color="auto"/>
              <w:left w:val="single" w:sz="4" w:space="0" w:color="auto"/>
              <w:bottom w:val="single" w:sz="4" w:space="0" w:color="auto"/>
              <w:right w:val="single" w:sz="4" w:space="0" w:color="auto"/>
            </w:tcBorders>
            <w:shd w:val="clear" w:color="000000" w:fill="C0C0C0"/>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2 054 034 189</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z toho:</w:t>
            </w:r>
          </w:p>
        </w:tc>
        <w:tc>
          <w:tcPr>
            <w:tcW w:w="97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color w:val="000000"/>
                <w:sz w:val="14"/>
                <w:szCs w:val="14"/>
              </w:rPr>
            </w:pPr>
            <w:r w:rsidRPr="00932B61">
              <w:rPr>
                <w:color w:val="000000"/>
                <w:sz w:val="14"/>
                <w:szCs w:val="14"/>
              </w:rPr>
              <w:t> </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color w:val="000000"/>
                <w:sz w:val="14"/>
                <w:szCs w:val="14"/>
              </w:rPr>
            </w:pPr>
            <w:r w:rsidRPr="00932B61">
              <w:rPr>
                <w:color w:val="000000"/>
                <w:sz w:val="14"/>
                <w:szCs w:val="14"/>
              </w:rPr>
              <w:t> </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color w:val="000000"/>
                <w:sz w:val="14"/>
                <w:szCs w:val="14"/>
              </w:rPr>
            </w:pPr>
            <w:r w:rsidRPr="00932B61">
              <w:rPr>
                <w:color w:val="000000"/>
                <w:sz w:val="14"/>
                <w:szCs w:val="14"/>
              </w:rPr>
              <w:t> </w:t>
            </w:r>
          </w:p>
        </w:tc>
        <w:tc>
          <w:tcPr>
            <w:tcW w:w="97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color w:val="000000"/>
                <w:sz w:val="14"/>
                <w:szCs w:val="14"/>
              </w:rPr>
            </w:pPr>
            <w:r w:rsidRPr="00932B61">
              <w:rPr>
                <w:color w:val="000000"/>
                <w:sz w:val="14"/>
                <w:szCs w:val="14"/>
              </w:rPr>
              <w:t> </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P="006338E5">
            <w:pPr>
              <w:bidi w:val="0"/>
              <w:jc w:val="right"/>
              <w:rPr>
                <w:color w:val="000000"/>
                <w:sz w:val="14"/>
                <w:szCs w:val="14"/>
              </w:rPr>
            </w:pPr>
            <w:r>
              <w:rPr>
                <w:color w:val="000000"/>
                <w:sz w:val="14"/>
                <w:szCs w:val="14"/>
              </w:rPr>
              <w:t> </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color w:val="000000"/>
                <w:sz w:val="14"/>
                <w:szCs w:val="14"/>
              </w:rPr>
            </w:pPr>
            <w:r w:rsidRPr="00932B61">
              <w:rPr>
                <w:color w:val="000000"/>
                <w:sz w:val="14"/>
                <w:szCs w:val="14"/>
              </w:rPr>
              <w:t> </w:t>
            </w:r>
          </w:p>
        </w:tc>
        <w:tc>
          <w:tcPr>
            <w:tcW w:w="97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color w:val="000000"/>
                <w:sz w:val="14"/>
                <w:szCs w:val="14"/>
              </w:rPr>
            </w:pPr>
            <w:r w:rsidRPr="00932B61">
              <w:rPr>
                <w:color w:val="000000"/>
                <w:sz w:val="14"/>
                <w:szCs w:val="14"/>
              </w:rPr>
              <w:t> </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 xml:space="preserve">rozpočtové zdroje kapitoly </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594 106 241</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1 219 014 017</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1 203 637 710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1 106 342 110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84116" w:rsidP="006338E5">
            <w:pPr>
              <w:bidi w:val="0"/>
              <w:jc w:val="right"/>
              <w:rPr>
                <w:rFonts w:ascii="Times New Roman" w:hAnsi="Times New Roman" w:cs="Times New Roman"/>
                <w:b/>
                <w:color w:val="000000"/>
                <w:sz w:val="14"/>
                <w:szCs w:val="14"/>
              </w:rPr>
            </w:pPr>
            <w:r w:rsidRPr="00984116">
              <w:rPr>
                <w:rFonts w:ascii="Times New Roman" w:hAnsi="Times New Roman" w:cs="Times New Roman"/>
                <w:b/>
                <w:color w:val="000000"/>
                <w:sz w:val="14"/>
                <w:szCs w:val="14"/>
              </w:rPr>
              <w:t>1 2</w:t>
            </w:r>
            <w:r>
              <w:rPr>
                <w:rFonts w:ascii="Times New Roman" w:hAnsi="Times New Roman" w:cs="Times New Roman"/>
                <w:b/>
                <w:color w:val="000000"/>
                <w:sz w:val="14"/>
                <w:szCs w:val="14"/>
              </w:rPr>
              <w:t>3</w:t>
            </w:r>
            <w:r w:rsidRPr="00984116">
              <w:rPr>
                <w:rFonts w:ascii="Times New Roman" w:hAnsi="Times New Roman" w:cs="Times New Roman"/>
                <w:b/>
                <w:color w:val="000000"/>
                <w:sz w:val="14"/>
                <w:szCs w:val="14"/>
              </w:rPr>
              <w:t>8 207 803</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1 215 607 834</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1 409 976 364</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v tom: bežné výdavky  600</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456 415 265</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692 419 286</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844 616 712</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840 896 166</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A833D3" w:rsidP="006338E5">
            <w:pPr>
              <w:bidi w:val="0"/>
              <w:jc w:val="right"/>
              <w:rPr>
                <w:rFonts w:ascii="Times New Roman" w:hAnsi="Times New Roman" w:cs="Times New Roman"/>
                <w:color w:val="000000"/>
                <w:sz w:val="14"/>
                <w:szCs w:val="14"/>
              </w:rPr>
            </w:pPr>
            <w:r w:rsidRPr="00A833D3">
              <w:rPr>
                <w:rFonts w:ascii="Times New Roman" w:hAnsi="Times New Roman" w:cs="Times New Roman"/>
                <w:color w:val="000000"/>
                <w:sz w:val="14"/>
                <w:szCs w:val="14"/>
              </w:rPr>
              <w:t>85</w:t>
            </w:r>
            <w:r>
              <w:rPr>
                <w:rFonts w:ascii="Times New Roman" w:hAnsi="Times New Roman" w:cs="Times New Roman"/>
                <w:color w:val="000000"/>
                <w:sz w:val="14"/>
                <w:szCs w:val="14"/>
              </w:rPr>
              <w:t>8</w:t>
            </w:r>
            <w:r w:rsidRPr="00A833D3">
              <w:rPr>
                <w:rFonts w:ascii="Times New Roman" w:hAnsi="Times New Roman" w:cs="Times New Roman"/>
                <w:color w:val="000000"/>
                <w:sz w:val="14"/>
                <w:szCs w:val="14"/>
              </w:rPr>
              <w:t xml:space="preserve"> </w:t>
            </w:r>
            <w:r>
              <w:rPr>
                <w:rFonts w:ascii="Times New Roman" w:hAnsi="Times New Roman" w:cs="Times New Roman"/>
                <w:color w:val="000000"/>
                <w:sz w:val="14"/>
                <w:szCs w:val="14"/>
              </w:rPr>
              <w:t>3</w:t>
            </w:r>
            <w:r w:rsidRPr="00A833D3">
              <w:rPr>
                <w:rFonts w:ascii="Times New Roman" w:hAnsi="Times New Roman" w:cs="Times New Roman"/>
                <w:color w:val="000000"/>
                <w:sz w:val="14"/>
                <w:szCs w:val="14"/>
              </w:rPr>
              <w:t>81 699</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849 104 774</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854 470 915</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610 mzdy</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18 835 887</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21 966 325</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22 822 385</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24 627 408</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A833D3" w:rsidP="006338E5">
            <w:pPr>
              <w:bidi w:val="0"/>
              <w:jc w:val="right"/>
              <w:rPr>
                <w:rFonts w:ascii="Times New Roman" w:hAnsi="Times New Roman" w:cs="Times New Roman"/>
                <w:color w:val="000000"/>
                <w:sz w:val="14"/>
                <w:szCs w:val="14"/>
              </w:rPr>
            </w:pPr>
            <w:r w:rsidRPr="00A833D3">
              <w:rPr>
                <w:rFonts w:ascii="Times New Roman" w:hAnsi="Times New Roman" w:cs="Times New Roman"/>
                <w:color w:val="000000"/>
                <w:sz w:val="14"/>
                <w:szCs w:val="14"/>
              </w:rPr>
              <w:t>21 726 082</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21 729 692</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21 744 297</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620 odvody</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6 673 719</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7 996 120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7 944 795</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8 686 608</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A833D3" w:rsidP="006338E5">
            <w:pPr>
              <w:bidi w:val="0"/>
              <w:jc w:val="right"/>
              <w:rPr>
                <w:rFonts w:ascii="Times New Roman" w:hAnsi="Times New Roman" w:cs="Times New Roman"/>
                <w:color w:val="000000"/>
                <w:sz w:val="14"/>
                <w:szCs w:val="14"/>
              </w:rPr>
            </w:pPr>
            <w:r w:rsidRPr="00A833D3">
              <w:rPr>
                <w:rFonts w:ascii="Times New Roman" w:hAnsi="Times New Roman" w:cs="Times New Roman"/>
                <w:color w:val="000000"/>
                <w:sz w:val="14"/>
                <w:szCs w:val="14"/>
              </w:rPr>
              <w:t>7 563 434</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7 564 540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7 569 585</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630  tovary a služby                                                                     </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55 667 818</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76 431 901</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160 960 310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158 119 349</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A833D3" w:rsidP="006338E5">
            <w:pPr>
              <w:bidi w:val="0"/>
              <w:jc w:val="right"/>
              <w:rPr>
                <w:rFonts w:ascii="Times New Roman" w:hAnsi="Times New Roman" w:cs="Times New Roman"/>
                <w:color w:val="000000"/>
                <w:sz w:val="14"/>
                <w:szCs w:val="14"/>
              </w:rPr>
            </w:pPr>
            <w:r w:rsidRPr="00A833D3">
              <w:rPr>
                <w:rFonts w:ascii="Times New Roman" w:hAnsi="Times New Roman" w:cs="Times New Roman"/>
                <w:color w:val="000000"/>
                <w:sz w:val="14"/>
                <w:szCs w:val="14"/>
              </w:rPr>
              <w:t>184 661 625</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185 063 788</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185 907 523</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640 bežné transfery</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375 237 840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586 024 940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652 889 222</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649 462 801</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A833D3" w:rsidP="006338E5">
            <w:pPr>
              <w:bidi w:val="0"/>
              <w:jc w:val="right"/>
              <w:rPr>
                <w:rFonts w:ascii="Times New Roman" w:hAnsi="Times New Roman" w:cs="Times New Roman"/>
                <w:color w:val="000000"/>
                <w:sz w:val="14"/>
                <w:szCs w:val="14"/>
              </w:rPr>
            </w:pPr>
            <w:r w:rsidRPr="00A833D3">
              <w:rPr>
                <w:rFonts w:ascii="Times New Roman" w:hAnsi="Times New Roman" w:cs="Times New Roman"/>
                <w:color w:val="000000"/>
                <w:sz w:val="14"/>
                <w:szCs w:val="14"/>
              </w:rPr>
              <w:t>6</w:t>
            </w:r>
            <w:r>
              <w:rPr>
                <w:rFonts w:ascii="Times New Roman" w:hAnsi="Times New Roman" w:cs="Times New Roman"/>
                <w:color w:val="000000"/>
                <w:sz w:val="14"/>
                <w:szCs w:val="14"/>
              </w:rPr>
              <w:t>44</w:t>
            </w:r>
            <w:r w:rsidRPr="00A833D3">
              <w:rPr>
                <w:rFonts w:ascii="Times New Roman" w:hAnsi="Times New Roman" w:cs="Times New Roman"/>
                <w:color w:val="000000"/>
                <w:sz w:val="14"/>
                <w:szCs w:val="14"/>
              </w:rPr>
              <w:t xml:space="preserve"> 430 558</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634 746 754</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639 249 510</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kapitálové výdavky 700</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137 690 976</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526 594 731</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359 020 998</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265 445 944</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A833D3" w:rsidP="006338E5">
            <w:pPr>
              <w:bidi w:val="0"/>
              <w:jc w:val="right"/>
              <w:rPr>
                <w:rFonts w:ascii="Times New Roman" w:hAnsi="Times New Roman" w:cs="Times New Roman"/>
                <w:color w:val="000000"/>
                <w:sz w:val="14"/>
                <w:szCs w:val="14"/>
              </w:rPr>
            </w:pPr>
            <w:r w:rsidRPr="00A833D3">
              <w:rPr>
                <w:rFonts w:ascii="Times New Roman" w:hAnsi="Times New Roman" w:cs="Times New Roman"/>
                <w:color w:val="000000"/>
                <w:sz w:val="14"/>
                <w:szCs w:val="14"/>
              </w:rPr>
              <w:t>3</w:t>
            </w:r>
            <w:r>
              <w:rPr>
                <w:rFonts w:ascii="Times New Roman" w:hAnsi="Times New Roman" w:cs="Times New Roman"/>
                <w:color w:val="000000"/>
                <w:sz w:val="14"/>
                <w:szCs w:val="14"/>
              </w:rPr>
              <w:t>79</w:t>
            </w:r>
            <w:r w:rsidRPr="00A833D3">
              <w:rPr>
                <w:rFonts w:ascii="Times New Roman" w:hAnsi="Times New Roman" w:cs="Times New Roman"/>
                <w:color w:val="000000"/>
                <w:sz w:val="14"/>
                <w:szCs w:val="14"/>
              </w:rPr>
              <w:t xml:space="preserve"> 826 104</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366 503 060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555 505 449</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b/>
                <w:sz w:val="14"/>
                <w:szCs w:val="14"/>
              </w:rPr>
            </w:pPr>
            <w:r w:rsidRPr="00932B61">
              <w:rPr>
                <w:rFonts w:ascii="Times New Roman" w:hAnsi="Times New Roman" w:cs="Times New Roman"/>
                <w:b/>
                <w:sz w:val="14"/>
                <w:szCs w:val="14"/>
              </w:rPr>
              <w:t>zdroje EÚ vrátane spolufinancovania</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193 685 115</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341 556 948</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922 553 239</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589 546 399</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1 049 913 281</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907 380 544</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644 057 825</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sz w:val="14"/>
                <w:szCs w:val="14"/>
              </w:rPr>
            </w:pPr>
            <w:r w:rsidRPr="00932B61">
              <w:rPr>
                <w:rFonts w:ascii="Times New Roman" w:hAnsi="Times New Roman" w:cs="Times New Roman"/>
                <w:sz w:val="14"/>
                <w:szCs w:val="14"/>
              </w:rPr>
              <w:t>v tom: 1. program.  obdobie   EU</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127 985</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sz w:val="14"/>
                <w:szCs w:val="14"/>
              </w:rPr>
            </w:pPr>
            <w:r w:rsidRPr="00932B61">
              <w:rPr>
                <w:rFonts w:ascii="Times New Roman" w:hAnsi="Times New Roman" w:cs="Times New Roman"/>
                <w:sz w:val="14"/>
                <w:szCs w:val="14"/>
              </w:rPr>
              <w:t xml:space="preserve">             spolufinancovanie   zo ŠR</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44 968</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sz w:val="14"/>
                <w:szCs w:val="14"/>
              </w:rPr>
            </w:pPr>
            <w:r w:rsidRPr="00932B61">
              <w:rPr>
                <w:rFonts w:ascii="Times New Roman" w:hAnsi="Times New Roman" w:cs="Times New Roman"/>
                <w:sz w:val="14"/>
                <w:szCs w:val="14"/>
              </w:rPr>
              <w:t xml:space="preserve">             2. program.  obdobie EU</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163 419 476</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266 282 282</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757 609 597</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477 084 620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883 906 932</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625 887 756</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341 941 550</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sz w:val="14"/>
                <w:szCs w:val="14"/>
              </w:rPr>
            </w:pPr>
            <w:r w:rsidRPr="00932B61">
              <w:rPr>
                <w:rFonts w:ascii="Times New Roman" w:hAnsi="Times New Roman" w:cs="Times New Roman"/>
                <w:sz w:val="14"/>
                <w:szCs w:val="14"/>
              </w:rPr>
              <w:t xml:space="preserve">             spolufinancovanie  zo ŠR</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30 265 639</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75 101 713</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164 943 642</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112 461 779</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166 006 349</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108 415 788</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59 808 275</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sz w:val="14"/>
                <w:szCs w:val="14"/>
              </w:rPr>
            </w:pPr>
            <w:r w:rsidRPr="00932B61">
              <w:rPr>
                <w:rFonts w:ascii="Times New Roman" w:hAnsi="Times New Roman" w:cs="Times New Roman"/>
                <w:sz w:val="14"/>
                <w:szCs w:val="14"/>
              </w:rPr>
              <w:t xml:space="preserve">             3. program.  obdobie EU</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147 115 000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205 962 000</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sz w:val="14"/>
                <w:szCs w:val="14"/>
              </w:rPr>
            </w:pPr>
            <w:r w:rsidRPr="00932B61">
              <w:rPr>
                <w:rFonts w:ascii="Times New Roman" w:hAnsi="Times New Roman" w:cs="Times New Roman"/>
                <w:sz w:val="14"/>
                <w:szCs w:val="14"/>
              </w:rPr>
              <w:t xml:space="preserve">             spolufinancovanie  zo ŠR</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25 962 000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36 346 000</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b/>
                <w:sz w:val="14"/>
                <w:szCs w:val="14"/>
              </w:rPr>
            </w:pPr>
            <w:r w:rsidRPr="00932B61">
              <w:rPr>
                <w:rFonts w:ascii="Times New Roman" w:hAnsi="Times New Roman" w:cs="Times New Roman"/>
                <w:b/>
                <w:sz w:val="14"/>
                <w:szCs w:val="14"/>
              </w:rPr>
              <w:t>presun z minulých rokov §8</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508 491 071</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14 321 087</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1 276 588</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0</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v tom: štátny rozpočet</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270 673 566</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14 319 694</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sz w:val="14"/>
                <w:szCs w:val="14"/>
              </w:rPr>
            </w:pPr>
            <w:r w:rsidRPr="00932B61">
              <w:rPr>
                <w:rFonts w:ascii="Times New Roman" w:hAnsi="Times New Roman" w:cs="Times New Roman"/>
                <w:sz w:val="14"/>
                <w:szCs w:val="14"/>
              </w:rPr>
              <w:t xml:space="preserve">            EU prostriedky</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201 500 755</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1 184</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r>
        <w:tblPrEx>
          <w:tblW w:w="9284" w:type="dxa"/>
          <w:tblInd w:w="-72" w:type="dxa"/>
          <w:tblCellMar>
            <w:left w:w="70" w:type="dxa"/>
            <w:right w:w="70" w:type="dxa"/>
          </w:tblCellMar>
          <w:tblLook w:val="04A0"/>
        </w:tblPrEx>
        <w:trPr>
          <w:trHeight w:val="219"/>
        </w:trPr>
        <w:tc>
          <w:tcPr>
            <w:tcW w:w="248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sz w:val="14"/>
                <w:szCs w:val="14"/>
              </w:rPr>
            </w:pPr>
            <w:r w:rsidRPr="00932B61">
              <w:rPr>
                <w:rFonts w:ascii="Times New Roman" w:hAnsi="Times New Roman" w:cs="Times New Roman"/>
                <w:sz w:val="14"/>
                <w:szCs w:val="14"/>
              </w:rPr>
              <w:t xml:space="preserve">            spolufinancovanie  zo ŠR</w:t>
            </w:r>
          </w:p>
        </w:tc>
        <w:tc>
          <w:tcPr>
            <w:tcW w:w="97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36 316 750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209</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71"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bl>
    <w:p w:rsidR="009D2A34" w:rsidRPr="00932B61" w:rsidP="009D2A34">
      <w:pPr>
        <w:bidi w:val="0"/>
        <w:contextualSpacing/>
        <w:jc w:val="both"/>
        <w:rPr>
          <w:rFonts w:ascii="Times New Roman" w:hAnsi="Times New Roman" w:cs="Times New Roman"/>
          <w:lang w:eastAsia="en-US"/>
        </w:rPr>
      </w:pPr>
    </w:p>
    <w:p w:rsidR="009D2A34" w:rsidRPr="00932B61" w:rsidP="009D2A34">
      <w:pPr>
        <w:bidi w:val="0"/>
        <w:ind w:firstLine="708"/>
        <w:contextualSpacing/>
        <w:jc w:val="both"/>
        <w:rPr>
          <w:rFonts w:ascii="Times New Roman" w:hAnsi="Times New Roman" w:cs="Times New Roman"/>
          <w:lang w:eastAsia="en-US"/>
        </w:rPr>
      </w:pPr>
      <w:r w:rsidRPr="00932B61">
        <w:rPr>
          <w:rFonts w:ascii="Times New Roman" w:hAnsi="Times New Roman" w:cs="Times New Roman"/>
          <w:lang w:eastAsia="en-US"/>
        </w:rPr>
        <w:t>V kapitole Ministerstva dopravy, výstavby a regionálneho rozvoja SR (ďalej len „MDVRR SR“) sa rozpočtujú na rok 2013 výdavky v celkovej sume 2,2</w:t>
      </w:r>
      <w:r>
        <w:rPr>
          <w:rFonts w:ascii="Times New Roman" w:hAnsi="Times New Roman" w:cs="Times New Roman"/>
          <w:lang w:eastAsia="en-US"/>
        </w:rPr>
        <w:t>9</w:t>
      </w:r>
      <w:r w:rsidRPr="00932B61">
        <w:rPr>
          <w:rFonts w:ascii="Times New Roman" w:hAnsi="Times New Roman" w:cs="Times New Roman"/>
          <w:lang w:eastAsia="en-US"/>
        </w:rPr>
        <w:t xml:space="preserve"> mld. eur, čo v porovnaní so schváleným rozpočtom roku 2012 predstavuje zvýšenie o </w:t>
      </w:r>
      <w:r>
        <w:rPr>
          <w:rFonts w:ascii="Times New Roman" w:hAnsi="Times New Roman" w:cs="Times New Roman"/>
          <w:lang w:eastAsia="en-US"/>
        </w:rPr>
        <w:t>7</w:t>
      </w:r>
      <w:r w:rsidRPr="00932B61">
        <w:rPr>
          <w:rFonts w:ascii="Times New Roman" w:hAnsi="Times New Roman" w:cs="Times New Roman"/>
          <w:lang w:eastAsia="en-US"/>
        </w:rPr>
        <w:t>,</w:t>
      </w:r>
      <w:r>
        <w:rPr>
          <w:rFonts w:ascii="Times New Roman" w:hAnsi="Times New Roman" w:cs="Times New Roman"/>
          <w:lang w:eastAsia="en-US"/>
        </w:rPr>
        <w:t>6</w:t>
      </w:r>
      <w:r w:rsidRPr="00932B61">
        <w:rPr>
          <w:rFonts w:ascii="Times New Roman" w:hAnsi="Times New Roman" w:cs="Times New Roman"/>
          <w:lang w:eastAsia="en-US"/>
        </w:rPr>
        <w:t xml:space="preserve">2 %, </w:t>
      </w:r>
      <w:r w:rsidR="007D39F4">
        <w:rPr>
          <w:rFonts w:ascii="Times New Roman" w:hAnsi="Times New Roman" w:cs="Times New Roman"/>
          <w:lang w:eastAsia="en-US"/>
        </w:rPr>
        <w:br/>
      </w:r>
      <w:r w:rsidRPr="00932B61">
        <w:rPr>
          <w:rFonts w:ascii="Times New Roman" w:hAnsi="Times New Roman" w:cs="Times New Roman"/>
          <w:lang w:eastAsia="en-US"/>
        </w:rPr>
        <w:t>t. j. o 1</w:t>
      </w:r>
      <w:r>
        <w:rPr>
          <w:rFonts w:ascii="Times New Roman" w:hAnsi="Times New Roman" w:cs="Times New Roman"/>
          <w:lang w:eastAsia="en-US"/>
        </w:rPr>
        <w:t>6</w:t>
      </w:r>
      <w:r w:rsidRPr="00932B61">
        <w:rPr>
          <w:rFonts w:ascii="Times New Roman" w:hAnsi="Times New Roman" w:cs="Times New Roman"/>
          <w:lang w:eastAsia="en-US"/>
        </w:rPr>
        <w:t>2 mil. eur. Zvýšenie výdavkov kapitoly súvisí najmä so zvýšením prostriedkov EÚ, spolufinancovania zo štátneho rozpočtu a výdavkov štátneho rozpočtu určených na dofinancovanie projektov financovaných z prostriedkov EÚ.</w:t>
      </w:r>
    </w:p>
    <w:p w:rsidR="009D2A34" w:rsidRPr="00932B61" w:rsidP="009D2A34">
      <w:pPr>
        <w:bidi w:val="0"/>
        <w:contextualSpacing/>
        <w:jc w:val="both"/>
        <w:rPr>
          <w:rFonts w:ascii="Times New Roman" w:hAnsi="Times New Roman" w:cs="Times New Roman"/>
          <w:lang w:eastAsia="en-US"/>
        </w:rPr>
      </w:pPr>
    </w:p>
    <w:p w:rsidR="009D2A34" w:rsidRPr="00932B61" w:rsidP="009D2A34">
      <w:pPr>
        <w:bidi w:val="0"/>
        <w:ind w:firstLine="708"/>
        <w:contextualSpacing/>
        <w:jc w:val="both"/>
        <w:rPr>
          <w:rFonts w:ascii="Times New Roman" w:hAnsi="Times New Roman" w:cs="Times New Roman"/>
          <w:lang w:eastAsia="en-US"/>
        </w:rPr>
      </w:pPr>
      <w:r w:rsidRPr="00932B61">
        <w:rPr>
          <w:rFonts w:ascii="Times New Roman" w:hAnsi="Times New Roman" w:cs="Times New Roman"/>
          <w:lang w:eastAsia="en-US"/>
        </w:rPr>
        <w:t>Objem osobných výdavkov sa na rok 2013 rozpočtuje v sume 29,3 mil. eur a v porovnaní so schváleným rozpočtom roku 2012 znamená pokles o 4,80 %, čo predstavuje 1,48 mil. eur.</w:t>
      </w:r>
    </w:p>
    <w:p w:rsidR="009D2A34" w:rsidRPr="00932B61" w:rsidP="009D2A34">
      <w:pPr>
        <w:bidi w:val="0"/>
        <w:contextualSpacing/>
        <w:jc w:val="both"/>
        <w:rPr>
          <w:rFonts w:ascii="Times New Roman" w:hAnsi="Times New Roman" w:cs="Times New Roman"/>
          <w:lang w:eastAsia="en-US"/>
        </w:rPr>
      </w:pPr>
    </w:p>
    <w:p w:rsidR="009D2A34" w:rsidRPr="00932B61" w:rsidP="009D2A34">
      <w:pPr>
        <w:bidi w:val="0"/>
        <w:ind w:firstLine="708"/>
        <w:contextualSpacing/>
        <w:jc w:val="both"/>
        <w:rPr>
          <w:rFonts w:ascii="Times New Roman" w:hAnsi="Times New Roman" w:cs="Times New Roman"/>
          <w:lang w:eastAsia="en-US"/>
        </w:rPr>
      </w:pPr>
      <w:r w:rsidRPr="00932B61">
        <w:rPr>
          <w:rFonts w:ascii="Times New Roman" w:hAnsi="Times New Roman" w:cs="Times New Roman"/>
          <w:lang w:eastAsia="en-US"/>
        </w:rPr>
        <w:t>Výdavky na tovary a služby v roku 2013 sa rozpočtujú v objeme  185 mil. eur</w:t>
        <w:br/>
        <w:t xml:space="preserve">a v porovnaní  so  schváleným  rozpočtom  roku 2012 sú vyššie o 14,7 %, t. j. o 23,7 mil. eur.  Dôvodom zvýšenia je rozpočtovanie vyšších výdavkov na platbu za dostupnosť PPP projektov o 29,9 mil. eur. Po vylúčení výdavkov na platbu za dostupnosť PPP projektov sú výdavky nižšie o 6,22 mil. eur, t. j. o 10,3 %. </w:t>
      </w:r>
    </w:p>
    <w:p w:rsidR="009D2A34" w:rsidRPr="00932B61" w:rsidP="009D2A34">
      <w:pPr>
        <w:bidi w:val="0"/>
        <w:contextualSpacing/>
        <w:jc w:val="both"/>
        <w:rPr>
          <w:rFonts w:ascii="Times New Roman" w:hAnsi="Times New Roman" w:cs="Times New Roman"/>
          <w:lang w:eastAsia="en-US"/>
        </w:rPr>
      </w:pPr>
    </w:p>
    <w:p w:rsidR="009D2A34" w:rsidRPr="00932B61" w:rsidP="009D2A34">
      <w:pPr>
        <w:bidi w:val="0"/>
        <w:ind w:firstLine="708"/>
        <w:contextualSpacing/>
        <w:jc w:val="both"/>
        <w:rPr>
          <w:rFonts w:ascii="Times New Roman" w:hAnsi="Times New Roman" w:cs="Times New Roman"/>
          <w:lang w:eastAsia="en-US"/>
        </w:rPr>
      </w:pPr>
      <w:r w:rsidRPr="00932B61">
        <w:rPr>
          <w:rFonts w:ascii="Times New Roman" w:hAnsi="Times New Roman" w:cs="Times New Roman"/>
          <w:lang w:eastAsia="en-US"/>
        </w:rPr>
        <w:t>Bežné transfery sa na</w:t>
      </w:r>
      <w:r>
        <w:rPr>
          <w:rFonts w:ascii="Times New Roman" w:hAnsi="Times New Roman" w:cs="Times New Roman"/>
          <w:lang w:eastAsia="en-US"/>
        </w:rPr>
        <w:t xml:space="preserve"> rok 2013 rozpočtujú vo výške 644</w:t>
      </w:r>
      <w:r w:rsidRPr="00932B61">
        <w:rPr>
          <w:rFonts w:ascii="Times New Roman" w:hAnsi="Times New Roman" w:cs="Times New Roman"/>
          <w:lang w:eastAsia="en-US"/>
        </w:rPr>
        <w:t xml:space="preserve"> mil. eur, v porovnaní so schváleným rozpočtom roku 2012 sú nižšie o </w:t>
      </w:r>
      <w:r>
        <w:rPr>
          <w:rFonts w:ascii="Times New Roman" w:hAnsi="Times New Roman" w:cs="Times New Roman"/>
          <w:lang w:eastAsia="en-US"/>
        </w:rPr>
        <w:t>1</w:t>
      </w:r>
      <w:r w:rsidRPr="00932B61">
        <w:rPr>
          <w:rFonts w:ascii="Times New Roman" w:hAnsi="Times New Roman" w:cs="Times New Roman"/>
          <w:lang w:eastAsia="en-US"/>
        </w:rPr>
        <w:t>,</w:t>
      </w:r>
      <w:r>
        <w:rPr>
          <w:rFonts w:ascii="Times New Roman" w:hAnsi="Times New Roman" w:cs="Times New Roman"/>
          <w:lang w:eastAsia="en-US"/>
        </w:rPr>
        <w:t>3</w:t>
      </w:r>
      <w:r w:rsidRPr="00932B61">
        <w:rPr>
          <w:rFonts w:ascii="Times New Roman" w:hAnsi="Times New Roman" w:cs="Times New Roman"/>
          <w:lang w:eastAsia="en-US"/>
        </w:rPr>
        <w:t>0 %, t. j. o </w:t>
      </w:r>
      <w:r>
        <w:rPr>
          <w:rFonts w:ascii="Times New Roman" w:hAnsi="Times New Roman" w:cs="Times New Roman"/>
          <w:lang w:eastAsia="en-US"/>
        </w:rPr>
        <w:t>8</w:t>
      </w:r>
      <w:r w:rsidRPr="00932B61">
        <w:rPr>
          <w:rFonts w:ascii="Times New Roman" w:hAnsi="Times New Roman" w:cs="Times New Roman"/>
          <w:lang w:eastAsia="en-US"/>
        </w:rPr>
        <w:t>,</w:t>
      </w:r>
      <w:r>
        <w:rPr>
          <w:rFonts w:ascii="Times New Roman" w:hAnsi="Times New Roman" w:cs="Times New Roman"/>
          <w:lang w:eastAsia="en-US"/>
        </w:rPr>
        <w:t>46</w:t>
      </w:r>
      <w:r w:rsidRPr="00932B61">
        <w:rPr>
          <w:rFonts w:ascii="Times New Roman" w:hAnsi="Times New Roman" w:cs="Times New Roman"/>
          <w:lang w:eastAsia="en-US"/>
        </w:rPr>
        <w:t xml:space="preserve"> mil. eur. </w:t>
      </w:r>
      <w:r>
        <w:rPr>
          <w:rFonts w:ascii="Times New Roman" w:hAnsi="Times New Roman" w:cs="Times New Roman"/>
          <w:lang w:eastAsia="en-US"/>
        </w:rPr>
        <w:t>Hlavným dôvodom p</w:t>
      </w:r>
      <w:r w:rsidRPr="00932B61">
        <w:rPr>
          <w:rFonts w:ascii="Times New Roman" w:hAnsi="Times New Roman" w:cs="Times New Roman"/>
          <w:lang w:eastAsia="en-US"/>
        </w:rPr>
        <w:t>okles</w:t>
      </w:r>
      <w:r>
        <w:rPr>
          <w:rFonts w:ascii="Times New Roman" w:hAnsi="Times New Roman" w:cs="Times New Roman"/>
          <w:lang w:eastAsia="en-US"/>
        </w:rPr>
        <w:t>u</w:t>
      </w:r>
      <w:r w:rsidRPr="00932B61">
        <w:rPr>
          <w:rFonts w:ascii="Times New Roman" w:hAnsi="Times New Roman" w:cs="Times New Roman"/>
          <w:lang w:eastAsia="en-US"/>
        </w:rPr>
        <w:t xml:space="preserve"> výdavkov </w:t>
      </w:r>
      <w:r>
        <w:rPr>
          <w:rFonts w:ascii="Times New Roman" w:hAnsi="Times New Roman" w:cs="Times New Roman"/>
          <w:lang w:eastAsia="en-US"/>
        </w:rPr>
        <w:t xml:space="preserve">je </w:t>
      </w:r>
      <w:r w:rsidRPr="00932B61">
        <w:rPr>
          <w:rFonts w:ascii="Times New Roman" w:hAnsi="Times New Roman" w:cs="Times New Roman"/>
          <w:lang w:eastAsia="en-US"/>
        </w:rPr>
        <w:t>zníženi</w:t>
      </w:r>
      <w:r>
        <w:rPr>
          <w:rFonts w:ascii="Times New Roman" w:hAnsi="Times New Roman" w:cs="Times New Roman"/>
          <w:lang w:eastAsia="en-US"/>
        </w:rPr>
        <w:t>e</w:t>
      </w:r>
      <w:r w:rsidRPr="00932B61">
        <w:rPr>
          <w:rFonts w:ascii="Times New Roman" w:hAnsi="Times New Roman" w:cs="Times New Roman"/>
          <w:lang w:eastAsia="en-US"/>
        </w:rPr>
        <w:t xml:space="preserve"> výdavkov na zmluvy o prevádzkovaní železničnej infraštruktúry so ŽSR.</w:t>
      </w:r>
    </w:p>
    <w:p w:rsidR="009D2A34" w:rsidRPr="00932B61" w:rsidP="009D2A34">
      <w:pPr>
        <w:bidi w:val="0"/>
        <w:contextualSpacing/>
        <w:jc w:val="both"/>
        <w:rPr>
          <w:rFonts w:ascii="Times New Roman" w:hAnsi="Times New Roman" w:cs="Times New Roman"/>
          <w:lang w:eastAsia="en-US"/>
        </w:rPr>
      </w:pPr>
    </w:p>
    <w:p w:rsidR="009D2A34" w:rsidRPr="00984116" w:rsidP="009D2A34">
      <w:pPr>
        <w:bidi w:val="0"/>
        <w:ind w:firstLine="708"/>
        <w:contextualSpacing/>
        <w:jc w:val="both"/>
        <w:rPr>
          <w:rFonts w:ascii="Times New Roman" w:hAnsi="Times New Roman" w:cs="Times New Roman"/>
          <w:lang w:eastAsia="en-US"/>
        </w:rPr>
      </w:pPr>
      <w:r w:rsidRPr="00984116">
        <w:rPr>
          <w:rFonts w:ascii="Times New Roman" w:hAnsi="Times New Roman" w:cs="Times New Roman"/>
          <w:lang w:eastAsia="en-US"/>
        </w:rPr>
        <w:t>Kapitálové výdavky v roku 2013 v sume 3</w:t>
      </w:r>
      <w:r>
        <w:rPr>
          <w:rFonts w:ascii="Times New Roman" w:hAnsi="Times New Roman" w:cs="Times New Roman"/>
          <w:lang w:eastAsia="en-US"/>
        </w:rPr>
        <w:t>80</w:t>
      </w:r>
      <w:r w:rsidRPr="00984116">
        <w:rPr>
          <w:rFonts w:ascii="Times New Roman" w:hAnsi="Times New Roman" w:cs="Times New Roman"/>
          <w:lang w:eastAsia="en-US"/>
        </w:rPr>
        <w:t xml:space="preserve">  mil. eur v porovnaní so schváleným rozpočtom roku 2012 sú </w:t>
      </w:r>
      <w:r>
        <w:rPr>
          <w:rFonts w:ascii="Times New Roman" w:hAnsi="Times New Roman" w:cs="Times New Roman"/>
          <w:lang w:eastAsia="en-US"/>
        </w:rPr>
        <w:t>vyš</w:t>
      </w:r>
      <w:r w:rsidRPr="00984116">
        <w:rPr>
          <w:rFonts w:ascii="Times New Roman" w:hAnsi="Times New Roman" w:cs="Times New Roman"/>
          <w:lang w:eastAsia="en-US"/>
        </w:rPr>
        <w:t>šie o </w:t>
      </w:r>
      <w:r>
        <w:rPr>
          <w:rFonts w:ascii="Times New Roman" w:hAnsi="Times New Roman" w:cs="Times New Roman"/>
          <w:lang w:eastAsia="en-US"/>
        </w:rPr>
        <w:t>5</w:t>
      </w:r>
      <w:r w:rsidRPr="00984116">
        <w:rPr>
          <w:rFonts w:ascii="Times New Roman" w:hAnsi="Times New Roman" w:cs="Times New Roman"/>
          <w:lang w:eastAsia="en-US"/>
        </w:rPr>
        <w:t>,</w:t>
      </w:r>
      <w:r>
        <w:rPr>
          <w:rFonts w:ascii="Times New Roman" w:hAnsi="Times New Roman" w:cs="Times New Roman"/>
          <w:lang w:eastAsia="en-US"/>
        </w:rPr>
        <w:t>79</w:t>
      </w:r>
      <w:r w:rsidRPr="00984116">
        <w:rPr>
          <w:rFonts w:ascii="Times New Roman" w:hAnsi="Times New Roman" w:cs="Times New Roman"/>
          <w:lang w:eastAsia="en-US"/>
        </w:rPr>
        <w:t xml:space="preserve"> %, t. j. o </w:t>
      </w:r>
      <w:r>
        <w:rPr>
          <w:rFonts w:ascii="Times New Roman" w:hAnsi="Times New Roman" w:cs="Times New Roman"/>
          <w:lang w:eastAsia="en-US"/>
        </w:rPr>
        <w:t>20</w:t>
      </w:r>
      <w:r w:rsidRPr="00984116">
        <w:rPr>
          <w:rFonts w:ascii="Times New Roman" w:hAnsi="Times New Roman" w:cs="Times New Roman"/>
          <w:lang w:eastAsia="en-US"/>
        </w:rPr>
        <w:t>,</w:t>
      </w:r>
      <w:r>
        <w:rPr>
          <w:rFonts w:ascii="Times New Roman" w:hAnsi="Times New Roman" w:cs="Times New Roman"/>
          <w:lang w:eastAsia="en-US"/>
        </w:rPr>
        <w:t>8</w:t>
      </w:r>
      <w:r w:rsidRPr="00984116">
        <w:rPr>
          <w:rFonts w:ascii="Times New Roman" w:hAnsi="Times New Roman" w:cs="Times New Roman"/>
          <w:lang w:eastAsia="en-US"/>
        </w:rPr>
        <w:t xml:space="preserve"> mil. eur.</w:t>
      </w:r>
      <w:r>
        <w:rPr>
          <w:rFonts w:ascii="Times New Roman" w:hAnsi="Times New Roman" w:cs="Times New Roman"/>
          <w:lang w:eastAsia="en-US"/>
        </w:rPr>
        <w:t xml:space="preserve"> </w:t>
      </w:r>
      <w:r w:rsidRPr="00984116">
        <w:rPr>
          <w:rFonts w:ascii="Times New Roman" w:hAnsi="Times New Roman" w:cs="Times New Roman"/>
          <w:lang w:eastAsia="en-US"/>
        </w:rPr>
        <w:t xml:space="preserve"> </w:t>
      </w:r>
      <w:r>
        <w:rPr>
          <w:rFonts w:ascii="Times New Roman" w:hAnsi="Times New Roman" w:cs="Times New Roman"/>
          <w:lang w:eastAsia="en-US"/>
        </w:rPr>
        <w:t>Zvýš</w:t>
      </w:r>
      <w:r w:rsidRPr="00984116">
        <w:rPr>
          <w:rFonts w:ascii="Times New Roman" w:hAnsi="Times New Roman" w:cs="Times New Roman"/>
          <w:lang w:eastAsia="en-US"/>
        </w:rPr>
        <w:t>eni</w:t>
      </w:r>
      <w:r>
        <w:rPr>
          <w:rFonts w:ascii="Times New Roman" w:hAnsi="Times New Roman" w:cs="Times New Roman"/>
          <w:lang w:eastAsia="en-US"/>
        </w:rPr>
        <w:t>e</w:t>
      </w:r>
      <w:r w:rsidRPr="00984116">
        <w:rPr>
          <w:rFonts w:ascii="Times New Roman" w:hAnsi="Times New Roman" w:cs="Times New Roman"/>
          <w:lang w:eastAsia="en-US"/>
        </w:rPr>
        <w:t xml:space="preserve"> výdavkov </w:t>
      </w:r>
      <w:r>
        <w:rPr>
          <w:rFonts w:ascii="Times New Roman" w:hAnsi="Times New Roman" w:cs="Times New Roman"/>
          <w:lang w:eastAsia="en-US"/>
        </w:rPr>
        <w:t>je</w:t>
      </w:r>
      <w:r w:rsidRPr="00984116">
        <w:rPr>
          <w:rFonts w:ascii="Times New Roman" w:hAnsi="Times New Roman" w:cs="Times New Roman"/>
          <w:lang w:eastAsia="en-US"/>
        </w:rPr>
        <w:t xml:space="preserve"> </w:t>
      </w:r>
      <w:r>
        <w:rPr>
          <w:rFonts w:ascii="Times New Roman" w:hAnsi="Times New Roman" w:cs="Times New Roman"/>
          <w:lang w:eastAsia="en-US"/>
        </w:rPr>
        <w:t xml:space="preserve">z dôvodu zvýšenia výdavkov na </w:t>
      </w:r>
      <w:r w:rsidRPr="0036467C">
        <w:rPr>
          <w:rFonts w:ascii="Times New Roman" w:hAnsi="Times New Roman" w:cs="Times New Roman"/>
        </w:rPr>
        <w:t>O</w:t>
      </w:r>
      <w:r>
        <w:rPr>
          <w:rFonts w:ascii="Times New Roman" w:hAnsi="Times New Roman" w:cs="Times New Roman"/>
        </w:rPr>
        <w:t>peračný program</w:t>
      </w:r>
      <w:r w:rsidRPr="0036467C">
        <w:rPr>
          <w:rFonts w:ascii="Times New Roman" w:hAnsi="Times New Roman" w:cs="Times New Roman"/>
        </w:rPr>
        <w:t xml:space="preserve"> Doprava </w:t>
      </w:r>
      <w:r>
        <w:rPr>
          <w:rFonts w:ascii="Times New Roman" w:hAnsi="Times New Roman" w:cs="Times New Roman"/>
        </w:rPr>
        <w:t xml:space="preserve">(ďalej len „OPD“) </w:t>
      </w:r>
      <w:r w:rsidRPr="0036467C">
        <w:rPr>
          <w:rFonts w:ascii="Times New Roman" w:hAnsi="Times New Roman" w:cs="Times New Roman"/>
        </w:rPr>
        <w:t>nevyhnutných k zabezpečeniu plynulého čerpania EÚ prostriedkov</w:t>
      </w:r>
      <w:r>
        <w:rPr>
          <w:rFonts w:ascii="Times New Roman" w:hAnsi="Times New Roman" w:cs="Times New Roman"/>
        </w:rPr>
        <w:t xml:space="preserve"> a zvýšenia</w:t>
      </w:r>
      <w:r>
        <w:rPr>
          <w:rFonts w:ascii="Times New Roman" w:hAnsi="Times New Roman" w:cs="Times New Roman"/>
          <w:lang w:eastAsia="en-US"/>
        </w:rPr>
        <w:t xml:space="preserve"> výdavkov </w:t>
      </w:r>
      <w:r w:rsidRPr="00371FED">
        <w:rPr>
          <w:rFonts w:ascii="Times New Roman" w:hAnsi="Times New Roman" w:cs="Times New Roman"/>
          <w:szCs w:val="22"/>
        </w:rPr>
        <w:t>na dotácie obciam na obstaranie náhradných nájomných bytov za reštituované byty.</w:t>
      </w:r>
      <w:r>
        <w:rPr>
          <w:rFonts w:ascii="Times New Roman" w:hAnsi="Times New Roman" w:cs="Times New Roman"/>
          <w:szCs w:val="22"/>
        </w:rPr>
        <w:t xml:space="preserve"> </w:t>
      </w:r>
    </w:p>
    <w:p w:rsidR="009D2A34" w:rsidP="009D2A34">
      <w:pPr>
        <w:bidi w:val="0"/>
        <w:ind w:firstLine="708"/>
        <w:contextualSpacing/>
        <w:jc w:val="both"/>
        <w:rPr>
          <w:rFonts w:ascii="Times New Roman" w:hAnsi="Times New Roman" w:cs="Times New Roman"/>
          <w:lang w:eastAsia="en-US"/>
        </w:rPr>
      </w:pPr>
    </w:p>
    <w:p w:rsidR="009D2A34" w:rsidRPr="00932B61" w:rsidP="009D2A34">
      <w:pPr>
        <w:bidi w:val="0"/>
        <w:ind w:firstLine="708"/>
        <w:contextualSpacing/>
        <w:jc w:val="both"/>
        <w:rPr>
          <w:rFonts w:ascii="Times New Roman" w:hAnsi="Times New Roman" w:cs="Times New Roman"/>
          <w:lang w:eastAsia="en-US"/>
        </w:rPr>
      </w:pPr>
    </w:p>
    <w:p w:rsidR="009D2A34" w:rsidRPr="00932B61" w:rsidP="009D2A34">
      <w:pPr>
        <w:bidi w:val="0"/>
        <w:ind w:firstLine="708"/>
        <w:contextualSpacing/>
        <w:jc w:val="both"/>
        <w:rPr>
          <w:rFonts w:ascii="Times New Roman" w:hAnsi="Times New Roman" w:cs="Times New Roman"/>
          <w:lang w:eastAsia="en-US"/>
        </w:rPr>
      </w:pPr>
    </w:p>
    <w:p w:rsidR="009D2A34" w:rsidRPr="00932B61" w:rsidP="009D2A34">
      <w:pPr>
        <w:bidi w:val="0"/>
        <w:ind w:firstLine="708"/>
        <w:contextualSpacing/>
        <w:jc w:val="both"/>
        <w:rPr>
          <w:rFonts w:ascii="Times New Roman" w:hAnsi="Times New Roman" w:cs="Times New Roman"/>
          <w:lang w:eastAsia="en-US"/>
        </w:rPr>
      </w:pPr>
      <w:r w:rsidRPr="00932B61">
        <w:rPr>
          <w:rFonts w:ascii="Times New Roman" w:hAnsi="Times New Roman" w:cs="Times New Roman"/>
          <w:lang w:eastAsia="en-US"/>
        </w:rPr>
        <w:t>Výdavky MDVRR SR sú smerované do nasledovných oblastí.</w:t>
      </w:r>
    </w:p>
    <w:p w:rsidR="009D2A34" w:rsidRPr="00932B61" w:rsidP="009D2A34">
      <w:pPr>
        <w:bidi w:val="0"/>
        <w:contextualSpacing/>
        <w:jc w:val="both"/>
        <w:rPr>
          <w:rFonts w:ascii="Times New Roman" w:hAnsi="Times New Roman" w:cs="Times New Roman"/>
          <w:lang w:eastAsia="en-US"/>
        </w:rPr>
      </w:pPr>
    </w:p>
    <w:tbl>
      <w:tblPr>
        <w:tblStyle w:val="TableNormal"/>
        <w:tblW w:w="493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27"/>
        <w:gridCol w:w="1039"/>
        <w:gridCol w:w="1038"/>
        <w:gridCol w:w="1038"/>
        <w:gridCol w:w="1038"/>
        <w:gridCol w:w="1038"/>
        <w:gridCol w:w="1038"/>
        <w:gridCol w:w="1038"/>
      </w:tblGrid>
      <w:tr>
        <w:tblPrEx>
          <w:tblW w:w="493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xml:space="preserve"> v eurách</w:t>
            </w:r>
          </w:p>
        </w:tc>
        <w:tc>
          <w:tcPr>
            <w:tcW w:w="103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OS</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103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4936" w:type="pct"/>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Zdroje príslušnej kapitoly</w:t>
            </w:r>
          </w:p>
        </w:tc>
        <w:tc>
          <w:tcPr>
            <w:tcW w:w="1039"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1 296 282 426</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1 574 892 051</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2 126 190 949</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1 697 165 097</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2 2</w:t>
            </w:r>
            <w:r>
              <w:rPr>
                <w:rFonts w:ascii="Times New Roman" w:hAnsi="Times New Roman" w:cs="Times New Roman"/>
                <w:b/>
                <w:bCs/>
                <w:color w:val="000000"/>
                <w:sz w:val="14"/>
                <w:szCs w:val="14"/>
              </w:rPr>
              <w:t>8</w:t>
            </w:r>
            <w:r w:rsidRPr="00932B61">
              <w:rPr>
                <w:rFonts w:ascii="Times New Roman" w:hAnsi="Times New Roman" w:cs="Times New Roman"/>
                <w:b/>
                <w:bCs/>
                <w:color w:val="000000"/>
                <w:sz w:val="14"/>
                <w:szCs w:val="14"/>
              </w:rPr>
              <w:t>8 121 084</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2 122 988 378</w:t>
            </w:r>
          </w:p>
        </w:tc>
        <w:tc>
          <w:tcPr>
            <w:tcW w:w="103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2 054 034 189</w:t>
            </w:r>
          </w:p>
        </w:tc>
      </w:tr>
      <w:tr>
        <w:tblPrEx>
          <w:tblW w:w="4936" w:type="pct"/>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Cestná a žel. infraštruktúra</w:t>
            </w:r>
          </w:p>
        </w:tc>
        <w:tc>
          <w:tcPr>
            <w:tcW w:w="1039"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1 240 691 015</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1 328 061 366</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1 871 728 698</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1 447 043 164</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2 035 903 675</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1 891 864 662</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1 803 331 503</w:t>
            </w:r>
          </w:p>
        </w:tc>
      </w:tr>
      <w:tr>
        <w:tblPrEx>
          <w:tblW w:w="4936" w:type="pct"/>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Letecká doprava </w:t>
            </w:r>
          </w:p>
        </w:tc>
        <w:tc>
          <w:tcPr>
            <w:tcW w:w="1039"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6 435 032</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8 657 952</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10 250 400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10 250 400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w:t>
            </w:r>
            <w:r w:rsidRPr="00932B61">
              <w:rPr>
                <w:rFonts w:ascii="Times New Roman" w:hAnsi="Times New Roman" w:cs="Times New Roman"/>
                <w:color w:val="000000"/>
                <w:sz w:val="14"/>
                <w:szCs w:val="14"/>
              </w:rPr>
              <w:t xml:space="preserve"> 000 000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1 000 000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1 000 000</w:t>
            </w:r>
          </w:p>
        </w:tc>
      </w:tr>
      <w:tr>
        <w:tblPrEx>
          <w:tblW w:w="4936" w:type="pct"/>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Podpora bývania </w:t>
            </w:r>
          </w:p>
        </w:tc>
        <w:tc>
          <w:tcPr>
            <w:tcW w:w="1039"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4 040 994</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157 949 288</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157 404 000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154 493 320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w:t>
            </w:r>
            <w:r>
              <w:rPr>
                <w:rFonts w:ascii="Times New Roman" w:hAnsi="Times New Roman" w:cs="Times New Roman"/>
                <w:color w:val="000000"/>
                <w:sz w:val="14"/>
                <w:szCs w:val="14"/>
              </w:rPr>
              <w:t>64</w:t>
            </w:r>
            <w:r w:rsidRPr="00932B61">
              <w:rPr>
                <w:rFonts w:ascii="Times New Roman" w:hAnsi="Times New Roman" w:cs="Times New Roman"/>
                <w:color w:val="000000"/>
                <w:sz w:val="14"/>
                <w:szCs w:val="14"/>
              </w:rPr>
              <w:t xml:space="preserve"> 454 000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147 954 000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158 404 000</w:t>
            </w:r>
          </w:p>
        </w:tc>
      </w:tr>
      <w:tr>
        <w:tblPrEx>
          <w:tblW w:w="4936" w:type="pct"/>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OP Tech. pomoc</w:t>
            </w:r>
          </w:p>
        </w:tc>
        <w:tc>
          <w:tcPr>
            <w:tcW w:w="1039"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10 181 204</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13 219 557</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11 485 841</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16 779 790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15 785 164</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24 894 523</w:t>
            </w:r>
          </w:p>
        </w:tc>
      </w:tr>
      <w:tr>
        <w:tblPrEx>
          <w:tblW w:w="4936" w:type="pct"/>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Cestovný ruch</w:t>
            </w:r>
          </w:p>
        </w:tc>
        <w:tc>
          <w:tcPr>
            <w:tcW w:w="1039"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118 480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5 120 273</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7 162 978</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7 042 978</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9 399 684</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11 215 880</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11 215 880</w:t>
            </w:r>
          </w:p>
        </w:tc>
      </w:tr>
      <w:tr>
        <w:tblPrEx>
          <w:tblW w:w="4936" w:type="pct"/>
          <w:tblInd w:w="70" w:type="dxa"/>
          <w:tblCellMar>
            <w:left w:w="70" w:type="dxa"/>
            <w:right w:w="70" w:type="dxa"/>
          </w:tblCellMar>
          <w:tblLook w:val="04A0"/>
        </w:tblPrEx>
        <w:trPr>
          <w:trHeight w:val="255"/>
        </w:trPr>
        <w:tc>
          <w:tcPr>
            <w:tcW w:w="182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Ostatné činnosti</w:t>
            </w:r>
          </w:p>
        </w:tc>
        <w:tc>
          <w:tcPr>
            <w:tcW w:w="1039"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44 996 905</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64 921 968</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66 425 316</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66 849 394</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55 583 935</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55 168 672</w:t>
            </w:r>
          </w:p>
        </w:tc>
        <w:tc>
          <w:tcPr>
            <w:tcW w:w="1038"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55 188 283</w:t>
            </w:r>
          </w:p>
        </w:tc>
      </w:tr>
    </w:tbl>
    <w:p w:rsidR="009D2A34" w:rsidRPr="00932B61" w:rsidP="009D2A34">
      <w:pPr>
        <w:bidi w:val="0"/>
        <w:jc w:val="both"/>
        <w:rPr>
          <w:rFonts w:ascii="Times New Roman" w:hAnsi="Times New Roman" w:cs="Times New Roman"/>
        </w:rPr>
      </w:pPr>
    </w:p>
    <w:p w:rsidR="009D2A34" w:rsidRPr="00932B61" w:rsidP="009D2A34">
      <w:pPr>
        <w:bidi w:val="0"/>
        <w:jc w:val="both"/>
        <w:rPr>
          <w:rFonts w:ascii="Times New Roman" w:hAnsi="Times New Roman" w:cs="Times New Roman"/>
          <w:b/>
        </w:rPr>
      </w:pPr>
      <w:r w:rsidRPr="00932B61">
        <w:rPr>
          <w:rFonts w:ascii="Times New Roman" w:hAnsi="Times New Roman" w:cs="Times New Roman"/>
          <w:b/>
        </w:rPr>
        <w:t>Cestná a železničná infraštruktúra</w:t>
      </w:r>
    </w:p>
    <w:p w:rsidR="009D2A34" w:rsidRPr="00932B61" w:rsidP="009D2A34">
      <w:pPr>
        <w:bidi w:val="0"/>
        <w:jc w:val="both"/>
        <w:rPr>
          <w:rFonts w:ascii="Times New Roman" w:hAnsi="Times New Roman" w:cs="Times New Roman"/>
          <w:b/>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 xml:space="preserve">Na cestnú a železničnú infraštruktúru spolu s vlastnými zdrojmi Národnej diaľničnej spoločnosti (ďalej len „NDS“) na investície a údržbu je na rok 2013 k dispozícii </w:t>
        <w:br/>
        <w:t xml:space="preserve">2,09 mld. eur, čo v porovnaní so schváleným rozpočtom roku 2012 predstavuje zvýšenie o 4,47 %, t. j. o 89,3 mil. eur. Na tomto náraste sa podieľajú zdroje EÚ, spolufinancovania a prostriedky štátneho rozpočtu.  </w:t>
      </w:r>
    </w:p>
    <w:p w:rsidR="009D2A34" w:rsidRPr="00932B61" w:rsidP="009D2A34">
      <w:pPr>
        <w:tabs>
          <w:tab w:val="left" w:pos="3819"/>
        </w:tabs>
        <w:bidi w:val="0"/>
        <w:jc w:val="both"/>
        <w:rPr>
          <w:rFonts w:ascii="Times New Roman" w:hAnsi="Times New Roman" w:cs="Times New Roman"/>
        </w:rPr>
      </w:pPr>
      <w:r w:rsidRPr="00932B61">
        <w:rPr>
          <w:rFonts w:ascii="Times New Roman" w:hAnsi="Times New Roman" w:cs="Times New Roman"/>
        </w:rPr>
        <w:tab/>
      </w: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065"/>
        <w:gridCol w:w="1003"/>
        <w:gridCol w:w="1001"/>
        <w:gridCol w:w="1001"/>
        <w:gridCol w:w="1001"/>
        <w:gridCol w:w="1001"/>
        <w:gridCol w:w="1001"/>
        <w:gridCol w:w="1001"/>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v eurách</w:t>
            </w:r>
          </w:p>
        </w:tc>
        <w:tc>
          <w:tcPr>
            <w:tcW w:w="10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OS</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10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Prostriedky ŠR</w:t>
            </w:r>
          </w:p>
        </w:tc>
        <w:tc>
          <w:tcPr>
            <w:tcW w:w="10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809 188 397</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996 684 229</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962 395 016</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868 982 606</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1 002 770 184</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1 000 269 282</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1 184 168 201</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Prostriedky EÚ</w:t>
            </w:r>
          </w:p>
        </w:tc>
        <w:tc>
          <w:tcPr>
            <w:tcW w:w="10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364 920 230</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258 723 917</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746 810 421</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467 708 337</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870 060 291</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760 110 961</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527 529 544</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Spolufinancovanie</w:t>
            </w:r>
          </w:p>
        </w:tc>
        <w:tc>
          <w:tcPr>
            <w:tcW w:w="10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66 582 388</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72 653 220</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162 523 261</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110 352 221</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163 073 200</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131 484 419</w:t>
            </w:r>
          </w:p>
        </w:tc>
        <w:tc>
          <w:tcPr>
            <w:tcW w:w="100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91 633 758</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xml:space="preserve">Spolu </w:t>
            </w:r>
          </w:p>
        </w:tc>
        <w:tc>
          <w:tcPr>
            <w:tcW w:w="10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1 240 691 015</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1 328 061 366</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1 871 728 698</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1 447 043 164</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2 035 903 675</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1 891 864 662</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1 803 331 503</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Prostriedky EÚ TEN-T mimoroz.</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1 267 358</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591 293</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2 227 480</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1 503 283</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2 224 545</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600 000</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600 000</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Vlastné zdroje NDS  na cest. inf.</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14 096 000</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24 714 573</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125 785 211</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58 220 070</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50 961 219</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41 374 401</w:t>
            </w:r>
          </w:p>
        </w:tc>
        <w:tc>
          <w:tcPr>
            <w:tcW w:w="1001"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48 006 939</w:t>
            </w:r>
          </w:p>
        </w:tc>
      </w:tr>
      <w:tr>
        <w:tblPrEx>
          <w:tblW w:w="4925" w:type="pct"/>
          <w:tblInd w:w="70" w:type="dxa"/>
          <w:tblLayout w:type="fixed"/>
          <w:tblCellMar>
            <w:left w:w="70" w:type="dxa"/>
            <w:right w:w="70" w:type="dxa"/>
          </w:tblCellMar>
          <w:tblLook w:val="04A0"/>
        </w:tblPrEx>
        <w:trPr>
          <w:trHeight w:hRule="exact" w:val="255"/>
        </w:trPr>
        <w:tc>
          <w:tcPr>
            <w:tcW w:w="206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Celkom zdroje</w:t>
            </w:r>
          </w:p>
        </w:tc>
        <w:tc>
          <w:tcPr>
            <w:tcW w:w="10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1 256 054 373</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1 353 367 232</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1 999 741 389</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1 506 766 517</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2 089 089 439</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1 933 839 063</w:t>
            </w:r>
          </w:p>
        </w:tc>
        <w:tc>
          <w:tcPr>
            <w:tcW w:w="100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1 851 938 442</w:t>
            </w:r>
          </w:p>
        </w:tc>
      </w:tr>
    </w:tbl>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 xml:space="preserve">V štátnom rozpočte doposiaľ nebolo na cestnú a železničnú infraštruktúru rozpočtovaných toľko finančných prostriedkov ako na rok 2013. </w:t>
      </w:r>
    </w:p>
    <w:p w:rsidR="009D2A34" w:rsidRPr="00932B61" w:rsidP="009D2A34">
      <w:pPr>
        <w:bidi w:val="0"/>
        <w:ind w:firstLine="708"/>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 xml:space="preserve">V kapitole MDVRR SR sú rozpočtované výdavky v sume 2,04 mld. eur, čo v porovnaní so schváleným rozpočtom roku 2012 predstavuje nárast o 8,77 %, </w:t>
      </w:r>
      <w:r w:rsidR="007D39F4">
        <w:rPr>
          <w:rFonts w:ascii="Times New Roman" w:hAnsi="Times New Roman" w:cs="Times New Roman"/>
        </w:rPr>
        <w:br/>
      </w:r>
      <w:r w:rsidRPr="00932B61">
        <w:rPr>
          <w:rFonts w:ascii="Times New Roman" w:hAnsi="Times New Roman" w:cs="Times New Roman"/>
        </w:rPr>
        <w:t>t.</w:t>
      </w:r>
      <w:r w:rsidR="007D39F4">
        <w:rPr>
          <w:rFonts w:ascii="Times New Roman" w:hAnsi="Times New Roman" w:cs="Times New Roman"/>
        </w:rPr>
        <w:t xml:space="preserve"> </w:t>
      </w:r>
      <w:r w:rsidRPr="00932B61">
        <w:rPr>
          <w:rFonts w:ascii="Times New Roman" w:hAnsi="Times New Roman" w:cs="Times New Roman"/>
        </w:rPr>
        <w:t>j.</w:t>
      </w:r>
      <w:r w:rsidR="007D39F4">
        <w:rPr>
          <w:rFonts w:ascii="Times New Roman" w:hAnsi="Times New Roman" w:cs="Times New Roman"/>
        </w:rPr>
        <w:t xml:space="preserve"> </w:t>
      </w:r>
      <w:r w:rsidRPr="00932B61">
        <w:rPr>
          <w:rFonts w:ascii="Times New Roman" w:hAnsi="Times New Roman" w:cs="Times New Roman"/>
        </w:rPr>
        <w:t xml:space="preserve">164 mil. eur. </w:t>
      </w:r>
    </w:p>
    <w:p w:rsidR="009D2A34" w:rsidRPr="00932B61" w:rsidP="009D2A34">
      <w:pPr>
        <w:bidi w:val="0"/>
        <w:ind w:firstLine="708"/>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Výdavky zo zdrojov EÚ v porovnaní so schváleným rozpočtom roku 2012 sú vyššie o 16,5 %, t. j. o 123 mil. eur a zo spolufinancovania sú vyššie o 0,34 %, t.j. o 550 tis. eur.</w:t>
      </w:r>
    </w:p>
    <w:p w:rsidR="009D2A34" w:rsidRPr="00932B61" w:rsidP="009D2A34">
      <w:pPr>
        <w:bidi w:val="0"/>
        <w:ind w:firstLine="708"/>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 xml:space="preserve">Z prostriedkov štátneho rozpočtu sú rozpočtované výdavky v sume 1,00 mld. eur, čo v porovnaní so schváleným rozpočtom roku 2012 predstavuje zvýšenie o 4,20 %, </w:t>
      </w:r>
      <w:r w:rsidR="007D39F4">
        <w:rPr>
          <w:rFonts w:ascii="Times New Roman" w:hAnsi="Times New Roman" w:cs="Times New Roman"/>
        </w:rPr>
        <w:br/>
      </w:r>
      <w:r w:rsidRPr="00932B61">
        <w:rPr>
          <w:rFonts w:ascii="Times New Roman" w:hAnsi="Times New Roman" w:cs="Times New Roman"/>
        </w:rPr>
        <w:t>t. j.</w:t>
      </w:r>
      <w:r w:rsidR="007D39F4">
        <w:rPr>
          <w:rFonts w:ascii="Times New Roman" w:hAnsi="Times New Roman" w:cs="Times New Roman"/>
        </w:rPr>
        <w:t xml:space="preserve"> </w:t>
      </w:r>
      <w:r w:rsidRPr="00932B61">
        <w:rPr>
          <w:rFonts w:ascii="Times New Roman" w:hAnsi="Times New Roman" w:cs="Times New Roman"/>
        </w:rPr>
        <w:t>o 40,4 mil. eur.</w:t>
      </w:r>
    </w:p>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Ďalším zdrojom sú mimorozpočtové prostriedky EÚ na TEN-T projekty vo výške 2,2</w:t>
      </w:r>
      <w:r>
        <w:rPr>
          <w:rFonts w:ascii="Times New Roman" w:hAnsi="Times New Roman" w:cs="Times New Roman"/>
        </w:rPr>
        <w:t>2</w:t>
      </w:r>
      <w:r w:rsidRPr="00932B61">
        <w:rPr>
          <w:rFonts w:ascii="Times New Roman" w:hAnsi="Times New Roman" w:cs="Times New Roman"/>
        </w:rPr>
        <w:t> mil. eur.</w:t>
      </w:r>
    </w:p>
    <w:p w:rsidR="009D2A34" w:rsidRPr="00932B61" w:rsidP="009D2A34">
      <w:pPr>
        <w:bidi w:val="0"/>
        <w:ind w:firstLine="708"/>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Z vlastných zdrojov NDS určených na výstavbu, údržbu a opravy diaľnic a rýchlostných ciest sa v roku 2013 predpokladá čerpať čiastka 51,0</w:t>
      </w:r>
      <w:r w:rsidRPr="00932B61">
        <w:rPr>
          <w:rFonts w:ascii="Times New Roman" w:hAnsi="Times New Roman" w:cs="Times New Roman"/>
          <w:shd w:val="clear" w:color="auto" w:fill="FFFFFF"/>
        </w:rPr>
        <w:t xml:space="preserve"> mil. eur</w:t>
      </w:r>
      <w:r w:rsidRPr="00932B61">
        <w:rPr>
          <w:rFonts w:ascii="Times New Roman" w:hAnsi="Times New Roman" w:cs="Times New Roman"/>
        </w:rPr>
        <w:t>, čo v porovnaní so schváleným rozpočtom roku 2012 predstavuje pokles o 74,8 mil. eur, t. j. o 59,5 % v nadväznosti na zámer čerpania úverov, ktoré sa predpokladali na rok 2012.</w:t>
      </w:r>
    </w:p>
    <w:p w:rsidR="009D2A34" w:rsidRPr="00932B61" w:rsidP="009D2A34">
      <w:pPr>
        <w:bidi w:val="0"/>
        <w:ind w:firstLine="708"/>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p>
    <w:p w:rsidR="009D2A34" w:rsidRPr="00932B61" w:rsidP="009D2A34">
      <w:pPr>
        <w:bidi w:val="0"/>
        <w:jc w:val="both"/>
        <w:rPr>
          <w:rFonts w:ascii="Times New Roman" w:hAnsi="Times New Roman" w:cs="Times New Roman"/>
          <w:i/>
          <w:u w:val="single"/>
        </w:rPr>
      </w:pPr>
      <w:r w:rsidRPr="00932B61">
        <w:rPr>
          <w:rFonts w:ascii="Times New Roman" w:hAnsi="Times New Roman" w:cs="Times New Roman"/>
          <w:i/>
          <w:u w:val="single"/>
        </w:rPr>
        <w:t>Operačný program Doprava</w:t>
      </w:r>
    </w:p>
    <w:p w:rsidR="009D2A34" w:rsidRPr="00932B61" w:rsidP="009D2A34">
      <w:pPr>
        <w:bidi w:val="0"/>
        <w:jc w:val="both"/>
        <w:rPr>
          <w:rFonts w:ascii="Times New Roman" w:hAnsi="Times New Roman" w:cs="Times New Roman"/>
          <w:i/>
          <w:u w:val="single"/>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92"/>
        <w:gridCol w:w="840"/>
        <w:gridCol w:w="860"/>
        <w:gridCol w:w="945"/>
        <w:gridCol w:w="840"/>
        <w:gridCol w:w="945"/>
        <w:gridCol w:w="945"/>
        <w:gridCol w:w="9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OPD investície spolu, v eurách</w:t>
            </w:r>
          </w:p>
        </w:tc>
        <w:tc>
          <w:tcPr>
            <w:tcW w:w="45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46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51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45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OS</w:t>
            </w:r>
          </w:p>
        </w:tc>
        <w:tc>
          <w:tcPr>
            <w:tcW w:w="51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51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51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NDS výstavba </w:t>
            </w:r>
          </w:p>
        </w:tc>
        <w:tc>
          <w:tcPr>
            <w:tcW w:w="45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258 474 378</w:t>
            </w:r>
          </w:p>
        </w:tc>
        <w:tc>
          <w:tcPr>
            <w:tcW w:w="46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82 894 351</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439 577 096</w:t>
            </w:r>
          </w:p>
        </w:tc>
        <w:tc>
          <w:tcPr>
            <w:tcW w:w="45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151 669 000</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628 297 107</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653 219 719</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759 292 133</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Prostriedky EÚ</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180 214 494</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50 462 539</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259 000 850</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91 929 000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373 333 000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250 538 113</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167 924 779</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Spolufinancovanie ŠR </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32 563 723</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8 927 536</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47 059 515</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16 227 000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65 881 000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44 224 667</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29 624 000</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ŠR mimo spolufinancovania </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45 696 161</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23 504 276</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133 516 731</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43 513 000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189 083 107</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108 456 939</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211 743 354</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Prostriedky EÚ III. PO</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147 115 000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205 962 000</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Spolufinancovanie ŠR  III.PO</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25 962 000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36 346 000</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ŠR mimo spolufinancovania - MSF+NN OPD </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76 923 000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107 692 000</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SSC výstavba</w:t>
            </w:r>
          </w:p>
        </w:tc>
        <w:tc>
          <w:tcPr>
            <w:tcW w:w="45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23 462 396</w:t>
            </w:r>
          </w:p>
        </w:tc>
        <w:tc>
          <w:tcPr>
            <w:tcW w:w="46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44 666 722</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206 251 800</w:t>
            </w:r>
          </w:p>
        </w:tc>
        <w:tc>
          <w:tcPr>
            <w:tcW w:w="45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144 331 000</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200 184 553</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61 009 212</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16 893 120</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Prostriedky EÚ</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14 704 038</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28 492 096</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166 890 904</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116 354 000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166 183 000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48 491 828</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10 905 000</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Spolufinancovanie ŠR </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2 594 830</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5 028 017</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29 451 336</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20 586 000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29 378 000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8 453 264</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1 924 000</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ŠR mimo spolufinancovania  </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6 163 528</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11 146 609</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9 909 560</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7 391 000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4 623 553</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4 064 120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4 064 120</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ŽSR výstavba</w:t>
            </w:r>
          </w:p>
        </w:tc>
        <w:tc>
          <w:tcPr>
            <w:tcW w:w="45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199 806 382</w:t>
            </w:r>
          </w:p>
        </w:tc>
        <w:tc>
          <w:tcPr>
            <w:tcW w:w="46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232 068 879</w:t>
            </w:r>
          </w:p>
        </w:tc>
        <w:tc>
          <w:tcPr>
            <w:tcW w:w="5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364 775 495</w:t>
            </w:r>
          </w:p>
        </w:tc>
        <w:tc>
          <w:tcPr>
            <w:tcW w:w="45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286 264 148</w:t>
            </w:r>
          </w:p>
        </w:tc>
        <w:tc>
          <w:tcPr>
            <w:tcW w:w="5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447 615 436</w:t>
            </w:r>
          </w:p>
        </w:tc>
        <w:tc>
          <w:tcPr>
            <w:tcW w:w="5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468 431 640</w:t>
            </w:r>
          </w:p>
        </w:tc>
        <w:tc>
          <w:tcPr>
            <w:tcW w:w="5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319 570 331</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Prostriedky EÚ</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157 806 537</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142 316 841</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276 743 341</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218 884 417</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310 303 443</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307 058 920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137 637 261</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Spolufinancovanie ŠR </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27 844 851</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25 114 737</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48 837 084</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38 788 281</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54 608 352</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51 625 588</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22 839 669</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ŠR mimo spolufinancovania  </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14 154 994</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64 637 301</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39 195 070</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28 591 450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82 703 641</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109 747 132</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159 093 401</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ŽSSK investície </w:t>
            </w:r>
          </w:p>
        </w:tc>
        <w:tc>
          <w:tcPr>
            <w:tcW w:w="45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3 465 320</w:t>
            </w:r>
          </w:p>
        </w:tc>
        <w:tc>
          <w:tcPr>
            <w:tcW w:w="46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65 507 496</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71 350 652</w:t>
            </w:r>
          </w:p>
        </w:tc>
        <w:tc>
          <w:tcPr>
            <w:tcW w:w="45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67 020 460</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23 396 696</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Prostriedky EÚ </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1 732 660</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32 753 748</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35 675 326</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33 510 230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11 698 348</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Spolufinancovanie ŠR (50%) </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1 732 660</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32 753 748</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35 675 326</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33 510 230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11 698 348</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Technická pomoc spolu </w:t>
            </w:r>
          </w:p>
        </w:tc>
        <w:tc>
          <w:tcPr>
            <w:tcW w:w="45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12 308 825</w:t>
            </w:r>
          </w:p>
        </w:tc>
        <w:tc>
          <w:tcPr>
            <w:tcW w:w="467"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5 527 875</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10 000 000</w:t>
            </w:r>
          </w:p>
        </w:tc>
        <w:tc>
          <w:tcPr>
            <w:tcW w:w="45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8 271 400</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10 050 000</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8 126 000</w:t>
            </w:r>
          </w:p>
        </w:tc>
        <w:tc>
          <w:tcPr>
            <w:tcW w:w="513"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6 000 593</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Prostriedky EÚ</w:t>
            </w:r>
          </w:p>
        </w:tc>
        <w:tc>
          <w:tcPr>
            <w:tcW w:w="456"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10 462 501</w:t>
            </w:r>
          </w:p>
        </w:tc>
        <w:tc>
          <w:tcPr>
            <w:tcW w:w="467"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4 698 693</w:t>
            </w:r>
          </w:p>
        </w:tc>
        <w:tc>
          <w:tcPr>
            <w:tcW w:w="513"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8 500 000</w:t>
            </w:r>
          </w:p>
        </w:tc>
        <w:tc>
          <w:tcPr>
            <w:tcW w:w="456"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7 030 690</w:t>
            </w:r>
          </w:p>
        </w:tc>
        <w:tc>
          <w:tcPr>
            <w:tcW w:w="513"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8 542 500</w:t>
            </w:r>
          </w:p>
        </w:tc>
        <w:tc>
          <w:tcPr>
            <w:tcW w:w="513"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6 907 100</w:t>
            </w:r>
          </w:p>
        </w:tc>
        <w:tc>
          <w:tcPr>
            <w:tcW w:w="513" w:type="pct"/>
            <w:tcBorders>
              <w:top w:val="single" w:sz="4" w:space="0" w:color="auto"/>
              <w:left w:val="single" w:sz="4" w:space="0" w:color="auto"/>
              <w:bottom w:val="single" w:sz="4" w:space="0" w:color="auto"/>
              <w:right w:val="single" w:sz="4" w:space="0" w:color="auto"/>
            </w:tcBorders>
            <w:shd w:val="clear" w:color="auto"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5 100 504</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Spolufinancovanie ŠR </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1 846 324</w:t>
            </w:r>
          </w:p>
        </w:tc>
        <w:tc>
          <w:tcPr>
            <w:tcW w:w="46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829 182</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1 500 000</w:t>
            </w:r>
          </w:p>
        </w:tc>
        <w:tc>
          <w:tcPr>
            <w:tcW w:w="45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1 240 710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1 507 500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1 218 900</w:t>
            </w:r>
          </w:p>
        </w:tc>
        <w:tc>
          <w:tcPr>
            <w:tcW w:w="51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900 089</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OPD investície spolu</w:t>
            </w:r>
          </w:p>
        </w:tc>
        <w:tc>
          <w:tcPr>
            <w:tcW w:w="45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lang w:eastAsia="sk-SK"/>
              </w:rPr>
            </w:pPr>
            <w:r w:rsidRPr="00932B61">
              <w:rPr>
                <w:rFonts w:ascii="Times New Roman" w:hAnsi="Times New Roman" w:cs="Times New Roman"/>
                <w:b/>
                <w:color w:val="000000"/>
                <w:sz w:val="14"/>
                <w:szCs w:val="14"/>
                <w:lang w:eastAsia="sk-SK"/>
              </w:rPr>
              <w:t>497 517 301</w:t>
            </w:r>
          </w:p>
        </w:tc>
        <w:tc>
          <w:tcPr>
            <w:tcW w:w="467"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lang w:eastAsia="sk-SK"/>
              </w:rPr>
            </w:pPr>
            <w:r w:rsidRPr="00932B61">
              <w:rPr>
                <w:rFonts w:ascii="Times New Roman" w:hAnsi="Times New Roman" w:cs="Times New Roman"/>
                <w:b/>
                <w:color w:val="000000"/>
                <w:sz w:val="14"/>
                <w:szCs w:val="14"/>
                <w:lang w:eastAsia="sk-SK"/>
              </w:rPr>
              <w:t>430 665 323</w:t>
            </w:r>
          </w:p>
        </w:tc>
        <w:tc>
          <w:tcPr>
            <w:tcW w:w="5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lang w:eastAsia="sk-SK"/>
              </w:rPr>
            </w:pPr>
            <w:r w:rsidRPr="00932B61">
              <w:rPr>
                <w:rFonts w:ascii="Times New Roman" w:hAnsi="Times New Roman" w:cs="Times New Roman"/>
                <w:b/>
                <w:color w:val="000000"/>
                <w:sz w:val="14"/>
                <w:szCs w:val="14"/>
                <w:lang w:eastAsia="sk-SK"/>
              </w:rPr>
              <w:t>1 091 955 043</w:t>
            </w:r>
          </w:p>
        </w:tc>
        <w:tc>
          <w:tcPr>
            <w:tcW w:w="45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lang w:eastAsia="sk-SK"/>
              </w:rPr>
            </w:pPr>
            <w:r w:rsidRPr="00932B61">
              <w:rPr>
                <w:rFonts w:ascii="Times New Roman" w:hAnsi="Times New Roman" w:cs="Times New Roman"/>
                <w:b/>
                <w:color w:val="000000"/>
                <w:sz w:val="14"/>
                <w:szCs w:val="14"/>
                <w:lang w:eastAsia="sk-SK"/>
              </w:rPr>
              <w:t>657 556 008</w:t>
            </w:r>
          </w:p>
        </w:tc>
        <w:tc>
          <w:tcPr>
            <w:tcW w:w="5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1 309 543 792</w:t>
            </w:r>
          </w:p>
        </w:tc>
        <w:tc>
          <w:tcPr>
            <w:tcW w:w="5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1 190 786 571</w:t>
            </w:r>
          </w:p>
        </w:tc>
        <w:tc>
          <w:tcPr>
            <w:tcW w:w="513"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1 101 756 177</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Prostriedky EÚ</w:t>
            </w:r>
          </w:p>
        </w:tc>
        <w:tc>
          <w:tcPr>
            <w:tcW w:w="456"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364 920 230</w:t>
            </w:r>
          </w:p>
        </w:tc>
        <w:tc>
          <w:tcPr>
            <w:tcW w:w="467"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258 723 917</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746 810 421</w:t>
            </w:r>
          </w:p>
        </w:tc>
        <w:tc>
          <w:tcPr>
            <w:tcW w:w="456"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467 708 337</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870 060 291</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760 110 961</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527 529 544</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 xml:space="preserve">Spolufinancovanie ŠR </w:t>
            </w:r>
          </w:p>
        </w:tc>
        <w:tc>
          <w:tcPr>
            <w:tcW w:w="456"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66 582 388</w:t>
            </w:r>
          </w:p>
        </w:tc>
        <w:tc>
          <w:tcPr>
            <w:tcW w:w="467"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72 653 220</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162 523 261</w:t>
            </w:r>
          </w:p>
        </w:tc>
        <w:tc>
          <w:tcPr>
            <w:tcW w:w="456"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110 352 221</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163 073 200</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131 484 419</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91 633 758</w:t>
            </w:r>
          </w:p>
        </w:tc>
      </w:tr>
      <w:tr>
        <w:tblPrEx>
          <w:tblW w:w="5000" w:type="pct"/>
          <w:tblCellMar>
            <w:left w:w="70" w:type="dxa"/>
            <w:right w:w="70" w:type="dxa"/>
          </w:tblCellMar>
          <w:tblLook w:val="04A0"/>
        </w:tblPrEx>
        <w:trPr>
          <w:trHeight w:hRule="exact" w:val="255"/>
        </w:trPr>
        <w:tc>
          <w:tcPr>
            <w:tcW w:w="1570"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rPr>
                <w:rFonts w:ascii="Times New Roman" w:hAnsi="Times New Roman" w:cs="Times New Roman"/>
                <w:bCs/>
                <w:color w:val="000000"/>
                <w:sz w:val="14"/>
                <w:szCs w:val="14"/>
              </w:rPr>
            </w:pPr>
            <w:r w:rsidRPr="00932B61">
              <w:rPr>
                <w:rFonts w:ascii="Times New Roman" w:hAnsi="Times New Roman" w:cs="Times New Roman"/>
                <w:color w:val="000000"/>
                <w:sz w:val="14"/>
                <w:szCs w:val="14"/>
              </w:rPr>
              <w:t xml:space="preserve">ŠR mimo spolufinancovania  </w:t>
            </w:r>
          </w:p>
        </w:tc>
        <w:tc>
          <w:tcPr>
            <w:tcW w:w="456"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66 014 683</w:t>
            </w:r>
          </w:p>
        </w:tc>
        <w:tc>
          <w:tcPr>
            <w:tcW w:w="467"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99 288 186</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182 621 361</w:t>
            </w:r>
          </w:p>
        </w:tc>
        <w:tc>
          <w:tcPr>
            <w:tcW w:w="456"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lang w:eastAsia="sk-SK"/>
              </w:rPr>
            </w:pPr>
            <w:r w:rsidRPr="00932B61">
              <w:rPr>
                <w:rFonts w:ascii="Times New Roman" w:hAnsi="Times New Roman" w:cs="Times New Roman"/>
                <w:color w:val="000000"/>
                <w:sz w:val="14"/>
                <w:szCs w:val="14"/>
                <w:lang w:eastAsia="sk-SK"/>
              </w:rPr>
              <w:t>79 495 450</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276 410 301</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299 191 191</w:t>
            </w:r>
          </w:p>
        </w:tc>
        <w:tc>
          <w:tcPr>
            <w:tcW w:w="513"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482 592 875</w:t>
            </w:r>
          </w:p>
        </w:tc>
      </w:tr>
    </w:tbl>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Na O</w:t>
      </w:r>
      <w:r>
        <w:rPr>
          <w:rFonts w:ascii="Times New Roman" w:hAnsi="Times New Roman" w:cs="Times New Roman"/>
        </w:rPr>
        <w:t>P</w:t>
      </w:r>
      <w:r w:rsidRPr="00932B61">
        <w:rPr>
          <w:rFonts w:ascii="Times New Roman" w:hAnsi="Times New Roman" w:cs="Times New Roman"/>
        </w:rPr>
        <w:t xml:space="preserve">D sa v roku 2013 rozpočtujú výdavky v sume 1,31 mld. eur, čo v porovnaní so schváleným rozpočtom roku 2012 predstavuje zvýšenie o 19,9 %, t. j. o 218 mil. eur z dôvodu nárastu výdavkov zo zdrojov EÚ a spolufinancovania a prostriedkov štátneho rozpočtu nevyhnutných k zabezpečeniu plynulého čerpania EÚ prostriedkov. </w:t>
      </w:r>
    </w:p>
    <w:p w:rsidR="009D2A34" w:rsidRPr="00932B61" w:rsidP="009D2A34">
      <w:pPr>
        <w:bidi w:val="0"/>
        <w:jc w:val="both"/>
        <w:rPr>
          <w:rFonts w:ascii="Times New Roman" w:hAnsi="Times New Roman" w:cs="Times New Roman"/>
        </w:rPr>
      </w:pPr>
    </w:p>
    <w:p w:rsidR="009D2A34" w:rsidRPr="00932B61" w:rsidP="009D2A34">
      <w:pPr>
        <w:bidi w:val="0"/>
        <w:jc w:val="both"/>
        <w:rPr>
          <w:rFonts w:ascii="Times New Roman" w:hAnsi="Times New Roman" w:cs="Times New Roman"/>
          <w:i/>
          <w:u w:val="single"/>
        </w:rPr>
      </w:pPr>
      <w:r w:rsidRPr="00932B61">
        <w:rPr>
          <w:rFonts w:ascii="Times New Roman" w:hAnsi="Times New Roman" w:cs="Times New Roman"/>
          <w:i/>
          <w:u w:val="single"/>
        </w:rPr>
        <w:t>TEN-T projekty Železníc Slovenskej republiky</w:t>
      </w:r>
    </w:p>
    <w:p w:rsidR="009D2A34" w:rsidRPr="00932B61" w:rsidP="009D2A34">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753"/>
        <w:gridCol w:w="903"/>
        <w:gridCol w:w="903"/>
        <w:gridCol w:w="903"/>
        <w:gridCol w:w="903"/>
        <w:gridCol w:w="903"/>
        <w:gridCol w:w="903"/>
        <w:gridCol w:w="903"/>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75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v eurách</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xml:space="preserve"> 2012 OS</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90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4925" w:type="pct"/>
          <w:tblInd w:w="70" w:type="dxa"/>
          <w:tblCellMar>
            <w:left w:w="70" w:type="dxa"/>
            <w:right w:w="70" w:type="dxa"/>
          </w:tblCellMar>
          <w:tblLook w:val="04A0"/>
        </w:tblPrEx>
        <w:trPr>
          <w:trHeight w:hRule="exact" w:val="255"/>
        </w:trPr>
        <w:tc>
          <w:tcPr>
            <w:tcW w:w="275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Spolu</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2 534 716</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11 146 015</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16 814 960</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22 909 383</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16 809 090</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8 920 000</w:t>
            </w:r>
          </w:p>
        </w:tc>
        <w:tc>
          <w:tcPr>
            <w:tcW w:w="90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8 920 000</w:t>
            </w:r>
          </w:p>
        </w:tc>
      </w:tr>
      <w:tr>
        <w:tblPrEx>
          <w:tblW w:w="4925" w:type="pct"/>
          <w:tblInd w:w="70" w:type="dxa"/>
          <w:tblCellMar>
            <w:left w:w="70" w:type="dxa"/>
            <w:right w:w="70" w:type="dxa"/>
          </w:tblCellMar>
          <w:tblLook w:val="04A0"/>
        </w:tblPrEx>
        <w:trPr>
          <w:trHeight w:hRule="exact" w:val="255"/>
        </w:trPr>
        <w:tc>
          <w:tcPr>
            <w:tcW w:w="275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Prostriedky EÚ TEN-T (mimorozpočtové)</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1 267 358</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591 293</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2 227 480</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1 503 283</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2 224 545</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600 000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600 000</w:t>
            </w:r>
          </w:p>
        </w:tc>
      </w:tr>
      <w:tr>
        <w:tblPrEx>
          <w:tblW w:w="4925" w:type="pct"/>
          <w:tblInd w:w="70" w:type="dxa"/>
          <w:tblCellMar>
            <w:left w:w="70" w:type="dxa"/>
            <w:right w:w="70" w:type="dxa"/>
          </w:tblCellMar>
          <w:tblLook w:val="04A0"/>
        </w:tblPrEx>
        <w:trPr>
          <w:trHeight w:hRule="exact" w:val="255"/>
        </w:trPr>
        <w:tc>
          <w:tcPr>
            <w:tcW w:w="275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ŠR na spolufinancovanie k TEN-T (50 %) </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1 267 358</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336 800</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2 227 480</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1 206 100</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2 224 545</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600 000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600 000</w:t>
            </w:r>
          </w:p>
        </w:tc>
      </w:tr>
      <w:tr>
        <w:tblPrEx>
          <w:tblW w:w="4925" w:type="pct"/>
          <w:tblInd w:w="70" w:type="dxa"/>
          <w:tblCellMar>
            <w:left w:w="70" w:type="dxa"/>
            <w:right w:w="70" w:type="dxa"/>
          </w:tblCellMar>
          <w:tblLook w:val="04A0"/>
        </w:tblPrEx>
        <w:trPr>
          <w:trHeight w:hRule="exact" w:val="255"/>
        </w:trPr>
        <w:tc>
          <w:tcPr>
            <w:tcW w:w="275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Štátna dotácia mimo spolufin. TEN-T </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10 217 922</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12 360 000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20 200 000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12 360 000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7 720 000</w:t>
            </w:r>
          </w:p>
        </w:tc>
        <w:tc>
          <w:tcPr>
            <w:tcW w:w="90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7 720 000</w:t>
            </w:r>
          </w:p>
        </w:tc>
      </w:tr>
    </w:tbl>
    <w:p w:rsidR="009D2A34" w:rsidRPr="00932B61" w:rsidP="009D2A34">
      <w:pPr>
        <w:bidi w:val="0"/>
        <w:ind w:firstLine="709"/>
        <w:jc w:val="both"/>
        <w:rPr>
          <w:rFonts w:ascii="Times New Roman" w:hAnsi="Times New Roman" w:cs="Times New Roman"/>
        </w:rPr>
      </w:pPr>
    </w:p>
    <w:p w:rsidR="009D2A34" w:rsidRPr="00932B61" w:rsidP="009D2A34">
      <w:pPr>
        <w:bidi w:val="0"/>
        <w:ind w:firstLine="709"/>
        <w:jc w:val="both"/>
        <w:rPr>
          <w:rFonts w:ascii="Times New Roman" w:hAnsi="Times New Roman" w:cs="Times New Roman"/>
        </w:rPr>
      </w:pPr>
      <w:r w:rsidRPr="00932B61">
        <w:rPr>
          <w:rFonts w:ascii="Times New Roman" w:hAnsi="Times New Roman" w:cs="Times New Roman"/>
        </w:rPr>
        <w:t xml:space="preserve">Na TEN-T projekty Železníc Slovenskej republiky (ďalej len „ŽSR“) sa rozpočtujú výdavky v sume 16,8 mil. eur. Výška rozpočtovaných výdavkov je na úrovni schváleného rozpočtu roku 2012. Výdavkami na TEN-T projekty sa realizuje príprava projektov železničnej infraštruktúry financovaných zo zdrojov EÚ ako sú štúdie a predprojektová dokumentácia. </w:t>
      </w:r>
    </w:p>
    <w:p w:rsidR="009D2A34" w:rsidRPr="00932B61" w:rsidP="009D2A34">
      <w:pPr>
        <w:bidi w:val="0"/>
        <w:jc w:val="both"/>
        <w:rPr>
          <w:rFonts w:ascii="Times New Roman" w:hAnsi="Times New Roman" w:cs="Times New Roman"/>
          <w:i/>
          <w:u w:val="single"/>
        </w:rPr>
      </w:pPr>
    </w:p>
    <w:p w:rsidR="009D2A34" w:rsidRPr="00932B61" w:rsidP="009D2A34">
      <w:pPr>
        <w:bidi w:val="0"/>
        <w:jc w:val="both"/>
        <w:rPr>
          <w:rFonts w:ascii="Times New Roman" w:hAnsi="Times New Roman" w:cs="Times New Roman"/>
          <w:i/>
          <w:u w:val="single"/>
        </w:rPr>
      </w:pPr>
    </w:p>
    <w:p w:rsidR="009D2A34" w:rsidP="009D2A34">
      <w:pPr>
        <w:bidi w:val="0"/>
        <w:jc w:val="both"/>
        <w:rPr>
          <w:rFonts w:ascii="Times New Roman" w:hAnsi="Times New Roman" w:cs="Times New Roman"/>
          <w:i/>
          <w:u w:val="single"/>
        </w:rPr>
      </w:pPr>
    </w:p>
    <w:p w:rsidR="009D2A34" w:rsidRPr="00932B61" w:rsidP="009D2A34">
      <w:pPr>
        <w:bidi w:val="0"/>
        <w:jc w:val="both"/>
        <w:rPr>
          <w:rFonts w:ascii="Times New Roman" w:hAnsi="Times New Roman" w:cs="Times New Roman"/>
          <w:i/>
          <w:u w:val="single"/>
        </w:rPr>
      </w:pPr>
    </w:p>
    <w:p w:rsidR="009D2A34" w:rsidRPr="00932B61" w:rsidP="009D2A34">
      <w:pPr>
        <w:bidi w:val="0"/>
        <w:jc w:val="both"/>
        <w:rPr>
          <w:rFonts w:ascii="Times New Roman" w:hAnsi="Times New Roman" w:cs="Times New Roman"/>
          <w:i/>
          <w:u w:val="single"/>
        </w:rPr>
      </w:pPr>
    </w:p>
    <w:p w:rsidR="009D2A34" w:rsidRPr="00932B61" w:rsidP="009D2A34">
      <w:pPr>
        <w:bidi w:val="0"/>
        <w:jc w:val="both"/>
        <w:rPr>
          <w:rFonts w:ascii="Times New Roman" w:hAnsi="Times New Roman" w:cs="Times New Roman"/>
          <w:i/>
          <w:u w:val="single"/>
        </w:rPr>
      </w:pPr>
    </w:p>
    <w:p w:rsidR="009D2A34" w:rsidRPr="00932B61" w:rsidP="009D2A34">
      <w:pPr>
        <w:bidi w:val="0"/>
        <w:jc w:val="both"/>
        <w:rPr>
          <w:rFonts w:ascii="Times New Roman" w:hAnsi="Times New Roman" w:cs="Times New Roman"/>
          <w:i/>
          <w:u w:val="single"/>
        </w:rPr>
      </w:pPr>
      <w:r w:rsidRPr="00932B61">
        <w:rPr>
          <w:rFonts w:ascii="Times New Roman" w:hAnsi="Times New Roman" w:cs="Times New Roman"/>
          <w:i/>
          <w:u w:val="single"/>
        </w:rPr>
        <w:t>Investície NDS a Slovenskej správy ciest mimo OPD</w:t>
      </w:r>
    </w:p>
    <w:p w:rsidR="009D2A34" w:rsidRPr="00932B61" w:rsidP="009D2A34">
      <w:pPr>
        <w:bidi w:val="0"/>
        <w:jc w:val="both"/>
        <w:rPr>
          <w:rFonts w:ascii="Times New Roman" w:hAnsi="Times New Roman" w:cs="Times New Roman"/>
          <w:i/>
          <w:u w:val="single"/>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63"/>
        <w:gridCol w:w="946"/>
        <w:gridCol w:w="946"/>
        <w:gridCol w:w="946"/>
        <w:gridCol w:w="946"/>
        <w:gridCol w:w="946"/>
        <w:gridCol w:w="946"/>
        <w:gridCol w:w="946"/>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v eurách</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xml:space="preserve"> 2012 OS</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9085" w:type="dxa"/>
          <w:tblInd w:w="57" w:type="dxa"/>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Spolu</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277 335 407</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125 446 446</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166 514 211</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110 292 753</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64 981 545</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43 059 464</w:t>
            </w:r>
          </w:p>
        </w:tc>
        <w:tc>
          <w:tcPr>
            <w:tcW w:w="946"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46 252 670</w:t>
            </w:r>
          </w:p>
        </w:tc>
      </w:tr>
      <w:tr>
        <w:tblPrEx>
          <w:tblW w:w="9085" w:type="dxa"/>
          <w:tblInd w:w="57" w:type="dxa"/>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 xml:space="preserve">NDS výdavky zo ŠR mimo OPD </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222 402 920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64 170 457</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41 400 000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41 400 000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41 400 000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31 400 000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31 400 000</w:t>
            </w:r>
          </w:p>
        </w:tc>
      </w:tr>
      <w:tr>
        <w:tblPrEx>
          <w:tblW w:w="9085" w:type="dxa"/>
          <w:tblInd w:w="57" w:type="dxa"/>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SSC výdavky zo ŠR mimo OPD</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33 635 404</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52 673 603</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39 000 000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40 349 036</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5 453 769</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5 853 775</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5 853 765</w:t>
            </w:r>
          </w:p>
        </w:tc>
      </w:tr>
      <w:tr>
        <w:tblPrEx>
          <w:tblW w:w="9085" w:type="dxa"/>
          <w:tblInd w:w="57" w:type="dxa"/>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ŽSSK výdavky zo ŠR*</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12 757 083</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 xml:space="preserve">                    0 </w:t>
            </w:r>
          </w:p>
        </w:tc>
      </w:tr>
      <w:tr>
        <w:tblPrEx>
          <w:tblW w:w="9085" w:type="dxa"/>
          <w:tblInd w:w="57" w:type="dxa"/>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rPr>
                <w:rFonts w:ascii="Times New Roman" w:hAnsi="Times New Roman" w:cs="Times New Roman"/>
                <w:bCs/>
                <w:color w:val="000000"/>
                <w:sz w:val="14"/>
                <w:szCs w:val="14"/>
              </w:rPr>
            </w:pPr>
            <w:r w:rsidRPr="00932B61">
              <w:rPr>
                <w:rFonts w:ascii="Times New Roman" w:hAnsi="Times New Roman" w:cs="Times New Roman"/>
                <w:b/>
                <w:color w:val="000000"/>
                <w:sz w:val="14"/>
                <w:szCs w:val="14"/>
              </w:rPr>
              <w:t>Zdroje ŠR</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268 795 407</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116 844 060</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80 400 000</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81 749 036</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46 853 769</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37 253 775</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37 253 765</w:t>
            </w:r>
          </w:p>
        </w:tc>
      </w:tr>
      <w:tr>
        <w:tblPrEx>
          <w:tblW w:w="9085" w:type="dxa"/>
          <w:tblInd w:w="57" w:type="dxa"/>
          <w:tblCellMar>
            <w:left w:w="70" w:type="dxa"/>
            <w:right w:w="70" w:type="dxa"/>
          </w:tblCellMar>
          <w:tblLook w:val="04A0"/>
        </w:tblPrEx>
        <w:trPr>
          <w:trHeight w:hRule="exact" w:val="255"/>
        </w:trPr>
        <w:tc>
          <w:tcPr>
            <w:tcW w:w="246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 xml:space="preserve">NDS investície z vlastných zdrojov </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8 540 000</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8 602 386</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86 114 211</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28 543 717</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18 127 776</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5 805 689</w:t>
            </w:r>
          </w:p>
        </w:tc>
        <w:tc>
          <w:tcPr>
            <w:tcW w:w="946"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8 998 905</w:t>
            </w:r>
          </w:p>
        </w:tc>
      </w:tr>
    </w:tbl>
    <w:p w:rsidR="009D2A34" w:rsidRPr="00932B61" w:rsidP="009D2A34">
      <w:pPr>
        <w:bidi w:val="0"/>
        <w:jc w:val="both"/>
        <w:rPr>
          <w:rFonts w:ascii="Times New Roman" w:hAnsi="Times New Roman" w:cs="Times New Roman"/>
          <w:sz w:val="16"/>
          <w:szCs w:val="16"/>
        </w:rPr>
      </w:pPr>
      <w:r w:rsidRPr="00932B61">
        <w:rPr>
          <w:rFonts w:ascii="Times New Roman" w:hAnsi="Times New Roman" w:cs="Times New Roman"/>
          <w:sz w:val="16"/>
          <w:szCs w:val="16"/>
        </w:rPr>
        <w:t>*Výdavky na rekonštrukciu, modernizáciu a nákup nových koľajových vozidiel</w:t>
      </w:r>
    </w:p>
    <w:p w:rsidR="009D2A34" w:rsidRPr="00932B61" w:rsidP="009D2A34">
      <w:pPr>
        <w:bidi w:val="0"/>
        <w:jc w:val="both"/>
        <w:rPr>
          <w:rFonts w:ascii="Times New Roman" w:hAnsi="Times New Roman" w:cs="Times New Roman"/>
        </w:rPr>
      </w:pPr>
    </w:p>
    <w:p w:rsidR="009D2A34" w:rsidRPr="00932B61" w:rsidP="009D2A34">
      <w:pPr>
        <w:bidi w:val="0"/>
        <w:ind w:firstLine="709"/>
        <w:jc w:val="both"/>
        <w:rPr>
          <w:rFonts w:ascii="Times New Roman" w:hAnsi="Times New Roman" w:cs="Times New Roman"/>
        </w:rPr>
      </w:pPr>
      <w:r w:rsidRPr="00932B61">
        <w:rPr>
          <w:rFonts w:ascii="Times New Roman" w:hAnsi="Times New Roman" w:cs="Times New Roman"/>
        </w:rPr>
        <w:t>Na investície realizované NDS a Slovenskou správou ciest (ďalej len „SSC“) mimo OPD vrátane vlastných zdrojov NDS sú k dispozícii výdavky v sume 65,0 mil. eur, čo v porovnaní so schváleným rozpočtom roku 2012 predstavuje pokles o 61,0 %, t. j.</w:t>
        <w:br/>
        <w:t xml:space="preserve">o 102 mil. eur. </w:t>
      </w:r>
    </w:p>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Na samotné investície realizované NDS a SSC zo štátneho rozpočtu sa rozpočtujú výdavky v sume 46,9 mil. eur, čo v porovnaní so schváleným rozpočtom roku 2012 predstavuje pokles o 41,7 %, t. j. o 33,5 mil. eur z dôvodu, že v roku 2012 boli v týchto výdavkoch rozpočtované aj výdavky na dostavbu rozostavaných stavieb zazmluvnených pred rokom 2011.</w:t>
      </w:r>
    </w:p>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 xml:space="preserve">Prostriedky na investície z vlastných zdrojov NDS sú v porovnaní so schváleným rozpočtom roku 2012 nižšie o 79,0 %, čo predstavuje sumu 68,0 mil. eur z dôvodu nerealizovania čerpania úverov, ktoré sa predpokladali na rok 2012 v sume 74,5 mil. eur. </w:t>
      </w:r>
    </w:p>
    <w:p w:rsidR="009D2A34" w:rsidRPr="00932B61" w:rsidP="009D2A34">
      <w:pPr>
        <w:bidi w:val="0"/>
        <w:ind w:firstLine="708"/>
        <w:jc w:val="both"/>
        <w:rPr>
          <w:rFonts w:ascii="Times New Roman" w:hAnsi="Times New Roman" w:cs="Times New Roman"/>
        </w:rPr>
      </w:pPr>
    </w:p>
    <w:p w:rsidR="009D2A34" w:rsidRPr="00932B61" w:rsidP="009D2A34">
      <w:pPr>
        <w:bidi w:val="0"/>
        <w:jc w:val="both"/>
        <w:rPr>
          <w:rFonts w:ascii="Times New Roman" w:hAnsi="Times New Roman" w:cs="Times New Roman"/>
          <w:i/>
          <w:u w:val="single"/>
        </w:rPr>
      </w:pPr>
      <w:r w:rsidRPr="00932B61">
        <w:rPr>
          <w:rFonts w:ascii="Times New Roman" w:hAnsi="Times New Roman" w:cs="Times New Roman"/>
          <w:i/>
          <w:u w:val="single"/>
        </w:rPr>
        <w:t>Údržba a opravy ciest a diaľnic</w:t>
      </w:r>
    </w:p>
    <w:p w:rsidR="009D2A34" w:rsidRPr="00932B61" w:rsidP="009D2A34">
      <w:pPr>
        <w:bidi w:val="0"/>
        <w:jc w:val="both"/>
        <w:rPr>
          <w:rFonts w:ascii="Times New Roman" w:hAnsi="Times New Roman" w:cs="Times New Roman"/>
          <w:i/>
          <w:u w:val="single"/>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5"/>
        <w:gridCol w:w="872"/>
        <w:gridCol w:w="873"/>
        <w:gridCol w:w="873"/>
        <w:gridCol w:w="873"/>
        <w:gridCol w:w="873"/>
        <w:gridCol w:w="873"/>
        <w:gridCol w:w="873"/>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v eurách</w:t>
            </w:r>
          </w:p>
        </w:tc>
        <w:tc>
          <w:tcPr>
            <w:tcW w:w="87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xml:space="preserve"> 2012 OS</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87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 xml:space="preserve">NDS a SSC opravy a údržba spolu </w:t>
            </w:r>
          </w:p>
        </w:tc>
        <w:tc>
          <w:tcPr>
            <w:tcW w:w="87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88 007 611</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105 867 267</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109 315 942</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103 117 295</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101 790 616</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105 025 879</w:t>
            </w:r>
          </w:p>
        </w:tc>
        <w:tc>
          <w:tcPr>
            <w:tcW w:w="873"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108 465 211</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NDS - opravy a údržba zo ŠR</w:t>
            </w:r>
          </w:p>
        </w:tc>
        <w:tc>
          <w:tcPr>
            <w:tcW w:w="87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42 029 003</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28 815 753</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28 334 000</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28 334 000</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28 500 000</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29 000 000</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29 000 000</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SSC - opravy a údržba a prev. výd. SSC  zo ŠR</w:t>
            </w:r>
          </w:p>
        </w:tc>
        <w:tc>
          <w:tcPr>
            <w:tcW w:w="87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40 422 608</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60 939 327</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41 310 942</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45 106 942</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40 457 173</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40 457 167</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40 457 177</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 xml:space="preserve">Zdroje ŠR </w:t>
            </w:r>
          </w:p>
        </w:tc>
        <w:tc>
          <w:tcPr>
            <w:tcW w:w="87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82 451 611</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89 755 080</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69 644 942</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73 440 942</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68 957 173</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69 457 167</w:t>
            </w:r>
          </w:p>
        </w:tc>
        <w:tc>
          <w:tcPr>
            <w:tcW w:w="8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69 457 177</w:t>
            </w:r>
          </w:p>
        </w:tc>
      </w:tr>
      <w:tr>
        <w:tblPrEx>
          <w:tblW w:w="9085" w:type="dxa"/>
          <w:tblInd w:w="57" w:type="dxa"/>
          <w:tblCellMar>
            <w:left w:w="70" w:type="dxa"/>
            <w:right w:w="70" w:type="dxa"/>
          </w:tblCellMar>
          <w:tblLook w:val="04A0"/>
        </w:tblPrEx>
        <w:trPr>
          <w:trHeight w:hRule="exact" w:val="255"/>
        </w:trPr>
        <w:tc>
          <w:tcPr>
            <w:tcW w:w="297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NDS - opravy a údržba z vlastných zdrojov </w:t>
            </w:r>
          </w:p>
        </w:tc>
        <w:tc>
          <w:tcPr>
            <w:tcW w:w="87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5 556 000</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16 112 187</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39 671 000</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29 676 353</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32 833 443</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35 568 712</w:t>
            </w:r>
          </w:p>
        </w:tc>
        <w:tc>
          <w:tcPr>
            <w:tcW w:w="873"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39 008 034</w:t>
            </w:r>
          </w:p>
        </w:tc>
      </w:tr>
    </w:tbl>
    <w:p w:rsidR="009D2A34" w:rsidRPr="00932B61" w:rsidP="009D2A34">
      <w:pPr>
        <w:bidi w:val="0"/>
        <w:ind w:firstLine="709"/>
        <w:jc w:val="both"/>
        <w:rPr>
          <w:rFonts w:ascii="Times New Roman" w:hAnsi="Times New Roman" w:cs="Times New Roman"/>
        </w:rPr>
      </w:pPr>
    </w:p>
    <w:p w:rsidR="009D2A34" w:rsidRPr="00932B61" w:rsidP="009D2A34">
      <w:pPr>
        <w:bidi w:val="0"/>
        <w:ind w:firstLine="709"/>
        <w:jc w:val="both"/>
        <w:rPr>
          <w:rFonts w:ascii="Times New Roman" w:hAnsi="Times New Roman" w:cs="Times New Roman"/>
        </w:rPr>
      </w:pPr>
      <w:r w:rsidRPr="00932B61">
        <w:rPr>
          <w:rFonts w:ascii="Times New Roman" w:hAnsi="Times New Roman" w:cs="Times New Roman"/>
        </w:rPr>
        <w:t xml:space="preserve">Na údržbu a opravy ciest a diaľnic vrátane vlastných zdrojov NDS sú k dispozícii výdavky vo výške  102 mil. eur, čo v porovnaní so schváleným rozpočtom roku 2012 predstavuje zníženie o 6,88 %, t. j. o 7,53 mil. eur, z toho výdavky štátneho rozpočtu sú nižšie o 0,99 %, t. j. o 688 tis. eur. </w:t>
      </w:r>
    </w:p>
    <w:p w:rsidR="009D2A34" w:rsidRPr="00932B61" w:rsidP="009D2A34">
      <w:pPr>
        <w:bidi w:val="0"/>
        <w:jc w:val="both"/>
        <w:rPr>
          <w:rFonts w:ascii="Times New Roman" w:hAnsi="Times New Roman" w:cs="Times New Roman"/>
          <w:i/>
          <w:u w:val="single"/>
        </w:rPr>
      </w:pPr>
    </w:p>
    <w:p w:rsidR="009D2A34" w:rsidRPr="00932B61" w:rsidP="009D2A34">
      <w:pPr>
        <w:bidi w:val="0"/>
        <w:jc w:val="both"/>
        <w:rPr>
          <w:rFonts w:ascii="Times New Roman" w:hAnsi="Times New Roman" w:cs="Times New Roman"/>
          <w:i/>
          <w:u w:val="single"/>
        </w:rPr>
      </w:pPr>
      <w:r w:rsidRPr="00932B61">
        <w:rPr>
          <w:rFonts w:ascii="Times New Roman" w:hAnsi="Times New Roman" w:cs="Times New Roman"/>
          <w:i/>
          <w:u w:val="single"/>
        </w:rPr>
        <w:t>Zmluva so ŽSR a zmluvy o dopravných službách vo verejnom záujme pre železničnú osobnú dopravu</w:t>
      </w:r>
    </w:p>
    <w:p w:rsidR="009D2A34" w:rsidRPr="00932B61" w:rsidP="009D2A34">
      <w:pPr>
        <w:bidi w:val="0"/>
        <w:jc w:val="both"/>
        <w:rPr>
          <w:rFonts w:ascii="Times New Roman" w:hAnsi="Times New Roman" w:cs="Times New Roman"/>
        </w:rPr>
      </w:pPr>
    </w:p>
    <w:tbl>
      <w:tblPr>
        <w:tblStyle w:val="TableNormal"/>
        <w:tblW w:w="9085" w:type="dxa"/>
        <w:tblInd w:w="57" w:type="dxa"/>
        <w:tblCellMar>
          <w:left w:w="70" w:type="dxa"/>
          <w:right w:w="70" w:type="dxa"/>
        </w:tblCellMar>
        <w:tblLook w:val="04A0"/>
      </w:tblPr>
      <w:tblGrid>
        <w:gridCol w:w="2269"/>
        <w:gridCol w:w="973"/>
        <w:gridCol w:w="973"/>
        <w:gridCol w:w="974"/>
        <w:gridCol w:w="974"/>
        <w:gridCol w:w="974"/>
        <w:gridCol w:w="974"/>
        <w:gridCol w:w="974"/>
      </w:tblGrid>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v eurách</w:t>
            </w:r>
          </w:p>
        </w:tc>
        <w:tc>
          <w:tcPr>
            <w:tcW w:w="97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97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97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97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xml:space="preserve"> 2012 OS</w:t>
            </w:r>
          </w:p>
        </w:tc>
        <w:tc>
          <w:tcPr>
            <w:tcW w:w="97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97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97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Spolu</w:t>
            </w:r>
          </w:p>
        </w:tc>
        <w:tc>
          <w:tcPr>
            <w:tcW w:w="973"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336 918 007</w:t>
            </w:r>
          </w:p>
        </w:tc>
        <w:tc>
          <w:tcPr>
            <w:tcW w:w="973"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404 497 743</w:t>
            </w:r>
          </w:p>
        </w:tc>
        <w:tc>
          <w:tcPr>
            <w:tcW w:w="97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475 000 000</w:t>
            </w:r>
          </w:p>
        </w:tc>
        <w:tc>
          <w:tcPr>
            <w:tcW w:w="97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475 000 000</w:t>
            </w:r>
          </w:p>
        </w:tc>
        <w:tc>
          <w:tcPr>
            <w:tcW w:w="97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465 000 000</w:t>
            </w:r>
          </w:p>
        </w:tc>
        <w:tc>
          <w:tcPr>
            <w:tcW w:w="97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455 000 000</w:t>
            </w:r>
          </w:p>
        </w:tc>
        <w:tc>
          <w:tcPr>
            <w:tcW w:w="97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455 000 000</w:t>
            </w:r>
          </w:p>
        </w:tc>
      </w:tr>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ŽSR - zmluva o prevádz. želez. inf.</w:t>
            </w:r>
          </w:p>
        </w:tc>
        <w:tc>
          <w:tcPr>
            <w:tcW w:w="973"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164 309 899</w:t>
            </w:r>
          </w:p>
        </w:tc>
        <w:tc>
          <w:tcPr>
            <w:tcW w:w="973"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199 498 108</w:t>
            </w:r>
          </w:p>
        </w:tc>
        <w:tc>
          <w:tcPr>
            <w:tcW w:w="974"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270 000 000</w:t>
            </w:r>
          </w:p>
        </w:tc>
        <w:tc>
          <w:tcPr>
            <w:tcW w:w="974"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270 000 000</w:t>
            </w:r>
          </w:p>
        </w:tc>
        <w:tc>
          <w:tcPr>
            <w:tcW w:w="974"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260 000 000</w:t>
            </w:r>
          </w:p>
        </w:tc>
        <w:tc>
          <w:tcPr>
            <w:tcW w:w="974"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250 000 000</w:t>
            </w:r>
          </w:p>
        </w:tc>
        <w:tc>
          <w:tcPr>
            <w:tcW w:w="974"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250 000 000</w:t>
            </w:r>
          </w:p>
        </w:tc>
      </w:tr>
      <w:tr>
        <w:tblPrEx>
          <w:tblW w:w="9085" w:type="dxa"/>
          <w:tblInd w:w="57" w:type="dxa"/>
          <w:tblCellMar>
            <w:left w:w="70" w:type="dxa"/>
            <w:right w:w="70" w:type="dxa"/>
          </w:tblCellMar>
          <w:tblLook w:val="04A0"/>
        </w:tblPrEx>
        <w:trPr>
          <w:trHeight w:hRule="exact" w:val="255"/>
        </w:trPr>
        <w:tc>
          <w:tcPr>
            <w:tcW w:w="226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Zmluvy o dopr. služ. vo ver. záujme  </w:t>
            </w:r>
          </w:p>
        </w:tc>
        <w:tc>
          <w:tcPr>
            <w:tcW w:w="973"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172 608 108</w:t>
            </w:r>
          </w:p>
        </w:tc>
        <w:tc>
          <w:tcPr>
            <w:tcW w:w="973"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204 999 635</w:t>
            </w:r>
          </w:p>
        </w:tc>
        <w:tc>
          <w:tcPr>
            <w:tcW w:w="974"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205 000 000</w:t>
            </w:r>
          </w:p>
        </w:tc>
        <w:tc>
          <w:tcPr>
            <w:tcW w:w="974"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205 000 000</w:t>
            </w:r>
          </w:p>
        </w:tc>
        <w:tc>
          <w:tcPr>
            <w:tcW w:w="974"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205 000 000</w:t>
            </w:r>
          </w:p>
        </w:tc>
        <w:tc>
          <w:tcPr>
            <w:tcW w:w="974"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205 000 000</w:t>
            </w:r>
          </w:p>
        </w:tc>
        <w:tc>
          <w:tcPr>
            <w:tcW w:w="974" w:type="dxa"/>
            <w:tcBorders>
              <w:top w:val="single" w:sz="4" w:space="0" w:color="auto"/>
              <w:left w:val="nil"/>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205 000 000</w:t>
            </w:r>
          </w:p>
        </w:tc>
      </w:tr>
    </w:tbl>
    <w:p w:rsidR="009D2A34" w:rsidRPr="00932B61" w:rsidP="009D2A34">
      <w:pPr>
        <w:bidi w:val="0"/>
        <w:ind w:firstLine="709"/>
        <w:jc w:val="both"/>
        <w:rPr>
          <w:rFonts w:ascii="Times New Roman" w:hAnsi="Times New Roman" w:cs="Times New Roman"/>
        </w:rPr>
      </w:pPr>
    </w:p>
    <w:p w:rsidR="009D2A34" w:rsidRPr="00932B61" w:rsidP="009D2A34">
      <w:pPr>
        <w:bidi w:val="0"/>
        <w:ind w:firstLine="709"/>
        <w:jc w:val="both"/>
        <w:rPr>
          <w:rFonts w:ascii="Times New Roman" w:hAnsi="Times New Roman" w:cs="Times New Roman"/>
        </w:rPr>
      </w:pPr>
      <w:r w:rsidRPr="00932B61">
        <w:rPr>
          <w:rFonts w:ascii="Times New Roman" w:hAnsi="Times New Roman" w:cs="Times New Roman"/>
        </w:rPr>
        <w:t>Na zabezpečenie zmluvy o prevádzkovaní železničnej infraštruktúry so ŽSR a zmlúv o dopravných službách vo verejnom záujme pre železničnú osobnú dopravu sú rozpočtované výdavky v sume 465 mil. eur, čo v porovnaní so schváleným rozpočtom roku 2012 predstavuje zníženie o 2,11%, t. j. o 10,0 mil. eur. Z uvedenej čiastky sú pre ŽSR na zmluvu o prevádzkovaní železničnej infraštruktúry rozpočtované výdavky v sume 260 mil. eur, čo v porovnaní so schváleným rozpočtom roku 2012 predstavuje pokles o 10,0 mil. eur, a na zmluvy o dopravných službách vo verejnom záujme pre železničnú osobnú dopravu sú rozpočtované výdavky v sume  205 mil. eur, čo je na úrovni schváleného rozpočtu roku 2012. Uvedenými výdavkami sa zabezpečuje stabilizácia v železničnej doprave.</w:t>
      </w:r>
    </w:p>
    <w:p w:rsidR="009D2A34" w:rsidRPr="00932B61" w:rsidP="009D2A34">
      <w:pPr>
        <w:bidi w:val="0"/>
        <w:jc w:val="both"/>
        <w:rPr>
          <w:rFonts w:ascii="Times New Roman" w:hAnsi="Times New Roman" w:cs="Times New Roman"/>
        </w:rPr>
      </w:pPr>
    </w:p>
    <w:p w:rsidR="009D2A34" w:rsidRPr="00932B61" w:rsidP="009D2A34">
      <w:pPr>
        <w:bidi w:val="0"/>
        <w:jc w:val="both"/>
        <w:rPr>
          <w:rFonts w:ascii="Times New Roman" w:hAnsi="Times New Roman" w:cs="Times New Roman"/>
          <w:i/>
          <w:u w:val="single"/>
        </w:rPr>
      </w:pPr>
      <w:r w:rsidRPr="00932B61">
        <w:rPr>
          <w:rFonts w:ascii="Times New Roman" w:hAnsi="Times New Roman" w:cs="Times New Roman"/>
          <w:i/>
          <w:u w:val="single"/>
        </w:rPr>
        <w:t>Výstavba nadradenej cestnej siete a platba za dostupnosť</w:t>
      </w:r>
    </w:p>
    <w:p w:rsidR="009D2A34" w:rsidRPr="00932B61" w:rsidP="009D2A34">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85"/>
        <w:gridCol w:w="942"/>
        <w:gridCol w:w="942"/>
        <w:gridCol w:w="941"/>
        <w:gridCol w:w="941"/>
        <w:gridCol w:w="941"/>
        <w:gridCol w:w="941"/>
        <w:gridCol w:w="941"/>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248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v eurách</w:t>
            </w:r>
          </w:p>
        </w:tc>
        <w:tc>
          <w:tcPr>
            <w:tcW w:w="9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9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OS</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9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4925" w:type="pct"/>
          <w:tblInd w:w="70" w:type="dxa"/>
          <w:tblLayout w:type="fixed"/>
          <w:tblCellMar>
            <w:left w:w="70" w:type="dxa"/>
            <w:right w:w="70" w:type="dxa"/>
          </w:tblCellMar>
          <w:tblLook w:val="04A0"/>
        </w:tblPrEx>
        <w:trPr>
          <w:trHeight w:hRule="exact" w:val="255"/>
        </w:trPr>
        <w:tc>
          <w:tcPr>
            <w:tcW w:w="2485"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Spolu</w:t>
            </w:r>
          </w:p>
        </w:tc>
        <w:tc>
          <w:tcPr>
            <w:tcW w:w="9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53 741 331</w:t>
            </w:r>
          </w:p>
        </w:tc>
        <w:tc>
          <w:tcPr>
            <w:tcW w:w="9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275 744 438</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140 141 233</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137 891 078</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130 964 396</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131 047 149</w:t>
            </w:r>
          </w:p>
        </w:tc>
        <w:tc>
          <w:tcPr>
            <w:tcW w:w="94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131 544 384</w:t>
            </w:r>
          </w:p>
        </w:tc>
      </w:tr>
      <w:tr>
        <w:tblPrEx>
          <w:tblW w:w="4925" w:type="pct"/>
          <w:tblInd w:w="70" w:type="dxa"/>
          <w:tblLayout w:type="fixed"/>
          <w:tblCellMar>
            <w:left w:w="70" w:type="dxa"/>
            <w:right w:w="70" w:type="dxa"/>
          </w:tblCellMar>
          <w:tblLook w:val="04A0"/>
        </w:tblPrEx>
        <w:trPr>
          <w:trHeight w:hRule="exact" w:val="255"/>
        </w:trPr>
        <w:tc>
          <w:tcPr>
            <w:tcW w:w="2485"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Platba za dostupnosť </w:t>
            </w:r>
          </w:p>
        </w:tc>
        <w:tc>
          <w:tcPr>
            <w:tcW w:w="94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4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100 641 233</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96 315 497</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130 564 396</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131 047 149</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131 544 384</w:t>
            </w:r>
          </w:p>
        </w:tc>
      </w:tr>
      <w:tr>
        <w:tblPrEx>
          <w:tblW w:w="4925" w:type="pct"/>
          <w:tblInd w:w="70" w:type="dxa"/>
          <w:tblLayout w:type="fixed"/>
          <w:tblCellMar>
            <w:left w:w="70" w:type="dxa"/>
            <w:right w:w="70" w:type="dxa"/>
          </w:tblCellMar>
          <w:tblLook w:val="04A0"/>
        </w:tblPrEx>
        <w:trPr>
          <w:trHeight w:hRule="exact" w:val="255"/>
        </w:trPr>
        <w:tc>
          <w:tcPr>
            <w:tcW w:w="2485"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DPH</w:t>
            </w:r>
          </w:p>
        </w:tc>
        <w:tc>
          <w:tcPr>
            <w:tcW w:w="94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4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173 639 298</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38 000 000</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38 000 000</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0 </w:t>
            </w:r>
          </w:p>
        </w:tc>
      </w:tr>
      <w:tr>
        <w:tblPrEx>
          <w:tblW w:w="4925" w:type="pct"/>
          <w:tblInd w:w="70" w:type="dxa"/>
          <w:tblLayout w:type="fixed"/>
          <w:tblCellMar>
            <w:left w:w="70" w:type="dxa"/>
            <w:right w:w="70" w:type="dxa"/>
          </w:tblCellMar>
          <w:tblLook w:val="04A0"/>
        </w:tblPrEx>
        <w:trPr>
          <w:trHeight w:hRule="exact" w:val="255"/>
        </w:trPr>
        <w:tc>
          <w:tcPr>
            <w:tcW w:w="2485"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Príprava a ukonč. PPP projektov</w:t>
            </w:r>
          </w:p>
        </w:tc>
        <w:tc>
          <w:tcPr>
            <w:tcW w:w="94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53 741 331</w:t>
            </w:r>
          </w:p>
        </w:tc>
        <w:tc>
          <w:tcPr>
            <w:tcW w:w="94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102 105 140</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1 500 000</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3 575 581</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400 000</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94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0 </w:t>
            </w:r>
          </w:p>
        </w:tc>
      </w:tr>
    </w:tbl>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 xml:space="preserve">V roku 2013 sa rozpočtujú výdavky na platbu za dostupnosť pre 2. balík PPP  projektu cesty R1 v sume 131 mil. eur a na prípravu a ukončenie  PPP projektov 400 tis. eur. V porovnaní so schváleným rozpočtom roku 2012 sú výdavky na realizáciu PPP projektov aj napriek zvýšeniu výdavkov na platbu za dostupnosť nižšie o 6,55 %, t. j. o 9,18 mil. eur, z dôvodu zníženia výdavkov na prípravu PPP projektov a nerozpočtovania výdavkov na úhradu DPH, ktoré boli potrebné len pre roky 2011 a 2012. </w:t>
      </w:r>
    </w:p>
    <w:p w:rsidR="009D2A34" w:rsidRPr="00932B61" w:rsidP="009D2A34">
      <w:pPr>
        <w:bidi w:val="0"/>
        <w:ind w:firstLine="708"/>
        <w:jc w:val="both"/>
        <w:rPr>
          <w:rFonts w:ascii="Times New Roman" w:hAnsi="Times New Roman" w:cs="Times New Roman"/>
        </w:rPr>
      </w:pPr>
    </w:p>
    <w:p w:rsidR="009D2A34" w:rsidRPr="00932B61" w:rsidP="009D2A34">
      <w:pPr>
        <w:bidi w:val="0"/>
        <w:ind w:firstLine="709"/>
        <w:jc w:val="both"/>
        <w:rPr>
          <w:rFonts w:ascii="Times New Roman" w:hAnsi="Times New Roman" w:cs="Times New Roman"/>
        </w:rPr>
      </w:pPr>
      <w:r w:rsidRPr="00932B61">
        <w:rPr>
          <w:rFonts w:ascii="Times New Roman" w:hAnsi="Times New Roman" w:cs="Times New Roman"/>
        </w:rPr>
        <w:t xml:space="preserve">V roku 2012 sa dokončil PPP projekt cesty R1 a od roku 2013 sa rozpočtujú výdavky na platbu za dostupnosť v plnej výške. </w:t>
      </w:r>
    </w:p>
    <w:p w:rsidR="009D2A34" w:rsidRPr="00932B61" w:rsidP="009D2A34">
      <w:pPr>
        <w:bidi w:val="0"/>
        <w:ind w:firstLine="709"/>
        <w:jc w:val="both"/>
        <w:rPr>
          <w:rFonts w:ascii="Times New Roman" w:hAnsi="Times New Roman" w:cs="Times New Roman"/>
        </w:rPr>
      </w:pPr>
    </w:p>
    <w:p w:rsidR="009D2A34" w:rsidRPr="00932B61" w:rsidP="009D2A34">
      <w:pPr>
        <w:bidi w:val="0"/>
        <w:jc w:val="both"/>
        <w:rPr>
          <w:rFonts w:ascii="Times New Roman" w:hAnsi="Times New Roman" w:cs="Times New Roman"/>
          <w:i/>
          <w:u w:val="single"/>
        </w:rPr>
      </w:pPr>
      <w:r w:rsidRPr="00932B61">
        <w:rPr>
          <w:rFonts w:ascii="Times New Roman" w:hAnsi="Times New Roman" w:cs="Times New Roman"/>
          <w:i/>
          <w:u w:val="single"/>
        </w:rPr>
        <w:t>Hospodárenie NDS</w:t>
      </w:r>
    </w:p>
    <w:p w:rsidR="009D2A34" w:rsidRPr="00932B61" w:rsidP="009D2A34">
      <w:pPr>
        <w:bidi w:val="0"/>
        <w:jc w:val="both"/>
        <w:rPr>
          <w:rFonts w:ascii="Times New Roman" w:hAnsi="Times New Roman" w:cs="Times New Roman"/>
          <w:i/>
        </w:rPr>
      </w:pPr>
    </w:p>
    <w:p w:rsidR="009D2A34" w:rsidRPr="00932B61" w:rsidP="00BD1196">
      <w:pPr>
        <w:bidi w:val="0"/>
        <w:ind w:firstLine="708"/>
        <w:jc w:val="both"/>
        <w:rPr>
          <w:rFonts w:ascii="Times New Roman" w:hAnsi="Times New Roman" w:cs="Times New Roman"/>
        </w:rPr>
      </w:pPr>
      <w:r w:rsidRPr="00932B61">
        <w:rPr>
          <w:rFonts w:ascii="Times New Roman" w:hAnsi="Times New Roman" w:cs="Times New Roman"/>
        </w:rPr>
        <w:t>Finančný plán NDS je zostavený na predpoklade klesajúcej úrovne jej zadlženia. Zadlženosť NDS na konci roku 2015 v sume 260 mil. eur bude dosahovať 58,3 % z úrovne roku 2010, t. j. 446 mil. eur. Druhým predpokladom je presun časti splátok za výstavbu systému elektronického mýta z  rokov 2012 a 2013 na ďalšie roky.</w:t>
      </w:r>
    </w:p>
    <w:p w:rsidR="009D2A34" w:rsidRPr="00932B61" w:rsidP="009D2A34">
      <w:pPr>
        <w:bidi w:val="0"/>
        <w:jc w:val="both"/>
        <w:rPr>
          <w:rFonts w:ascii="Times New Roman" w:hAnsi="Times New Roman" w:cs="Times New Roman"/>
        </w:rPr>
      </w:pPr>
    </w:p>
    <w:tbl>
      <w:tblPr>
        <w:tblStyle w:val="TableNorm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900"/>
        <w:gridCol w:w="892"/>
        <w:gridCol w:w="892"/>
        <w:gridCol w:w="892"/>
        <w:gridCol w:w="892"/>
        <w:gridCol w:w="892"/>
        <w:gridCol w:w="892"/>
        <w:gridCol w:w="892"/>
      </w:tblGrid>
      <w:tr>
        <w:tblPrEx>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NDS vlastné zdroje a ich použitie, v eurách</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OS</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8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Celkové vlastné zdroje - bez transferu zo ŠR</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192 322 000</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208 134 944</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313 288 000</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209 547 150</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215 475 469</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219 245 179</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225 255 568</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z toho: diaľničné nálepky</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33 865 000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46 246 397</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49 271 000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49 271 250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51 734 813</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54 321 553</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57 037 631</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mýto</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140 946 000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153 947 419</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182 800 000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154 675 205</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158 047 621</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159 138 916</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162 285 029</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investičné úvery</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iné vlastné zdroje </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17 511 000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7 941 128</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6 717 000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5 600 695</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5 693 035</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5 784 710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5 932 908</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financovanie cez nové úvery</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74 500 000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Celkové použ. zdrojov - bez transferu zo ŠR</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192 322 189</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196 791 541</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313 288 000</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209 547 140</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215 475 469</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219 245 179</w:t>
            </w:r>
          </w:p>
        </w:tc>
        <w:tc>
          <w:tcPr>
            <w:tcW w:w="8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225 255 568</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z toho: investície do príp. a výstavby  D a RC </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8 540 000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8 602 386</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86 114 211</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28 543 717</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18 127 776</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5 805 689</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8 998 905</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opravy a údržba D a RC </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5 556 000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16 112 187</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39 671 000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29 676 353</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32 833 443</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35 568 712</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39 008 034</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náklady na ETC (mýto)</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106 877 000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102 580 829</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89 433 451</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70 259 803</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80 358 852</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93 961 249</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94 321 555</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diaľ. nál. – prov. z predaja, nákl. na výr.</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2 031 889</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2 924 084</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3 213 174</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3 157 995</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3 360 988</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3 529 037</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3 705 489</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ostatné režijné náklady </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21 008 111</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18 227 708</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26 000 000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27 259 791</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26 094 523</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27 089 941</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28 146 424</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úroky</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11 132 000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11 167 158</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20 386 975</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13 472 481</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17 522 887</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16 113 551</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13 898 161</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             splátka istiny úverov</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37 177 189</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37 177 189</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48 469 189</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37 177 000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37 177 000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37 177 000</w:t>
            </w:r>
          </w:p>
        </w:tc>
        <w:tc>
          <w:tcPr>
            <w:tcW w:w="8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37 177 000</w:t>
            </w:r>
          </w:p>
        </w:tc>
      </w:tr>
      <w:tr>
        <w:tblPrEx>
          <w:tblW w:w="4963" w:type="pct"/>
          <w:tblLayout w:type="fixed"/>
          <w:tblCellMar>
            <w:left w:w="70" w:type="dxa"/>
            <w:right w:w="70" w:type="dxa"/>
          </w:tblCellMar>
          <w:tblLook w:val="04A0"/>
        </w:tblPrEx>
        <w:trPr>
          <w:trHeight w:hRule="exact" w:val="255"/>
        </w:trPr>
        <w:tc>
          <w:tcPr>
            <w:tcW w:w="290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xml:space="preserve">Celkový objem cudzích  zdrojov NDS </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446 126 270</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408 949 080</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446 271 892</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371 772 000</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334 595 000</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297 418 000</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260 241 000</w:t>
            </w:r>
          </w:p>
        </w:tc>
      </w:tr>
    </w:tbl>
    <w:p w:rsidR="009D2A34" w:rsidRPr="00932B61" w:rsidP="009D2A34">
      <w:pPr>
        <w:bidi w:val="0"/>
        <w:ind w:firstLine="708"/>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Vlastné zdroje NDS sa v roku 2013 predpokladajú v sume 215 mil. eur, čo v porovnaní so schváleným rozpočtom roku 2012 predstavuje pokles o 31,2 %, t. j. o 97,8 mil. eur, nakoľko sa v roku 2012 predpokladalo čerpanie investičných úverov v sume 74,5 mil. eur a očakávali sa vyššie príjmy z mýta z dôvodu rozšírenia siete spoplatnených ciest. Rozpočtované príjmy tvoria príjmy z diaľničných nálepiek, mýta, nájmov a výnosov za služby.</w:t>
      </w:r>
    </w:p>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Uvedené zdroje sa použijú na investície do prípravy a výstavby diaľnic a rýchlostných ciest, na ich údržbu a opravy, na úhradu nákladov za mýto, náklady súvisiace s výrobou a predajom diaľničných nálepiek, na splátky investičného úveru a na ostatné režijné náklady.</w:t>
      </w:r>
    </w:p>
    <w:p w:rsidR="009D2A34" w:rsidRPr="00932B61" w:rsidP="009D2A34">
      <w:pPr>
        <w:bidi w:val="0"/>
        <w:jc w:val="both"/>
        <w:rPr>
          <w:rFonts w:ascii="Times New Roman" w:hAnsi="Times New Roman" w:cs="Times New Roman"/>
        </w:rPr>
      </w:pPr>
    </w:p>
    <w:p w:rsidR="009D2A34" w:rsidRPr="00932B61" w:rsidP="009D2A34">
      <w:pPr>
        <w:bidi w:val="0"/>
        <w:jc w:val="both"/>
        <w:rPr>
          <w:rFonts w:ascii="Times New Roman" w:hAnsi="Times New Roman" w:cs="Times New Roman"/>
          <w:b/>
        </w:rPr>
      </w:pPr>
      <w:r w:rsidRPr="00932B61">
        <w:rPr>
          <w:rFonts w:ascii="Times New Roman" w:hAnsi="Times New Roman" w:cs="Times New Roman"/>
          <w:b/>
        </w:rPr>
        <w:t>Letecká doprava</w:t>
      </w:r>
    </w:p>
    <w:p w:rsidR="009D2A34" w:rsidRPr="00932B61" w:rsidP="009D2A34">
      <w:pPr>
        <w:bidi w:val="0"/>
        <w:jc w:val="both"/>
        <w:rPr>
          <w:rFonts w:ascii="Times New Roman" w:hAnsi="Times New Roman" w:cs="Times New Roman"/>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17"/>
        <w:gridCol w:w="1000"/>
        <w:gridCol w:w="1000"/>
        <w:gridCol w:w="1067"/>
        <w:gridCol w:w="1067"/>
        <w:gridCol w:w="1067"/>
        <w:gridCol w:w="1067"/>
        <w:gridCol w:w="989"/>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00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v eurách</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55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OS</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58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54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4925" w:type="pct"/>
          <w:tblInd w:w="70" w:type="dxa"/>
          <w:tblCellMar>
            <w:left w:w="70" w:type="dxa"/>
            <w:right w:w="70" w:type="dxa"/>
          </w:tblCellMar>
          <w:tblLook w:val="04A0"/>
        </w:tblPrEx>
        <w:trPr>
          <w:trHeight w:hRule="exact" w:val="255"/>
        </w:trPr>
        <w:tc>
          <w:tcPr>
            <w:tcW w:w="100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Spolu</w:t>
            </w:r>
          </w:p>
        </w:tc>
        <w:tc>
          <w:tcPr>
            <w:tcW w:w="55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6 435 032</w:t>
            </w:r>
          </w:p>
        </w:tc>
        <w:tc>
          <w:tcPr>
            <w:tcW w:w="55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8 657 952</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xml:space="preserve">10 </w:t>
            </w:r>
            <w:r>
              <w:rPr>
                <w:rFonts w:ascii="Times New Roman" w:hAnsi="Times New Roman" w:cs="Times New Roman"/>
                <w:b/>
                <w:bCs/>
                <w:color w:val="000000"/>
                <w:sz w:val="14"/>
                <w:szCs w:val="14"/>
              </w:rPr>
              <w:t>25</w:t>
            </w:r>
            <w:r w:rsidRPr="00932B61">
              <w:rPr>
                <w:rFonts w:ascii="Times New Roman" w:hAnsi="Times New Roman" w:cs="Times New Roman"/>
                <w:b/>
                <w:bCs/>
                <w:color w:val="000000"/>
                <w:sz w:val="14"/>
                <w:szCs w:val="14"/>
              </w:rPr>
              <w:t>0 400</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10 250 400</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6 </w:t>
            </w:r>
            <w:r w:rsidRPr="00932B61">
              <w:rPr>
                <w:rFonts w:ascii="Times New Roman" w:hAnsi="Times New Roman" w:cs="Times New Roman"/>
                <w:b/>
                <w:bCs/>
                <w:color w:val="000000"/>
                <w:sz w:val="14"/>
                <w:szCs w:val="14"/>
              </w:rPr>
              <w:t>000 000</w:t>
            </w:r>
          </w:p>
        </w:tc>
        <w:tc>
          <w:tcPr>
            <w:tcW w:w="58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1 000 000</w:t>
            </w:r>
          </w:p>
        </w:tc>
        <w:tc>
          <w:tcPr>
            <w:tcW w:w="54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1 000 000</w:t>
            </w:r>
          </w:p>
        </w:tc>
      </w:tr>
      <w:tr>
        <w:tblPrEx>
          <w:tblW w:w="4925" w:type="pct"/>
          <w:tblInd w:w="70" w:type="dxa"/>
          <w:tblCellMar>
            <w:left w:w="70" w:type="dxa"/>
            <w:right w:w="70" w:type="dxa"/>
          </w:tblCellMar>
          <w:tblLook w:val="04A0"/>
        </w:tblPrEx>
        <w:trPr>
          <w:trHeight w:hRule="exact" w:val="255"/>
        </w:trPr>
        <w:tc>
          <w:tcPr>
            <w:tcW w:w="100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Zdroje ŠR </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6 435 032</w:t>
            </w:r>
          </w:p>
        </w:tc>
        <w:tc>
          <w:tcPr>
            <w:tcW w:w="55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8 657 952</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10 250 400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10 250 400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w:t>
            </w:r>
            <w:r w:rsidRPr="00932B61">
              <w:rPr>
                <w:rFonts w:ascii="Times New Roman" w:hAnsi="Times New Roman" w:cs="Times New Roman"/>
                <w:color w:val="000000"/>
                <w:sz w:val="14"/>
                <w:szCs w:val="14"/>
              </w:rPr>
              <w:t xml:space="preserve"> 000 000</w:t>
            </w:r>
          </w:p>
        </w:tc>
        <w:tc>
          <w:tcPr>
            <w:tcW w:w="588"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1 000 000</w:t>
            </w:r>
          </w:p>
        </w:tc>
        <w:tc>
          <w:tcPr>
            <w:tcW w:w="545"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1 000 000</w:t>
            </w:r>
          </w:p>
        </w:tc>
      </w:tr>
    </w:tbl>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 xml:space="preserve">V oblasti leteckej dopravy sú výdavky v roku 2013 rozpočtované vo výške </w:t>
      </w:r>
      <w:r>
        <w:rPr>
          <w:rFonts w:ascii="Times New Roman" w:hAnsi="Times New Roman" w:cs="Times New Roman"/>
        </w:rPr>
        <w:t>6</w:t>
      </w:r>
      <w:r w:rsidRPr="00932B61">
        <w:rPr>
          <w:rFonts w:ascii="Times New Roman" w:hAnsi="Times New Roman" w:cs="Times New Roman"/>
        </w:rPr>
        <w:t>,00 mil. eur a sú smerované najmä na poskytovanie služieb súvisiacich s odbavovaním letov oslobodených od odplát. Výdavky roku 2013 sú v porovnaní so schváleným rozpočtom roku 2012 nižšie</w:t>
      </w:r>
      <w:r w:rsidRPr="00932B61">
        <w:rPr>
          <w:rFonts w:ascii="Times New Roman" w:hAnsi="Times New Roman" w:cs="Times New Roman"/>
          <w:b/>
        </w:rPr>
        <w:t xml:space="preserve"> </w:t>
      </w:r>
      <w:r w:rsidRPr="00932B61">
        <w:rPr>
          <w:rFonts w:ascii="Times New Roman" w:hAnsi="Times New Roman" w:cs="Times New Roman"/>
        </w:rPr>
        <w:t>o</w:t>
      </w:r>
      <w:r>
        <w:rPr>
          <w:rFonts w:ascii="Times New Roman" w:hAnsi="Times New Roman" w:cs="Times New Roman"/>
        </w:rPr>
        <w:t> 41,5</w:t>
      </w:r>
      <w:r w:rsidRPr="00932B61">
        <w:rPr>
          <w:rFonts w:ascii="Times New Roman" w:hAnsi="Times New Roman" w:cs="Times New Roman"/>
        </w:rPr>
        <w:t xml:space="preserve"> %, t, j. </w:t>
      </w:r>
      <w:r>
        <w:rPr>
          <w:rFonts w:ascii="Times New Roman" w:hAnsi="Times New Roman" w:cs="Times New Roman"/>
        </w:rPr>
        <w:t>4</w:t>
      </w:r>
      <w:r w:rsidRPr="00932B61">
        <w:rPr>
          <w:rFonts w:ascii="Times New Roman" w:hAnsi="Times New Roman" w:cs="Times New Roman"/>
        </w:rPr>
        <w:t xml:space="preserve">,25 mil. eur. Dôvodom poklesu týchto výdavkov  je jednorazový presun </w:t>
      </w:r>
      <w:r>
        <w:rPr>
          <w:rFonts w:ascii="Times New Roman" w:hAnsi="Times New Roman" w:cs="Times New Roman"/>
        </w:rPr>
        <w:t>kapitálových</w:t>
      </w:r>
      <w:r w:rsidRPr="00932B61">
        <w:rPr>
          <w:rFonts w:ascii="Times New Roman" w:hAnsi="Times New Roman" w:cs="Times New Roman"/>
        </w:rPr>
        <w:t xml:space="preserve"> prostriedkov do tejto oblasti, ktorý MDVRR SR realizovalo pri schvaľovaní rozpočtu na rok 2012 v rámci stanoveného limitu výdavkov kapitoly. </w:t>
      </w:r>
    </w:p>
    <w:p w:rsidR="009D2A34" w:rsidRPr="00932B61" w:rsidP="009D2A34">
      <w:pPr>
        <w:bidi w:val="0"/>
        <w:jc w:val="both"/>
        <w:rPr>
          <w:rFonts w:ascii="Times New Roman" w:hAnsi="Times New Roman" w:cs="Times New Roman"/>
          <w:b/>
        </w:rPr>
      </w:pPr>
    </w:p>
    <w:p w:rsidR="009D2A34" w:rsidRPr="00932B61" w:rsidP="009D2A34">
      <w:pPr>
        <w:bidi w:val="0"/>
        <w:jc w:val="both"/>
        <w:rPr>
          <w:rFonts w:ascii="Times New Roman" w:hAnsi="Times New Roman" w:cs="Times New Roman"/>
          <w:b/>
        </w:rPr>
      </w:pPr>
      <w:r w:rsidRPr="00932B61">
        <w:rPr>
          <w:rFonts w:ascii="Times New Roman" w:hAnsi="Times New Roman" w:cs="Times New Roman"/>
          <w:b/>
        </w:rPr>
        <w:t>Podpora rozvoja bývania</w:t>
      </w:r>
    </w:p>
    <w:p w:rsidR="009D2A34" w:rsidRPr="00932B61" w:rsidP="009D2A34">
      <w:pPr>
        <w:bidi w:val="0"/>
        <w:jc w:val="both"/>
        <w:rPr>
          <w:rFonts w:ascii="Times New Roman" w:hAnsi="Times New Roman" w:cs="Times New Roman"/>
          <w:b/>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08"/>
        <w:gridCol w:w="1017"/>
        <w:gridCol w:w="1017"/>
        <w:gridCol w:w="1017"/>
        <w:gridCol w:w="1017"/>
        <w:gridCol w:w="1017"/>
        <w:gridCol w:w="1017"/>
        <w:gridCol w:w="875"/>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xml:space="preserve"> v eurách</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OS</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10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87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 xml:space="preserve">Spolu dotácie </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105 438 073</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103 045 288</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102 500 000</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99 589 320</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109</w:t>
            </w:r>
            <w:r w:rsidRPr="00932B61">
              <w:rPr>
                <w:rFonts w:ascii="Times New Roman" w:hAnsi="Times New Roman" w:cs="Times New Roman"/>
                <w:b/>
                <w:bCs/>
                <w:color w:val="000000"/>
                <w:sz w:val="14"/>
                <w:szCs w:val="14"/>
              </w:rPr>
              <w:t xml:space="preserve"> 550 000</w:t>
            </w:r>
          </w:p>
        </w:tc>
        <w:tc>
          <w:tcPr>
            <w:tcW w:w="10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93 050 000</w:t>
            </w:r>
          </w:p>
        </w:tc>
        <w:tc>
          <w:tcPr>
            <w:tcW w:w="875"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103 500 000</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Výst. a obn. byt. fondu (dotácie) </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40 356 180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34 532 130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25 000 000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25 484 800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25 000 00</w:t>
            </w:r>
            <w:r w:rsidRPr="00932B61">
              <w:rPr>
                <w:rFonts w:ascii="Times New Roman" w:hAnsi="Times New Roman" w:cs="Times New Roman"/>
                <w:color w:val="000000"/>
                <w:sz w:val="14"/>
                <w:szCs w:val="14"/>
              </w:rPr>
              <w:t>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7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Náhradné nájomné byty</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13 550 000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19 050 000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25 500 000</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Štát. prémia v staveb. sporení </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41 614 051</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43 156 131</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43 000 000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39 604 520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40 000 000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39 000 000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38 000 000</w:t>
            </w:r>
          </w:p>
        </w:tc>
      </w:tr>
      <w:tr>
        <w:tblPrEx>
          <w:tblW w:w="9085" w:type="dxa"/>
          <w:tblInd w:w="57" w:type="dxa"/>
          <w:tblCellMar>
            <w:left w:w="70" w:type="dxa"/>
            <w:right w:w="70" w:type="dxa"/>
          </w:tblCellMar>
          <w:tblLook w:val="04A0"/>
        </w:tblPrEx>
        <w:trPr>
          <w:trHeight w:hRule="exact" w:val="255"/>
        </w:trPr>
        <w:tc>
          <w:tcPr>
            <w:tcW w:w="210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Bonifikácia k hypotek. úverom </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23 467 842</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25 357 027</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27 500 000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27 500 000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31 000 000</w:t>
            </w:r>
          </w:p>
        </w:tc>
        <w:tc>
          <w:tcPr>
            <w:tcW w:w="10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35 000 000</w:t>
            </w:r>
          </w:p>
        </w:tc>
        <w:tc>
          <w:tcPr>
            <w:tcW w:w="87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40 000 000</w:t>
            </w:r>
          </w:p>
        </w:tc>
      </w:tr>
    </w:tbl>
    <w:p w:rsidR="009D2A34" w:rsidRPr="00932B61" w:rsidP="009D2A34">
      <w:pPr>
        <w:bidi w:val="0"/>
        <w:jc w:val="both"/>
        <w:rPr>
          <w:rFonts w:ascii="Times New Roman" w:hAnsi="Times New Roman" w:cs="Times New Roman"/>
          <w:sz w:val="16"/>
          <w:szCs w:val="16"/>
        </w:rPr>
      </w:pPr>
      <w:r w:rsidRPr="00932B61">
        <w:rPr>
          <w:rFonts w:ascii="Times New Roman" w:hAnsi="Times New Roman" w:cs="Times New Roman"/>
          <w:sz w:val="16"/>
          <w:szCs w:val="16"/>
        </w:rPr>
        <w:t>Poznámka: Výdavky boli do roku 2011 rozpočtované v kapitole MVRR SR</w:t>
      </w:r>
    </w:p>
    <w:p w:rsidR="009D2A34" w:rsidRPr="00932B61" w:rsidP="009D2A34">
      <w:pPr>
        <w:bidi w:val="0"/>
        <w:jc w:val="both"/>
        <w:rPr>
          <w:rFonts w:ascii="Times New Roman" w:hAnsi="Times New Roman" w:cs="Times New Roman"/>
          <w:szCs w:val="16"/>
        </w:rPr>
      </w:pPr>
    </w:p>
    <w:p w:rsidR="009D2A34" w:rsidRPr="00371FED" w:rsidP="009D2A34">
      <w:pPr>
        <w:shd w:val="clear" w:color="auto" w:fill="FFFFFF"/>
        <w:bidi w:val="0"/>
        <w:ind w:firstLine="708"/>
        <w:jc w:val="both"/>
        <w:rPr>
          <w:rFonts w:ascii="Times New Roman" w:hAnsi="Times New Roman" w:cs="Times New Roman"/>
          <w:szCs w:val="22"/>
        </w:rPr>
      </w:pPr>
      <w:r w:rsidRPr="00BC5AEB">
        <w:rPr>
          <w:rFonts w:ascii="Times New Roman" w:hAnsi="Times New Roman" w:cs="Times New Roman"/>
          <w:szCs w:val="22"/>
        </w:rPr>
        <w:t xml:space="preserve">Na podporu rozvoja bývania </w:t>
      </w:r>
      <w:r>
        <w:rPr>
          <w:rFonts w:ascii="Times New Roman" w:hAnsi="Times New Roman" w:cs="Times New Roman"/>
          <w:szCs w:val="22"/>
        </w:rPr>
        <w:t>prostredníctvom poskytovania</w:t>
      </w:r>
      <w:r w:rsidRPr="00BC5AEB">
        <w:rPr>
          <w:rFonts w:ascii="Times New Roman" w:hAnsi="Times New Roman" w:cs="Times New Roman"/>
          <w:b/>
          <w:szCs w:val="22"/>
        </w:rPr>
        <w:t xml:space="preserve"> </w:t>
      </w:r>
      <w:r w:rsidRPr="00BC5AEB">
        <w:rPr>
          <w:rFonts w:ascii="Times New Roman" w:hAnsi="Times New Roman" w:cs="Times New Roman"/>
          <w:szCs w:val="22"/>
        </w:rPr>
        <w:t>dotáci</w:t>
      </w:r>
      <w:r>
        <w:rPr>
          <w:rFonts w:ascii="Times New Roman" w:hAnsi="Times New Roman" w:cs="Times New Roman"/>
          <w:szCs w:val="22"/>
        </w:rPr>
        <w:t>í</w:t>
      </w:r>
      <w:r w:rsidRPr="00BC5AEB">
        <w:rPr>
          <w:rFonts w:ascii="Times New Roman" w:hAnsi="Times New Roman" w:cs="Times New Roman"/>
          <w:szCs w:val="22"/>
        </w:rPr>
        <w:t xml:space="preserve"> sa v roku 201</w:t>
      </w:r>
      <w:r>
        <w:rPr>
          <w:rFonts w:ascii="Times New Roman" w:hAnsi="Times New Roman" w:cs="Times New Roman"/>
          <w:szCs w:val="22"/>
        </w:rPr>
        <w:t>3</w:t>
      </w:r>
      <w:r w:rsidRPr="00BC5AEB">
        <w:rPr>
          <w:rFonts w:ascii="Times New Roman" w:hAnsi="Times New Roman" w:cs="Times New Roman"/>
          <w:szCs w:val="22"/>
        </w:rPr>
        <w:t xml:space="preserve"> rozpočtujú výdavky zo štátneho rozpočtu v sume </w:t>
      </w:r>
      <w:r>
        <w:rPr>
          <w:rFonts w:ascii="Times New Roman" w:hAnsi="Times New Roman" w:cs="Times New Roman"/>
          <w:szCs w:val="22"/>
        </w:rPr>
        <w:t>110</w:t>
      </w:r>
      <w:r w:rsidRPr="00BC5AEB">
        <w:rPr>
          <w:rFonts w:ascii="Times New Roman" w:hAnsi="Times New Roman" w:cs="Times New Roman"/>
          <w:szCs w:val="22"/>
        </w:rPr>
        <w:t xml:space="preserve"> mil. eur. Výdavky </w:t>
      </w:r>
      <w:r>
        <w:rPr>
          <w:rFonts w:ascii="Times New Roman" w:hAnsi="Times New Roman" w:cs="Times New Roman"/>
          <w:szCs w:val="22"/>
        </w:rPr>
        <w:t xml:space="preserve">sú </w:t>
      </w:r>
      <w:r w:rsidRPr="00BC5AEB">
        <w:rPr>
          <w:rFonts w:ascii="Times New Roman" w:hAnsi="Times New Roman" w:cs="Times New Roman"/>
          <w:szCs w:val="22"/>
        </w:rPr>
        <w:t>v porovnaní so schváleným rozpočtom roku 201</w:t>
      </w:r>
      <w:r>
        <w:rPr>
          <w:rFonts w:ascii="Times New Roman" w:hAnsi="Times New Roman" w:cs="Times New Roman"/>
          <w:szCs w:val="22"/>
        </w:rPr>
        <w:t>2</w:t>
      </w:r>
      <w:r w:rsidRPr="00BC5AEB">
        <w:rPr>
          <w:rFonts w:ascii="Times New Roman" w:hAnsi="Times New Roman" w:cs="Times New Roman"/>
          <w:szCs w:val="22"/>
        </w:rPr>
        <w:t xml:space="preserve"> </w:t>
      </w:r>
      <w:r>
        <w:rPr>
          <w:rFonts w:ascii="Times New Roman" w:hAnsi="Times New Roman" w:cs="Times New Roman"/>
          <w:szCs w:val="22"/>
        </w:rPr>
        <w:t>vyššie</w:t>
      </w:r>
      <w:r w:rsidRPr="00BC5AEB">
        <w:rPr>
          <w:rFonts w:ascii="Times New Roman" w:hAnsi="Times New Roman" w:cs="Times New Roman"/>
          <w:szCs w:val="22"/>
        </w:rPr>
        <w:t xml:space="preserve"> o </w:t>
      </w:r>
      <w:r>
        <w:rPr>
          <w:rFonts w:ascii="Times New Roman" w:hAnsi="Times New Roman" w:cs="Times New Roman"/>
          <w:szCs w:val="22"/>
        </w:rPr>
        <w:t>6</w:t>
      </w:r>
      <w:r w:rsidRPr="00BC5AEB">
        <w:rPr>
          <w:rFonts w:ascii="Times New Roman" w:hAnsi="Times New Roman" w:cs="Times New Roman"/>
          <w:szCs w:val="22"/>
        </w:rPr>
        <w:t>,</w:t>
      </w:r>
      <w:r>
        <w:rPr>
          <w:rFonts w:ascii="Times New Roman" w:hAnsi="Times New Roman" w:cs="Times New Roman"/>
          <w:szCs w:val="22"/>
        </w:rPr>
        <w:t>88</w:t>
      </w:r>
      <w:r w:rsidRPr="00BC5AEB">
        <w:rPr>
          <w:rFonts w:ascii="Times New Roman" w:hAnsi="Times New Roman" w:cs="Times New Roman"/>
          <w:szCs w:val="22"/>
        </w:rPr>
        <w:t xml:space="preserve"> %, t. j. o </w:t>
      </w:r>
      <w:r>
        <w:rPr>
          <w:rFonts w:ascii="Times New Roman" w:hAnsi="Times New Roman" w:cs="Times New Roman"/>
          <w:szCs w:val="22"/>
        </w:rPr>
        <w:t>7</w:t>
      </w:r>
      <w:r w:rsidRPr="00BC5AEB">
        <w:rPr>
          <w:rFonts w:ascii="Times New Roman" w:hAnsi="Times New Roman" w:cs="Times New Roman"/>
          <w:szCs w:val="22"/>
        </w:rPr>
        <w:t>,</w:t>
      </w:r>
      <w:r>
        <w:rPr>
          <w:rFonts w:ascii="Times New Roman" w:hAnsi="Times New Roman" w:cs="Times New Roman"/>
          <w:szCs w:val="22"/>
        </w:rPr>
        <w:t>05</w:t>
      </w:r>
      <w:r w:rsidRPr="00BC5AEB">
        <w:rPr>
          <w:rFonts w:ascii="Times New Roman" w:hAnsi="Times New Roman" w:cs="Times New Roman"/>
          <w:szCs w:val="22"/>
        </w:rPr>
        <w:t xml:space="preserve"> mil. eur</w:t>
      </w:r>
      <w:r>
        <w:rPr>
          <w:rFonts w:ascii="Times New Roman" w:hAnsi="Times New Roman" w:cs="Times New Roman"/>
          <w:szCs w:val="22"/>
        </w:rPr>
        <w:t>. V</w:t>
      </w:r>
      <w:r w:rsidRPr="00371FED">
        <w:rPr>
          <w:rFonts w:ascii="Times New Roman" w:hAnsi="Times New Roman" w:cs="Times New Roman"/>
          <w:szCs w:val="22"/>
        </w:rPr>
        <w:t>ýdavk</w:t>
      </w:r>
      <w:r>
        <w:rPr>
          <w:rFonts w:ascii="Times New Roman" w:hAnsi="Times New Roman" w:cs="Times New Roman"/>
          <w:szCs w:val="22"/>
        </w:rPr>
        <w:t>y rastú najmä z dôvodu zvýšenia prostriedkov určených na náhradné nájomné byty na sumu 13,6 mil. eur</w:t>
        <w:br/>
        <w:t>v n</w:t>
      </w:r>
      <w:r w:rsidRPr="00371FED">
        <w:rPr>
          <w:rFonts w:ascii="Times New Roman" w:hAnsi="Times New Roman" w:cs="Times New Roman"/>
          <w:szCs w:val="22"/>
        </w:rPr>
        <w:t>adväznosti na zákon</w:t>
      </w:r>
      <w:r>
        <w:rPr>
          <w:rFonts w:ascii="Times New Roman" w:hAnsi="Times New Roman" w:cs="Times New Roman"/>
          <w:szCs w:val="22"/>
        </w:rPr>
        <w:t xml:space="preserve"> </w:t>
      </w:r>
      <w:r w:rsidRPr="00371FED">
        <w:rPr>
          <w:rFonts w:ascii="Times New Roman" w:hAnsi="Times New Roman" w:cs="Times New Roman"/>
          <w:szCs w:val="22"/>
        </w:rPr>
        <w:t>č. 260/2011</w:t>
      </w:r>
      <w:r>
        <w:rPr>
          <w:rFonts w:ascii="Times New Roman" w:hAnsi="Times New Roman" w:cs="Times New Roman"/>
          <w:szCs w:val="22"/>
        </w:rPr>
        <w:t xml:space="preserve"> </w:t>
      </w:r>
      <w:r w:rsidRPr="00371FED">
        <w:rPr>
          <w:rFonts w:ascii="Times New Roman" w:hAnsi="Times New Roman" w:cs="Times New Roman"/>
          <w:szCs w:val="22"/>
        </w:rPr>
        <w:t>Z. z.</w:t>
      </w:r>
      <w:r>
        <w:rPr>
          <w:rFonts w:ascii="Times New Roman" w:hAnsi="Times New Roman" w:cs="Times New Roman"/>
          <w:szCs w:val="22"/>
        </w:rPr>
        <w:t xml:space="preserve"> o </w:t>
      </w:r>
      <w:r w:rsidRPr="00371FED">
        <w:rPr>
          <w:rFonts w:ascii="Times New Roman" w:hAnsi="Times New Roman" w:cs="Times New Roman"/>
          <w:szCs w:val="22"/>
        </w:rPr>
        <w:t>ukončení a spôsobe usporiadania niektorých nájomných vzťahov k bytom  určen</w:t>
      </w:r>
      <w:r>
        <w:rPr>
          <w:rFonts w:ascii="Times New Roman" w:hAnsi="Times New Roman" w:cs="Times New Roman"/>
          <w:szCs w:val="22"/>
        </w:rPr>
        <w:t>ých</w:t>
      </w:r>
      <w:r w:rsidRPr="00371FED">
        <w:rPr>
          <w:rFonts w:ascii="Times New Roman" w:hAnsi="Times New Roman" w:cs="Times New Roman"/>
          <w:szCs w:val="22"/>
        </w:rPr>
        <w:t xml:space="preserve"> na dotácie obciam na obstaranie náhradných nájomných bytov za reštituované byty. </w:t>
      </w:r>
      <w:r>
        <w:rPr>
          <w:rFonts w:ascii="Times New Roman" w:hAnsi="Times New Roman" w:cs="Times New Roman"/>
          <w:szCs w:val="22"/>
        </w:rPr>
        <w:t>N</w:t>
      </w:r>
      <w:r w:rsidRPr="00371FED">
        <w:rPr>
          <w:rFonts w:ascii="Times New Roman" w:hAnsi="Times New Roman" w:cs="Times New Roman"/>
          <w:szCs w:val="22"/>
        </w:rPr>
        <w:t>a  výstavbu a obnovu bytového fondu</w:t>
      </w:r>
      <w:r>
        <w:rPr>
          <w:rFonts w:ascii="Times New Roman" w:hAnsi="Times New Roman" w:cs="Times New Roman"/>
          <w:szCs w:val="22"/>
        </w:rPr>
        <w:t xml:space="preserve"> je určených  25,0 mil. eur. </w:t>
      </w:r>
      <w:r w:rsidRPr="00371FED">
        <w:rPr>
          <w:rFonts w:ascii="Times New Roman" w:hAnsi="Times New Roman" w:cs="Times New Roman"/>
          <w:szCs w:val="22"/>
        </w:rPr>
        <w:t xml:space="preserve">Okrem toho sa v rámci podpory rozvoja bývania rozpočtujú výdavky na štátnu prémiu k stavebnému sporeniu vo výške 40,0 mil. eur a na štátny príspevok k hypotekárnym úverom v čiastke 31,0 mil. eur. </w:t>
      </w:r>
    </w:p>
    <w:p w:rsidR="009D2A34" w:rsidRPr="00BC5AEB" w:rsidP="009D2A34">
      <w:pPr>
        <w:bidi w:val="0"/>
        <w:jc w:val="both"/>
        <w:rPr>
          <w:rFonts w:ascii="Times New Roman" w:hAnsi="Times New Roman" w:cs="Times New Roman"/>
          <w:szCs w:val="22"/>
        </w:rPr>
      </w:pPr>
    </w:p>
    <w:p w:rsidR="009D2A34" w:rsidRPr="00BC5AEB" w:rsidP="009D2A34">
      <w:pPr>
        <w:bidi w:val="0"/>
        <w:ind w:firstLine="708"/>
        <w:jc w:val="both"/>
        <w:rPr>
          <w:rFonts w:ascii="Times New Roman" w:hAnsi="Times New Roman" w:cs="Times New Roman"/>
          <w:szCs w:val="22"/>
        </w:rPr>
      </w:pPr>
      <w:r w:rsidRPr="00E9447B">
        <w:rPr>
          <w:rFonts w:ascii="Times New Roman" w:hAnsi="Times New Roman" w:cs="Times New Roman"/>
          <w:szCs w:val="22"/>
        </w:rPr>
        <w:t xml:space="preserve">Z čiastky </w:t>
      </w:r>
      <w:r>
        <w:rPr>
          <w:rFonts w:ascii="Times New Roman" w:hAnsi="Times New Roman" w:cs="Times New Roman"/>
          <w:szCs w:val="22"/>
        </w:rPr>
        <w:t>31</w:t>
      </w:r>
      <w:r w:rsidRPr="00E9447B">
        <w:rPr>
          <w:rFonts w:ascii="Times New Roman" w:hAnsi="Times New Roman" w:cs="Times New Roman"/>
          <w:szCs w:val="22"/>
        </w:rPr>
        <w:t>,</w:t>
      </w:r>
      <w:r>
        <w:rPr>
          <w:rFonts w:ascii="Times New Roman" w:hAnsi="Times New Roman" w:cs="Times New Roman"/>
          <w:szCs w:val="22"/>
        </w:rPr>
        <w:t>0</w:t>
      </w:r>
      <w:r w:rsidRPr="00E9447B">
        <w:rPr>
          <w:rFonts w:ascii="Times New Roman" w:hAnsi="Times New Roman" w:cs="Times New Roman"/>
          <w:szCs w:val="22"/>
        </w:rPr>
        <w:t xml:space="preserve"> mil. eur na štátny príspevok k hypotekárnym úverom je rozpočtovaných </w:t>
      </w:r>
      <w:r>
        <w:rPr>
          <w:rFonts w:ascii="Times New Roman" w:hAnsi="Times New Roman" w:cs="Times New Roman"/>
          <w:szCs w:val="22"/>
        </w:rPr>
        <w:t>23,0</w:t>
      </w:r>
      <w:r w:rsidRPr="00E9447B">
        <w:rPr>
          <w:rFonts w:ascii="Times New Roman" w:hAnsi="Times New Roman" w:cs="Times New Roman"/>
          <w:szCs w:val="22"/>
        </w:rPr>
        <w:t xml:space="preserve"> mil. eur na príspevok pre mladých, čo v porovnaní so schváleným rozpočtom roku 201</w:t>
      </w:r>
      <w:r>
        <w:rPr>
          <w:rFonts w:ascii="Times New Roman" w:hAnsi="Times New Roman" w:cs="Times New Roman"/>
          <w:szCs w:val="22"/>
        </w:rPr>
        <w:t>2</w:t>
      </w:r>
      <w:r w:rsidRPr="00E9447B">
        <w:rPr>
          <w:rFonts w:ascii="Times New Roman" w:hAnsi="Times New Roman" w:cs="Times New Roman"/>
          <w:szCs w:val="22"/>
        </w:rPr>
        <w:t xml:space="preserve"> predstavuje zvýšenie o </w:t>
      </w:r>
      <w:r>
        <w:rPr>
          <w:rFonts w:ascii="Times New Roman" w:hAnsi="Times New Roman" w:cs="Times New Roman"/>
          <w:szCs w:val="22"/>
        </w:rPr>
        <w:t>7</w:t>
      </w:r>
      <w:r w:rsidRPr="00E9447B">
        <w:rPr>
          <w:rFonts w:ascii="Times New Roman" w:hAnsi="Times New Roman" w:cs="Times New Roman"/>
          <w:szCs w:val="22"/>
        </w:rPr>
        <w:t>,</w:t>
      </w:r>
      <w:r>
        <w:rPr>
          <w:rFonts w:ascii="Times New Roman" w:hAnsi="Times New Roman" w:cs="Times New Roman"/>
          <w:szCs w:val="22"/>
        </w:rPr>
        <w:t>50</w:t>
      </w:r>
      <w:r w:rsidRPr="00E9447B">
        <w:rPr>
          <w:rFonts w:ascii="Times New Roman" w:hAnsi="Times New Roman" w:cs="Times New Roman"/>
          <w:szCs w:val="22"/>
        </w:rPr>
        <w:t xml:space="preserve"> mil. eur a na ostatné príspevky k hypotekárnym úverom je rozpočtovaných </w:t>
      </w:r>
      <w:r>
        <w:rPr>
          <w:rFonts w:ascii="Times New Roman" w:hAnsi="Times New Roman" w:cs="Times New Roman"/>
          <w:szCs w:val="22"/>
        </w:rPr>
        <w:t>8</w:t>
      </w:r>
      <w:r w:rsidRPr="00E9447B">
        <w:rPr>
          <w:rFonts w:ascii="Times New Roman" w:hAnsi="Times New Roman" w:cs="Times New Roman"/>
          <w:szCs w:val="22"/>
        </w:rPr>
        <w:t>,0</w:t>
      </w:r>
      <w:r>
        <w:rPr>
          <w:rFonts w:ascii="Times New Roman" w:hAnsi="Times New Roman" w:cs="Times New Roman"/>
          <w:szCs w:val="22"/>
        </w:rPr>
        <w:t>0</w:t>
      </w:r>
      <w:r w:rsidRPr="00E9447B">
        <w:rPr>
          <w:rFonts w:ascii="Times New Roman" w:hAnsi="Times New Roman" w:cs="Times New Roman"/>
          <w:szCs w:val="22"/>
        </w:rPr>
        <w:t xml:space="preserve"> mil. eur.</w:t>
      </w:r>
    </w:p>
    <w:p w:rsidR="009D2A34" w:rsidRPr="00932B61" w:rsidP="009D2A34">
      <w:pPr>
        <w:bidi w:val="0"/>
        <w:jc w:val="both"/>
        <w:rPr>
          <w:rFonts w:ascii="Times New Roman" w:hAnsi="Times New Roman" w:cs="Times New Roman"/>
          <w:szCs w:val="22"/>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41"/>
        <w:gridCol w:w="1124"/>
        <w:gridCol w:w="1051"/>
        <w:gridCol w:w="1045"/>
        <w:gridCol w:w="1045"/>
        <w:gridCol w:w="1045"/>
        <w:gridCol w:w="1045"/>
        <w:gridCol w:w="978"/>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95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v eurách</w:t>
            </w:r>
          </w:p>
        </w:tc>
        <w:tc>
          <w:tcPr>
            <w:tcW w:w="6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57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OS</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57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53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4925" w:type="pct"/>
          <w:tblInd w:w="70" w:type="dxa"/>
          <w:tblCellMar>
            <w:left w:w="70" w:type="dxa"/>
            <w:right w:w="70" w:type="dxa"/>
          </w:tblCellMar>
          <w:tblLook w:val="04A0"/>
        </w:tblPrEx>
        <w:trPr>
          <w:trHeight w:hRule="exact" w:val="255"/>
        </w:trPr>
        <w:tc>
          <w:tcPr>
            <w:tcW w:w="95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Zdroje ŠFRB</w:t>
            </w:r>
          </w:p>
        </w:tc>
        <w:tc>
          <w:tcPr>
            <w:tcW w:w="61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152 011 692</w:t>
            </w:r>
          </w:p>
        </w:tc>
        <w:tc>
          <w:tcPr>
            <w:tcW w:w="57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160 896 305</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157 166 055</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162 621 417</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w:t>
            </w:r>
            <w:r>
              <w:rPr>
                <w:rFonts w:ascii="Times New Roman" w:hAnsi="Times New Roman" w:cs="Times New Roman"/>
                <w:b/>
                <w:bCs/>
                <w:color w:val="000000"/>
                <w:sz w:val="14"/>
                <w:szCs w:val="14"/>
              </w:rPr>
              <w:t>76</w:t>
            </w:r>
            <w:r w:rsidRPr="00932B61">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701</w:t>
            </w:r>
            <w:r w:rsidRPr="00932B61">
              <w:rPr>
                <w:rFonts w:ascii="Times New Roman" w:hAnsi="Times New Roman" w:cs="Times New Roman"/>
                <w:b/>
                <w:bCs/>
                <w:color w:val="000000"/>
                <w:sz w:val="14"/>
                <w:szCs w:val="14"/>
              </w:rPr>
              <w:t xml:space="preserve"> 868</w:t>
            </w:r>
          </w:p>
        </w:tc>
        <w:tc>
          <w:tcPr>
            <w:tcW w:w="57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164 589 583</w:t>
            </w:r>
          </w:p>
        </w:tc>
        <w:tc>
          <w:tcPr>
            <w:tcW w:w="539"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164 006 298</w:t>
            </w:r>
          </w:p>
        </w:tc>
      </w:tr>
      <w:tr>
        <w:tblPrEx>
          <w:tblW w:w="4925" w:type="pct"/>
          <w:tblInd w:w="70" w:type="dxa"/>
          <w:tblCellMar>
            <w:left w:w="70" w:type="dxa"/>
            <w:right w:w="70" w:type="dxa"/>
          </w:tblCellMar>
          <w:tblLook w:val="04A0"/>
        </w:tblPrEx>
        <w:trPr>
          <w:trHeight w:hRule="exact" w:val="255"/>
        </w:trPr>
        <w:tc>
          <w:tcPr>
            <w:tcW w:w="959"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Transfer zo ŠR</w:t>
            </w:r>
          </w:p>
        </w:tc>
        <w:tc>
          <w:tcPr>
            <w:tcW w:w="619"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54 904 000</w:t>
            </w:r>
          </w:p>
        </w:tc>
        <w:tc>
          <w:tcPr>
            <w:tcW w:w="579"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54 904 000</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54 904 000</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54 904 000</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66</w:t>
            </w:r>
            <w:r w:rsidRPr="00932B61">
              <w:rPr>
                <w:rFonts w:ascii="Times New Roman" w:hAnsi="Times New Roman" w:cs="Times New Roman"/>
                <w:color w:val="000000"/>
                <w:sz w:val="14"/>
                <w:szCs w:val="14"/>
              </w:rPr>
              <w:t xml:space="preserve"> </w:t>
            </w:r>
            <w:r>
              <w:rPr>
                <w:rFonts w:ascii="Times New Roman" w:hAnsi="Times New Roman" w:cs="Times New Roman"/>
                <w:color w:val="000000"/>
                <w:sz w:val="14"/>
                <w:szCs w:val="14"/>
              </w:rPr>
              <w:t>433</w:t>
            </w:r>
            <w:r w:rsidRPr="00932B61">
              <w:rPr>
                <w:rFonts w:ascii="Times New Roman" w:hAnsi="Times New Roman" w:cs="Times New Roman"/>
                <w:color w:val="000000"/>
                <w:sz w:val="14"/>
                <w:szCs w:val="14"/>
              </w:rPr>
              <w:t xml:space="preserve"> 000</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54 904 000</w:t>
            </w:r>
          </w:p>
        </w:tc>
        <w:tc>
          <w:tcPr>
            <w:tcW w:w="539"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54 904 000</w:t>
            </w:r>
          </w:p>
        </w:tc>
      </w:tr>
      <w:tr>
        <w:tblPrEx>
          <w:tblW w:w="4925" w:type="pct"/>
          <w:tblInd w:w="70" w:type="dxa"/>
          <w:tblCellMar>
            <w:left w:w="70" w:type="dxa"/>
            <w:right w:w="70" w:type="dxa"/>
          </w:tblCellMar>
          <w:tblLook w:val="04A0"/>
        </w:tblPrEx>
        <w:trPr>
          <w:trHeight w:hRule="exact" w:val="255"/>
        </w:trPr>
        <w:tc>
          <w:tcPr>
            <w:tcW w:w="959"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Vlastné príjmy</w:t>
            </w:r>
          </w:p>
        </w:tc>
        <w:tc>
          <w:tcPr>
            <w:tcW w:w="619"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97 107 692</w:t>
            </w:r>
          </w:p>
        </w:tc>
        <w:tc>
          <w:tcPr>
            <w:tcW w:w="579"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105 992 305</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bCs/>
                <w:color w:val="000000"/>
                <w:sz w:val="14"/>
                <w:szCs w:val="14"/>
              </w:rPr>
            </w:pPr>
            <w:r w:rsidRPr="00932B61">
              <w:rPr>
                <w:rFonts w:ascii="Times New Roman" w:hAnsi="Times New Roman" w:cs="Times New Roman"/>
                <w:bCs/>
                <w:color w:val="000000"/>
                <w:sz w:val="14"/>
                <w:szCs w:val="14"/>
              </w:rPr>
              <w:t>102 262 055</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107 717 417</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110 268 868</w:t>
            </w:r>
          </w:p>
        </w:tc>
        <w:tc>
          <w:tcPr>
            <w:tcW w:w="57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109 685 583</w:t>
            </w:r>
          </w:p>
        </w:tc>
        <w:tc>
          <w:tcPr>
            <w:tcW w:w="539"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109 102 298</w:t>
            </w:r>
          </w:p>
        </w:tc>
      </w:tr>
    </w:tbl>
    <w:p w:rsidR="009D2A34" w:rsidRPr="00932B61" w:rsidP="009D2A34">
      <w:pPr>
        <w:bidi w:val="0"/>
        <w:jc w:val="both"/>
        <w:rPr>
          <w:rFonts w:ascii="Times New Roman" w:hAnsi="Times New Roman" w:cs="Times New Roman"/>
          <w:sz w:val="16"/>
          <w:szCs w:val="16"/>
        </w:rPr>
      </w:pPr>
      <w:r w:rsidRPr="00932B61">
        <w:rPr>
          <w:rFonts w:ascii="Times New Roman" w:hAnsi="Times New Roman" w:cs="Times New Roman"/>
          <w:sz w:val="16"/>
          <w:szCs w:val="16"/>
        </w:rPr>
        <w:t>Poznámka: Výdavky boli do roku 2011 rozpočtované v kapitole MVRR SR</w:t>
      </w:r>
    </w:p>
    <w:p w:rsidR="009D2A34" w:rsidRPr="00932B61" w:rsidP="009D2A34">
      <w:pPr>
        <w:bidi w:val="0"/>
        <w:jc w:val="both"/>
        <w:rPr>
          <w:rFonts w:ascii="Times New Roman" w:hAnsi="Times New Roman" w:cs="Times New Roman"/>
        </w:rPr>
      </w:pPr>
    </w:p>
    <w:p w:rsidR="009D2A34" w:rsidP="009D2A34">
      <w:pPr>
        <w:bidi w:val="0"/>
        <w:ind w:firstLine="708"/>
        <w:jc w:val="both"/>
        <w:rPr>
          <w:rFonts w:ascii="Times New Roman" w:hAnsi="Times New Roman" w:cs="Times New Roman"/>
        </w:rPr>
      </w:pPr>
      <w:r w:rsidRPr="00E9447B">
        <w:rPr>
          <w:rFonts w:ascii="Times New Roman" w:hAnsi="Times New Roman" w:cs="Times New Roman"/>
        </w:rPr>
        <w:t>Významnú úlohu v podpore rozvoja bývania má ŠFRB, ktorého celkové zdroje v roku 201</w:t>
      </w:r>
      <w:r>
        <w:rPr>
          <w:rFonts w:ascii="Times New Roman" w:hAnsi="Times New Roman" w:cs="Times New Roman"/>
        </w:rPr>
        <w:t>3</w:t>
      </w:r>
      <w:r w:rsidRPr="00E9447B">
        <w:rPr>
          <w:rFonts w:ascii="Times New Roman" w:hAnsi="Times New Roman" w:cs="Times New Roman"/>
        </w:rPr>
        <w:t xml:space="preserve"> predstavujú čiastku 1</w:t>
      </w:r>
      <w:r>
        <w:rPr>
          <w:rFonts w:ascii="Times New Roman" w:hAnsi="Times New Roman" w:cs="Times New Roman"/>
        </w:rPr>
        <w:t>77</w:t>
      </w:r>
      <w:r w:rsidRPr="00E9447B">
        <w:rPr>
          <w:rFonts w:ascii="Times New Roman" w:hAnsi="Times New Roman" w:cs="Times New Roman"/>
        </w:rPr>
        <w:t xml:space="preserve"> mil. eur, čo je nárast o </w:t>
      </w:r>
      <w:r>
        <w:rPr>
          <w:rFonts w:ascii="Times New Roman" w:hAnsi="Times New Roman" w:cs="Times New Roman"/>
        </w:rPr>
        <w:t>12</w:t>
      </w:r>
      <w:r w:rsidRPr="00E9447B">
        <w:rPr>
          <w:rFonts w:ascii="Times New Roman" w:hAnsi="Times New Roman" w:cs="Times New Roman"/>
        </w:rPr>
        <w:t>,</w:t>
      </w:r>
      <w:r>
        <w:rPr>
          <w:rFonts w:ascii="Times New Roman" w:hAnsi="Times New Roman" w:cs="Times New Roman"/>
        </w:rPr>
        <w:t>4</w:t>
      </w:r>
      <w:r w:rsidRPr="00E9447B">
        <w:rPr>
          <w:rFonts w:ascii="Times New Roman" w:hAnsi="Times New Roman" w:cs="Times New Roman"/>
        </w:rPr>
        <w:t xml:space="preserve"> %</w:t>
      </w:r>
      <w:r>
        <w:rPr>
          <w:rFonts w:ascii="Times New Roman" w:hAnsi="Times New Roman" w:cs="Times New Roman"/>
        </w:rPr>
        <w:t xml:space="preserve">, t. j. o 19,5 mil. eur  </w:t>
      </w:r>
      <w:r w:rsidRPr="00E9447B">
        <w:rPr>
          <w:rFonts w:ascii="Times New Roman" w:hAnsi="Times New Roman" w:cs="Times New Roman"/>
        </w:rPr>
        <w:t xml:space="preserve"> v porovnaní so schváleným rozpočtom roku 201</w:t>
      </w:r>
      <w:r>
        <w:rPr>
          <w:rFonts w:ascii="Times New Roman" w:hAnsi="Times New Roman" w:cs="Times New Roman"/>
        </w:rPr>
        <w:t>2</w:t>
      </w:r>
      <w:r w:rsidRPr="00E9447B">
        <w:rPr>
          <w:rFonts w:ascii="Times New Roman" w:hAnsi="Times New Roman" w:cs="Times New Roman"/>
        </w:rPr>
        <w:t xml:space="preserve">. Príjmy zo štátneho rozpočtu  sú v sume </w:t>
      </w:r>
      <w:r>
        <w:rPr>
          <w:rFonts w:ascii="Times New Roman" w:hAnsi="Times New Roman" w:cs="Times New Roman"/>
        </w:rPr>
        <w:t xml:space="preserve">66,4 mil. eur, ktoré tvorí  transfer z kapitoly MDVRR SR v sume </w:t>
      </w:r>
      <w:r w:rsidRPr="00E9447B">
        <w:rPr>
          <w:rFonts w:ascii="Times New Roman" w:hAnsi="Times New Roman" w:cs="Times New Roman"/>
        </w:rPr>
        <w:t xml:space="preserve">54,9 mil. eur </w:t>
      </w:r>
      <w:r>
        <w:rPr>
          <w:rFonts w:ascii="Times New Roman" w:hAnsi="Times New Roman" w:cs="Times New Roman"/>
        </w:rPr>
        <w:t>z prostriedkov štátneho rozpočtu a  transfer z  kapitoly MPRV SR v sume 11,5 mil. eur zo zdrojov EÚ a spolufinancovania na realizáciu pilotného prístupu podpory infraštruktúry bývania zo štrukturálnych fondov. V</w:t>
      </w:r>
      <w:r w:rsidRPr="00E9447B">
        <w:rPr>
          <w:rFonts w:ascii="Times New Roman" w:hAnsi="Times New Roman" w:cs="Times New Roman"/>
        </w:rPr>
        <w:t>lastné príjmy fondu  (najmä príjmy zo splácania poskytnutých úverov a z úrokov) predstavujú 1</w:t>
      </w:r>
      <w:r>
        <w:rPr>
          <w:rFonts w:ascii="Times New Roman" w:hAnsi="Times New Roman" w:cs="Times New Roman"/>
        </w:rPr>
        <w:t>1</w:t>
      </w:r>
      <w:r w:rsidRPr="00E9447B">
        <w:rPr>
          <w:rFonts w:ascii="Times New Roman" w:hAnsi="Times New Roman" w:cs="Times New Roman"/>
        </w:rPr>
        <w:t>0 mil. eur.</w:t>
      </w:r>
    </w:p>
    <w:p w:rsidR="009D2A34" w:rsidRPr="00932B61" w:rsidP="009D2A34">
      <w:pPr>
        <w:bidi w:val="0"/>
        <w:jc w:val="both"/>
        <w:rPr>
          <w:rFonts w:ascii="Times New Roman" w:hAnsi="Times New Roman" w:cs="Times New Roman"/>
        </w:rPr>
      </w:pPr>
    </w:p>
    <w:p w:rsidR="009D2A34" w:rsidRPr="00932B61" w:rsidP="009D2A34">
      <w:pPr>
        <w:bidi w:val="0"/>
        <w:jc w:val="both"/>
        <w:rPr>
          <w:rFonts w:ascii="Times New Roman" w:hAnsi="Times New Roman" w:cs="Times New Roman"/>
          <w:b/>
        </w:rPr>
      </w:pPr>
      <w:r w:rsidRPr="00932B61">
        <w:rPr>
          <w:rFonts w:ascii="Times New Roman" w:hAnsi="Times New Roman" w:cs="Times New Roman"/>
          <w:b/>
        </w:rPr>
        <w:t>Podpora cestovného ruchu</w:t>
      </w:r>
    </w:p>
    <w:p w:rsidR="009D2A34" w:rsidRPr="00932B61" w:rsidP="009D2A34">
      <w:pPr>
        <w:bidi w:val="0"/>
        <w:jc w:val="both"/>
        <w:rPr>
          <w:rFonts w:ascii="Times New Roman" w:hAnsi="Times New Roman" w:cs="Times New Roman"/>
          <w:b/>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3"/>
        <w:gridCol w:w="987"/>
        <w:gridCol w:w="987"/>
        <w:gridCol w:w="981"/>
        <w:gridCol w:w="981"/>
        <w:gridCol w:w="981"/>
        <w:gridCol w:w="982"/>
        <w:gridCol w:w="912"/>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both"/>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v eurách</w:t>
            </w:r>
          </w:p>
        </w:tc>
        <w:tc>
          <w:tcPr>
            <w:tcW w:w="58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58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OS</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54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4925" w:type="pct"/>
          <w:tblInd w:w="70" w:type="dxa"/>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Spolu zdroje</w:t>
            </w:r>
          </w:p>
        </w:tc>
        <w:tc>
          <w:tcPr>
            <w:tcW w:w="58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color w:val="000000"/>
                <w:sz w:val="14"/>
                <w:szCs w:val="14"/>
              </w:rPr>
            </w:pPr>
            <w:r w:rsidRPr="00932B61">
              <w:rPr>
                <w:rFonts w:ascii="Times New Roman" w:hAnsi="Times New Roman" w:cs="Times New Roman"/>
                <w:b/>
                <w:color w:val="000000"/>
                <w:sz w:val="14"/>
                <w:szCs w:val="14"/>
              </w:rPr>
              <w:t>0</w:t>
            </w:r>
          </w:p>
        </w:tc>
        <w:tc>
          <w:tcPr>
            <w:tcW w:w="58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5 120 273</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7 162 978</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7 042 978</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9 399 684</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11 215 880</w:t>
            </w:r>
          </w:p>
        </w:tc>
        <w:tc>
          <w:tcPr>
            <w:tcW w:w="54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11 215 880</w:t>
            </w:r>
          </w:p>
        </w:tc>
      </w:tr>
      <w:tr>
        <w:tblPrEx>
          <w:tblW w:w="4925" w:type="pct"/>
          <w:tblInd w:w="70" w:type="dxa"/>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SACR a administrácia </w:t>
            </w:r>
          </w:p>
        </w:tc>
        <w:tc>
          <w:tcPr>
            <w:tcW w:w="58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8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5 120 273</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3 662 978</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3 542 976</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3 042 978</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3 042 978</w:t>
            </w:r>
          </w:p>
        </w:tc>
        <w:tc>
          <w:tcPr>
            <w:tcW w:w="542"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3 042 978</w:t>
            </w:r>
          </w:p>
        </w:tc>
      </w:tr>
      <w:tr>
        <w:tblPrEx>
          <w:tblW w:w="4925" w:type="pct"/>
          <w:tblInd w:w="70" w:type="dxa"/>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Dotácie na podporu cestovného ruchu   </w:t>
            </w:r>
          </w:p>
        </w:tc>
        <w:tc>
          <w:tcPr>
            <w:tcW w:w="58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8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3 500 000</w:t>
            </w:r>
          </w:p>
        </w:tc>
        <w:tc>
          <w:tcPr>
            <w:tcW w:w="58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3 500 000</w:t>
            </w:r>
          </w:p>
        </w:tc>
        <w:tc>
          <w:tcPr>
            <w:tcW w:w="58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6 356 706</w:t>
            </w:r>
          </w:p>
        </w:tc>
        <w:tc>
          <w:tcPr>
            <w:tcW w:w="58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8 172 902</w:t>
            </w:r>
          </w:p>
        </w:tc>
        <w:tc>
          <w:tcPr>
            <w:tcW w:w="5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8 172 902</w:t>
            </w:r>
          </w:p>
        </w:tc>
      </w:tr>
    </w:tbl>
    <w:p w:rsidR="009D2A34" w:rsidRPr="00932B61" w:rsidP="009D2A34">
      <w:pPr>
        <w:bidi w:val="0"/>
        <w:jc w:val="both"/>
        <w:rPr>
          <w:rFonts w:ascii="Times New Roman" w:hAnsi="Times New Roman" w:cs="Times New Roman"/>
          <w:sz w:val="16"/>
          <w:szCs w:val="16"/>
        </w:rPr>
      </w:pPr>
      <w:r w:rsidRPr="00932B61">
        <w:rPr>
          <w:rFonts w:ascii="Times New Roman" w:hAnsi="Times New Roman" w:cs="Times New Roman"/>
          <w:sz w:val="16"/>
          <w:szCs w:val="16"/>
        </w:rPr>
        <w:t>Poznámka: Výdavky boli do roku 2011 rozpočtované v kapitole MH SR</w:t>
      </w:r>
    </w:p>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 xml:space="preserve">Výdavky na podporu cestovného ruchu sa na rok 2013 rozpočtujú v sume 9,40 mil. eur a sú určené pre Slovenskú agentúru pre cestovný ruch a na dotácie na podporu cestovného ruchu pre oblastné a krajské organizácie. V porovnaní so schváleným rozpočtom roku 2012 ide o zvýšenie o 31,2 %, t. j. o 2,24 mil. eur. </w:t>
      </w:r>
    </w:p>
    <w:p w:rsidR="009D2A34" w:rsidRPr="00932B61" w:rsidP="009D2A34">
      <w:pPr>
        <w:bidi w:val="0"/>
        <w:rPr>
          <w:rFonts w:ascii="Times New Roman" w:hAnsi="Times New Roman" w:cs="Times New Roman"/>
          <w:b/>
        </w:rPr>
      </w:pPr>
    </w:p>
    <w:p w:rsidR="009D2A34" w:rsidRPr="00932B61" w:rsidP="009D2A34">
      <w:pPr>
        <w:bidi w:val="0"/>
        <w:jc w:val="both"/>
        <w:rPr>
          <w:rFonts w:ascii="Times New Roman" w:hAnsi="Times New Roman" w:cs="Times New Roman"/>
          <w:b/>
        </w:rPr>
      </w:pPr>
      <w:r w:rsidRPr="00932B61">
        <w:rPr>
          <w:rFonts w:ascii="Times New Roman" w:hAnsi="Times New Roman" w:cs="Times New Roman"/>
          <w:b/>
        </w:rPr>
        <w:t>Operačný program Technická pomoc</w:t>
      </w:r>
    </w:p>
    <w:p w:rsidR="009D2A34" w:rsidRPr="00932B61" w:rsidP="009D2A34">
      <w:pPr>
        <w:bidi w:val="0"/>
        <w:jc w:val="both"/>
        <w:rPr>
          <w:rFonts w:ascii="Times New Roman" w:hAnsi="Times New Roman" w:cs="Times New Roman"/>
          <w:b/>
        </w:rPr>
      </w:pPr>
    </w:p>
    <w:tbl>
      <w:tblPr>
        <w:tblStyle w:val="TableNormal"/>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54"/>
        <w:gridCol w:w="1060"/>
        <w:gridCol w:w="1060"/>
        <w:gridCol w:w="1054"/>
        <w:gridCol w:w="1054"/>
        <w:gridCol w:w="1054"/>
        <w:gridCol w:w="1054"/>
        <w:gridCol w:w="984"/>
      </w:tblGrid>
      <w:tr>
        <w:tblPrEx>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v eurách</w:t>
            </w:r>
          </w:p>
        </w:tc>
        <w:tc>
          <w:tcPr>
            <w:tcW w:w="58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58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OS</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58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54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4925" w:type="pct"/>
          <w:tblInd w:w="70" w:type="dxa"/>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OP Technická pomoc</w:t>
            </w:r>
          </w:p>
        </w:tc>
        <w:tc>
          <w:tcPr>
            <w:tcW w:w="58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5 614 548</w:t>
            </w:r>
          </w:p>
        </w:tc>
        <w:tc>
          <w:tcPr>
            <w:tcW w:w="584"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10 181 204</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13 219 557</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11 485 841</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16 779 790</w:t>
            </w:r>
          </w:p>
        </w:tc>
        <w:tc>
          <w:tcPr>
            <w:tcW w:w="581"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15 785 164</w:t>
            </w:r>
          </w:p>
        </w:tc>
        <w:tc>
          <w:tcPr>
            <w:tcW w:w="542"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24 894 523</w:t>
            </w:r>
          </w:p>
        </w:tc>
      </w:tr>
      <w:tr>
        <w:tblPrEx>
          <w:tblW w:w="4925" w:type="pct"/>
          <w:tblInd w:w="70" w:type="dxa"/>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Prostriedky EÚ</w:t>
            </w:r>
          </w:p>
        </w:tc>
        <w:tc>
          <w:tcPr>
            <w:tcW w:w="58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4 435 581</w:t>
            </w:r>
          </w:p>
        </w:tc>
        <w:tc>
          <w:tcPr>
            <w:tcW w:w="58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7 687 534</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10 799 176</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9 376 283</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13 846 641</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12 891 795</w:t>
            </w:r>
          </w:p>
        </w:tc>
        <w:tc>
          <w:tcPr>
            <w:tcW w:w="542"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20 374 006</w:t>
            </w:r>
          </w:p>
        </w:tc>
      </w:tr>
      <w:tr>
        <w:tblPrEx>
          <w:tblW w:w="4925" w:type="pct"/>
          <w:tblInd w:w="70" w:type="dxa"/>
          <w:tblCellMar>
            <w:left w:w="70" w:type="dxa"/>
            <w:right w:w="70" w:type="dxa"/>
          </w:tblCellMar>
          <w:tblLook w:val="04A0"/>
        </w:tblPrEx>
        <w:trPr>
          <w:trHeight w:hRule="exact" w:val="255"/>
        </w:trPr>
        <w:tc>
          <w:tcPr>
            <w:tcW w:w="96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Spolufinancovanie ŠR </w:t>
            </w:r>
          </w:p>
        </w:tc>
        <w:tc>
          <w:tcPr>
            <w:tcW w:w="58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1 178 967</w:t>
            </w:r>
          </w:p>
        </w:tc>
        <w:tc>
          <w:tcPr>
            <w:tcW w:w="58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2 493 670</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2 420 381</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2 109 558</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2 933 149</w:t>
            </w:r>
          </w:p>
        </w:tc>
        <w:tc>
          <w:tcPr>
            <w:tcW w:w="58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2 893 369</w:t>
            </w:r>
          </w:p>
        </w:tc>
        <w:tc>
          <w:tcPr>
            <w:tcW w:w="542"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4 520 517</w:t>
            </w:r>
          </w:p>
        </w:tc>
      </w:tr>
    </w:tbl>
    <w:p w:rsidR="009D2A34" w:rsidRPr="00932B61" w:rsidP="009D2A34">
      <w:pPr>
        <w:bidi w:val="0"/>
        <w:jc w:val="both"/>
        <w:rPr>
          <w:rFonts w:ascii="Times New Roman" w:hAnsi="Times New Roman" w:cs="Times New Roman"/>
          <w:sz w:val="16"/>
          <w:szCs w:val="16"/>
        </w:rPr>
      </w:pPr>
      <w:r w:rsidRPr="00932B61">
        <w:rPr>
          <w:rFonts w:ascii="Times New Roman" w:hAnsi="Times New Roman" w:cs="Times New Roman"/>
          <w:sz w:val="16"/>
          <w:szCs w:val="16"/>
        </w:rPr>
        <w:t>Poznámka: Výdavky boli do roku 2011 rozpočtované v kapitole MVRR SR</w:t>
      </w:r>
    </w:p>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 xml:space="preserve">Na OP technická pomoc  sú rozpočtované výdavky vo výške 16,8 mil. eur zo zdrojov EÚ a spolufinancovania a v porovnaní so schváleným rozpočtom roku 2012 sú vyššie </w:t>
        <w:br/>
        <w:t xml:space="preserve">o 26,9 %, čo predstavuje 3,56 mil. eur. Tieto finančné prostriedky predstavujú zdroje na technickú pomoc pre všetky rozpočtové kapitoly disponujúce prostriedkami zo štrukturálnych fondov. Sú smerované do oblastí monitorovania, pracovných a koordinačných skupín, výborov a komisií, posilnenia administratívnych kapacít a na podporu riadenia pomoci, informačných systémov pre oblasť riadenia a implementácie regionálnej politiky SR, finančného riadenia, kontroly a auditu, podpory zavádzania inovatívnych nástrojov. </w:t>
      </w:r>
    </w:p>
    <w:p w:rsidR="009D2A34" w:rsidRPr="00932B61" w:rsidP="009D2A34">
      <w:pPr>
        <w:bidi w:val="0"/>
        <w:jc w:val="both"/>
        <w:rPr>
          <w:rFonts w:ascii="Times New Roman" w:hAnsi="Times New Roman" w:cs="Times New Roman"/>
          <w:b/>
        </w:rPr>
      </w:pPr>
    </w:p>
    <w:p w:rsidR="009D2A34" w:rsidRPr="00932B61" w:rsidP="009D2A34">
      <w:pPr>
        <w:bidi w:val="0"/>
        <w:jc w:val="both"/>
        <w:rPr>
          <w:rFonts w:ascii="Times New Roman" w:hAnsi="Times New Roman" w:cs="Times New Roman"/>
          <w:b/>
        </w:rPr>
      </w:pPr>
      <w:r w:rsidRPr="00932B61">
        <w:rPr>
          <w:rFonts w:ascii="Times New Roman" w:hAnsi="Times New Roman" w:cs="Times New Roman"/>
          <w:b/>
        </w:rPr>
        <w:t>Administratíva</w:t>
      </w:r>
    </w:p>
    <w:p w:rsidR="009D2A34" w:rsidRPr="00932B61" w:rsidP="009D2A34">
      <w:pPr>
        <w:bidi w:val="0"/>
        <w:jc w:val="both"/>
        <w:rPr>
          <w:rFonts w:ascii="Times New Roman" w:hAnsi="Times New Roman" w:cs="Times New Roman"/>
        </w:rPr>
      </w:pPr>
    </w:p>
    <w:tbl>
      <w:tblPr>
        <w:tblStyle w:val="TableNormal"/>
        <w:tblW w:w="498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26"/>
        <w:gridCol w:w="1048"/>
        <w:gridCol w:w="1046"/>
        <w:gridCol w:w="1046"/>
        <w:gridCol w:w="1046"/>
        <w:gridCol w:w="1045"/>
        <w:gridCol w:w="1045"/>
        <w:gridCol w:w="977"/>
      </w:tblGrid>
      <w:tr>
        <w:tblPrEx>
          <w:tblW w:w="498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both"/>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v eurách</w:t>
            </w:r>
          </w:p>
        </w:tc>
        <w:tc>
          <w:tcPr>
            <w:tcW w:w="57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57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OS</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56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53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bCs/>
                <w:sz w:val="14"/>
                <w:szCs w:val="14"/>
              </w:rPr>
            </w:pPr>
            <w:r w:rsidRPr="00932B61">
              <w:rPr>
                <w:rFonts w:ascii="Times New Roman" w:hAnsi="Times New Roman" w:cs="Times New Roman"/>
                <w:b/>
                <w:bCs/>
                <w:sz w:val="14"/>
                <w:szCs w:val="14"/>
              </w:rPr>
              <w:t>Spolu ostatné činnosti</w:t>
            </w:r>
          </w:p>
        </w:tc>
        <w:tc>
          <w:tcPr>
            <w:tcW w:w="571"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44 996 180</w:t>
            </w:r>
          </w:p>
        </w:tc>
        <w:tc>
          <w:tcPr>
            <w:tcW w:w="57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64 921 968</w:t>
            </w:r>
          </w:p>
        </w:tc>
        <w:tc>
          <w:tcPr>
            <w:tcW w:w="57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66 425 316</w:t>
            </w:r>
          </w:p>
        </w:tc>
        <w:tc>
          <w:tcPr>
            <w:tcW w:w="570"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66 849 394</w:t>
            </w:r>
          </w:p>
        </w:tc>
        <w:tc>
          <w:tcPr>
            <w:tcW w:w="56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55 583 635</w:t>
            </w:r>
          </w:p>
        </w:tc>
        <w:tc>
          <w:tcPr>
            <w:tcW w:w="56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55 168 672</w:t>
            </w:r>
          </w:p>
        </w:tc>
        <w:tc>
          <w:tcPr>
            <w:tcW w:w="532"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55 188 283</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sz w:val="14"/>
                <w:szCs w:val="14"/>
              </w:rPr>
            </w:pPr>
            <w:r w:rsidRPr="00932B61">
              <w:rPr>
                <w:rFonts w:ascii="Times New Roman" w:hAnsi="Times New Roman" w:cs="Times New Roman"/>
                <w:sz w:val="14"/>
                <w:szCs w:val="14"/>
              </w:rPr>
              <w:t>Tvorba a implementácia politík</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41 577 219</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61 274 654</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62 441 129</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62 566 237</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52 118 883</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52 026 456</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51 876 067</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Civilné a núdzové plánovanie </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15 079</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13 416</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22 272</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22 272</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20 045</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20 045</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20 045</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Podpora obrany</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1 303 557</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1 321 631</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1 327 756</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1 327 756</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1 002 091</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679 256</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849 256</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 xml:space="preserve">Hospodárska mobilizácia </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1 520 469</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1 705 784</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1 827 800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1 827 800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1 645 020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1 645 020</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1 645 020</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Ľudské zdroje</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Príspevky SR do MO</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580 581</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606 483</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582 055</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582 055</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582 055</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582 055</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582 055</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Vodná doprava</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223 304</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522 274</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214 941</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214 940</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214 940</w:t>
            </w:r>
          </w:p>
        </w:tc>
      </w:tr>
      <w:tr>
        <w:tblPrEx>
          <w:tblW w:w="4982" w:type="pct"/>
          <w:tblInd w:w="70" w:type="dxa"/>
          <w:tblCellMar>
            <w:left w:w="70" w:type="dxa"/>
            <w:right w:w="70" w:type="dxa"/>
          </w:tblCellMar>
          <w:tblLook w:val="04A0"/>
        </w:tblPrEx>
        <w:trPr>
          <w:trHeight w:hRule="exact" w:val="255"/>
        </w:trPr>
        <w:tc>
          <w:tcPr>
            <w:tcW w:w="104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Protidrogová politika</w:t>
            </w:r>
          </w:p>
        </w:tc>
        <w:tc>
          <w:tcPr>
            <w:tcW w:w="571"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1 000</w:t>
            </w:r>
          </w:p>
        </w:tc>
        <w:tc>
          <w:tcPr>
            <w:tcW w:w="57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1 000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900</w:t>
            </w:r>
          </w:p>
        </w:tc>
        <w:tc>
          <w:tcPr>
            <w:tcW w:w="569"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900</w:t>
            </w:r>
          </w:p>
        </w:tc>
        <w:tc>
          <w:tcPr>
            <w:tcW w:w="53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900</w:t>
            </w:r>
          </w:p>
        </w:tc>
      </w:tr>
    </w:tbl>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Výdavky na ostatné činnosti sa v roku 2013 navrhujú v sume 55,6 mil. eur a v porovnaní so schváleným rozpočtom roku 2012 sú nižšie  o 16,3 %, t. j. o 10,8 mil. eur. Dôvodom poklesu výdavkov okrem premietnutia zníženia výdavkov na mzdy, poistné a tovary a služby je aj zníženie kapitálových výdavkov o 62,7 %, čo predstavuje 3,86 mil. eur na tvorbe a implementácii politík a na podpore obrany.</w:t>
      </w:r>
    </w:p>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Na podprogramy, ktoré rozpočtová kapitola rieši ako účastník medzirezortného programu sa rozpočtujú výdavky v sume 3,25 mil. eur. Uvedené výdavky sú určené pre podprogramy Civilné núdzové plánovanie, Dopravná a telekomunikačná podpora, Hospodárska mobilizácia, Príspevky SR do medzinárodných organizácií a Protidrogová politika.</w:t>
      </w:r>
    </w:p>
    <w:p w:rsidR="009D2A34" w:rsidRPr="00932B61" w:rsidP="009D2A34">
      <w:pPr>
        <w:bidi w:val="0"/>
        <w:jc w:val="both"/>
        <w:rPr>
          <w:rFonts w:ascii="Times New Roman" w:hAnsi="Times New Roman" w:cs="Times New Roman"/>
        </w:rPr>
      </w:pPr>
    </w:p>
    <w:p w:rsidR="009D2A34" w:rsidRPr="00932B61" w:rsidP="009D2A34">
      <w:pPr>
        <w:bidi w:val="0"/>
        <w:jc w:val="both"/>
        <w:rPr>
          <w:rFonts w:ascii="Times New Roman" w:hAnsi="Times New Roman" w:cs="Times New Roman"/>
          <w:i/>
          <w:u w:val="single"/>
        </w:rPr>
      </w:pPr>
      <w:r w:rsidRPr="00932B61">
        <w:rPr>
          <w:rFonts w:ascii="Times New Roman" w:hAnsi="Times New Roman" w:cs="Times New Roman"/>
          <w:i/>
          <w:u w:val="single"/>
        </w:rPr>
        <w:t>Tvorba a implementácia politík</w:t>
      </w:r>
    </w:p>
    <w:p w:rsidR="009D2A34" w:rsidRPr="00932B61" w:rsidP="009D2A34">
      <w:pPr>
        <w:bidi w:val="0"/>
        <w:jc w:val="both"/>
        <w:rPr>
          <w:rFonts w:ascii="Times New Roman" w:hAnsi="Times New Roman" w:cs="Times New Roman"/>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39"/>
        <w:gridCol w:w="878"/>
        <w:gridCol w:w="878"/>
        <w:gridCol w:w="878"/>
        <w:gridCol w:w="878"/>
        <w:gridCol w:w="878"/>
        <w:gridCol w:w="878"/>
        <w:gridCol w:w="878"/>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v eurách</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2010 S</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2011 S</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R</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2012 OS</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2013 N</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2014 N</w:t>
            </w:r>
          </w:p>
        </w:tc>
        <w:tc>
          <w:tcPr>
            <w:tcW w:w="87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2B61" w:rsidP="006338E5">
            <w:pPr>
              <w:bidi w:val="0"/>
              <w:jc w:val="center"/>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2015 N</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Tvorba a implementácia politík spolu</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41 577 219</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61 274 654</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62 441 129</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62 566 237</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52 118 883</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52 026 456</w:t>
            </w:r>
          </w:p>
        </w:tc>
        <w:tc>
          <w:tcPr>
            <w:tcW w:w="8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932B61" w:rsidP="006338E5">
            <w:pPr>
              <w:bidi w:val="0"/>
              <w:jc w:val="right"/>
              <w:rPr>
                <w:rFonts w:ascii="Times New Roman" w:hAnsi="Times New Roman" w:cs="Times New Roman"/>
                <w:b/>
                <w:bCs/>
                <w:color w:val="000000"/>
                <w:sz w:val="14"/>
                <w:szCs w:val="14"/>
              </w:rPr>
            </w:pPr>
            <w:r w:rsidRPr="00932B61">
              <w:rPr>
                <w:rFonts w:ascii="Times New Roman" w:hAnsi="Times New Roman" w:cs="Times New Roman"/>
                <w:b/>
                <w:bCs/>
                <w:color w:val="000000"/>
                <w:sz w:val="14"/>
                <w:szCs w:val="14"/>
              </w:rPr>
              <w:t>51 876 067</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Ústredný orgán MDVRR SR</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18 554 688</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23 987 016</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25 711 202</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26 494 778</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22 399 984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22 207 571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22 057 161</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Úrad pre reguláciu železničnej dopravy</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1 552 504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1 460 425</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1 504 418</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1 558 756</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1 428 219</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1 428 217</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1 428 220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Telekomunikačný úrad SR</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5 141 020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4 466 906</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4 925 714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4 925 714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4 029 999</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4 029 997</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4 030 002</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Letecký úrad</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3 447 294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2 535 342</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2 394 661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2 594 661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2 282 844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2 282 843</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2 282 846</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Poštový regulačný úrad</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716 333</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443 447</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740 591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740 591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692 954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692 953</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692 955</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Štátna plavebná správa</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1 690 291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1 729 921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1 482 839</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1 545 329</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1 398 037</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1 398 035</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1 398 036</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Úrad verejného zdravotníctva MDVRR SR</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1 008 756</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936 696</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1 032 351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1 032 351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929 019</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929 020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929 020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KÚ v cestnej doprave</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6 869 727</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6 349 706</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6 057 711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5 824 147</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5 799 866</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5 799 864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5 799 871</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KÚ v stavebníctve</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236 271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3 400 174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4 119 347</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3 656 528</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3 449 426</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3 449 422</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3 449 422</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Slovenská stavebná inšpekcia</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135 143</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551 488</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546 005</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557 899</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526 670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526 669</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526 669</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PO URBION</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33 431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189 775</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180 532</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180 532</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162 532</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162 532</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162 532</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Prenes. výkon ŠS  v cest. doprave a staveb.</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1 451 208</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6 490 743</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6 492 665</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6 503 664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6 503 665</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6 503 665</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6 503 665</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Zavádzanie digitálneho vysielania v SR</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6 801 675</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810 445</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298 745</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Poradenské služby</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4 050 000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4 050 000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Podpora integrov. siete reg.rozvoj. agentúr</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161 785</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826 180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842 634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832 634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832 634</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Podpora na projekty Euroregiónov</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275 826</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277 544</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277 544</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Program podpory územ. rozvoja obcí a miest</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364 268</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473 983</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180 000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180 000</w:t>
            </w:r>
          </w:p>
        </w:tc>
      </w:tr>
      <w:tr>
        <w:tblPrEx>
          <w:tblW w:w="9085" w:type="dxa"/>
          <w:tblInd w:w="57" w:type="dxa"/>
          <w:tblCellMar>
            <w:left w:w="70" w:type="dxa"/>
            <w:right w:w="70" w:type="dxa"/>
          </w:tblCellMar>
          <w:tblLook w:val="04A0"/>
        </w:tblPrEx>
        <w:trPr>
          <w:trHeight w:hRule="exact" w:val="255"/>
        </w:trPr>
        <w:tc>
          <w:tcPr>
            <w:tcW w:w="293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rPr>
                <w:rFonts w:ascii="Times New Roman" w:hAnsi="Times New Roman" w:cs="Times New Roman"/>
                <w:color w:val="000000"/>
                <w:sz w:val="14"/>
                <w:szCs w:val="14"/>
              </w:rPr>
            </w:pPr>
            <w:r w:rsidRPr="00932B61">
              <w:rPr>
                <w:rFonts w:ascii="Times New Roman" w:hAnsi="Times New Roman" w:cs="Times New Roman"/>
                <w:color w:val="000000"/>
                <w:sz w:val="14"/>
                <w:szCs w:val="14"/>
              </w:rPr>
              <w:t>Veda a výskum</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578 768</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465 066</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1 102 470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1 008 381</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1 225 490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1 325 490</w:t>
            </w:r>
          </w:p>
        </w:tc>
        <w:tc>
          <w:tcPr>
            <w:tcW w:w="8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2B61" w:rsidP="006338E5">
            <w:pPr>
              <w:bidi w:val="0"/>
              <w:jc w:val="right"/>
              <w:rPr>
                <w:rFonts w:ascii="Times New Roman" w:hAnsi="Times New Roman" w:cs="Times New Roman"/>
                <w:color w:val="000000"/>
                <w:sz w:val="14"/>
                <w:szCs w:val="14"/>
              </w:rPr>
            </w:pPr>
            <w:r w:rsidRPr="00932B61">
              <w:rPr>
                <w:rFonts w:ascii="Times New Roman" w:hAnsi="Times New Roman" w:cs="Times New Roman"/>
                <w:color w:val="000000"/>
                <w:sz w:val="14"/>
                <w:szCs w:val="14"/>
              </w:rPr>
              <w:t>1 325 490</w:t>
            </w:r>
          </w:p>
        </w:tc>
      </w:tr>
    </w:tbl>
    <w:p w:rsidR="009D2A34" w:rsidRPr="00932B61" w:rsidP="009D2A34">
      <w:pPr>
        <w:bidi w:val="0"/>
        <w:jc w:val="both"/>
        <w:rPr>
          <w:rFonts w:ascii="Times New Roman" w:hAnsi="Times New Roman" w:cs="Times New Roman"/>
        </w:rPr>
      </w:pPr>
    </w:p>
    <w:p w:rsidR="009D2A34" w:rsidRPr="00932B61" w:rsidP="009D2A34">
      <w:pPr>
        <w:bidi w:val="0"/>
        <w:ind w:firstLine="708"/>
        <w:jc w:val="both"/>
        <w:rPr>
          <w:rFonts w:ascii="Times New Roman" w:hAnsi="Times New Roman" w:cs="Times New Roman"/>
        </w:rPr>
      </w:pPr>
      <w:r w:rsidRPr="00932B61">
        <w:rPr>
          <w:rFonts w:ascii="Times New Roman" w:hAnsi="Times New Roman" w:cs="Times New Roman"/>
        </w:rPr>
        <w:t>Výdavky na tvorbu a implementáciu politík sú určené na zabezpečenie financovania úloh samotného úradu MDVRR SR, pre organizácie ministerstva dopravy a tiež na prenesený výkon štátnej správy. Výdavky v roku 2013 v porovnaní so schváleným rozpočtom roku 2012 sú nižšie o 16,5 %, čo predstavuje zníženie o 10,3 mil. eur. Dôvodom poklesu predmetných výdavkov je okrem premietnutia zníženia výdavkov na mzdy, poistné a tovary a služby, aj zníženie kapitálových výdavkov  o 73,5 %, čo predstavuje 3,59 mil. eur. Kapitálové výdavky boli v roku 2013 znížené na ústrednom orgáne o 2,62 mil. eur a neboli rozpočtované Úradu pre reguláciu železničnej dopravy, Telekomunikačnému úradu SR, Leteckému úradu, Poštovému regulačnému úradu, Štátnej plavebnej správe a krajským cestným úradom.</w:t>
      </w:r>
    </w:p>
    <w:p w:rsidR="009D2A34" w:rsidRPr="00932B61" w:rsidP="009D2A34">
      <w:pPr>
        <w:bidi w:val="0"/>
      </w:pPr>
    </w:p>
    <w:p w:rsidR="009D2A34" w:rsidP="009D2A34">
      <w:pPr>
        <w:bidi w:val="0"/>
      </w:pPr>
    </w:p>
    <w:p w:rsidR="009D2A34" w:rsidP="009D2A34">
      <w:pPr>
        <w:bidi w:val="0"/>
        <w:rPr>
          <w:highlight w:val="yellow"/>
        </w:rPr>
      </w:pPr>
    </w:p>
    <w:p w:rsidR="009D2A34" w:rsidRPr="007E0D85" w:rsidP="009D2A34">
      <w:pPr>
        <w:bidi w:val="0"/>
        <w:rPr>
          <w:highlight w:val="yellow"/>
        </w:rPr>
      </w:pPr>
    </w:p>
    <w:p w:rsidR="009D2A34" w:rsidRPr="007E0D85" w:rsidP="009D2A34">
      <w:pPr>
        <w:bidi w:val="0"/>
        <w:rPr>
          <w:highlight w:val="yellow"/>
        </w:rPr>
      </w:pPr>
    </w:p>
    <w:p w:rsidR="009D2A34" w:rsidRPr="007E0D85" w:rsidP="009D2A34">
      <w:pPr>
        <w:bidi w:val="0"/>
        <w:rPr>
          <w:highlight w:val="yellow"/>
        </w:rPr>
      </w:pPr>
    </w:p>
    <w:p w:rsidR="009D2A34" w:rsidRPr="007E0D85" w:rsidP="009D2A34">
      <w:pPr>
        <w:bidi w:val="0"/>
        <w:rPr>
          <w:highlight w:val="yellow"/>
        </w:rPr>
      </w:pPr>
    </w:p>
    <w:p w:rsidR="009D2A34" w:rsidRPr="007E0D85" w:rsidP="009D2A34">
      <w:pPr>
        <w:bidi w:val="0"/>
        <w:rPr>
          <w:highlight w:val="yellow"/>
        </w:rPr>
      </w:pPr>
    </w:p>
    <w:p w:rsidR="009D2A34" w:rsidRPr="00A80A39" w:rsidP="009D2A34">
      <w:pPr>
        <w:pBdr>
          <w:bottom w:val="single" w:sz="4" w:space="1" w:color="000000"/>
        </w:pBdr>
        <w:bidi w:val="0"/>
        <w:jc w:val="both"/>
        <w:rPr>
          <w:rFonts w:ascii="Times New Roman" w:hAnsi="Times New Roman" w:cs="Times New Roman"/>
          <w:lang w:eastAsia="sk-SK"/>
        </w:rPr>
      </w:pPr>
      <w:r w:rsidRPr="00A80A39">
        <w:rPr>
          <w:rFonts w:ascii="Times New Roman" w:hAnsi="Times New Roman" w:cs="Times New Roman"/>
          <w:b/>
          <w:bCs/>
          <w:lang w:eastAsia="sk-SK"/>
        </w:rPr>
        <w:t xml:space="preserve">Ministerstvo práce, sociálnych vecí a rodiny SR </w:t>
      </w:r>
    </w:p>
    <w:p w:rsidR="009D2A34" w:rsidRPr="00A80A39" w:rsidP="009D2A34">
      <w:pPr>
        <w:bidi w:val="0"/>
        <w:rPr>
          <w:rFonts w:ascii="Times New Roman" w:hAnsi="Times New Roman" w:cs="Times New Roman"/>
          <w:lang w:eastAsia="sk-SK"/>
        </w:rPr>
      </w:pPr>
      <w:r w:rsidRPr="00A80A39">
        <w:rPr>
          <w:rFonts w:ascii="Times New Roman" w:hAnsi="Times New Roman" w:cs="Times New Roman"/>
          <w:lang w:eastAsia="sk-SK"/>
        </w:rPr>
        <w:t> </w:t>
      </w: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 xml:space="preserve">Celkové výdavky kapitoly Ministerstva práce, sociálnych vecí a rodiny SR (ďalej len „MPSVR SR“) sa na rok 2013 navrhujú v sume 2,17 mld. eur, čo oproti úrovni schváleného rozpočtu na rok 2012 predstavuje nárast o 8,77 %, v absolútnom vyjadrení o sumu </w:t>
        <w:br/>
        <w:t xml:space="preserve">175 mil. eur.  </w:t>
      </w:r>
    </w:p>
    <w:p w:rsidR="009D2A34" w:rsidRPr="007E0D85" w:rsidP="009D2A34">
      <w:pPr>
        <w:bidi w:val="0"/>
        <w:rPr>
          <w:rFonts w:ascii="Times New Roman" w:hAnsi="Times New Roman" w:cs="Times New Roman"/>
          <w:highlight w:val="yellow"/>
          <w:lang w:eastAsia="sk-SK"/>
        </w:rPr>
      </w:pPr>
    </w:p>
    <w:tbl>
      <w:tblPr>
        <w:tblStyle w:val="TableNormal"/>
        <w:tblW w:w="9356" w:type="dxa"/>
        <w:tblInd w:w="55" w:type="dxa"/>
        <w:tblCellMar>
          <w:left w:w="70" w:type="dxa"/>
          <w:right w:w="70" w:type="dxa"/>
        </w:tblCellMar>
        <w:tblLook w:val="04A0"/>
      </w:tblPr>
      <w:tblGrid>
        <w:gridCol w:w="2517"/>
        <w:gridCol w:w="977"/>
        <w:gridCol w:w="977"/>
        <w:gridCol w:w="977"/>
        <w:gridCol w:w="977"/>
        <w:gridCol w:w="977"/>
        <w:gridCol w:w="977"/>
        <w:gridCol w:w="977"/>
      </w:tblGrid>
      <w:tr>
        <w:tblPrEx>
          <w:tblW w:w="9356" w:type="dxa"/>
          <w:tblInd w:w="55"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A80A39" w:rsidP="006338E5">
            <w:pPr>
              <w:bidi w:val="0"/>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2010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2012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2012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771224">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 xml:space="preserve">2013 </w:t>
            </w:r>
            <w:r w:rsidR="00771224">
              <w:rPr>
                <w:rFonts w:ascii="Times New Roman" w:hAnsi="Times New Roman" w:cs="Times New Roman"/>
                <w:b/>
                <w:bCs/>
                <w:color w:val="000000"/>
                <w:sz w:val="14"/>
                <w:szCs w:val="14"/>
                <w:lang w:eastAsia="sk-SK"/>
              </w:rPr>
              <w:t>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2015 N</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C0C0C0"/>
            <w:textDirection w:val="lrTb"/>
            <w:vAlign w:val="center"/>
            <w:hideMark/>
          </w:tcPr>
          <w:p w:rsidR="009D2A34" w:rsidRPr="00A80A39" w:rsidP="006338E5">
            <w:pPr>
              <w:bidi w:val="0"/>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Zdroje príslušnej kapitoly</w:t>
            </w:r>
          </w:p>
        </w:tc>
        <w:tc>
          <w:tcPr>
            <w:tcW w:w="0" w:type="auto"/>
            <w:tcBorders>
              <w:top w:val="nil"/>
              <w:left w:val="nil"/>
              <w:bottom w:val="single" w:sz="4" w:space="0" w:color="auto"/>
              <w:right w:val="single" w:sz="4" w:space="0" w:color="auto"/>
            </w:tcBorders>
            <w:shd w:val="clear" w:color="000000" w:fill="C0C0C0"/>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2 023 666 951</w:t>
            </w:r>
          </w:p>
        </w:tc>
        <w:tc>
          <w:tcPr>
            <w:tcW w:w="0" w:type="auto"/>
            <w:tcBorders>
              <w:top w:val="nil"/>
              <w:left w:val="nil"/>
              <w:bottom w:val="single" w:sz="4" w:space="0" w:color="auto"/>
              <w:right w:val="single" w:sz="4" w:space="0" w:color="auto"/>
            </w:tcBorders>
            <w:shd w:val="clear" w:color="000000" w:fill="C0C0C0"/>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2 023 061 258</w:t>
            </w:r>
          </w:p>
        </w:tc>
        <w:tc>
          <w:tcPr>
            <w:tcW w:w="0" w:type="auto"/>
            <w:tcBorders>
              <w:top w:val="nil"/>
              <w:left w:val="nil"/>
              <w:bottom w:val="single" w:sz="4" w:space="0" w:color="auto"/>
              <w:right w:val="single" w:sz="4" w:space="0" w:color="auto"/>
            </w:tcBorders>
            <w:shd w:val="clear" w:color="000000" w:fill="C0C0C0"/>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1 997 633 755</w:t>
            </w:r>
          </w:p>
        </w:tc>
        <w:tc>
          <w:tcPr>
            <w:tcW w:w="0" w:type="auto"/>
            <w:tcBorders>
              <w:top w:val="nil"/>
              <w:left w:val="nil"/>
              <w:bottom w:val="single" w:sz="4" w:space="0" w:color="auto"/>
              <w:right w:val="single" w:sz="4" w:space="0" w:color="auto"/>
            </w:tcBorders>
            <w:shd w:val="clear" w:color="000000" w:fill="C0C0C0"/>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2 110 898 766</w:t>
            </w:r>
          </w:p>
        </w:tc>
        <w:tc>
          <w:tcPr>
            <w:tcW w:w="0" w:type="auto"/>
            <w:tcBorders>
              <w:top w:val="nil"/>
              <w:left w:val="nil"/>
              <w:bottom w:val="single" w:sz="4" w:space="0" w:color="auto"/>
              <w:right w:val="single" w:sz="4" w:space="0" w:color="auto"/>
            </w:tcBorders>
            <w:shd w:val="clear" w:color="000000" w:fill="C0C0C0"/>
            <w:textDirection w:val="lrTb"/>
            <w:vAlign w:val="center"/>
            <w:hideMark/>
          </w:tcPr>
          <w:p w:rsidR="009D2A34" w:rsidRPr="00A80A39" w:rsidP="006338E5">
            <w:pPr>
              <w:bidi w:val="0"/>
              <w:jc w:val="right"/>
              <w:rPr>
                <w:rFonts w:ascii="Times New Roman" w:hAnsi="Times New Roman" w:cs="Times New Roman"/>
                <w:b/>
                <w:bCs/>
                <w:color w:val="000000"/>
                <w:sz w:val="14"/>
                <w:szCs w:val="14"/>
              </w:rPr>
            </w:pPr>
            <w:r w:rsidRPr="00A80A39">
              <w:rPr>
                <w:rFonts w:ascii="Times New Roman" w:hAnsi="Times New Roman" w:cs="Times New Roman"/>
                <w:b/>
                <w:bCs/>
                <w:color w:val="000000"/>
                <w:sz w:val="14"/>
                <w:szCs w:val="14"/>
              </w:rPr>
              <w:t>2 172 870 025</w:t>
            </w:r>
          </w:p>
        </w:tc>
        <w:tc>
          <w:tcPr>
            <w:tcW w:w="0" w:type="auto"/>
            <w:tcBorders>
              <w:top w:val="nil"/>
              <w:left w:val="nil"/>
              <w:bottom w:val="single" w:sz="4" w:space="0" w:color="auto"/>
              <w:right w:val="single" w:sz="4" w:space="0" w:color="auto"/>
            </w:tcBorders>
            <w:shd w:val="clear" w:color="000000" w:fill="C0C0C0"/>
            <w:textDirection w:val="lrTb"/>
            <w:vAlign w:val="center"/>
            <w:hideMark/>
          </w:tcPr>
          <w:p w:rsidR="009D2A34" w:rsidRPr="00A80A39" w:rsidP="006338E5">
            <w:pPr>
              <w:bidi w:val="0"/>
              <w:jc w:val="right"/>
              <w:rPr>
                <w:rFonts w:ascii="Times New Roman" w:hAnsi="Times New Roman" w:cs="Times New Roman"/>
                <w:b/>
                <w:bCs/>
                <w:color w:val="000000"/>
                <w:sz w:val="14"/>
                <w:szCs w:val="14"/>
              </w:rPr>
            </w:pPr>
            <w:r w:rsidRPr="00A80A39">
              <w:rPr>
                <w:rFonts w:ascii="Times New Roman" w:hAnsi="Times New Roman" w:cs="Times New Roman"/>
                <w:b/>
                <w:bCs/>
                <w:color w:val="000000"/>
                <w:sz w:val="14"/>
                <w:szCs w:val="14"/>
              </w:rPr>
              <w:t>2 014 647 898</w:t>
            </w:r>
          </w:p>
        </w:tc>
        <w:tc>
          <w:tcPr>
            <w:tcW w:w="0" w:type="auto"/>
            <w:tcBorders>
              <w:top w:val="nil"/>
              <w:left w:val="nil"/>
              <w:bottom w:val="single" w:sz="4" w:space="0" w:color="auto"/>
              <w:right w:val="single" w:sz="4" w:space="0" w:color="auto"/>
            </w:tcBorders>
            <w:shd w:val="clear" w:color="000000" w:fill="C0C0C0"/>
            <w:textDirection w:val="lrTb"/>
            <w:vAlign w:val="center"/>
            <w:hideMark/>
          </w:tcPr>
          <w:p w:rsidR="009D2A34" w:rsidRPr="00A80A39" w:rsidP="006338E5">
            <w:pPr>
              <w:bidi w:val="0"/>
              <w:jc w:val="right"/>
              <w:rPr>
                <w:rFonts w:ascii="Times New Roman" w:hAnsi="Times New Roman" w:cs="Times New Roman"/>
                <w:b/>
                <w:bCs/>
                <w:color w:val="000000"/>
                <w:sz w:val="14"/>
                <w:szCs w:val="14"/>
              </w:rPr>
            </w:pPr>
            <w:r w:rsidRPr="00A80A39">
              <w:rPr>
                <w:rFonts w:ascii="Times New Roman" w:hAnsi="Times New Roman" w:cs="Times New Roman"/>
                <w:b/>
                <w:bCs/>
                <w:color w:val="000000"/>
                <w:sz w:val="14"/>
                <w:szCs w:val="14"/>
              </w:rPr>
              <w:t>2 030 471 586</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z toho:</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 </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 </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 </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 xml:space="preserve">rozpočtové zdroje kapitoly (111 +11H) </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1 863 096 416</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1 841 364 984</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1 828 641 577</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1 886 751 742</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b/>
                <w:color w:val="000000"/>
                <w:sz w:val="14"/>
                <w:szCs w:val="14"/>
              </w:rPr>
            </w:pPr>
            <w:r w:rsidRPr="00A80A39">
              <w:rPr>
                <w:rFonts w:ascii="Times New Roman" w:hAnsi="Times New Roman" w:cs="Times New Roman"/>
                <w:b/>
                <w:color w:val="000000"/>
                <w:sz w:val="14"/>
                <w:szCs w:val="14"/>
              </w:rPr>
              <w:t>1 885 793 295</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b/>
                <w:color w:val="000000"/>
                <w:sz w:val="14"/>
                <w:szCs w:val="14"/>
              </w:rPr>
            </w:pPr>
            <w:r w:rsidRPr="00A80A39">
              <w:rPr>
                <w:rFonts w:ascii="Times New Roman" w:hAnsi="Times New Roman" w:cs="Times New Roman"/>
                <w:b/>
                <w:color w:val="000000"/>
                <w:sz w:val="14"/>
                <w:szCs w:val="14"/>
              </w:rPr>
              <w:t>1 915 362 409</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b/>
                <w:color w:val="000000"/>
                <w:sz w:val="14"/>
                <w:szCs w:val="14"/>
              </w:rPr>
            </w:pPr>
            <w:r w:rsidRPr="00A80A39">
              <w:rPr>
                <w:rFonts w:ascii="Times New Roman" w:hAnsi="Times New Roman" w:cs="Times New Roman"/>
                <w:b/>
                <w:color w:val="000000"/>
                <w:sz w:val="14"/>
                <w:szCs w:val="14"/>
              </w:rPr>
              <w:t>1 957 397 899</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  v tom: bežné výdavky 600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1 858 806 760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1 838 847 891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1 825 648 107</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1 883 758 272</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1 882 799 825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1 912 368 939</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1 954 404 429</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                                 610 mzdy</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105 087 038</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97 620 725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96 265 864</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96 157 089</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103 088 861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105 456 785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105 468 786</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                                 620 odvody</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36 462 744</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34 546 790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33 643 524</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33 632 258</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36 025 265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36 852 840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36 857 036</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                                 630 tovary a služby</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56 350 069</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54 186 087</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54 637 256</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53 621 603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55 162 876</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56 498 287</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57 235 641</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                                 640 bežné transfery</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1 660 906 909</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1 652 494 289</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1 641 101 463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1 700 347 323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1 688 522 823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1 713 561 027</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1 754 842 966</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                   kapitálové výdavky 700</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4 289 656</w:t>
            </w:r>
          </w:p>
        </w:tc>
        <w:tc>
          <w:tcPr>
            <w:tcW w:w="0" w:type="auto"/>
            <w:tcBorders>
              <w:top w:val="nil"/>
              <w:left w:val="nil"/>
              <w:bottom w:val="single" w:sz="4" w:space="0" w:color="auto"/>
              <w:right w:val="single" w:sz="4" w:space="0" w:color="auto"/>
            </w:tcBorders>
            <w:noWrap/>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2 517 093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2 993 470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2 993 470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2 993 470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2 993 470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2 993 470</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 xml:space="preserve">zdroje EÚ vrátane spolufinancovania: </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102 628 559</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156 326 932</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168 992 178</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206 621 891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rPr>
            </w:pPr>
            <w:r w:rsidRPr="00A80A39">
              <w:rPr>
                <w:rFonts w:ascii="Times New Roman" w:hAnsi="Times New Roman" w:cs="Times New Roman"/>
                <w:b/>
                <w:color w:val="000000"/>
                <w:sz w:val="14"/>
                <w:szCs w:val="14"/>
              </w:rPr>
              <w:t>287 076 730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rPr>
            </w:pPr>
            <w:r w:rsidRPr="00A80A39">
              <w:rPr>
                <w:rFonts w:ascii="Times New Roman" w:hAnsi="Times New Roman" w:cs="Times New Roman"/>
                <w:b/>
                <w:color w:val="000000"/>
                <w:sz w:val="14"/>
                <w:szCs w:val="14"/>
              </w:rPr>
              <w:t>99 285 489</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rPr>
            </w:pPr>
            <w:r w:rsidRPr="00A80A39">
              <w:rPr>
                <w:rFonts w:ascii="Times New Roman" w:hAnsi="Times New Roman" w:cs="Times New Roman"/>
                <w:b/>
                <w:color w:val="000000"/>
                <w:sz w:val="14"/>
                <w:szCs w:val="14"/>
              </w:rPr>
              <w:t>73 073 687</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771224">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                E</w:t>
            </w:r>
            <w:r w:rsidR="00771224">
              <w:rPr>
                <w:rFonts w:ascii="Times New Roman" w:hAnsi="Times New Roman" w:cs="Times New Roman"/>
                <w:color w:val="000000"/>
                <w:sz w:val="14"/>
                <w:szCs w:val="14"/>
                <w:lang w:eastAsia="sk-SK"/>
              </w:rPr>
              <w:t>Ú</w:t>
            </w:r>
            <w:r w:rsidRPr="00A80A39">
              <w:rPr>
                <w:rFonts w:ascii="Times New Roman" w:hAnsi="Times New Roman" w:cs="Times New Roman"/>
                <w:color w:val="000000"/>
                <w:sz w:val="14"/>
                <w:szCs w:val="14"/>
                <w:lang w:eastAsia="sk-SK"/>
              </w:rPr>
              <w:t xml:space="preserve"> prostriedky</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89 797 505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132 000 509</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143 560 353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173 675 507</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244 160 511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84 528 426</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62 224 792</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                spolufinancovanie zo ŠR</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12 831 054</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24 326 423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25 431 825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32 946 384</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42 916 219</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14 757 063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10 848 895</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presun z minulých rokov §</w:t>
            </w:r>
            <w:r w:rsidR="00771224">
              <w:rPr>
                <w:rFonts w:ascii="Times New Roman" w:hAnsi="Times New Roman" w:cs="Times New Roman"/>
                <w:b/>
                <w:color w:val="000000"/>
                <w:sz w:val="14"/>
                <w:szCs w:val="14"/>
                <w:lang w:eastAsia="sk-SK"/>
              </w:rPr>
              <w:t xml:space="preserve"> </w:t>
            </w:r>
            <w:r w:rsidRPr="00A80A39">
              <w:rPr>
                <w:rFonts w:ascii="Times New Roman" w:hAnsi="Times New Roman" w:cs="Times New Roman"/>
                <w:b/>
                <w:color w:val="000000"/>
                <w:sz w:val="14"/>
                <w:szCs w:val="14"/>
                <w:lang w:eastAsia="sk-SK"/>
              </w:rPr>
              <w:t>8</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57 941 976</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25 369 342</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lang w:eastAsia="sk-SK"/>
              </w:rPr>
            </w:pPr>
            <w:r w:rsidRPr="00A80A39">
              <w:rPr>
                <w:rFonts w:ascii="Times New Roman" w:hAnsi="Times New Roman" w:cs="Times New Roman"/>
                <w:b/>
                <w:color w:val="000000"/>
                <w:sz w:val="14"/>
                <w:szCs w:val="14"/>
                <w:lang w:eastAsia="sk-SK"/>
              </w:rPr>
              <w:t>17 525 133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rPr>
            </w:pPr>
            <w:r w:rsidRPr="00A80A39">
              <w:rPr>
                <w:rFonts w:ascii="Times New Roman" w:hAnsi="Times New Roman" w:cs="Times New Roman"/>
                <w:b/>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rPr>
            </w:pPr>
            <w:r w:rsidRPr="00A80A39">
              <w:rPr>
                <w:rFonts w:ascii="Times New Roman" w:hAnsi="Times New Roman" w:cs="Times New Roman"/>
                <w:b/>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color w:val="000000"/>
                <w:sz w:val="14"/>
                <w:szCs w:val="14"/>
              </w:rPr>
            </w:pPr>
            <w:r w:rsidRPr="00A80A39">
              <w:rPr>
                <w:rFonts w:ascii="Times New Roman" w:hAnsi="Times New Roman" w:cs="Times New Roman"/>
                <w:b/>
                <w:color w:val="000000"/>
                <w:sz w:val="14"/>
                <w:szCs w:val="14"/>
              </w:rPr>
              <w:t>0</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    z toho: štátny rozpočet</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1 099 223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661 541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1 721 756</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0</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00771224">
              <w:rPr>
                <w:rFonts w:ascii="Times New Roman" w:hAnsi="Times New Roman" w:cs="Times New Roman"/>
                <w:color w:val="000000"/>
                <w:sz w:val="14"/>
                <w:szCs w:val="14"/>
                <w:lang w:eastAsia="sk-SK"/>
              </w:rPr>
              <w:t xml:space="preserve">                EÚ</w:t>
            </w:r>
            <w:r w:rsidRPr="00A80A39">
              <w:rPr>
                <w:rFonts w:ascii="Times New Roman" w:hAnsi="Times New Roman" w:cs="Times New Roman"/>
                <w:color w:val="000000"/>
                <w:sz w:val="14"/>
                <w:szCs w:val="14"/>
                <w:lang w:eastAsia="sk-SK"/>
              </w:rPr>
              <w:t xml:space="preserve"> prostriedky</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45 875 411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21 159 578</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13 355 385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0</w:t>
            </w:r>
          </w:p>
        </w:tc>
      </w:tr>
      <w:tr>
        <w:tblPrEx>
          <w:tblW w:w="9356"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noWrap/>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                spolufinancovanie zo ŠR</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10 967 342</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3 548 223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2 447 992</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rPr>
            </w:pPr>
            <w:r w:rsidRPr="00A80A39">
              <w:rPr>
                <w:rFonts w:ascii="Times New Roman" w:hAnsi="Times New Roman" w:cs="Times New Roman"/>
                <w:color w:val="000000"/>
                <w:sz w:val="14"/>
                <w:szCs w:val="14"/>
              </w:rPr>
              <w:t>0</w:t>
            </w:r>
          </w:p>
        </w:tc>
      </w:tr>
    </w:tbl>
    <w:p w:rsidR="009D2A34" w:rsidRPr="00A80A39" w:rsidP="009D2A34">
      <w:pPr>
        <w:bidi w:val="0"/>
        <w:jc w:val="both"/>
        <w:rPr>
          <w:rFonts w:ascii="Times New Roman" w:hAnsi="Times New Roman" w:cs="Times New Roman"/>
        </w:rPr>
      </w:pPr>
    </w:p>
    <w:p w:rsidR="009D2A34" w:rsidRPr="00A80A39" w:rsidP="009D2A34">
      <w:pPr>
        <w:bidi w:val="0"/>
        <w:ind w:firstLine="708"/>
        <w:jc w:val="both"/>
        <w:rPr>
          <w:rFonts w:ascii="Times New Roman" w:hAnsi="Times New Roman" w:cs="Times New Roman"/>
        </w:rPr>
      </w:pPr>
      <w:r w:rsidRPr="00A80A39">
        <w:rPr>
          <w:rFonts w:ascii="Times New Roman" w:hAnsi="Times New Roman" w:cs="Times New Roman"/>
        </w:rPr>
        <w:t>EÚ zdroje vrátane spolufinancovania medziročne rastú o 118 mil. eur, t. j. o 69,9 %, z toho EÚ zdroje o 70,1 % a spolufinancovanie o 68,8 %.</w:t>
      </w:r>
    </w:p>
    <w:p w:rsidR="009D2A34" w:rsidRPr="007E0D85" w:rsidP="009D2A34">
      <w:pPr>
        <w:bidi w:val="0"/>
        <w:jc w:val="both"/>
        <w:rPr>
          <w:rFonts w:ascii="Times New Roman" w:hAnsi="Times New Roman" w:cs="Times New Roman"/>
          <w:highlight w:val="yellow"/>
        </w:rPr>
      </w:pPr>
      <w:r w:rsidRPr="007E0D85">
        <w:rPr>
          <w:rFonts w:ascii="Times New Roman" w:hAnsi="Times New Roman" w:cs="Times New Roman"/>
          <w:highlight w:val="yellow"/>
        </w:rPr>
        <w:t xml:space="preserve"> </w:t>
      </w:r>
    </w:p>
    <w:p w:rsidR="009D2A34" w:rsidRPr="00A80A39" w:rsidP="009D2A34">
      <w:pPr>
        <w:bidi w:val="0"/>
        <w:ind w:firstLine="708"/>
        <w:jc w:val="both"/>
        <w:rPr>
          <w:rFonts w:ascii="Times New Roman" w:hAnsi="Times New Roman" w:cs="Times New Roman"/>
        </w:rPr>
      </w:pPr>
      <w:r w:rsidRPr="00A80A39">
        <w:rPr>
          <w:rFonts w:ascii="Times New Roman" w:hAnsi="Times New Roman" w:cs="Times New Roman"/>
        </w:rPr>
        <w:t xml:space="preserve">Rozpočtové zdroje kapitoly v porovnaní so schváleným rozpočtom 2012 rastú </w:t>
        <w:br/>
        <w:t>o </w:t>
      </w:r>
      <w:r>
        <w:rPr>
          <w:rFonts w:ascii="Times New Roman" w:hAnsi="Times New Roman" w:cs="Times New Roman"/>
        </w:rPr>
        <w:t>57,2</w:t>
      </w:r>
      <w:r w:rsidRPr="00A80A39">
        <w:rPr>
          <w:rFonts w:ascii="Times New Roman" w:hAnsi="Times New Roman" w:cs="Times New Roman"/>
        </w:rPr>
        <w:t xml:space="preserve"> mil. eur, t. j. o</w:t>
      </w:r>
      <w:r>
        <w:rPr>
          <w:rFonts w:ascii="Times New Roman" w:hAnsi="Times New Roman" w:cs="Times New Roman"/>
        </w:rPr>
        <w:t> 3,13</w:t>
      </w:r>
      <w:r w:rsidRPr="00A80A39">
        <w:rPr>
          <w:rFonts w:ascii="Times New Roman" w:hAnsi="Times New Roman" w:cs="Times New Roman"/>
        </w:rPr>
        <w:t xml:space="preserve"> %, pričom celý rast je premietnutý v bežných výdavkoch. </w:t>
      </w:r>
    </w:p>
    <w:p w:rsidR="009D2A34" w:rsidRPr="007E0D85" w:rsidP="009D2A34">
      <w:pPr>
        <w:bidi w:val="0"/>
        <w:ind w:firstLine="708"/>
        <w:jc w:val="both"/>
        <w:rPr>
          <w:rFonts w:ascii="Times New Roman" w:hAnsi="Times New Roman" w:cs="Times New Roman"/>
          <w:highlight w:val="yellow"/>
        </w:rPr>
      </w:pPr>
    </w:p>
    <w:p w:rsidR="009D2A34" w:rsidRPr="00193426" w:rsidP="009D2A34">
      <w:pPr>
        <w:bidi w:val="0"/>
        <w:ind w:firstLine="708"/>
        <w:jc w:val="both"/>
        <w:rPr>
          <w:rFonts w:ascii="Times New Roman" w:hAnsi="Times New Roman" w:cs="Times New Roman"/>
        </w:rPr>
      </w:pPr>
      <w:r w:rsidRPr="00193426">
        <w:rPr>
          <w:rFonts w:ascii="Times New Roman" w:hAnsi="Times New Roman" w:cs="Times New Roman"/>
        </w:rPr>
        <w:t xml:space="preserve">Osobné výdavky medziročne </w:t>
      </w:r>
      <w:r>
        <w:rPr>
          <w:rFonts w:ascii="Times New Roman" w:hAnsi="Times New Roman" w:cs="Times New Roman"/>
        </w:rPr>
        <w:t>rast</w:t>
      </w:r>
      <w:r w:rsidRPr="00193426">
        <w:rPr>
          <w:rFonts w:ascii="Times New Roman" w:hAnsi="Times New Roman" w:cs="Times New Roman"/>
        </w:rPr>
        <w:t>ú o</w:t>
      </w:r>
      <w:r>
        <w:rPr>
          <w:rFonts w:ascii="Times New Roman" w:hAnsi="Times New Roman" w:cs="Times New Roman"/>
        </w:rPr>
        <w:t> 9,20</w:t>
      </w:r>
      <w:r w:rsidRPr="00193426">
        <w:rPr>
          <w:rFonts w:ascii="Times New Roman" w:hAnsi="Times New Roman" w:cs="Times New Roman"/>
        </w:rPr>
        <w:t xml:space="preserve"> mil. eur, t. j. o</w:t>
      </w:r>
      <w:r>
        <w:rPr>
          <w:rFonts w:ascii="Times New Roman" w:hAnsi="Times New Roman" w:cs="Times New Roman"/>
        </w:rPr>
        <w:t> 7,09</w:t>
      </w:r>
      <w:r w:rsidRPr="00193426">
        <w:rPr>
          <w:rFonts w:ascii="Times New Roman" w:hAnsi="Times New Roman" w:cs="Times New Roman"/>
        </w:rPr>
        <w:t xml:space="preserve"> %.  </w:t>
      </w:r>
    </w:p>
    <w:p w:rsidR="009D2A34" w:rsidRPr="007E0D85" w:rsidP="009D2A34">
      <w:pPr>
        <w:bidi w:val="0"/>
        <w:ind w:firstLine="708"/>
        <w:jc w:val="both"/>
        <w:rPr>
          <w:rFonts w:ascii="Times New Roman" w:hAnsi="Times New Roman" w:cs="Times New Roman"/>
          <w:highlight w:val="yellow"/>
        </w:rPr>
      </w:pPr>
    </w:p>
    <w:p w:rsidR="009D2A34" w:rsidRPr="00193426" w:rsidP="009D2A34">
      <w:pPr>
        <w:bidi w:val="0"/>
        <w:ind w:firstLine="708"/>
        <w:jc w:val="both"/>
        <w:rPr>
          <w:rFonts w:ascii="Times New Roman" w:hAnsi="Times New Roman" w:cs="Times New Roman"/>
        </w:rPr>
      </w:pPr>
      <w:r w:rsidRPr="00193426">
        <w:rPr>
          <w:rFonts w:ascii="Times New Roman" w:hAnsi="Times New Roman" w:cs="Times New Roman"/>
        </w:rPr>
        <w:t>Tovary a služby sa rozpočtujú v sume o </w:t>
      </w:r>
      <w:r>
        <w:rPr>
          <w:rFonts w:ascii="Times New Roman" w:hAnsi="Times New Roman" w:cs="Times New Roman"/>
        </w:rPr>
        <w:t>526</w:t>
      </w:r>
      <w:r w:rsidRPr="00193426">
        <w:rPr>
          <w:rFonts w:ascii="Times New Roman" w:hAnsi="Times New Roman" w:cs="Times New Roman"/>
        </w:rPr>
        <w:t xml:space="preserve"> </w:t>
      </w:r>
      <w:r>
        <w:rPr>
          <w:rFonts w:ascii="Times New Roman" w:hAnsi="Times New Roman" w:cs="Times New Roman"/>
        </w:rPr>
        <w:t>tis</w:t>
      </w:r>
      <w:r w:rsidRPr="00193426">
        <w:rPr>
          <w:rFonts w:ascii="Times New Roman" w:hAnsi="Times New Roman" w:cs="Times New Roman"/>
        </w:rPr>
        <w:t xml:space="preserve">. eur </w:t>
      </w:r>
      <w:r>
        <w:rPr>
          <w:rFonts w:ascii="Times New Roman" w:hAnsi="Times New Roman" w:cs="Times New Roman"/>
        </w:rPr>
        <w:t>vyšš</w:t>
      </w:r>
      <w:r w:rsidRPr="00193426">
        <w:rPr>
          <w:rFonts w:ascii="Times New Roman" w:hAnsi="Times New Roman" w:cs="Times New Roman"/>
        </w:rPr>
        <w:t xml:space="preserve">ej v porovnaní so schváleným rozpočtom na rok 2012, </w:t>
      </w:r>
      <w:r>
        <w:rPr>
          <w:rFonts w:ascii="Times New Roman" w:hAnsi="Times New Roman" w:cs="Times New Roman"/>
        </w:rPr>
        <w:t>nárast</w:t>
      </w:r>
      <w:r w:rsidRPr="00193426">
        <w:rPr>
          <w:rFonts w:ascii="Times New Roman" w:hAnsi="Times New Roman" w:cs="Times New Roman"/>
        </w:rPr>
        <w:t xml:space="preserve"> predstavuje </w:t>
      </w:r>
      <w:r>
        <w:rPr>
          <w:rFonts w:ascii="Times New Roman" w:hAnsi="Times New Roman" w:cs="Times New Roman"/>
        </w:rPr>
        <w:t>0,</w:t>
      </w:r>
      <w:r w:rsidRPr="00193426">
        <w:rPr>
          <w:rFonts w:ascii="Times New Roman" w:hAnsi="Times New Roman" w:cs="Times New Roman"/>
        </w:rPr>
        <w:t>9</w:t>
      </w:r>
      <w:r>
        <w:rPr>
          <w:rFonts w:ascii="Times New Roman" w:hAnsi="Times New Roman" w:cs="Times New Roman"/>
        </w:rPr>
        <w:t>6</w:t>
      </w:r>
      <w:r w:rsidRPr="00193426">
        <w:rPr>
          <w:rFonts w:ascii="Times New Roman" w:hAnsi="Times New Roman" w:cs="Times New Roman"/>
        </w:rPr>
        <w:t xml:space="preserve"> %. </w:t>
      </w:r>
    </w:p>
    <w:p w:rsidR="009D2A34" w:rsidRPr="007E0D85" w:rsidP="009D2A34">
      <w:pPr>
        <w:bidi w:val="0"/>
        <w:ind w:firstLine="708"/>
        <w:jc w:val="both"/>
        <w:rPr>
          <w:rFonts w:ascii="Times New Roman" w:hAnsi="Times New Roman" w:cs="Times New Roman"/>
          <w:highlight w:val="yellow"/>
        </w:rPr>
      </w:pPr>
    </w:p>
    <w:p w:rsidR="009D2A34" w:rsidRPr="00193426" w:rsidP="009D2A34">
      <w:pPr>
        <w:bidi w:val="0"/>
        <w:ind w:firstLine="708"/>
        <w:jc w:val="both"/>
        <w:rPr>
          <w:rFonts w:ascii="Times New Roman" w:hAnsi="Times New Roman" w:cs="Times New Roman"/>
        </w:rPr>
      </w:pPr>
      <w:r w:rsidRPr="00193426">
        <w:rPr>
          <w:rFonts w:ascii="Times New Roman" w:hAnsi="Times New Roman" w:cs="Times New Roman"/>
        </w:rPr>
        <w:t>V bežných transferoch je medziročný nárast o</w:t>
      </w:r>
      <w:r>
        <w:rPr>
          <w:rFonts w:ascii="Times New Roman" w:hAnsi="Times New Roman" w:cs="Times New Roman"/>
        </w:rPr>
        <w:t> 47,4</w:t>
      </w:r>
      <w:r w:rsidRPr="00193426">
        <w:rPr>
          <w:rFonts w:ascii="Times New Roman" w:hAnsi="Times New Roman" w:cs="Times New Roman"/>
        </w:rPr>
        <w:t xml:space="preserve"> mil. eur, čo predstavuje nárast o 2,</w:t>
      </w:r>
      <w:r>
        <w:rPr>
          <w:rFonts w:ascii="Times New Roman" w:hAnsi="Times New Roman" w:cs="Times New Roman"/>
        </w:rPr>
        <w:t>89</w:t>
      </w:r>
      <w:r w:rsidR="00771224">
        <w:rPr>
          <w:rFonts w:ascii="Times New Roman" w:hAnsi="Times New Roman" w:cs="Times New Roman"/>
        </w:rPr>
        <w:t xml:space="preserve"> % oproti úrovni schváleného</w:t>
      </w:r>
      <w:r w:rsidRPr="00193426">
        <w:rPr>
          <w:rFonts w:ascii="Times New Roman" w:hAnsi="Times New Roman" w:cs="Times New Roman"/>
        </w:rPr>
        <w:t xml:space="preserve"> rozpočtu na rok 2012 v dôsledku vyšších rozpočtovaných výdavkov na sociálnu inklúziu o 2,</w:t>
      </w:r>
      <w:r>
        <w:rPr>
          <w:rFonts w:ascii="Times New Roman" w:hAnsi="Times New Roman" w:cs="Times New Roman"/>
        </w:rPr>
        <w:t>43</w:t>
      </w:r>
      <w:r w:rsidRPr="00193426">
        <w:rPr>
          <w:rFonts w:ascii="Times New Roman" w:hAnsi="Times New Roman" w:cs="Times New Roman"/>
        </w:rPr>
        <w:t xml:space="preserve"> % oproti roku 2012. </w:t>
      </w:r>
    </w:p>
    <w:p w:rsidR="009D2A34" w:rsidRPr="007E0D85" w:rsidP="009D2A34">
      <w:pPr>
        <w:bidi w:val="0"/>
        <w:ind w:firstLine="708"/>
        <w:jc w:val="both"/>
        <w:rPr>
          <w:rFonts w:ascii="Times New Roman" w:hAnsi="Times New Roman" w:cs="Times New Roman"/>
          <w:highlight w:val="yellow"/>
        </w:rPr>
      </w:pPr>
    </w:p>
    <w:p w:rsidR="009D2A34" w:rsidRPr="00193426" w:rsidP="009D2A34">
      <w:pPr>
        <w:bidi w:val="0"/>
        <w:ind w:firstLine="708"/>
        <w:jc w:val="both"/>
        <w:rPr>
          <w:rFonts w:ascii="Times New Roman" w:hAnsi="Times New Roman" w:cs="Times New Roman"/>
        </w:rPr>
      </w:pPr>
      <w:r w:rsidRPr="00193426">
        <w:rPr>
          <w:rFonts w:ascii="Times New Roman" w:hAnsi="Times New Roman" w:cs="Times New Roman"/>
        </w:rPr>
        <w:t xml:space="preserve">Kapitálové výdavky sa rozpočtujú na úrovni schváleného rozpočtu roku 2012. </w:t>
      </w:r>
    </w:p>
    <w:p w:rsidR="009D2A34" w:rsidRPr="007E0D85" w:rsidP="009D2A34">
      <w:pPr>
        <w:bidi w:val="0"/>
        <w:rPr>
          <w:rFonts w:ascii="Times New Roman" w:hAnsi="Times New Roman" w:cs="Times New Roman"/>
          <w:highlight w:val="yellow"/>
          <w:lang w:eastAsia="sk-SK"/>
        </w:rPr>
      </w:pPr>
    </w:p>
    <w:p w:rsidR="009D2A34" w:rsidRPr="00B37238" w:rsidP="009D2A34">
      <w:pPr>
        <w:bidi w:val="0"/>
        <w:rPr>
          <w:rFonts w:ascii="Times New Roman" w:hAnsi="Times New Roman" w:cs="Times New Roman"/>
          <w:lang w:eastAsia="sk-SK"/>
        </w:rPr>
      </w:pPr>
      <w:r w:rsidRPr="00B37238">
        <w:rPr>
          <w:rFonts w:ascii="Times New Roman" w:hAnsi="Times New Roman" w:cs="Times New Roman"/>
          <w:lang w:eastAsia="sk-SK"/>
        </w:rPr>
        <w:tab/>
        <w:t>Výdavky kapitoly MPSVR SR sú smerované do nasledovných oblastí:</w:t>
        <w:tab/>
      </w:r>
    </w:p>
    <w:p w:rsidR="009D2A34" w:rsidRPr="007E0D85" w:rsidP="009D2A34">
      <w:pPr>
        <w:bidi w:val="0"/>
        <w:rPr>
          <w:rFonts w:ascii="Times New Roman" w:hAnsi="Times New Roman" w:cs="Times New Roman"/>
          <w:highlight w:val="yellow"/>
          <w:lang w:eastAsia="sk-SK"/>
        </w:rPr>
      </w:pPr>
    </w:p>
    <w:tbl>
      <w:tblPr>
        <w:tblStyle w:val="TableNormal"/>
        <w:tblW w:w="9072" w:type="dxa"/>
        <w:tblCellMar>
          <w:left w:w="70" w:type="dxa"/>
          <w:right w:w="70" w:type="dxa"/>
        </w:tblCellMar>
        <w:tblLook w:val="04A0"/>
      </w:tblPr>
      <w:tblGrid>
        <w:gridCol w:w="1857"/>
        <w:gridCol w:w="1030"/>
        <w:gridCol w:w="1030"/>
        <w:gridCol w:w="1031"/>
        <w:gridCol w:w="1031"/>
        <w:gridCol w:w="1031"/>
        <w:gridCol w:w="1031"/>
        <w:gridCol w:w="1031"/>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B37238" w:rsidP="006338E5">
            <w:pPr>
              <w:bidi w:val="0"/>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2010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2012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2012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771224">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 xml:space="preserve">2013 </w:t>
            </w:r>
            <w:r w:rsidR="00771224">
              <w:rPr>
                <w:rFonts w:ascii="Times New Roman" w:hAnsi="Times New Roman" w:cs="Times New Roman"/>
                <w:b/>
                <w:bCs/>
                <w:color w:val="000000"/>
                <w:sz w:val="14"/>
                <w:szCs w:val="14"/>
                <w:lang w:eastAsia="sk-SK"/>
              </w:rPr>
              <w:t>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2015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BFBFBF"/>
            <w:textDirection w:val="lrTb"/>
            <w:vAlign w:val="center"/>
            <w:hideMark/>
          </w:tcPr>
          <w:p w:rsidR="009D2A34" w:rsidRPr="00B37238" w:rsidP="006338E5">
            <w:pPr>
              <w:bidi w:val="0"/>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Zdroje príslušnej kapitoly</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2 023 666 951</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2 023 061 258</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1 997 633 755</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2 111 269 796</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2 172 870 025</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2 014 647 898</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2 030 471 586</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Sociálna inklúzia</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1 636 553 729</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1 659 111 373</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1 717 637 107</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1 738 032 050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1 765 548 960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1 809 369 177</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1 866 674 717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Politika zamestnanosti</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235 521 489</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215 705 963</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144 371 882</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231 997 300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264 973 110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60 827 669</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18 810 596</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 xml:space="preserve">Inštitucionálna podpora </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151 591 733</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148 243 922</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135 624 766</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141 240 446</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142 347 955</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144 451 052</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144 986 273</w:t>
            </w:r>
          </w:p>
        </w:tc>
      </w:tr>
    </w:tbl>
    <w:p w:rsidR="009D2A34" w:rsidRPr="007E0D85" w:rsidP="009D2A34">
      <w:pPr>
        <w:bidi w:val="0"/>
        <w:jc w:val="both"/>
        <w:rPr>
          <w:rFonts w:ascii="Times New Roman" w:hAnsi="Times New Roman" w:cs="Times New Roman"/>
          <w:b/>
          <w:bCs/>
          <w:highlight w:val="yellow"/>
          <w:lang w:eastAsia="sk-SK"/>
        </w:rPr>
      </w:pPr>
    </w:p>
    <w:p w:rsidR="009D2A34" w:rsidRPr="007E0D85" w:rsidP="009D2A34">
      <w:pPr>
        <w:bidi w:val="0"/>
        <w:jc w:val="both"/>
        <w:rPr>
          <w:rFonts w:ascii="Times New Roman" w:hAnsi="Times New Roman" w:cs="Times New Roman"/>
          <w:b/>
          <w:bCs/>
          <w:highlight w:val="yellow"/>
          <w:lang w:eastAsia="sk-SK"/>
        </w:rPr>
      </w:pPr>
    </w:p>
    <w:p w:rsidR="009D2A34" w:rsidRPr="007E0D85" w:rsidP="009D2A34">
      <w:pPr>
        <w:bidi w:val="0"/>
        <w:jc w:val="both"/>
        <w:rPr>
          <w:rFonts w:ascii="Times New Roman" w:hAnsi="Times New Roman" w:cs="Times New Roman"/>
          <w:b/>
          <w:bCs/>
          <w:highlight w:val="yellow"/>
          <w:lang w:eastAsia="sk-SK"/>
        </w:rPr>
      </w:pPr>
    </w:p>
    <w:p w:rsidR="009D2A34" w:rsidRPr="00B37238" w:rsidP="009D2A34">
      <w:pPr>
        <w:bidi w:val="0"/>
        <w:jc w:val="both"/>
        <w:rPr>
          <w:rFonts w:ascii="Times New Roman" w:hAnsi="Times New Roman" w:cs="Times New Roman"/>
          <w:b/>
          <w:bCs/>
          <w:lang w:eastAsia="sk-SK"/>
        </w:rPr>
      </w:pPr>
      <w:r w:rsidRPr="00B37238">
        <w:rPr>
          <w:rFonts w:ascii="Times New Roman" w:hAnsi="Times New Roman" w:cs="Times New Roman"/>
          <w:b/>
          <w:bCs/>
          <w:lang w:eastAsia="sk-SK"/>
        </w:rPr>
        <w:t>Sociálna inklúzia</w:t>
      </w:r>
    </w:p>
    <w:p w:rsidR="009D2A34" w:rsidRPr="007E0D85" w:rsidP="009D2A34">
      <w:pPr>
        <w:bidi w:val="0"/>
        <w:jc w:val="both"/>
        <w:rPr>
          <w:rFonts w:ascii="Times New Roman" w:hAnsi="Times New Roman" w:cs="Times New Roman"/>
          <w:highlight w:val="yellow"/>
          <w:lang w:eastAsia="sk-SK"/>
        </w:rPr>
      </w:pPr>
    </w:p>
    <w:tbl>
      <w:tblPr>
        <w:tblStyle w:val="TableNormal"/>
        <w:tblW w:w="9072" w:type="dxa"/>
        <w:tblCellMar>
          <w:left w:w="70" w:type="dxa"/>
          <w:right w:w="70" w:type="dxa"/>
        </w:tblCellMar>
        <w:tblLook w:val="04A0"/>
      </w:tblPr>
      <w:tblGrid>
        <w:gridCol w:w="2427"/>
        <w:gridCol w:w="950"/>
        <w:gridCol w:w="950"/>
        <w:gridCol w:w="949"/>
        <w:gridCol w:w="949"/>
        <w:gridCol w:w="949"/>
        <w:gridCol w:w="949"/>
        <w:gridCol w:w="949"/>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B37238" w:rsidP="006338E5">
            <w:pPr>
              <w:bidi w:val="0"/>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2010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2012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2012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771224">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 xml:space="preserve">2013 </w:t>
            </w:r>
            <w:r w:rsidR="00771224">
              <w:rPr>
                <w:rFonts w:ascii="Times New Roman" w:hAnsi="Times New Roman" w:cs="Times New Roman"/>
                <w:b/>
                <w:bCs/>
                <w:color w:val="000000"/>
                <w:sz w:val="14"/>
                <w:szCs w:val="14"/>
                <w:lang w:eastAsia="sk-SK"/>
              </w:rPr>
              <w:t>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B37238" w:rsidP="006338E5">
            <w:pPr>
              <w:bidi w:val="0"/>
              <w:jc w:val="center"/>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2015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BFBFBF"/>
            <w:textDirection w:val="lrTb"/>
            <w:vAlign w:val="center"/>
            <w:hideMark/>
          </w:tcPr>
          <w:p w:rsidR="009D2A34" w:rsidRPr="00B37238" w:rsidP="006338E5">
            <w:pPr>
              <w:bidi w:val="0"/>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Sociálna inklúzia zdroje spolu</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1 636 553 729</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1 659 111 373</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1 717 637 107</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1 738 032 050</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1 765 548 960</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1 809 369 177</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1 866 674 717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EÚ zdroje + spolufinancovanie</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4 899 929</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12 055 156</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33 369 014</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33 369 014</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39 321 183</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44 429 169</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59 887 904</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prevod z minulých rokov (zdroj 13)</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12 891 020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2 680 798</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2 117 781</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Sociálna inklúzia (zdroj 111), v tom:</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1 618 762 781</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1 644 375 419</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1 684 268 093</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lang w:eastAsia="sk-SK"/>
              </w:rPr>
            </w:pPr>
            <w:r w:rsidRPr="00B37238">
              <w:rPr>
                <w:rFonts w:ascii="Times New Roman" w:hAnsi="Times New Roman" w:cs="Times New Roman"/>
                <w:b/>
                <w:bCs/>
                <w:color w:val="000000"/>
                <w:sz w:val="14"/>
                <w:szCs w:val="14"/>
                <w:lang w:eastAsia="sk-SK"/>
              </w:rPr>
              <w:t>1 702 545 255</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1 726 227 777</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1 764 940 008</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b/>
                <w:bCs/>
                <w:color w:val="000000"/>
                <w:sz w:val="14"/>
                <w:szCs w:val="14"/>
              </w:rPr>
            </w:pPr>
            <w:r w:rsidRPr="00B37238">
              <w:rPr>
                <w:rFonts w:ascii="Times New Roman" w:hAnsi="Times New Roman" w:cs="Times New Roman"/>
                <w:b/>
                <w:bCs/>
                <w:color w:val="000000"/>
                <w:sz w:val="14"/>
                <w:szCs w:val="14"/>
              </w:rPr>
              <w:t>1 806 786 813</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pomoc v hmotnej núdzi</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300 888 171</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294 520 320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301 994 504</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301 994 504</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299 919 845</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298 774 422</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295 777 170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 xml:space="preserve">podpora rodiny </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703 966 700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716 916 948</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728 291 978</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708 291 978</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728 079 357</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746 316 903</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768 264 649</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poistné platené štátom</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221 083 980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237 167 695</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240 814 585</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240 814 585</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262 030 392</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269 871 420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280 480 512</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kompenzácia sociálnych dôsledkov ŤZP</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207 062 411</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210 924 473</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222 737 289</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222 737 289</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236 589 800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245 933 800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253 284 701</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iniciatívy v oblasti sociálnej inklúzie</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5 057 869</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3 242 152</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4 077 495</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4 077 495</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3 263 706</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4 054 726</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4 282 842</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starostlivosť o ohrozené deti</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72 373 496</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73 425 833</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75 921 725</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75 921 725</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81 624 067</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82 473 042</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83 724 858</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nil"/>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nesystémové dávky sociálneho poistenia</w:t>
            </w:r>
          </w:p>
        </w:tc>
        <w:tc>
          <w:tcPr>
            <w:tcW w:w="0" w:type="auto"/>
            <w:tcBorders>
              <w:top w:val="nil"/>
              <w:left w:val="nil"/>
              <w:bottom w:val="nil"/>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43 488 266</w:t>
            </w:r>
          </w:p>
        </w:tc>
        <w:tc>
          <w:tcPr>
            <w:tcW w:w="0" w:type="auto"/>
            <w:tcBorders>
              <w:top w:val="nil"/>
              <w:left w:val="nil"/>
              <w:bottom w:val="nil"/>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44 800 000</w:t>
            </w:r>
          </w:p>
        </w:tc>
        <w:tc>
          <w:tcPr>
            <w:tcW w:w="0" w:type="auto"/>
            <w:tcBorders>
              <w:top w:val="nil"/>
              <w:left w:val="nil"/>
              <w:bottom w:val="nil"/>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45 430 517</w:t>
            </w:r>
          </w:p>
        </w:tc>
        <w:tc>
          <w:tcPr>
            <w:tcW w:w="0" w:type="auto"/>
            <w:tcBorders>
              <w:top w:val="nil"/>
              <w:left w:val="nil"/>
              <w:bottom w:val="nil"/>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45 430 517</w:t>
            </w:r>
          </w:p>
        </w:tc>
        <w:tc>
          <w:tcPr>
            <w:tcW w:w="0" w:type="auto"/>
            <w:tcBorders>
              <w:top w:val="nil"/>
              <w:left w:val="nil"/>
              <w:bottom w:val="nil"/>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49 720 610</w:t>
            </w:r>
          </w:p>
        </w:tc>
        <w:tc>
          <w:tcPr>
            <w:tcW w:w="0" w:type="auto"/>
            <w:tcBorders>
              <w:top w:val="nil"/>
              <w:left w:val="nil"/>
              <w:bottom w:val="nil"/>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52 515 695</w:t>
            </w:r>
          </w:p>
        </w:tc>
        <w:tc>
          <w:tcPr>
            <w:tcW w:w="0" w:type="auto"/>
            <w:tcBorders>
              <w:top w:val="nil"/>
              <w:left w:val="nil"/>
              <w:bottom w:val="nil"/>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55 972 081</w:t>
            </w:r>
          </w:p>
        </w:tc>
      </w:tr>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vianočný príspevok</w:t>
            </w:r>
          </w:p>
        </w:tc>
        <w:tc>
          <w:tcPr>
            <w:tcW w:w="0" w:type="auto"/>
            <w:tcBorders>
              <w:top w:val="single" w:sz="4" w:space="0" w:color="auto"/>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64 841 888</w:t>
            </w:r>
          </w:p>
        </w:tc>
        <w:tc>
          <w:tcPr>
            <w:tcW w:w="0" w:type="auto"/>
            <w:tcBorders>
              <w:top w:val="single" w:sz="4" w:space="0" w:color="auto"/>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63 378 000</w:t>
            </w:r>
          </w:p>
        </w:tc>
        <w:tc>
          <w:tcPr>
            <w:tcW w:w="0" w:type="auto"/>
            <w:tcBorders>
              <w:top w:val="single" w:sz="4" w:space="0" w:color="auto"/>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65 000 000</w:t>
            </w:r>
          </w:p>
        </w:tc>
        <w:tc>
          <w:tcPr>
            <w:tcW w:w="0" w:type="auto"/>
            <w:tcBorders>
              <w:top w:val="single" w:sz="4" w:space="0" w:color="auto"/>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65 000 000</w:t>
            </w:r>
          </w:p>
        </w:tc>
        <w:tc>
          <w:tcPr>
            <w:tcW w:w="0" w:type="auto"/>
            <w:tcBorders>
              <w:top w:val="single" w:sz="4" w:space="0" w:color="auto"/>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65 000 000</w:t>
            </w:r>
          </w:p>
        </w:tc>
        <w:tc>
          <w:tcPr>
            <w:tcW w:w="0" w:type="auto"/>
            <w:tcBorders>
              <w:top w:val="single" w:sz="4" w:space="0" w:color="auto"/>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65 000 000</w:t>
            </w:r>
          </w:p>
        </w:tc>
        <w:tc>
          <w:tcPr>
            <w:tcW w:w="0" w:type="auto"/>
            <w:tcBorders>
              <w:top w:val="single" w:sz="4" w:space="0" w:color="auto"/>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65 000 000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B37238" w:rsidP="006338E5">
            <w:pPr>
              <w:bidi w:val="0"/>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podpora sociálnych služieb</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lang w:eastAsia="sk-SK"/>
              </w:rPr>
            </w:pPr>
            <w:r w:rsidRPr="00B37238">
              <w:rPr>
                <w:rFonts w:ascii="Times New Roman" w:hAnsi="Times New Roman" w:cs="Times New Roman"/>
                <w:color w:val="000000"/>
                <w:sz w:val="14"/>
                <w:szCs w:val="14"/>
                <w:lang w:eastAsia="sk-SK"/>
              </w:rPr>
              <w:t>38 277 162</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B37238" w:rsidP="006338E5">
            <w:pPr>
              <w:bidi w:val="0"/>
              <w:jc w:val="right"/>
              <w:rPr>
                <w:rFonts w:ascii="Times New Roman" w:hAnsi="Times New Roman" w:cs="Times New Roman"/>
                <w:color w:val="000000"/>
                <w:sz w:val="14"/>
                <w:szCs w:val="14"/>
              </w:rPr>
            </w:pPr>
            <w:r w:rsidRPr="00B37238">
              <w:rPr>
                <w:rFonts w:ascii="Times New Roman" w:hAnsi="Times New Roman" w:cs="Times New Roman"/>
                <w:color w:val="000000"/>
                <w:sz w:val="14"/>
                <w:szCs w:val="14"/>
              </w:rPr>
              <w:t>0</w:t>
            </w:r>
          </w:p>
        </w:tc>
      </w:tr>
    </w:tbl>
    <w:p w:rsidR="009D2A34" w:rsidRPr="00B37238" w:rsidP="009D2A34">
      <w:pPr>
        <w:bidi w:val="0"/>
        <w:jc w:val="both"/>
        <w:rPr>
          <w:rFonts w:ascii="Times New Roman" w:hAnsi="Times New Roman" w:cs="Times New Roman"/>
          <w:lang w:eastAsia="sk-SK"/>
        </w:rPr>
      </w:pPr>
      <w:r w:rsidRPr="00B37238">
        <w:rPr>
          <w:rFonts w:ascii="Times New Roman" w:hAnsi="Times New Roman" w:cs="Times New Roman"/>
          <w:b/>
          <w:bCs/>
          <w:lang w:eastAsia="sk-SK"/>
        </w:rPr>
        <w:t> </w:t>
      </w: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V roku 201</w:t>
      </w:r>
      <w:r w:rsidR="00E77398">
        <w:rPr>
          <w:rFonts w:ascii="Times New Roman" w:hAnsi="Times New Roman" w:cs="Times New Roman"/>
          <w:lang w:eastAsia="sk-SK"/>
        </w:rPr>
        <w:t>3</w:t>
      </w:r>
      <w:r w:rsidRPr="00A80A39">
        <w:rPr>
          <w:rFonts w:ascii="Times New Roman" w:hAnsi="Times New Roman" w:cs="Times New Roman"/>
          <w:lang w:eastAsia="sk-SK"/>
        </w:rPr>
        <w:t xml:space="preserve"> sa v rámci výdavkov na sociálnu inklúziu budú financovať všetky uplatňované dávky, príspevky v hmotnej núdzi a dotačné programy pre deti z nízkopríjmových skupín, dávky na podporu rodiny (prídavok na dieťa, rodičovský príspevok), peňažné príspevky na kompenzáciu ťažkého zdravotného postihnutia, vianočný príspevok dôchodcom a ďalšie dávky sociálnej pomoci a podpory.</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lang w:eastAsia="sk-SK"/>
        </w:rPr>
        <w:t> </w:t>
      </w: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Rozpočtovaný objem výdavkov zohľadňuje očakávanú skutočnosť na rok 2012 ako aj prognózované makroekonomické ukazovatele.</w:t>
      </w:r>
    </w:p>
    <w:p w:rsidR="009D2A34" w:rsidRPr="007E0D85" w:rsidP="009D2A34">
      <w:pPr>
        <w:bidi w:val="0"/>
        <w:ind w:firstLine="708"/>
        <w:jc w:val="both"/>
        <w:rPr>
          <w:rFonts w:ascii="Times New Roman" w:hAnsi="Times New Roman" w:cs="Times New Roman"/>
          <w:highlight w:val="yellow"/>
          <w:lang w:eastAsia="sk-SK"/>
        </w:rPr>
      </w:pP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 xml:space="preserve">Rozpočtovaný objem umožňuje úpravu povinne valorizovaných dávok v zákonnej výške na rok 2013 o index, ktorým sa k 1. júlu 2012 upravili sumy životného minima, t. j. o 2,5 %, na roky 2014 a 2015 sa uvažuje s koeficientom vo výške 2,5 %. </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lang w:eastAsia="sk-SK"/>
        </w:rPr>
        <w:t> </w:t>
      </w:r>
    </w:p>
    <w:p w:rsidR="009D2A34" w:rsidRPr="00B37238" w:rsidP="009D2A34">
      <w:pPr>
        <w:bidi w:val="0"/>
        <w:ind w:firstLine="708"/>
        <w:jc w:val="both"/>
        <w:rPr>
          <w:rFonts w:ascii="Times New Roman" w:hAnsi="Times New Roman" w:cs="Times New Roman"/>
          <w:lang w:eastAsia="sk-SK"/>
        </w:rPr>
      </w:pPr>
      <w:r w:rsidRPr="00B37238">
        <w:rPr>
          <w:rFonts w:ascii="Times New Roman" w:hAnsi="Times New Roman" w:cs="Times New Roman"/>
          <w:lang w:eastAsia="sk-SK"/>
        </w:rPr>
        <w:t xml:space="preserve">Na rok 2013 sa </w:t>
      </w:r>
      <w:r w:rsidRPr="00B37238">
        <w:rPr>
          <w:rFonts w:ascii="Times New Roman" w:hAnsi="Times New Roman" w:cs="Times New Roman"/>
          <w:color w:val="000000"/>
          <w:lang w:eastAsia="sk-SK"/>
        </w:rPr>
        <w:t xml:space="preserve">zo štátneho rozpočtu pre oblasť sociálnej inklúzie </w:t>
      </w:r>
      <w:r w:rsidRPr="00B37238">
        <w:rPr>
          <w:rFonts w:ascii="Times New Roman" w:hAnsi="Times New Roman" w:cs="Times New Roman"/>
          <w:lang w:eastAsia="sk-SK"/>
        </w:rPr>
        <w:t>rozpočtuje celkovo suma 1,7</w:t>
      </w:r>
      <w:r>
        <w:rPr>
          <w:rFonts w:ascii="Times New Roman" w:hAnsi="Times New Roman" w:cs="Times New Roman"/>
          <w:lang w:eastAsia="sk-SK"/>
        </w:rPr>
        <w:t>3</w:t>
      </w:r>
      <w:r w:rsidRPr="00B37238">
        <w:rPr>
          <w:rFonts w:ascii="Times New Roman" w:hAnsi="Times New Roman" w:cs="Times New Roman"/>
          <w:lang w:eastAsia="sk-SK"/>
        </w:rPr>
        <w:t xml:space="preserve"> mld. </w:t>
      </w:r>
      <w:r w:rsidRPr="00B37238">
        <w:rPr>
          <w:rFonts w:ascii="Times New Roman" w:hAnsi="Times New Roman" w:cs="Times New Roman"/>
          <w:color w:val="000000"/>
          <w:lang w:eastAsia="sk-SK"/>
        </w:rPr>
        <w:t>eur, čo oproti úrovni schváleného rozpočtu na rok 2012 predstavuje nárast o 2,</w:t>
      </w:r>
      <w:r>
        <w:rPr>
          <w:rFonts w:ascii="Times New Roman" w:hAnsi="Times New Roman" w:cs="Times New Roman"/>
          <w:color w:val="000000"/>
          <w:lang w:eastAsia="sk-SK"/>
        </w:rPr>
        <w:t>49</w:t>
      </w:r>
      <w:r w:rsidRPr="00B37238">
        <w:rPr>
          <w:rFonts w:ascii="Times New Roman" w:hAnsi="Times New Roman" w:cs="Times New Roman"/>
          <w:color w:val="000000"/>
          <w:lang w:eastAsia="sk-SK"/>
        </w:rPr>
        <w:t xml:space="preserve"> %. </w:t>
      </w:r>
    </w:p>
    <w:p w:rsidR="009D2A34" w:rsidRPr="007E0D85" w:rsidP="009D2A34">
      <w:pPr>
        <w:bidi w:val="0"/>
        <w:jc w:val="both"/>
        <w:rPr>
          <w:rFonts w:ascii="Times New Roman" w:hAnsi="Times New Roman" w:cs="Times New Roman"/>
          <w:highlight w:val="yellow"/>
          <w:lang w:eastAsia="sk-SK"/>
        </w:rPr>
      </w:pPr>
    </w:p>
    <w:tbl>
      <w:tblPr>
        <w:tblStyle w:val="TableNormal"/>
        <w:tblW w:w="9072" w:type="dxa"/>
        <w:tblCellMar>
          <w:left w:w="70" w:type="dxa"/>
          <w:right w:w="70" w:type="dxa"/>
        </w:tblCellMar>
        <w:tblLook w:val="04A0"/>
      </w:tblPr>
      <w:tblGrid>
        <w:gridCol w:w="2786"/>
        <w:gridCol w:w="898"/>
        <w:gridCol w:w="898"/>
        <w:gridCol w:w="898"/>
        <w:gridCol w:w="898"/>
        <w:gridCol w:w="898"/>
        <w:gridCol w:w="898"/>
        <w:gridCol w:w="898"/>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A80A39" w:rsidP="006338E5">
            <w:pPr>
              <w:bidi w:val="0"/>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2010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2012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2012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771224">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 xml:space="preserve">2013 </w:t>
            </w:r>
            <w:r w:rsidR="00771224">
              <w:rPr>
                <w:rFonts w:ascii="Times New Roman" w:hAnsi="Times New Roman" w:cs="Times New Roman"/>
                <w:b/>
                <w:bCs/>
                <w:color w:val="000000"/>
                <w:sz w:val="14"/>
                <w:szCs w:val="14"/>
                <w:lang w:eastAsia="sk-SK"/>
              </w:rPr>
              <w:t>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2015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BFBFBF"/>
            <w:textDirection w:val="lrTb"/>
            <w:vAlign w:val="center"/>
            <w:hideMark/>
          </w:tcPr>
          <w:p w:rsidR="009D2A34" w:rsidRPr="00A80A39" w:rsidP="006338E5">
            <w:pPr>
              <w:bidi w:val="0"/>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Pomoc v hmotnej núdzi</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300 888 171</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294 520 320</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301 994 504</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301 994 504</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299 919 845</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298 774 422</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295 777 170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Dávka v hmotnej núdzi</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280 535 047</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271 806 620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275 984 962</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275 982 322</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273 841 000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272 245 000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268 925 000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Dotácia na výkon osobitného príjemcu</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124 025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130 140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124 200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127 840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123 600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128 200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133 000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Dotácia na stravu pre dieťa v hmotnej núdzi</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10 918 833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12 289 986</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14 920 871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14 920 854</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13 940 000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13 924 600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13 890 800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Dotácia na školské potreby pre dieťa v HN</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2 708 585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2 753 113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2 805 000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2 804 017</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2 787 300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2 784 000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2 781 700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Náhradné výživné</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6 601 681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7 540 461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8 159 471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8 159 471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9 227 945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9 692 622</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10 046 670</w:t>
            </w:r>
          </w:p>
        </w:tc>
      </w:tr>
    </w:tbl>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color w:val="000000"/>
          <w:lang w:eastAsia="sk-SK"/>
        </w:rPr>
        <w:t> </w:t>
      </w:r>
      <w:r w:rsidRPr="00A80A39">
        <w:rPr>
          <w:rFonts w:ascii="Times New Roman" w:hAnsi="Times New Roman" w:cs="Times New Roman"/>
          <w:lang w:eastAsia="sk-SK"/>
        </w:rPr>
        <w:t xml:space="preserve">              </w:t>
      </w: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 xml:space="preserve">Na program pomoci v hmotnej núdzi sa v roku 2013 rozpočtuje 300 mil. eur, čo v porovnaní s očakávanou skutočnosťou na rok 2012 predstavuje pokles o 2,07 mil. eur. </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color w:val="000000"/>
          <w:lang w:eastAsia="sk-SK"/>
        </w:rPr>
        <w:t> </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color w:val="000000"/>
          <w:lang w:eastAsia="sk-SK"/>
        </w:rPr>
        <w:t> </w:t>
      </w:r>
      <w:r w:rsidRPr="00A80A39">
        <w:rPr>
          <w:rFonts w:ascii="Times New Roman" w:hAnsi="Times New Roman" w:cs="Times New Roman"/>
          <w:lang w:eastAsia="sk-SK"/>
        </w:rPr>
        <w:t> </w:t>
        <w:tab/>
        <w:t xml:space="preserve">V roku 2013 sa na dávku v hmotnej núdzi rozpočtuje suma 273 mil. eur, čo predstavuje  medziročné  zníženie oproti očakávanej skutočnosti o 2,14 mil. eur, zohľadňuje sa predpokladaný počet poberateľov. </w:t>
      </w:r>
    </w:p>
    <w:p w:rsidR="009D2A34" w:rsidRPr="007E0D85" w:rsidP="009D2A34">
      <w:pPr>
        <w:bidi w:val="0"/>
        <w:jc w:val="both"/>
        <w:rPr>
          <w:rFonts w:ascii="Times New Roman" w:hAnsi="Times New Roman" w:cs="Times New Roman"/>
          <w:highlight w:val="yellow"/>
          <w:lang w:eastAsia="sk-SK"/>
        </w:rPr>
      </w:pP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Výdavky na dotácie pre deti reagujú na zmenu v štruktúre poberateľov, v systéme poberateľov dávok v hmotnej núdzi pribúdajú rodiny s deťmi na úkor jednotlivcov, resp. bezdetných dvojíc.</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lang w:eastAsia="sk-SK"/>
        </w:rPr>
        <w:t> </w:t>
        <w:tab/>
        <w:t>Rast výdavkov v oblasti náhradného výživného je ovplyvnený skutočnosťou, že z dôvodu straty zamestnania pribúda počet osôb, ktoré nie sú schopné plniť si zákonom stanovenú povinnosť. Pri náhradnom výživnom je zohľadnený koeficient nárastu životného minima  a je zohľadnený doterajší vývoj v čerpaní v roku 2012.</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lang w:eastAsia="sk-SK"/>
        </w:rPr>
        <w:t> </w:t>
      </w:r>
    </w:p>
    <w:tbl>
      <w:tblPr>
        <w:tblStyle w:val="TableNormal"/>
        <w:tblW w:w="9072" w:type="dxa"/>
        <w:tblCellMar>
          <w:left w:w="70" w:type="dxa"/>
          <w:right w:w="70" w:type="dxa"/>
        </w:tblCellMar>
        <w:tblLook w:val="04A0"/>
      </w:tblPr>
      <w:tblGrid>
        <w:gridCol w:w="2597"/>
        <w:gridCol w:w="925"/>
        <w:gridCol w:w="925"/>
        <w:gridCol w:w="925"/>
        <w:gridCol w:w="925"/>
        <w:gridCol w:w="925"/>
        <w:gridCol w:w="925"/>
        <w:gridCol w:w="925"/>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A80A39" w:rsidP="006338E5">
            <w:pPr>
              <w:bidi w:val="0"/>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2010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2012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2012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771224">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 xml:space="preserve">2013 </w:t>
            </w:r>
            <w:r w:rsidR="00771224">
              <w:rPr>
                <w:rFonts w:ascii="Times New Roman" w:hAnsi="Times New Roman" w:cs="Times New Roman"/>
                <w:b/>
                <w:bCs/>
                <w:color w:val="000000"/>
                <w:sz w:val="14"/>
                <w:szCs w:val="14"/>
                <w:lang w:eastAsia="sk-SK"/>
              </w:rPr>
              <w:t>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2015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Podpora rodiny zo štátneho rozpočtu</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703 966 700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716 916 948</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728 291 978</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708 291 978</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728 079 357</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746 316 903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768 264 649</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Prídavok na dieťa </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319 095 259</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315 062 495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320 232 793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320 193 671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320 444 325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324 531 268</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329 652 265</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 xml:space="preserve">Rodičovský príspevok </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334 484 755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352 235 204</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356 800 000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336 765 144</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354 517 142</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368 146 268</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384 850 000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Ostatné príspevky na podporu rodiny</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48 051 293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48 497 112</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49 622 577</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49 620 577</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50 821 919</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50 752 962</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50 834 411</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Príspevok na starostlivosť o dieťa</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2 335 393</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1 122 137</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1 636 608</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1 712 585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2 295 971</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2 886 405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2 927 973</w:t>
            </w:r>
          </w:p>
        </w:tc>
      </w:tr>
    </w:tbl>
    <w:p w:rsidR="009D2A34" w:rsidRPr="00A80A39" w:rsidP="009D2A34">
      <w:pPr>
        <w:bidi w:val="0"/>
        <w:jc w:val="both"/>
        <w:rPr>
          <w:rFonts w:ascii="Times New Roman" w:hAnsi="Times New Roman" w:cs="Times New Roman"/>
          <w:lang w:eastAsia="sk-SK"/>
        </w:rPr>
      </w:pP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Celková podpora rodiny predstavuje výdavky v sume 728 mil. eur, čo predstavuje úroveň schváleného rozpočtu 2012. Prevažnú časť výdavkov na podporu rodiny predstavuje prídavok na dieťa a rodičovský príspevok.</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lang w:eastAsia="sk-SK"/>
        </w:rPr>
        <w:t> </w:t>
      </w: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Na prídavok na dieťa sa v roku 2013 rozpočtuje 320 mil. eur, čo predstavuje úroveň schváleného rozpočtu 2012, pričom sa zohľadňuje predpokladaný pokles počtu detí a valorizácia dávky vo väzbe na životné minimum, teda o 2,5 %.</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lang w:eastAsia="sk-SK"/>
        </w:rPr>
        <w:t> </w:t>
      </w: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Na rodičovský príspevok sa v roku 2013 rozpočtuje 354 mil. eur, čo predstavuje úroveň schváleného rozpočtu 2012, zohľadňuje sa vývoj v počte poberateľov príspevku v roku 2012 a povinná valorizácia dávky vo väzbe na životné minimum od 1. januára.</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lang w:eastAsia="sk-SK"/>
        </w:rPr>
        <w:t> </w:t>
      </w: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V rozpočtovanej sume sa uvažuje aj s doplatkami, ktorých výška predstavuje sumár rozdielov medzi stanovenou sumou rodičovského príplatku a sumou  materského alebo obdobnej dávky ako materské, ktoré sa oprávnenej osobe vyplácajú v členskom štáte.</w:t>
      </w:r>
    </w:p>
    <w:p w:rsidR="009D2A34" w:rsidRPr="00B37238" w:rsidP="009D2A34">
      <w:pPr>
        <w:bidi w:val="0"/>
        <w:jc w:val="both"/>
        <w:rPr>
          <w:rFonts w:ascii="Times New Roman" w:hAnsi="Times New Roman" w:cs="Times New Roman"/>
          <w:lang w:eastAsia="sk-SK"/>
        </w:rPr>
      </w:pPr>
      <w:r w:rsidRPr="00B37238">
        <w:rPr>
          <w:rFonts w:ascii="Times New Roman" w:hAnsi="Times New Roman" w:cs="Times New Roman"/>
          <w:lang w:eastAsia="sk-SK"/>
        </w:rPr>
        <w:t> </w:t>
      </w:r>
    </w:p>
    <w:p w:rsidR="009D2A34" w:rsidRPr="00B37238" w:rsidP="009D2A34">
      <w:pPr>
        <w:bidi w:val="0"/>
        <w:jc w:val="both"/>
        <w:rPr>
          <w:rFonts w:ascii="Times New Roman" w:hAnsi="Times New Roman" w:cs="Times New Roman"/>
          <w:lang w:eastAsia="sk-SK"/>
        </w:rPr>
      </w:pPr>
      <w:r w:rsidRPr="00B37238">
        <w:rPr>
          <w:rFonts w:ascii="Times New Roman" w:hAnsi="Times New Roman" w:cs="Times New Roman"/>
          <w:lang w:eastAsia="sk-SK"/>
        </w:rPr>
        <w:t>              Poistné platené štátom rozpočtované na rok 2013 v sume 262 mil. eur v porovnaní s rokom 2012 rastie o 21,2 mil. eur, t. j. o 8,</w:t>
      </w:r>
      <w:r>
        <w:rPr>
          <w:rFonts w:ascii="Times New Roman" w:hAnsi="Times New Roman" w:cs="Times New Roman"/>
          <w:lang w:eastAsia="sk-SK"/>
        </w:rPr>
        <w:t>81</w:t>
      </w:r>
      <w:r w:rsidRPr="00B37238">
        <w:rPr>
          <w:rFonts w:ascii="Times New Roman" w:hAnsi="Times New Roman" w:cs="Times New Roman"/>
          <w:lang w:eastAsia="sk-SK"/>
        </w:rPr>
        <w:t xml:space="preserve"> %. Navrhované výdavky zohľadňujú navýšenie vymeriavacieho základu pre vybranú skupinu poistencov štátu.</w:t>
      </w:r>
    </w:p>
    <w:p w:rsidR="009D2A34" w:rsidRPr="007E0D85" w:rsidP="009D2A34">
      <w:pPr>
        <w:bidi w:val="0"/>
        <w:jc w:val="both"/>
        <w:rPr>
          <w:rFonts w:ascii="Times New Roman" w:hAnsi="Times New Roman" w:cs="Times New Roman"/>
          <w:highlight w:val="yellow"/>
          <w:lang w:eastAsia="sk-SK"/>
        </w:rPr>
      </w:pPr>
      <w:r w:rsidRPr="007E0D85">
        <w:rPr>
          <w:rFonts w:ascii="Times New Roman" w:hAnsi="Times New Roman" w:cs="Times New Roman"/>
          <w:highlight w:val="yellow"/>
          <w:lang w:eastAsia="sk-SK"/>
        </w:rPr>
        <w:t xml:space="preserve"> </w:t>
      </w:r>
    </w:p>
    <w:p w:rsidR="009D2A34" w:rsidRPr="00B37238" w:rsidP="009D2A34">
      <w:pPr>
        <w:bidi w:val="0"/>
        <w:ind w:firstLine="708"/>
        <w:jc w:val="both"/>
        <w:rPr>
          <w:rFonts w:ascii="Times New Roman" w:hAnsi="Times New Roman" w:cs="Times New Roman"/>
          <w:lang w:eastAsia="sk-SK"/>
        </w:rPr>
      </w:pPr>
      <w:r w:rsidRPr="00B37238">
        <w:rPr>
          <w:rFonts w:ascii="Times New Roman" w:hAnsi="Times New Roman" w:cs="Times New Roman"/>
          <w:lang w:eastAsia="sk-SK"/>
        </w:rPr>
        <w:t>Peňažné príspevky na kompenzáciu ťažkého zdravotného postihnutia sú na rok 2013 rozpočtované v sume 23</w:t>
      </w:r>
      <w:r>
        <w:rPr>
          <w:rFonts w:ascii="Times New Roman" w:hAnsi="Times New Roman" w:cs="Times New Roman"/>
          <w:lang w:eastAsia="sk-SK"/>
        </w:rPr>
        <w:t>7</w:t>
      </w:r>
      <w:r w:rsidRPr="00B37238">
        <w:rPr>
          <w:rFonts w:ascii="Times New Roman" w:hAnsi="Times New Roman" w:cs="Times New Roman"/>
          <w:lang w:eastAsia="sk-SK"/>
        </w:rPr>
        <w:t xml:space="preserve"> mil. eur, čo je o 6,2</w:t>
      </w:r>
      <w:r>
        <w:rPr>
          <w:rFonts w:ascii="Times New Roman" w:hAnsi="Times New Roman" w:cs="Times New Roman"/>
          <w:lang w:eastAsia="sk-SK"/>
        </w:rPr>
        <w:t>2</w:t>
      </w:r>
      <w:r w:rsidRPr="00B37238">
        <w:rPr>
          <w:rFonts w:ascii="Times New Roman" w:hAnsi="Times New Roman" w:cs="Times New Roman"/>
          <w:lang w:eastAsia="sk-SK"/>
        </w:rPr>
        <w:t xml:space="preserve"> % vyššie oproti schválenému rozpočtu na rok 2012. </w:t>
      </w:r>
    </w:p>
    <w:p w:rsidR="009D2A34" w:rsidRPr="00B37238" w:rsidP="009D2A34">
      <w:pPr>
        <w:bidi w:val="0"/>
        <w:ind w:firstLine="708"/>
        <w:jc w:val="both"/>
        <w:rPr>
          <w:rFonts w:ascii="Times New Roman" w:hAnsi="Times New Roman" w:cs="Times New Roman"/>
          <w:lang w:eastAsia="sk-SK"/>
        </w:rPr>
      </w:pPr>
      <w:r w:rsidRPr="00B37238">
        <w:rPr>
          <w:rFonts w:ascii="Times New Roman" w:hAnsi="Times New Roman" w:cs="Times New Roman"/>
          <w:lang w:eastAsia="sk-SK"/>
        </w:rPr>
        <w:t> </w:t>
      </w:r>
    </w:p>
    <w:p w:rsidR="009D2A34" w:rsidRPr="00B37238" w:rsidP="009D2A34">
      <w:pPr>
        <w:bidi w:val="0"/>
        <w:ind w:firstLine="708"/>
        <w:jc w:val="both"/>
        <w:rPr>
          <w:rFonts w:ascii="Times New Roman" w:hAnsi="Times New Roman" w:cs="Times New Roman"/>
          <w:lang w:eastAsia="sk-SK"/>
        </w:rPr>
      </w:pPr>
      <w:r w:rsidRPr="00B37238">
        <w:rPr>
          <w:rFonts w:ascii="Times New Roman" w:hAnsi="Times New Roman" w:cs="Times New Roman"/>
          <w:lang w:eastAsia="sk-SK"/>
        </w:rPr>
        <w:t>Objem výdavkov na nesystémové dávky sociálneho poistenia v sume 49</w:t>
      </w:r>
      <w:r>
        <w:rPr>
          <w:rFonts w:ascii="Times New Roman" w:hAnsi="Times New Roman" w:cs="Times New Roman"/>
          <w:lang w:eastAsia="sk-SK"/>
        </w:rPr>
        <w:t>,7</w:t>
      </w:r>
      <w:r w:rsidRPr="00B37238">
        <w:rPr>
          <w:rFonts w:ascii="Times New Roman" w:hAnsi="Times New Roman" w:cs="Times New Roman"/>
          <w:lang w:eastAsia="sk-SK"/>
        </w:rPr>
        <w:t xml:space="preserve"> mil. eur zohľadňuje pripravované zmeny spôsobu ich valorizácie.</w:t>
      </w:r>
    </w:p>
    <w:p w:rsidR="009D2A34" w:rsidRPr="007E0D85" w:rsidP="009D2A34">
      <w:pPr>
        <w:bidi w:val="0"/>
        <w:ind w:firstLine="708"/>
        <w:jc w:val="both"/>
        <w:rPr>
          <w:rFonts w:ascii="Times New Roman" w:hAnsi="Times New Roman" w:cs="Times New Roman"/>
          <w:highlight w:val="yellow"/>
          <w:lang w:eastAsia="sk-SK"/>
        </w:rPr>
      </w:pPr>
    </w:p>
    <w:p w:rsidR="009D2A34" w:rsidRPr="00A80A39" w:rsidP="009D2A34">
      <w:pPr>
        <w:bidi w:val="0"/>
        <w:ind w:firstLine="708"/>
        <w:jc w:val="both"/>
        <w:rPr>
          <w:rFonts w:ascii="Times New Roman" w:hAnsi="Times New Roman" w:cs="Times New Roman"/>
          <w:lang w:eastAsia="sk-SK"/>
        </w:rPr>
      </w:pPr>
      <w:r w:rsidR="00771224">
        <w:rPr>
          <w:rFonts w:ascii="Times New Roman" w:hAnsi="Times New Roman" w:cs="Times New Roman"/>
          <w:lang w:eastAsia="sk-SK"/>
        </w:rPr>
        <w:t>Podobne</w:t>
      </w:r>
      <w:r w:rsidRPr="00A80A39">
        <w:rPr>
          <w:rFonts w:ascii="Times New Roman" w:hAnsi="Times New Roman" w:cs="Times New Roman"/>
          <w:lang w:eastAsia="sk-SK"/>
        </w:rPr>
        <w:t xml:space="preserve"> ako v roku 2012 sa na zmiernenie nepriaznivej sociálnej situácie poberateľov dôchodkových dávok rozpočtuje v roku 2013 vianočný príspevok dôchodcom v sume </w:t>
        <w:br/>
        <w:t xml:space="preserve">65,0 mil. </w:t>
      </w:r>
      <w:r w:rsidRPr="00A80A39">
        <w:rPr>
          <w:rFonts w:ascii="Times New Roman" w:hAnsi="Times New Roman" w:cs="Times New Roman"/>
          <w:color w:val="000000"/>
          <w:lang w:eastAsia="sk-SK"/>
        </w:rPr>
        <w:t>eur</w:t>
      </w:r>
      <w:r w:rsidRPr="00A80A39">
        <w:rPr>
          <w:rFonts w:ascii="Times New Roman" w:hAnsi="Times New Roman" w:cs="Times New Roman"/>
          <w:lang w:eastAsia="sk-SK"/>
        </w:rPr>
        <w:t>.</w:t>
      </w:r>
    </w:p>
    <w:p w:rsidR="009D2A34" w:rsidRPr="00A80A39" w:rsidP="009D2A34">
      <w:pPr>
        <w:bidi w:val="0"/>
        <w:jc w:val="both"/>
        <w:rPr>
          <w:rFonts w:ascii="Times New Roman" w:hAnsi="Times New Roman" w:cs="Times New Roman"/>
          <w:bCs/>
          <w:lang w:eastAsia="sk-SK"/>
        </w:rPr>
      </w:pPr>
      <w:r w:rsidRPr="00A80A39">
        <w:rPr>
          <w:rFonts w:ascii="Times New Roman" w:hAnsi="Times New Roman" w:cs="Times New Roman"/>
          <w:bCs/>
          <w:lang w:eastAsia="sk-SK"/>
        </w:rPr>
        <w:t> </w:t>
      </w:r>
    </w:p>
    <w:p w:rsidR="009D2A34" w:rsidRPr="00F47F77" w:rsidP="009D2A34">
      <w:pPr>
        <w:bidi w:val="0"/>
        <w:ind w:firstLine="708"/>
        <w:jc w:val="both"/>
        <w:rPr>
          <w:rFonts w:ascii="Times New Roman" w:hAnsi="Times New Roman" w:cs="Times New Roman"/>
          <w:bCs/>
          <w:lang w:eastAsia="sk-SK"/>
        </w:rPr>
      </w:pPr>
      <w:r w:rsidRPr="00F47F77">
        <w:rPr>
          <w:rFonts w:ascii="Times New Roman" w:hAnsi="Times New Roman" w:cs="Times New Roman"/>
          <w:bCs/>
          <w:lang w:eastAsia="sk-SK"/>
        </w:rPr>
        <w:t>Výdavky na sociálne služby v sume 52</w:t>
      </w:r>
      <w:r>
        <w:rPr>
          <w:rFonts w:ascii="Times New Roman" w:hAnsi="Times New Roman" w:cs="Times New Roman"/>
          <w:bCs/>
          <w:lang w:eastAsia="sk-SK"/>
        </w:rPr>
        <w:t>,0</w:t>
      </w:r>
      <w:r w:rsidRPr="00F47F77">
        <w:rPr>
          <w:rFonts w:ascii="Times New Roman" w:hAnsi="Times New Roman" w:cs="Times New Roman"/>
          <w:bCs/>
          <w:lang w:eastAsia="sk-SK"/>
        </w:rPr>
        <w:t xml:space="preserve"> mil. eur sú súčasťou rozpočtu kapitoly Všeobecná pokladničná správa.</w:t>
      </w:r>
    </w:p>
    <w:p w:rsidR="009D2A34" w:rsidRPr="007E0D85" w:rsidP="009D2A34">
      <w:pPr>
        <w:bidi w:val="0"/>
        <w:jc w:val="both"/>
        <w:rPr>
          <w:rFonts w:ascii="Times New Roman" w:hAnsi="Times New Roman" w:cs="Times New Roman"/>
          <w:bCs/>
          <w:highlight w:val="yellow"/>
          <w:lang w:eastAsia="sk-SK"/>
        </w:rPr>
      </w:pPr>
    </w:p>
    <w:p w:rsidR="009D2A34" w:rsidP="009D2A34">
      <w:pPr>
        <w:bidi w:val="0"/>
        <w:jc w:val="both"/>
        <w:rPr>
          <w:rFonts w:ascii="Times New Roman" w:hAnsi="Times New Roman" w:cs="Times New Roman"/>
          <w:bCs/>
          <w:highlight w:val="yellow"/>
          <w:lang w:eastAsia="sk-SK"/>
        </w:rPr>
      </w:pPr>
    </w:p>
    <w:p w:rsidR="009D2A34" w:rsidRPr="007E0D85" w:rsidP="009D2A34">
      <w:pPr>
        <w:bidi w:val="0"/>
        <w:jc w:val="both"/>
        <w:rPr>
          <w:rFonts w:ascii="Times New Roman" w:hAnsi="Times New Roman" w:cs="Times New Roman"/>
          <w:bCs/>
          <w:highlight w:val="yellow"/>
          <w:lang w:eastAsia="sk-SK"/>
        </w:rPr>
      </w:pPr>
    </w:p>
    <w:p w:rsidR="009D2A34" w:rsidRPr="007E0D85" w:rsidP="009D2A34">
      <w:pPr>
        <w:bidi w:val="0"/>
        <w:jc w:val="both"/>
        <w:rPr>
          <w:rFonts w:ascii="Times New Roman" w:hAnsi="Times New Roman" w:cs="Times New Roman"/>
          <w:bCs/>
          <w:highlight w:val="yellow"/>
          <w:lang w:eastAsia="sk-SK"/>
        </w:rPr>
      </w:pPr>
    </w:p>
    <w:p w:rsidR="009D2A34" w:rsidRPr="007E0D85" w:rsidP="009D2A34">
      <w:pPr>
        <w:bidi w:val="0"/>
        <w:jc w:val="both"/>
        <w:rPr>
          <w:rFonts w:ascii="Times New Roman" w:hAnsi="Times New Roman" w:cs="Times New Roman"/>
          <w:bCs/>
          <w:highlight w:val="yellow"/>
          <w:lang w:eastAsia="sk-SK"/>
        </w:rPr>
      </w:pPr>
    </w:p>
    <w:p w:rsidR="009D2A34" w:rsidRPr="007E0D85" w:rsidP="009D2A34">
      <w:pPr>
        <w:bidi w:val="0"/>
        <w:jc w:val="both"/>
        <w:rPr>
          <w:rFonts w:ascii="Times New Roman" w:hAnsi="Times New Roman" w:cs="Times New Roman"/>
          <w:bCs/>
          <w:highlight w:val="yellow"/>
          <w:lang w:eastAsia="sk-SK"/>
        </w:rPr>
      </w:pPr>
    </w:p>
    <w:p w:rsidR="009D2A34" w:rsidRPr="00726A9E" w:rsidP="009D2A34">
      <w:pPr>
        <w:bidi w:val="0"/>
        <w:jc w:val="both"/>
        <w:rPr>
          <w:rFonts w:ascii="Times New Roman" w:hAnsi="Times New Roman" w:cs="Times New Roman"/>
          <w:lang w:eastAsia="sk-SK"/>
        </w:rPr>
      </w:pPr>
      <w:r w:rsidRPr="00726A9E">
        <w:rPr>
          <w:rFonts w:ascii="Times New Roman" w:hAnsi="Times New Roman" w:cs="Times New Roman"/>
          <w:b/>
          <w:bCs/>
          <w:lang w:eastAsia="sk-SK"/>
        </w:rPr>
        <w:t>Politika zamestnanosti</w:t>
      </w:r>
    </w:p>
    <w:p w:rsidR="009D2A34" w:rsidRPr="00726A9E" w:rsidP="009D2A34">
      <w:pPr>
        <w:bidi w:val="0"/>
        <w:jc w:val="both"/>
        <w:rPr>
          <w:rFonts w:ascii="Times New Roman" w:hAnsi="Times New Roman" w:cs="Times New Roman"/>
          <w:lang w:eastAsia="sk-SK"/>
        </w:rPr>
      </w:pPr>
      <w:r w:rsidRPr="00726A9E">
        <w:rPr>
          <w:rFonts w:ascii="Times New Roman" w:hAnsi="Times New Roman" w:cs="Times New Roman"/>
          <w:b/>
          <w:bCs/>
          <w:lang w:eastAsia="sk-SK"/>
        </w:rPr>
        <w:t> </w:t>
      </w:r>
    </w:p>
    <w:tbl>
      <w:tblPr>
        <w:tblStyle w:val="TableNormal"/>
        <w:tblW w:w="9072" w:type="dxa"/>
        <w:tblCellMar>
          <w:left w:w="70" w:type="dxa"/>
          <w:right w:w="70" w:type="dxa"/>
        </w:tblCellMar>
        <w:tblLook w:val="04A0"/>
      </w:tblPr>
      <w:tblGrid>
        <w:gridCol w:w="2938"/>
        <w:gridCol w:w="897"/>
        <w:gridCol w:w="897"/>
        <w:gridCol w:w="898"/>
        <w:gridCol w:w="898"/>
        <w:gridCol w:w="898"/>
        <w:gridCol w:w="823"/>
        <w:gridCol w:w="823"/>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2010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2012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2012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2013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2015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BFBFBF"/>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Ľudské zdroje</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235 521 489</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215 705 963</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144 371 882</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231 997 300</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264 973 110</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60 827 669</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18 810 596</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EÚ zdroje a spolufinancovanie</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97 728 630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130 772 026</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135 623 164</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169 894 375</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247 755 547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54 856 320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13 185 783</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presun z minulých rokov (zdroj 13)</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44 871 000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22 361 737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13 354 207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Ľudské zdroje zo štátneho rozpočtu, z toho:</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92 921 859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62 572 200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8 748 718</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48 748 718</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17 217 563</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5 971 349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5 624 813</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        národné programy</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21 762 802</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54 129 489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2 282 335</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42 282 335</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13 337 275</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2 346 729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2 346 729</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        individuálna štátna pomoc</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13 268 009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7 684 501</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5 918 950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5 918 950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3 360 430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1 948 179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1 601 643</w:t>
            </w:r>
          </w:p>
        </w:tc>
      </w:tr>
    </w:tbl>
    <w:p w:rsidR="009D2A34" w:rsidRPr="00726A9E" w:rsidP="009D2A34">
      <w:pPr>
        <w:bidi w:val="0"/>
        <w:jc w:val="both"/>
        <w:rPr>
          <w:rFonts w:ascii="Times New Roman" w:hAnsi="Times New Roman" w:cs="Times New Roman"/>
          <w:lang w:eastAsia="sk-SK"/>
        </w:rPr>
      </w:pPr>
      <w:r w:rsidRPr="00726A9E">
        <w:rPr>
          <w:rFonts w:ascii="Times New Roman" w:hAnsi="Times New Roman" w:cs="Times New Roman"/>
          <w:lang w:eastAsia="sk-SK"/>
        </w:rPr>
        <w:t> </w:t>
      </w:r>
    </w:p>
    <w:p w:rsidR="009D2A34" w:rsidRPr="00726A9E" w:rsidP="009D2A34">
      <w:pPr>
        <w:bidi w:val="0"/>
        <w:ind w:firstLine="708"/>
        <w:jc w:val="both"/>
        <w:rPr>
          <w:rFonts w:ascii="Times New Roman" w:hAnsi="Times New Roman" w:cs="Times New Roman"/>
          <w:lang w:eastAsia="sk-SK"/>
        </w:rPr>
      </w:pPr>
      <w:r w:rsidRPr="00726A9E">
        <w:rPr>
          <w:rFonts w:ascii="Times New Roman" w:hAnsi="Times New Roman" w:cs="Times New Roman"/>
          <w:lang w:eastAsia="sk-SK"/>
        </w:rPr>
        <w:t>Výdavky v tejto oblasti slúžia na podporu politiky zamestnanosti, financovanie nástrojov aktívnej politiky trhu práce ako aj na investičné stimuly pre investorov v podobe príspevku na novovytvorené pracovné miesta a vzdelávanie.</w:t>
      </w:r>
    </w:p>
    <w:p w:rsidR="009D2A34" w:rsidRPr="00726A9E" w:rsidP="009D2A34">
      <w:pPr>
        <w:bidi w:val="0"/>
        <w:jc w:val="both"/>
        <w:rPr>
          <w:rFonts w:ascii="Times New Roman" w:hAnsi="Times New Roman" w:cs="Times New Roman"/>
          <w:lang w:eastAsia="sk-SK"/>
        </w:rPr>
      </w:pPr>
      <w:r w:rsidRPr="00726A9E">
        <w:rPr>
          <w:rFonts w:ascii="Times New Roman" w:hAnsi="Times New Roman" w:cs="Times New Roman"/>
          <w:lang w:eastAsia="sk-SK"/>
        </w:rPr>
        <w:t> </w:t>
      </w:r>
    </w:p>
    <w:p w:rsidR="009D2A34" w:rsidRPr="00726A9E" w:rsidP="009D2A34">
      <w:pPr>
        <w:bidi w:val="0"/>
        <w:ind w:firstLine="708"/>
        <w:jc w:val="both"/>
        <w:rPr>
          <w:rFonts w:ascii="Times New Roman" w:hAnsi="Times New Roman" w:cs="Times New Roman"/>
          <w:lang w:eastAsia="sk-SK"/>
        </w:rPr>
      </w:pPr>
      <w:r w:rsidRPr="00726A9E">
        <w:rPr>
          <w:rFonts w:ascii="Times New Roman" w:hAnsi="Times New Roman" w:cs="Times New Roman"/>
          <w:lang w:eastAsia="sk-SK"/>
        </w:rPr>
        <w:t>Na rok 2013 sa rozpočtuje celkovo suma 2</w:t>
      </w:r>
      <w:r>
        <w:rPr>
          <w:rFonts w:ascii="Times New Roman" w:hAnsi="Times New Roman" w:cs="Times New Roman"/>
          <w:lang w:eastAsia="sk-SK"/>
        </w:rPr>
        <w:t>65</w:t>
      </w:r>
      <w:r w:rsidRPr="00726A9E">
        <w:rPr>
          <w:rFonts w:ascii="Times New Roman" w:hAnsi="Times New Roman" w:cs="Times New Roman"/>
          <w:lang w:eastAsia="sk-SK"/>
        </w:rPr>
        <w:t xml:space="preserve"> mil. </w:t>
      </w:r>
      <w:r w:rsidRPr="00726A9E">
        <w:rPr>
          <w:rFonts w:ascii="Times New Roman" w:hAnsi="Times New Roman" w:cs="Times New Roman"/>
          <w:color w:val="000000"/>
          <w:lang w:eastAsia="sk-SK"/>
        </w:rPr>
        <w:t>eur, čo predstavuje nárast o</w:t>
      </w:r>
      <w:r>
        <w:rPr>
          <w:rFonts w:ascii="Times New Roman" w:hAnsi="Times New Roman" w:cs="Times New Roman"/>
          <w:color w:val="000000"/>
          <w:lang w:eastAsia="sk-SK"/>
        </w:rPr>
        <w:t> 83,5</w:t>
      </w:r>
      <w:r w:rsidRPr="00726A9E">
        <w:rPr>
          <w:rFonts w:ascii="Times New Roman" w:hAnsi="Times New Roman" w:cs="Times New Roman"/>
          <w:color w:val="000000"/>
          <w:lang w:eastAsia="sk-SK"/>
        </w:rPr>
        <w:t xml:space="preserve"> % oproti schválenému  rozpočtu na rok 2012. Prostriedky zo štátneho rozpočtu predstavujú sumu </w:t>
      </w:r>
      <w:r>
        <w:rPr>
          <w:rFonts w:ascii="Times New Roman" w:hAnsi="Times New Roman" w:cs="Times New Roman"/>
          <w:color w:val="000000"/>
          <w:lang w:eastAsia="sk-SK"/>
        </w:rPr>
        <w:t>17,2</w:t>
      </w:r>
      <w:r w:rsidRPr="00726A9E">
        <w:rPr>
          <w:rFonts w:ascii="Times New Roman" w:hAnsi="Times New Roman" w:cs="Times New Roman"/>
          <w:color w:val="000000"/>
          <w:lang w:eastAsia="sk-SK"/>
        </w:rPr>
        <w:t xml:space="preserve"> mil. eur, čo predstavuje </w:t>
      </w:r>
      <w:r>
        <w:rPr>
          <w:rFonts w:ascii="Times New Roman" w:hAnsi="Times New Roman" w:cs="Times New Roman"/>
          <w:color w:val="000000"/>
          <w:lang w:eastAsia="sk-SK"/>
        </w:rPr>
        <w:t>nárast</w:t>
      </w:r>
      <w:r w:rsidRPr="00726A9E">
        <w:rPr>
          <w:rFonts w:ascii="Times New Roman" w:hAnsi="Times New Roman" w:cs="Times New Roman"/>
          <w:color w:val="000000"/>
          <w:lang w:eastAsia="sk-SK"/>
        </w:rPr>
        <w:t xml:space="preserve"> o</w:t>
      </w:r>
      <w:r>
        <w:rPr>
          <w:rFonts w:ascii="Times New Roman" w:hAnsi="Times New Roman" w:cs="Times New Roman"/>
          <w:color w:val="000000"/>
          <w:lang w:eastAsia="sk-SK"/>
        </w:rPr>
        <w:t> 96,8</w:t>
      </w:r>
      <w:r w:rsidRPr="00726A9E">
        <w:rPr>
          <w:rFonts w:ascii="Times New Roman" w:hAnsi="Times New Roman" w:cs="Times New Roman"/>
          <w:color w:val="000000"/>
          <w:lang w:eastAsia="sk-SK"/>
        </w:rPr>
        <w:t xml:space="preserve"> % oproti schválenému rozpočtu na rok 2012.</w:t>
      </w:r>
    </w:p>
    <w:p w:rsidR="009D2A34" w:rsidRPr="00726A9E" w:rsidP="009D2A34">
      <w:pPr>
        <w:bidi w:val="0"/>
        <w:jc w:val="both"/>
        <w:rPr>
          <w:rFonts w:ascii="Times New Roman" w:hAnsi="Times New Roman" w:cs="Times New Roman"/>
          <w:lang w:eastAsia="sk-SK"/>
        </w:rPr>
      </w:pPr>
      <w:r w:rsidRPr="00726A9E">
        <w:rPr>
          <w:rFonts w:ascii="Times New Roman" w:hAnsi="Times New Roman" w:cs="Times New Roman"/>
          <w:color w:val="000000"/>
          <w:lang w:eastAsia="sk-SK"/>
        </w:rPr>
        <w:t> </w:t>
      </w:r>
    </w:p>
    <w:p w:rsidR="009D2A34" w:rsidRPr="00726A9E" w:rsidP="009D2A34">
      <w:pPr>
        <w:bidi w:val="0"/>
        <w:ind w:firstLine="708"/>
        <w:jc w:val="both"/>
        <w:rPr>
          <w:rFonts w:ascii="Times New Roman" w:hAnsi="Times New Roman" w:cs="Times New Roman"/>
          <w:lang w:eastAsia="sk-SK"/>
        </w:rPr>
      </w:pPr>
      <w:r w:rsidRPr="00726A9E">
        <w:rPr>
          <w:rFonts w:ascii="Times New Roman" w:hAnsi="Times New Roman" w:cs="Times New Roman"/>
          <w:color w:val="000000"/>
          <w:lang w:eastAsia="sk-SK"/>
        </w:rPr>
        <w:t xml:space="preserve">Návrh predpokladá financovanie národných programov zo štátneho rozpočtu v sume </w:t>
        <w:br/>
      </w:r>
      <w:r>
        <w:rPr>
          <w:rFonts w:ascii="Times New Roman" w:hAnsi="Times New Roman" w:cs="Times New Roman"/>
          <w:color w:val="000000"/>
          <w:lang w:eastAsia="sk-SK"/>
        </w:rPr>
        <w:t>13,3 mil.</w:t>
      </w:r>
      <w:r w:rsidRPr="00726A9E">
        <w:rPr>
          <w:rFonts w:ascii="Times New Roman" w:hAnsi="Times New Roman" w:cs="Times New Roman"/>
          <w:color w:val="000000"/>
          <w:lang w:eastAsia="sk-SK"/>
        </w:rPr>
        <w:t xml:space="preserve"> eur</w:t>
      </w:r>
      <w:r w:rsidRPr="003C6607">
        <w:rPr>
          <w:rFonts w:ascii="Times New Roman" w:hAnsi="Times New Roman" w:cs="Times New Roman"/>
          <w:color w:val="000000"/>
          <w:lang w:eastAsia="sk-SK"/>
        </w:rPr>
        <w:t xml:space="preserve">, </w:t>
      </w:r>
      <w:r w:rsidRPr="00F47F77">
        <w:rPr>
          <w:rFonts w:ascii="Times New Roman" w:hAnsi="Times New Roman" w:cs="Times New Roman"/>
          <w:color w:val="000000"/>
          <w:lang w:eastAsia="sk-SK"/>
        </w:rPr>
        <w:t xml:space="preserve">z toho  prostredníctvom úradov práce, sociálnych vecí a rodiny v sume </w:t>
      </w:r>
      <w:r w:rsidR="00D83F50">
        <w:rPr>
          <w:rFonts w:ascii="Times New Roman" w:hAnsi="Times New Roman" w:cs="Times New Roman"/>
          <w:color w:val="000000"/>
          <w:lang w:eastAsia="sk-SK"/>
        </w:rPr>
        <w:br/>
      </w:r>
      <w:r w:rsidRPr="00F47F77">
        <w:rPr>
          <w:rFonts w:ascii="Times New Roman" w:hAnsi="Times New Roman" w:cs="Times New Roman"/>
          <w:color w:val="000000"/>
          <w:lang w:eastAsia="sk-SK"/>
        </w:rPr>
        <w:t>11,0 mil. eur</w:t>
      </w:r>
      <w:r w:rsidRPr="00726A9E">
        <w:rPr>
          <w:rFonts w:ascii="Times New Roman" w:hAnsi="Times New Roman" w:cs="Times New Roman"/>
          <w:color w:val="000000"/>
          <w:lang w:eastAsia="sk-SK"/>
        </w:rPr>
        <w:t>.</w:t>
      </w:r>
    </w:p>
    <w:p w:rsidR="009D2A34" w:rsidRPr="00726A9E" w:rsidP="009D2A34">
      <w:pPr>
        <w:bidi w:val="0"/>
        <w:jc w:val="both"/>
        <w:rPr>
          <w:rFonts w:ascii="Times New Roman" w:hAnsi="Times New Roman" w:cs="Times New Roman"/>
          <w:lang w:eastAsia="sk-SK"/>
        </w:rPr>
      </w:pPr>
      <w:r w:rsidRPr="00726A9E">
        <w:rPr>
          <w:rFonts w:ascii="Times New Roman" w:hAnsi="Times New Roman" w:cs="Times New Roman"/>
          <w:color w:val="000000"/>
          <w:lang w:eastAsia="sk-SK"/>
        </w:rPr>
        <w:t> </w:t>
      </w: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 xml:space="preserve">Zdroje na investičné stimuly poskytované formou príspevku na tvorbu nových pracovných miest sa rozpočtujú v sume 3,36 mil. </w:t>
      </w:r>
      <w:r w:rsidRPr="00A80A39">
        <w:rPr>
          <w:rFonts w:ascii="Times New Roman" w:hAnsi="Times New Roman" w:cs="Times New Roman"/>
          <w:color w:val="000000"/>
          <w:lang w:eastAsia="sk-SK"/>
        </w:rPr>
        <w:t>eur, čo predstavuje pokles o 43,2 % oproti schválenému rozpočtu na rok 2012.</w:t>
      </w:r>
      <w:r w:rsidRPr="00A80A39">
        <w:rPr>
          <w:rFonts w:ascii="Times New Roman" w:hAnsi="Times New Roman" w:cs="Times New Roman"/>
          <w:lang w:eastAsia="sk-SK"/>
        </w:rPr>
        <w:t xml:space="preserve"> V rozpočte sú zabezpečené zdroje na všetky projekty schválené vládou od roku 2006. Na podporu tvorby pracovných miest sú však prijímané opatrenia v rámci Operačného programu Konkurencieschopnosť a hospodársky rast na podporu vytvárania pracovných miest pre mladých.</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lang w:eastAsia="sk-SK"/>
        </w:rPr>
        <w:t> </w:t>
      </w:r>
    </w:p>
    <w:tbl>
      <w:tblPr>
        <w:tblStyle w:val="TableNormal"/>
        <w:tblW w:w="9072" w:type="dxa"/>
        <w:tblInd w:w="55" w:type="dxa"/>
        <w:tblCellMar>
          <w:left w:w="70" w:type="dxa"/>
          <w:right w:w="70" w:type="dxa"/>
        </w:tblCellMar>
        <w:tblLook w:val="04A0"/>
      </w:tblPr>
      <w:tblGrid>
        <w:gridCol w:w="4251"/>
        <w:gridCol w:w="1607"/>
        <w:gridCol w:w="1607"/>
        <w:gridCol w:w="1607"/>
      </w:tblGrid>
      <w:tr>
        <w:tblPrEx>
          <w:tblW w:w="9072" w:type="dxa"/>
          <w:tblInd w:w="55"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A80A39" w:rsidP="006338E5">
            <w:pPr>
              <w:bidi w:val="0"/>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E53687">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 xml:space="preserve">2013 </w:t>
            </w:r>
            <w:r w:rsidR="00E53687">
              <w:rPr>
                <w:rFonts w:ascii="Times New Roman" w:hAnsi="Times New Roman" w:cs="Times New Roman"/>
                <w:b/>
                <w:bCs/>
                <w:color w:val="000000"/>
                <w:sz w:val="14"/>
                <w:szCs w:val="14"/>
                <w:lang w:eastAsia="sk-SK"/>
              </w:rPr>
              <w:t>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A80A39" w:rsidP="006338E5">
            <w:pPr>
              <w:bidi w:val="0"/>
              <w:jc w:val="center"/>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2015 N</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bCs/>
                <w:color w:val="000000"/>
                <w:sz w:val="14"/>
                <w:szCs w:val="14"/>
                <w:lang w:eastAsia="sk-SK"/>
              </w:rPr>
            </w:pPr>
            <w:r w:rsidRPr="00A80A39">
              <w:rPr>
                <w:rFonts w:ascii="Times New Roman" w:hAnsi="Times New Roman" w:cs="Times New Roman"/>
                <w:bCs/>
                <w:color w:val="000000"/>
                <w:sz w:val="14"/>
                <w:szCs w:val="14"/>
                <w:lang w:eastAsia="sk-SK"/>
              </w:rPr>
              <w:t>Rubig SK</w:t>
            </w:r>
          </w:p>
        </w:tc>
        <w:tc>
          <w:tcPr>
            <w:tcW w:w="0" w:type="auto"/>
            <w:tcBorders>
              <w:top w:val="nil"/>
              <w:left w:val="nil"/>
              <w:bottom w:val="single" w:sz="4" w:space="0" w:color="auto"/>
              <w:right w:val="single" w:sz="4" w:space="0" w:color="auto"/>
            </w:tcBorders>
            <w:shd w:val="clear" w:color="000000" w:fill="FFFFFF"/>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1 000 000</w:t>
            </w:r>
          </w:p>
        </w:tc>
        <w:tc>
          <w:tcPr>
            <w:tcW w:w="0" w:type="auto"/>
            <w:tcBorders>
              <w:top w:val="nil"/>
              <w:left w:val="nil"/>
              <w:bottom w:val="single" w:sz="4" w:space="0" w:color="auto"/>
              <w:right w:val="single" w:sz="4" w:space="0" w:color="auto"/>
            </w:tcBorders>
            <w:shd w:val="clear" w:color="000000" w:fill="FFFFFF"/>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0</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bCs/>
                <w:color w:val="000000"/>
                <w:sz w:val="14"/>
                <w:szCs w:val="14"/>
                <w:lang w:eastAsia="sk-SK"/>
              </w:rPr>
            </w:pPr>
            <w:r w:rsidRPr="00A80A39">
              <w:rPr>
                <w:rFonts w:ascii="Times New Roman" w:hAnsi="Times New Roman" w:cs="Times New Roman"/>
                <w:bCs/>
                <w:color w:val="000000"/>
                <w:sz w:val="14"/>
                <w:szCs w:val="14"/>
                <w:lang w:eastAsia="sk-SK"/>
              </w:rPr>
              <w:t>ICU Medical Slovakia, Vráble</w:t>
            </w:r>
          </w:p>
        </w:tc>
        <w:tc>
          <w:tcPr>
            <w:tcW w:w="0" w:type="auto"/>
            <w:tcBorders>
              <w:top w:val="nil"/>
              <w:left w:val="nil"/>
              <w:bottom w:val="single" w:sz="4" w:space="0" w:color="auto"/>
              <w:right w:val="single" w:sz="4" w:space="0" w:color="auto"/>
            </w:tcBorders>
            <w:shd w:val="clear" w:color="000000" w:fill="FFFFFF"/>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157 715</w:t>
            </w:r>
          </w:p>
        </w:tc>
        <w:tc>
          <w:tcPr>
            <w:tcW w:w="0" w:type="auto"/>
            <w:tcBorders>
              <w:top w:val="nil"/>
              <w:left w:val="nil"/>
              <w:bottom w:val="single" w:sz="4" w:space="0" w:color="auto"/>
              <w:right w:val="single" w:sz="4" w:space="0" w:color="auto"/>
            </w:tcBorders>
            <w:shd w:val="clear" w:color="000000" w:fill="FFFFFF"/>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197 144</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236 568</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bCs/>
                <w:color w:val="000000"/>
                <w:sz w:val="14"/>
                <w:szCs w:val="14"/>
                <w:lang w:eastAsia="sk-SK"/>
              </w:rPr>
            </w:pPr>
            <w:r w:rsidRPr="00A80A39">
              <w:rPr>
                <w:rFonts w:ascii="Times New Roman" w:hAnsi="Times New Roman" w:cs="Times New Roman"/>
                <w:bCs/>
                <w:color w:val="000000"/>
                <w:sz w:val="14"/>
                <w:szCs w:val="14"/>
                <w:lang w:eastAsia="sk-SK"/>
              </w:rPr>
              <w:t>Sapa Profily</w:t>
            </w:r>
          </w:p>
        </w:tc>
        <w:tc>
          <w:tcPr>
            <w:tcW w:w="0" w:type="auto"/>
            <w:tcBorders>
              <w:top w:val="nil"/>
              <w:left w:val="nil"/>
              <w:bottom w:val="single" w:sz="4" w:space="0" w:color="auto"/>
              <w:right w:val="single" w:sz="4" w:space="0" w:color="auto"/>
            </w:tcBorders>
            <w:shd w:val="clear" w:color="000000" w:fill="FFFFFF"/>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339 500</w:t>
            </w:r>
          </w:p>
        </w:tc>
        <w:tc>
          <w:tcPr>
            <w:tcW w:w="0" w:type="auto"/>
            <w:tcBorders>
              <w:top w:val="nil"/>
              <w:left w:val="nil"/>
              <w:bottom w:val="single" w:sz="4" w:space="0" w:color="auto"/>
              <w:right w:val="single" w:sz="4" w:space="0" w:color="auto"/>
            </w:tcBorders>
            <w:shd w:val="clear" w:color="000000" w:fill="FFFFFF"/>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221 800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0</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bCs/>
                <w:color w:val="000000"/>
                <w:sz w:val="14"/>
                <w:szCs w:val="14"/>
                <w:lang w:eastAsia="sk-SK"/>
              </w:rPr>
            </w:pPr>
            <w:r w:rsidRPr="00A80A39">
              <w:rPr>
                <w:rFonts w:ascii="Times New Roman" w:hAnsi="Times New Roman" w:cs="Times New Roman"/>
                <w:bCs/>
                <w:color w:val="000000"/>
                <w:sz w:val="14"/>
                <w:szCs w:val="14"/>
                <w:lang w:eastAsia="sk-SK"/>
              </w:rPr>
              <w:t xml:space="preserve">LVD Company </w:t>
            </w:r>
          </w:p>
        </w:tc>
        <w:tc>
          <w:tcPr>
            <w:tcW w:w="0" w:type="auto"/>
            <w:tcBorders>
              <w:top w:val="nil"/>
              <w:left w:val="nil"/>
              <w:bottom w:val="single" w:sz="4" w:space="0" w:color="auto"/>
              <w:right w:val="single" w:sz="4" w:space="0" w:color="auto"/>
            </w:tcBorders>
            <w:shd w:val="clear" w:color="000000" w:fill="FFFFFF"/>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286 000</w:t>
            </w:r>
          </w:p>
        </w:tc>
        <w:tc>
          <w:tcPr>
            <w:tcW w:w="0" w:type="auto"/>
            <w:tcBorders>
              <w:top w:val="nil"/>
              <w:left w:val="nil"/>
              <w:bottom w:val="single" w:sz="4" w:space="0" w:color="auto"/>
              <w:right w:val="single" w:sz="4" w:space="0" w:color="auto"/>
            </w:tcBorders>
            <w:shd w:val="clear" w:color="000000" w:fill="FFFFFF"/>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220 000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220 000</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A80A39" w:rsidP="006338E5">
            <w:pPr>
              <w:bidi w:val="0"/>
              <w:rPr>
                <w:rFonts w:ascii="Times New Roman" w:hAnsi="Times New Roman" w:cs="Times New Roman"/>
                <w:bCs/>
                <w:color w:val="000000"/>
                <w:sz w:val="14"/>
                <w:szCs w:val="14"/>
                <w:lang w:eastAsia="sk-SK"/>
              </w:rPr>
            </w:pPr>
            <w:r w:rsidRPr="00A80A39">
              <w:rPr>
                <w:rFonts w:ascii="Times New Roman" w:hAnsi="Times New Roman" w:cs="Times New Roman"/>
                <w:bCs/>
                <w:color w:val="000000"/>
                <w:sz w:val="14"/>
                <w:szCs w:val="14"/>
                <w:lang w:eastAsia="sk-SK"/>
              </w:rPr>
              <w:t xml:space="preserve">Embraco Slovakia </w:t>
            </w:r>
          </w:p>
        </w:tc>
        <w:tc>
          <w:tcPr>
            <w:tcW w:w="0" w:type="auto"/>
            <w:tcBorders>
              <w:top w:val="nil"/>
              <w:left w:val="nil"/>
              <w:bottom w:val="single" w:sz="4" w:space="0" w:color="auto"/>
              <w:right w:val="single" w:sz="4" w:space="0" w:color="auto"/>
            </w:tcBorders>
            <w:shd w:val="clear" w:color="000000" w:fill="FFFFFF"/>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500 000</w:t>
            </w:r>
          </w:p>
        </w:tc>
        <w:tc>
          <w:tcPr>
            <w:tcW w:w="0" w:type="auto"/>
            <w:tcBorders>
              <w:top w:val="nil"/>
              <w:left w:val="nil"/>
              <w:bottom w:val="single" w:sz="4" w:space="0" w:color="auto"/>
              <w:right w:val="single" w:sz="4" w:space="0" w:color="auto"/>
            </w:tcBorders>
            <w:shd w:val="clear" w:color="000000" w:fill="FFFFFF"/>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0</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E53687" w:rsidP="006338E5">
            <w:pPr>
              <w:bidi w:val="0"/>
              <w:rPr>
                <w:rFonts w:ascii="Times New Roman" w:hAnsi="Times New Roman" w:cs="Times New Roman"/>
                <w:bCs/>
                <w:color w:val="000000"/>
                <w:sz w:val="14"/>
                <w:szCs w:val="14"/>
                <w:lang w:eastAsia="sk-SK"/>
              </w:rPr>
            </w:pPr>
            <w:r w:rsidRPr="00E53687">
              <w:rPr>
                <w:rFonts w:ascii="Times New Roman" w:hAnsi="Times New Roman" w:cs="Times New Roman"/>
                <w:bCs/>
                <w:color w:val="000000"/>
                <w:sz w:val="14"/>
                <w:szCs w:val="14"/>
                <w:lang w:eastAsia="sk-SK"/>
              </w:rPr>
              <w:t>Honeywell Turbo s.r.o.</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1 077 215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1 309 235</w:t>
            </w:r>
          </w:p>
        </w:tc>
        <w:tc>
          <w:tcPr>
            <w:tcW w:w="0" w:type="auto"/>
            <w:tcBorders>
              <w:top w:val="nil"/>
              <w:left w:val="nil"/>
              <w:bottom w:val="single" w:sz="4" w:space="0" w:color="auto"/>
              <w:right w:val="single" w:sz="4" w:space="0" w:color="auto"/>
            </w:tcBorders>
            <w:textDirection w:val="lrTb"/>
            <w:vAlign w:val="center"/>
            <w:hideMark/>
          </w:tcPr>
          <w:p w:rsidR="009D2A34" w:rsidRPr="00A80A39" w:rsidP="006338E5">
            <w:pPr>
              <w:bidi w:val="0"/>
              <w:jc w:val="right"/>
              <w:rPr>
                <w:rFonts w:ascii="Times New Roman" w:hAnsi="Times New Roman" w:cs="Times New Roman"/>
                <w:color w:val="000000"/>
                <w:sz w:val="14"/>
                <w:szCs w:val="14"/>
                <w:lang w:eastAsia="sk-SK"/>
              </w:rPr>
            </w:pPr>
            <w:r w:rsidRPr="00A80A39">
              <w:rPr>
                <w:rFonts w:ascii="Times New Roman" w:hAnsi="Times New Roman" w:cs="Times New Roman"/>
                <w:color w:val="000000"/>
                <w:sz w:val="14"/>
                <w:szCs w:val="14"/>
                <w:lang w:eastAsia="sk-SK"/>
              </w:rPr>
              <w:t>1 145 075</w:t>
            </w:r>
          </w:p>
        </w:tc>
      </w:tr>
      <w:tr>
        <w:tblPrEx>
          <w:tblW w:w="9072" w:type="dxa"/>
          <w:tblInd w:w="55"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BFBFBF"/>
            <w:textDirection w:val="lrTb"/>
            <w:vAlign w:val="center"/>
            <w:hideMark/>
          </w:tcPr>
          <w:p w:rsidR="009D2A34" w:rsidRPr="00A80A39" w:rsidP="006338E5">
            <w:pPr>
              <w:bidi w:val="0"/>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Spolu</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3 360 430</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1 948 179</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A80A39" w:rsidP="006338E5">
            <w:pPr>
              <w:bidi w:val="0"/>
              <w:jc w:val="right"/>
              <w:rPr>
                <w:rFonts w:ascii="Times New Roman" w:hAnsi="Times New Roman" w:cs="Times New Roman"/>
                <w:b/>
                <w:bCs/>
                <w:color w:val="000000"/>
                <w:sz w:val="14"/>
                <w:szCs w:val="14"/>
                <w:lang w:eastAsia="sk-SK"/>
              </w:rPr>
            </w:pPr>
            <w:r w:rsidRPr="00A80A39">
              <w:rPr>
                <w:rFonts w:ascii="Times New Roman" w:hAnsi="Times New Roman" w:cs="Times New Roman"/>
                <w:b/>
                <w:bCs/>
                <w:color w:val="000000"/>
                <w:sz w:val="14"/>
                <w:szCs w:val="14"/>
                <w:lang w:eastAsia="sk-SK"/>
              </w:rPr>
              <w:t>1 601 643</w:t>
            </w:r>
          </w:p>
        </w:tc>
      </w:tr>
    </w:tbl>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lang w:eastAsia="sk-SK"/>
        </w:rPr>
        <w:t> </w:t>
      </w:r>
    </w:p>
    <w:p w:rsidR="009D2A34" w:rsidRPr="00726A9E" w:rsidP="009D2A34">
      <w:pPr>
        <w:bidi w:val="0"/>
        <w:rPr>
          <w:rFonts w:ascii="Times New Roman" w:hAnsi="Times New Roman" w:cs="Times New Roman"/>
          <w:lang w:eastAsia="sk-SK"/>
        </w:rPr>
      </w:pPr>
      <w:r w:rsidRPr="00726A9E">
        <w:rPr>
          <w:rFonts w:ascii="Times New Roman" w:hAnsi="Times New Roman" w:cs="Times New Roman"/>
          <w:b/>
          <w:bCs/>
          <w:lang w:eastAsia="sk-SK"/>
        </w:rPr>
        <w:t>Inštitucionálna podpora</w:t>
      </w:r>
    </w:p>
    <w:p w:rsidR="009D2A34" w:rsidRPr="00726A9E" w:rsidP="009D2A34">
      <w:pPr>
        <w:bidi w:val="0"/>
        <w:jc w:val="both"/>
        <w:rPr>
          <w:rFonts w:ascii="Times New Roman" w:hAnsi="Times New Roman" w:cs="Times New Roman"/>
          <w:lang w:eastAsia="sk-SK"/>
        </w:rPr>
      </w:pPr>
      <w:r w:rsidRPr="00726A9E">
        <w:rPr>
          <w:rFonts w:ascii="Times New Roman" w:hAnsi="Times New Roman" w:cs="Times New Roman"/>
          <w:b/>
          <w:bCs/>
          <w:lang w:eastAsia="sk-SK"/>
        </w:rPr>
        <w:t> </w:t>
      </w:r>
    </w:p>
    <w:tbl>
      <w:tblPr>
        <w:tblStyle w:val="TableNormal"/>
        <w:tblW w:w="9072" w:type="dxa"/>
        <w:tblCellMar>
          <w:left w:w="70" w:type="dxa"/>
          <w:right w:w="70" w:type="dxa"/>
        </w:tblCellMar>
        <w:tblLook w:val="04A0"/>
      </w:tblPr>
      <w:tblGrid>
        <w:gridCol w:w="2743"/>
        <w:gridCol w:w="905"/>
        <w:gridCol w:w="904"/>
        <w:gridCol w:w="904"/>
        <w:gridCol w:w="904"/>
        <w:gridCol w:w="904"/>
        <w:gridCol w:w="904"/>
        <w:gridCol w:w="904"/>
      </w:tblGrid>
      <w:tr>
        <w:tblPrEx>
          <w:tblW w:w="9072" w:type="dxa"/>
          <w:tblCellMar>
            <w:left w:w="70" w:type="dxa"/>
            <w:right w:w="70" w:type="dxa"/>
          </w:tblCellMar>
          <w:tblLook w:val="04A0"/>
        </w:tblPrEx>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2010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2011 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2012 R</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2012 OS</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00E53687">
              <w:rPr>
                <w:rFonts w:ascii="Times New Roman" w:hAnsi="Times New Roman" w:cs="Times New Roman"/>
                <w:b/>
                <w:bCs/>
                <w:color w:val="000000"/>
                <w:sz w:val="14"/>
                <w:szCs w:val="14"/>
                <w:lang w:eastAsia="sk-SK"/>
              </w:rPr>
              <w:t>2013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2014 N</w:t>
            </w:r>
          </w:p>
        </w:tc>
        <w:tc>
          <w:tcPr>
            <w:tcW w:w="0" w:type="auto"/>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726A9E" w:rsidP="006338E5">
            <w:pPr>
              <w:bidi w:val="0"/>
              <w:jc w:val="center"/>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2015 N</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shd w:val="clear" w:color="000000" w:fill="BFBFBF"/>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Inštitucionálna podpora spolu</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151 591 733</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148 243 922</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135 624 766</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141 240 446</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142 347 955</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144 451 052</w:t>
            </w:r>
          </w:p>
        </w:tc>
        <w:tc>
          <w:tcPr>
            <w:tcW w:w="0" w:type="auto"/>
            <w:tcBorders>
              <w:top w:val="nil"/>
              <w:left w:val="nil"/>
              <w:bottom w:val="single" w:sz="4" w:space="0" w:color="auto"/>
              <w:right w:val="single" w:sz="4" w:space="0" w:color="auto"/>
            </w:tcBorders>
            <w:shd w:val="clear" w:color="000000" w:fill="BFBFBF"/>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144 986 273</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Tvorba a implementácia politík, z toho:</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151 372 668</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131 992 315</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135 089 210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136 194 016</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141 812 399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143 935 496</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144 470 717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MPSVR</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13 933 972</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13 836 888</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13 830 335</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16 384 286</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16 570 508</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17 918 244</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18 029 440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ÚPSVAR</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126 999 651</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109 238 260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112 388 114</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110 938 969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116 355 888</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117 071 036</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117 495 060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Národný inšpektorát práce</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10 101 247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8 578 354</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8 533 277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8 533 277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8 548 823</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8 607 224</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8 607 224</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Centrum pre medz. ochranu detí a mládeže</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337 798</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338 813</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337 484</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lang w:eastAsia="sk-SK"/>
              </w:rPr>
            </w:pPr>
            <w:r w:rsidRPr="00726A9E">
              <w:rPr>
                <w:rFonts w:ascii="Times New Roman" w:hAnsi="Times New Roman" w:cs="Times New Roman"/>
                <w:color w:val="000000"/>
                <w:sz w:val="14"/>
                <w:szCs w:val="14"/>
                <w:lang w:eastAsia="sk-SK"/>
              </w:rPr>
              <w:t>337 484</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337 180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338 992</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color w:val="000000"/>
                <w:sz w:val="14"/>
                <w:szCs w:val="14"/>
              </w:rPr>
            </w:pPr>
            <w:r w:rsidRPr="00726A9E">
              <w:rPr>
                <w:rFonts w:ascii="Times New Roman" w:hAnsi="Times New Roman" w:cs="Times New Roman"/>
                <w:color w:val="000000"/>
                <w:sz w:val="14"/>
                <w:szCs w:val="14"/>
              </w:rPr>
              <w:t>338 993</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Príspevky do medz. organizácií </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182 637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440 297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440 367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440 367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440 367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440 367</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440 367</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Hospodárska mobilizácia </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36 428</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44 953</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45 189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45 189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45 189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45 189</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45 189</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Protidrogové opatrenia </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50000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50 000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50 000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30 000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30 000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 xml:space="preserve">Elektronizácia VS </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15 756 226</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4 510 874</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0</w:t>
            </w:r>
          </w:p>
        </w:tc>
      </w:tr>
      <w:tr>
        <w:tblPrEx>
          <w:tblW w:w="9072" w:type="dxa"/>
          <w:tblCellMar>
            <w:left w:w="70" w:type="dxa"/>
            <w:right w:w="70" w:type="dxa"/>
          </w:tblCellMar>
          <w:tblLook w:val="04A0"/>
        </w:tblPrEx>
        <w:trPr>
          <w:trHeight w:hRule="exact" w:val="255"/>
        </w:trPr>
        <w:tc>
          <w:tcPr>
            <w:tcW w:w="0" w:type="auto"/>
            <w:tcBorders>
              <w:top w:val="nil"/>
              <w:left w:val="single" w:sz="4" w:space="0" w:color="auto"/>
              <w:bottom w:val="single" w:sz="4" w:space="0" w:color="auto"/>
              <w:right w:val="single" w:sz="4" w:space="0" w:color="auto"/>
            </w:tcBorders>
            <w:textDirection w:val="lrTb"/>
            <w:vAlign w:val="center"/>
            <w:hideMark/>
          </w:tcPr>
          <w:p w:rsidR="009D2A34" w:rsidRPr="00726A9E" w:rsidP="006338E5">
            <w:pPr>
              <w:bidi w:val="0"/>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Hodnotenie a štúdie</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10 131</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lang w:eastAsia="sk-SK"/>
              </w:rPr>
            </w:pPr>
            <w:r w:rsidRPr="00726A9E">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0</w:t>
            </w:r>
          </w:p>
        </w:tc>
        <w:tc>
          <w:tcPr>
            <w:tcW w:w="0" w:type="auto"/>
            <w:tcBorders>
              <w:top w:val="nil"/>
              <w:left w:val="nil"/>
              <w:bottom w:val="single" w:sz="4" w:space="0" w:color="auto"/>
              <w:right w:val="single" w:sz="4" w:space="0" w:color="auto"/>
            </w:tcBorders>
            <w:textDirection w:val="lrTb"/>
            <w:vAlign w:val="center"/>
            <w:hideMark/>
          </w:tcPr>
          <w:p w:rsidR="009D2A34" w:rsidRPr="00726A9E" w:rsidP="006338E5">
            <w:pPr>
              <w:bidi w:val="0"/>
              <w:jc w:val="right"/>
              <w:rPr>
                <w:rFonts w:ascii="Times New Roman" w:hAnsi="Times New Roman" w:cs="Times New Roman"/>
                <w:b/>
                <w:bCs/>
                <w:color w:val="000000"/>
                <w:sz w:val="14"/>
                <w:szCs w:val="14"/>
              </w:rPr>
            </w:pPr>
            <w:r w:rsidRPr="00726A9E">
              <w:rPr>
                <w:rFonts w:ascii="Times New Roman" w:hAnsi="Times New Roman" w:cs="Times New Roman"/>
                <w:b/>
                <w:bCs/>
                <w:color w:val="000000"/>
                <w:sz w:val="14"/>
                <w:szCs w:val="14"/>
              </w:rPr>
              <w:t>0</w:t>
            </w:r>
          </w:p>
        </w:tc>
      </w:tr>
    </w:tbl>
    <w:p w:rsidR="009D2A34" w:rsidRPr="00726A9E" w:rsidP="009D2A34">
      <w:pPr>
        <w:bidi w:val="0"/>
        <w:ind w:firstLine="708"/>
        <w:jc w:val="both"/>
        <w:rPr>
          <w:rFonts w:ascii="Times New Roman" w:hAnsi="Times New Roman" w:cs="Times New Roman"/>
          <w:lang w:eastAsia="sk-SK"/>
        </w:rPr>
      </w:pPr>
      <w:r w:rsidRPr="00726A9E">
        <w:rPr>
          <w:rFonts w:ascii="Times New Roman" w:hAnsi="Times New Roman" w:cs="Times New Roman"/>
          <w:lang w:eastAsia="sk-SK"/>
        </w:rPr>
        <w:t xml:space="preserve">Na rok 2013 je </w:t>
      </w:r>
      <w:r w:rsidR="00E53687">
        <w:rPr>
          <w:rFonts w:ascii="Times New Roman" w:hAnsi="Times New Roman" w:cs="Times New Roman"/>
          <w:lang w:eastAsia="sk-SK"/>
        </w:rPr>
        <w:t>na</w:t>
      </w:r>
      <w:r w:rsidRPr="00726A9E">
        <w:rPr>
          <w:rFonts w:ascii="Times New Roman" w:hAnsi="Times New Roman" w:cs="Times New Roman"/>
          <w:lang w:eastAsia="sk-SK"/>
        </w:rPr>
        <w:t xml:space="preserve"> inštitucionálnu podporu vyčlenených 1</w:t>
      </w:r>
      <w:r>
        <w:rPr>
          <w:rFonts w:ascii="Times New Roman" w:hAnsi="Times New Roman" w:cs="Times New Roman"/>
          <w:lang w:eastAsia="sk-SK"/>
        </w:rPr>
        <w:t>42</w:t>
      </w:r>
      <w:r w:rsidRPr="00726A9E">
        <w:rPr>
          <w:rFonts w:ascii="Times New Roman" w:hAnsi="Times New Roman" w:cs="Times New Roman"/>
          <w:lang w:eastAsia="sk-SK"/>
        </w:rPr>
        <w:t xml:space="preserve"> mil. </w:t>
      </w:r>
      <w:r w:rsidRPr="00726A9E">
        <w:rPr>
          <w:rFonts w:ascii="Times New Roman" w:hAnsi="Times New Roman" w:cs="Times New Roman"/>
          <w:color w:val="000000"/>
          <w:lang w:eastAsia="sk-SK"/>
        </w:rPr>
        <w:t>eur</w:t>
      </w:r>
      <w:r w:rsidRPr="00726A9E">
        <w:rPr>
          <w:rFonts w:ascii="Times New Roman" w:hAnsi="Times New Roman" w:cs="Times New Roman"/>
          <w:lang w:eastAsia="sk-SK"/>
        </w:rPr>
        <w:t xml:space="preserve">, čo predstavuje </w:t>
      </w:r>
      <w:r>
        <w:rPr>
          <w:rFonts w:ascii="Times New Roman" w:hAnsi="Times New Roman" w:cs="Times New Roman"/>
          <w:lang w:eastAsia="sk-SK"/>
        </w:rPr>
        <w:t>nárast</w:t>
      </w:r>
      <w:r w:rsidRPr="00726A9E">
        <w:rPr>
          <w:rFonts w:ascii="Times New Roman" w:hAnsi="Times New Roman" w:cs="Times New Roman"/>
          <w:lang w:eastAsia="sk-SK"/>
        </w:rPr>
        <w:t xml:space="preserve"> o</w:t>
      </w:r>
      <w:r>
        <w:rPr>
          <w:rFonts w:ascii="Times New Roman" w:hAnsi="Times New Roman" w:cs="Times New Roman"/>
          <w:lang w:eastAsia="sk-SK"/>
        </w:rPr>
        <w:t> 4,96</w:t>
      </w:r>
      <w:r w:rsidRPr="00726A9E">
        <w:rPr>
          <w:rFonts w:ascii="Times New Roman" w:hAnsi="Times New Roman" w:cs="Times New Roman"/>
          <w:lang w:eastAsia="sk-SK"/>
        </w:rPr>
        <w:t xml:space="preserve"> % v porovnaní so schváleným rozpočtom na rok 2012. </w:t>
      </w:r>
      <w:r>
        <w:rPr>
          <w:rFonts w:ascii="Times New Roman" w:hAnsi="Times New Roman" w:cs="Times New Roman"/>
          <w:lang w:eastAsia="sk-SK"/>
        </w:rPr>
        <w:t>Nárast</w:t>
      </w:r>
      <w:r w:rsidRPr="00726A9E">
        <w:rPr>
          <w:rFonts w:ascii="Times New Roman" w:hAnsi="Times New Roman" w:cs="Times New Roman"/>
          <w:lang w:eastAsia="sk-SK"/>
        </w:rPr>
        <w:t xml:space="preserve"> je spojený s</w:t>
      </w:r>
      <w:r>
        <w:rPr>
          <w:rFonts w:ascii="Times New Roman" w:hAnsi="Times New Roman" w:cs="Times New Roman"/>
          <w:lang w:eastAsia="sk-SK"/>
        </w:rPr>
        <w:t>o zabezpečením výkonu v oblasti štátnej správy</w:t>
      </w:r>
      <w:r w:rsidRPr="00726A9E">
        <w:rPr>
          <w:rFonts w:ascii="Times New Roman" w:hAnsi="Times New Roman" w:cs="Times New Roman"/>
          <w:lang w:eastAsia="sk-SK"/>
        </w:rPr>
        <w:t xml:space="preserve"> </w:t>
      </w:r>
      <w:r>
        <w:rPr>
          <w:rFonts w:ascii="Times New Roman" w:hAnsi="Times New Roman" w:cs="Times New Roman"/>
          <w:lang w:eastAsia="sk-SK"/>
        </w:rPr>
        <w:t xml:space="preserve">a </w:t>
      </w:r>
      <w:r w:rsidRPr="00726A9E">
        <w:rPr>
          <w:rFonts w:ascii="Times New Roman" w:hAnsi="Times New Roman" w:cs="Times New Roman"/>
          <w:lang w:eastAsia="sk-SK"/>
        </w:rPr>
        <w:t xml:space="preserve">špecializovanej štátnej správy – Ústredie práce, sociálnych vecí a rodiny a 46 úradov práce sociálnych vecí a rodiny. </w:t>
      </w:r>
    </w:p>
    <w:p w:rsidR="009D2A34" w:rsidRPr="007E0D85" w:rsidP="009D2A34">
      <w:pPr>
        <w:bidi w:val="0"/>
        <w:ind w:firstLine="708"/>
        <w:jc w:val="both"/>
        <w:rPr>
          <w:rFonts w:ascii="Times New Roman" w:hAnsi="Times New Roman" w:cs="Times New Roman"/>
          <w:highlight w:val="yellow"/>
          <w:lang w:eastAsia="sk-SK"/>
        </w:rPr>
      </w:pP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Prostriedky na hospodársku mobilizáciu sa rozpočtujú na úrovni schváleného rozpočtu na rok 2012.</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lang w:eastAsia="sk-SK"/>
        </w:rPr>
        <w:t> </w:t>
      </w: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Výdavky na členské príspevky do medzinárodných organizácií (Medzinárodná asociácia inšpekcie práce, Medzinárodná organizácia práce, Európske centrum pre sociálnu politiku a výskum, ISSA) sa rozpočtujú na úrovni schváleného rozpočtu na rok 2012.</w:t>
      </w:r>
    </w:p>
    <w:p w:rsidR="009D2A34" w:rsidRPr="00A80A39" w:rsidP="009D2A34">
      <w:pPr>
        <w:bidi w:val="0"/>
        <w:jc w:val="both"/>
        <w:rPr>
          <w:rFonts w:ascii="Times New Roman" w:hAnsi="Times New Roman" w:cs="Times New Roman"/>
          <w:lang w:eastAsia="sk-SK"/>
        </w:rPr>
      </w:pPr>
      <w:r w:rsidRPr="00A80A39">
        <w:rPr>
          <w:rFonts w:ascii="Times New Roman" w:hAnsi="Times New Roman" w:cs="Times New Roman"/>
          <w:lang w:eastAsia="sk-SK"/>
        </w:rPr>
        <w:t> </w:t>
      </w:r>
    </w:p>
    <w:p w:rsidR="009D2A34" w:rsidRPr="00A80A39" w:rsidP="009D2A34">
      <w:pPr>
        <w:bidi w:val="0"/>
        <w:ind w:firstLine="708"/>
        <w:jc w:val="both"/>
        <w:rPr>
          <w:rFonts w:ascii="Times New Roman" w:hAnsi="Times New Roman" w:cs="Times New Roman"/>
          <w:lang w:eastAsia="sk-SK"/>
        </w:rPr>
      </w:pPr>
      <w:r w:rsidRPr="00A80A39">
        <w:rPr>
          <w:rFonts w:ascii="Times New Roman" w:hAnsi="Times New Roman" w:cs="Times New Roman"/>
          <w:lang w:eastAsia="sk-SK"/>
        </w:rPr>
        <w:t>Od roku 2012 je MPSVR SR účastníkom medzirezortného programu Protidrogové opatrenia, v rozpočte MPSVR SR sa v roku 2013 na uvedenú oblasť rozpočtujú výdavky v sume 50,0 tis. eur, teda na úrovni schváleného rozpočtu na rok 2012.</w:t>
      </w:r>
    </w:p>
    <w:p w:rsidR="009D2A34" w:rsidRPr="001C5A4C" w:rsidP="009D2A34">
      <w:pPr>
        <w:pBdr>
          <w:bottom w:val="single" w:sz="4" w:space="1" w:color="auto"/>
        </w:pBdr>
        <w:bidi w:val="0"/>
        <w:jc w:val="both"/>
        <w:rPr>
          <w:rFonts w:ascii="Times New Roman" w:hAnsi="Times New Roman"/>
          <w:b/>
        </w:rPr>
      </w:pPr>
      <w:bookmarkStart w:id="59" w:name="OLE_LINK2"/>
    </w:p>
    <w:p w:rsidR="009D2A34" w:rsidRPr="001C5A4C" w:rsidP="009D2A34">
      <w:pPr>
        <w:pBdr>
          <w:bottom w:val="single" w:sz="4" w:space="1" w:color="auto"/>
        </w:pBdr>
        <w:bidi w:val="0"/>
        <w:jc w:val="both"/>
        <w:rPr>
          <w:rFonts w:ascii="Times New Roman" w:hAnsi="Times New Roman"/>
          <w:b/>
        </w:rPr>
      </w:pPr>
      <w:r w:rsidRPr="00C90DEA">
        <w:rPr>
          <w:rFonts w:ascii="Times New Roman" w:hAnsi="Times New Roman"/>
          <w:b/>
        </w:rPr>
        <w:t>Ministerstvo zdravotníctva SR</w:t>
      </w:r>
      <w:r w:rsidRPr="001C5A4C">
        <w:rPr>
          <w:rFonts w:ascii="Times New Roman" w:hAnsi="Times New Roman"/>
          <w:b/>
        </w:rPr>
        <w:t xml:space="preserve">                                                                         </w:t>
      </w:r>
    </w:p>
    <w:p w:rsidR="00C90DEA" w:rsidRPr="001C5A4C" w:rsidP="00C90DEA">
      <w:pPr>
        <w:bidi w:val="0"/>
        <w:jc w:val="both"/>
        <w:rPr>
          <w:rFonts w:ascii="Times New Roman" w:hAnsi="Times New Roman" w:cs="Times New Roman"/>
          <w:noProof/>
          <w:highlight w:val="yellow"/>
          <w:lang w:eastAsia="sk-SK"/>
        </w:rPr>
      </w:pPr>
      <w:bookmarkEnd w:id="59"/>
    </w:p>
    <w:tbl>
      <w:tblPr>
        <w:tblStyle w:val="TableNormal"/>
        <w:tblW w:w="92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7"/>
        <w:gridCol w:w="951"/>
        <w:gridCol w:w="952"/>
        <w:gridCol w:w="952"/>
        <w:gridCol w:w="951"/>
        <w:gridCol w:w="952"/>
        <w:gridCol w:w="952"/>
        <w:gridCol w:w="952"/>
      </w:tblGrid>
      <w:tr>
        <w:tblPrEx>
          <w:tblW w:w="92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v eurách</w:t>
            </w:r>
          </w:p>
        </w:tc>
        <w:tc>
          <w:tcPr>
            <w:tcW w:w="95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2010 S</w:t>
            </w:r>
          </w:p>
        </w:tc>
        <w:tc>
          <w:tcPr>
            <w:tcW w:w="95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2011 S</w:t>
            </w:r>
          </w:p>
        </w:tc>
        <w:tc>
          <w:tcPr>
            <w:tcW w:w="95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2012 R</w:t>
            </w:r>
          </w:p>
        </w:tc>
        <w:tc>
          <w:tcPr>
            <w:tcW w:w="95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2012 OS</w:t>
            </w:r>
          </w:p>
        </w:tc>
        <w:tc>
          <w:tcPr>
            <w:tcW w:w="95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2013 R</w:t>
            </w:r>
          </w:p>
        </w:tc>
        <w:tc>
          <w:tcPr>
            <w:tcW w:w="95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2014 N</w:t>
            </w:r>
          </w:p>
        </w:tc>
        <w:tc>
          <w:tcPr>
            <w:tcW w:w="95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2015 N</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90DEA" w:rsidRPr="001C5A4C" w:rsidP="004B33C0">
            <w:pPr>
              <w:bidi w:val="0"/>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Zdroje príslušnej kapitoly</w:t>
            </w:r>
          </w:p>
        </w:tc>
        <w:tc>
          <w:tcPr>
            <w:tcW w:w="95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1 470 358 756</w:t>
            </w:r>
          </w:p>
        </w:tc>
        <w:tc>
          <w:tcPr>
            <w:tcW w:w="95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1 373 938 421</w:t>
            </w:r>
          </w:p>
        </w:tc>
        <w:tc>
          <w:tcPr>
            <w:tcW w:w="95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1 393 141 147</w:t>
            </w:r>
          </w:p>
        </w:tc>
        <w:tc>
          <w:tcPr>
            <w:tcW w:w="95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1 464 758 548</w:t>
            </w:r>
          </w:p>
        </w:tc>
        <w:tc>
          <w:tcPr>
            <w:tcW w:w="95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1 399 024 257</w:t>
            </w:r>
          </w:p>
        </w:tc>
        <w:tc>
          <w:tcPr>
            <w:tcW w:w="95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1 376 801 653</w:t>
            </w:r>
          </w:p>
        </w:tc>
        <w:tc>
          <w:tcPr>
            <w:tcW w:w="95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1 410 519 174</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z toho:</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rozpočtové zdroje kapitoly</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1 415 396 113</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1 280 955 880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1 287 744 415</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1 347 252 909</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1 331 761 257</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1 361 995 653</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1 406 579 008</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xml:space="preserve">    v tom: poistné platené štátom</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1 341 224 735</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1 207 549 167</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1 218 096 000</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1 268 096 000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1 263 888 000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1 294 115 240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1 338 574 822</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xml:space="preserve">               príspevok na činnosť OS ZZS </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11 252 366</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11 747 014</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11 908 475</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11 907 042</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12 538 305</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13 060 978</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13 648 170</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xml:space="preserve">               bežné výdavky kapitoly, z toho:</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57 188 246</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57 153 168</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57 239 940</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56 247 867</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54 834 952</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54 319 435</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53 856 016</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 xml:space="preserve">                          610 mzdy</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24 326 703</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22 397 616</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22 402 673</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22 876 233</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21 524 094</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21 527 459</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21 536 856</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 xml:space="preserve">                          620 odvody</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8 277 710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7 783 211</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7 813 086</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7 975 981</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7 505 960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7 507 003</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7 510 188</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 xml:space="preserve">                          630 tovary a služby</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12 785 227</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12 405 112</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15 866 328</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13 043 483</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14 822 352</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13 444 459</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14 376 416</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 xml:space="preserve">                          640 bežné transfery</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11 798 606</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14 567 229</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11 157 853</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12 352 170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10 982 546</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11 840 514</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10 432 556</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xml:space="preserve">               kapitálové výdavky kapitoly </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5 730 766</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4 506 531</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500 000</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11 002 000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500 000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500 000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500 000</w:t>
            </w:r>
          </w:p>
        </w:tc>
      </w:tr>
      <w:tr>
        <w:tblPrEx>
          <w:tblW w:w="9219" w:type="dxa"/>
          <w:tblInd w:w="65" w:type="dxa"/>
          <w:tblCellMar>
            <w:left w:w="70" w:type="dxa"/>
            <w:right w:w="70" w:type="dxa"/>
          </w:tblCellMar>
          <w:tblLook w:val="04A0"/>
        </w:tblPrEx>
        <w:trPr>
          <w:trHeight w:val="225"/>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zdroje EÚ vrátane spolufinancovania</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21 980 446</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91 536 611</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105 396 732</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117 505 639</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67 263 000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14 806 000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3 940 166</w:t>
            </w:r>
          </w:p>
        </w:tc>
      </w:tr>
      <w:tr>
        <w:tblPrEx>
          <w:tblW w:w="9219" w:type="dxa"/>
          <w:tblInd w:w="65" w:type="dxa"/>
          <w:tblCellMar>
            <w:left w:w="70" w:type="dxa"/>
            <w:right w:w="70" w:type="dxa"/>
          </w:tblCellMar>
          <w:tblLook w:val="04A0"/>
        </w:tblPrEx>
        <w:trPr>
          <w:trHeight w:val="225"/>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 xml:space="preserve">                EU prostriedky</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18 683 365</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76 649 996</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89 558 502</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98 294 059</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57 137 000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12 537 000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3 336 525</w:t>
            </w:r>
          </w:p>
        </w:tc>
      </w:tr>
      <w:tr>
        <w:tblPrEx>
          <w:tblW w:w="9219" w:type="dxa"/>
          <w:tblInd w:w="65" w:type="dxa"/>
          <w:tblCellMar>
            <w:left w:w="70" w:type="dxa"/>
            <w:right w:w="70" w:type="dxa"/>
          </w:tblCellMar>
          <w:tblLook w:val="04A0"/>
        </w:tblPrEx>
        <w:trPr>
          <w:trHeight w:val="225"/>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 xml:space="preserve">                spolufinancovanie zo ŠR</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3 297 081</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14 886 615</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15 838 230</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19 211 579</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10 126 000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2 269 000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603 641</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presun z minulých rokov §8</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32 982 197</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1 445 930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0</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0</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 xml:space="preserve">    z toho: štátny rozpočet</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1 264 970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1 074 000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 xml:space="preserve">                EU prostriedky</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26 755 540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316 137</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r>
      <w:tr>
        <w:tblPrEx>
          <w:tblW w:w="9219" w:type="dxa"/>
          <w:tblInd w:w="65" w:type="dxa"/>
          <w:tblCellMar>
            <w:left w:w="70" w:type="dxa"/>
            <w:right w:w="70" w:type="dxa"/>
          </w:tblCellMar>
          <w:tblLook w:val="04A0"/>
        </w:tblPrEx>
        <w:trPr>
          <w:trHeight w:val="210"/>
        </w:trPr>
        <w:tc>
          <w:tcPr>
            <w:tcW w:w="2557" w:type="dxa"/>
            <w:tcBorders>
              <w:top w:val="single" w:sz="4" w:space="0" w:color="auto"/>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 xml:space="preserve">                spolufinancovanie zo ŠR</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4 961 687</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55 793</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1"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r>
    </w:tbl>
    <w:p w:rsidR="00C90DEA" w:rsidRPr="001C5A4C" w:rsidP="00C90DEA">
      <w:pPr>
        <w:bidi w:val="0"/>
        <w:jc w:val="both"/>
        <w:rPr>
          <w:rFonts w:ascii="Times New Roman" w:hAnsi="Times New Roman"/>
          <w:highlight w:val="yellow"/>
        </w:rPr>
      </w:pPr>
    </w:p>
    <w:p w:rsidR="00C90DEA" w:rsidRPr="001C5A4C" w:rsidP="00C90DEA">
      <w:pPr>
        <w:bidi w:val="0"/>
        <w:ind w:firstLine="708"/>
        <w:jc w:val="both"/>
        <w:rPr>
          <w:rFonts w:ascii="Times New Roman" w:hAnsi="Times New Roman"/>
        </w:rPr>
      </w:pPr>
      <w:r w:rsidRPr="001C5A4C">
        <w:rPr>
          <w:rFonts w:ascii="Times New Roman" w:hAnsi="Times New Roman"/>
        </w:rPr>
        <w:t>Celkové výdavky kapitoly štátneho rozpočtu Ministerstva zdravotníctva SR  sa na rok 2013 predpokladajú na úrovni 1,40 mld. eur, s medziročným rastom oproti schválenému rozpočtu roku 2012 o 5,88 mil. eur, t. j. o 0,42 %.</w:t>
      </w:r>
    </w:p>
    <w:p w:rsidR="00C90DEA" w:rsidRPr="001C5A4C" w:rsidP="00C90DEA">
      <w:pPr>
        <w:bidi w:val="0"/>
        <w:ind w:firstLine="708"/>
        <w:jc w:val="both"/>
        <w:rPr>
          <w:rFonts w:ascii="Times New Roman" w:hAnsi="Times New Roman"/>
          <w:highlight w:val="yellow"/>
        </w:rPr>
      </w:pPr>
    </w:p>
    <w:p w:rsidR="00C90DEA" w:rsidRPr="001C5A4C" w:rsidP="00C90DEA">
      <w:pPr>
        <w:bidi w:val="0"/>
        <w:ind w:firstLine="708"/>
        <w:jc w:val="both"/>
        <w:rPr>
          <w:rFonts w:ascii="Times New Roman" w:hAnsi="Times New Roman"/>
        </w:rPr>
      </w:pPr>
      <w:r w:rsidRPr="001C5A4C">
        <w:rPr>
          <w:rFonts w:ascii="Times New Roman" w:hAnsi="Times New Roman"/>
        </w:rPr>
        <w:t>Osobné výdavky na rok 2013 sa rozpočtujú vo výške  29,0 mil. eur, s medziročným poklesom oproti schválenému rozpočtu na rok 2012 o 1,19 mil. eur, t. j. o 3,92 %.</w:t>
      </w:r>
    </w:p>
    <w:p w:rsidR="00C90DEA" w:rsidRPr="001C5A4C" w:rsidP="00C90DEA">
      <w:pPr>
        <w:bidi w:val="0"/>
        <w:ind w:firstLine="708"/>
        <w:jc w:val="both"/>
        <w:rPr>
          <w:rFonts w:ascii="Times New Roman" w:hAnsi="Times New Roman"/>
          <w:highlight w:val="yellow"/>
        </w:rPr>
      </w:pPr>
    </w:p>
    <w:p w:rsidR="00C90DEA" w:rsidRPr="001C5A4C" w:rsidP="00C90DEA">
      <w:pPr>
        <w:bidi w:val="0"/>
        <w:ind w:firstLine="708"/>
        <w:jc w:val="both"/>
        <w:rPr>
          <w:rFonts w:ascii="Times New Roman" w:hAnsi="Times New Roman"/>
        </w:rPr>
      </w:pPr>
      <w:r w:rsidRPr="001C5A4C">
        <w:rPr>
          <w:rFonts w:ascii="Times New Roman" w:hAnsi="Times New Roman"/>
        </w:rPr>
        <w:t>Kapitola na rok 2013 rozpočtuje výdavky na tovary a služby  v sume 14,8 mil. eur, čo predstavuje pokles</w:t>
      </w:r>
      <w:r w:rsidRPr="001C5A4C">
        <w:t xml:space="preserve"> </w:t>
      </w:r>
      <w:r w:rsidRPr="001C5A4C">
        <w:rPr>
          <w:rFonts w:ascii="Times New Roman" w:hAnsi="Times New Roman"/>
        </w:rPr>
        <w:t xml:space="preserve">oproti schválenému rozpočtu na rok 2012 o 1,04 mil. eur, t. j. o 6,58 %. V uvedenom znížení je zohľadnené celoplošné viazanie prevádzkových výdavkov a zníženie bežných transferov v prospech tovarov a služieb v sume 542,7 tis. eur. </w:t>
      </w:r>
    </w:p>
    <w:p w:rsidR="00C90DEA" w:rsidRPr="001C5A4C" w:rsidP="00C90DEA">
      <w:pPr>
        <w:bidi w:val="0"/>
        <w:ind w:firstLine="708"/>
        <w:jc w:val="both"/>
        <w:rPr>
          <w:rFonts w:ascii="Times New Roman" w:hAnsi="Times New Roman"/>
          <w:highlight w:val="yellow"/>
        </w:rPr>
      </w:pPr>
    </w:p>
    <w:p w:rsidR="00C90DEA" w:rsidRPr="001C5A4C" w:rsidP="00C90DEA">
      <w:pPr>
        <w:bidi w:val="0"/>
        <w:ind w:firstLine="708"/>
        <w:jc w:val="both"/>
        <w:rPr>
          <w:rFonts w:ascii="Times New Roman" w:hAnsi="Times New Roman"/>
        </w:rPr>
      </w:pPr>
      <w:r w:rsidRPr="001C5A4C">
        <w:rPr>
          <w:rFonts w:ascii="Times New Roman" w:hAnsi="Times New Roman"/>
        </w:rPr>
        <w:t>V rámci bežných transferov sa rozpočtuje poistné platené štátom na verejné zdravotné poistenie, príspevky pre operačné strediská záchrannej zdravotnej služby a účelový transfer Úradu pre dohľad nad zdravotnou starostlivosťou na implementáciu projektu DRG. Po odpočítaní týchto špecifík transfery zo štátneho rozpočtu sa navrhujú  v sume 9,99 mil. eur, čo predstavuje v porovnaní so schváleným rozpočtom na rok 2012 pokles o 542,7 tis. eur, t. j. o 5,15 %.</w:t>
      </w:r>
    </w:p>
    <w:p w:rsidR="00C90DEA" w:rsidRPr="001C5A4C" w:rsidP="00C90DEA">
      <w:pPr>
        <w:bidi w:val="0"/>
        <w:ind w:firstLine="708"/>
        <w:jc w:val="both"/>
        <w:rPr>
          <w:rFonts w:ascii="Times New Roman" w:hAnsi="Times New Roman"/>
          <w:highlight w:val="yellow"/>
        </w:rPr>
      </w:pPr>
    </w:p>
    <w:p w:rsidR="00C90DEA" w:rsidRPr="001C5A4C" w:rsidP="00C90DEA">
      <w:pPr>
        <w:bidi w:val="0"/>
        <w:ind w:firstLine="708"/>
        <w:jc w:val="both"/>
        <w:rPr>
          <w:rFonts w:ascii="Times New Roman" w:hAnsi="Times New Roman"/>
        </w:rPr>
      </w:pPr>
      <w:r w:rsidRPr="001C5A4C">
        <w:rPr>
          <w:rFonts w:ascii="Times New Roman" w:hAnsi="Times New Roman"/>
        </w:rPr>
        <w:t>Kapitálové výdavky zachovávajú vo všetkých rokoch 2013 až 2015 rozpočtovanú úroveň roku 2012 a to vo výške 500 tis. eur.</w:t>
      </w:r>
    </w:p>
    <w:p w:rsidR="00C90DEA" w:rsidRPr="001C5A4C" w:rsidP="00C90DEA">
      <w:pPr>
        <w:bidi w:val="0"/>
        <w:ind w:firstLine="708"/>
        <w:jc w:val="both"/>
        <w:rPr>
          <w:rFonts w:ascii="Times New Roman" w:hAnsi="Times New Roman"/>
          <w:highlight w:val="yellow"/>
        </w:rPr>
      </w:pPr>
    </w:p>
    <w:p w:rsidR="00C90DEA" w:rsidRPr="001C5A4C" w:rsidP="00C90DEA">
      <w:pPr>
        <w:bidi w:val="0"/>
        <w:ind w:firstLine="708"/>
        <w:jc w:val="both"/>
        <w:rPr>
          <w:rFonts w:ascii="Times New Roman" w:hAnsi="Times New Roman"/>
        </w:rPr>
      </w:pPr>
      <w:r w:rsidRPr="001C5A4C">
        <w:rPr>
          <w:rFonts w:ascii="Times New Roman" w:hAnsi="Times New Roman"/>
        </w:rPr>
        <w:t xml:space="preserve">Návrh rozpočtu zohľadňuje aktualizovanú makroekonomickú prognózu Ministerstva financií SR a zároveň novelu zákona č. 461/2003 Z. z. o sociálnom poistení. S cieľom zosúladiť sociálne a zdravotné odvody sa v  rámci tejto novely súčasne novelizuje aj zákon </w:t>
        <w:br/>
        <w:t xml:space="preserve">č. 580/2004 Z. z. o zdravotnom poistení (zvýšenie vymeriavacích základov, platenie poistného z dohôd). </w:t>
      </w:r>
    </w:p>
    <w:p w:rsidR="00C90DEA" w:rsidRPr="001C5A4C" w:rsidP="00C90DEA">
      <w:pPr>
        <w:bidi w:val="0"/>
        <w:rPr>
          <w:rFonts w:ascii="Times New Roman" w:hAnsi="Times New Roman"/>
        </w:rPr>
      </w:pPr>
    </w:p>
    <w:p w:rsidR="00C90DEA" w:rsidRPr="001C5A4C" w:rsidP="00C90DEA">
      <w:pPr>
        <w:bidi w:val="0"/>
        <w:ind w:firstLine="708"/>
        <w:jc w:val="both"/>
        <w:rPr>
          <w:rFonts w:ascii="Times New Roman" w:hAnsi="Times New Roman"/>
        </w:rPr>
      </w:pPr>
      <w:r w:rsidRPr="001C5A4C">
        <w:rPr>
          <w:rFonts w:ascii="Times New Roman" w:hAnsi="Times New Roman"/>
        </w:rPr>
        <w:t>Objem verejných zdrojov zo štátneho rozpočtu a od ekonomicky aktívnych osôb</w:t>
      </w:r>
      <w:r>
        <w:rPr>
          <w:rFonts w:ascii="Times New Roman" w:hAnsi="Times New Roman"/>
        </w:rPr>
        <w:t xml:space="preserve"> (ďalej len EAO)</w:t>
      </w:r>
      <w:r w:rsidRPr="001C5A4C">
        <w:rPr>
          <w:rFonts w:ascii="Times New Roman" w:hAnsi="Times New Roman"/>
        </w:rPr>
        <w:t xml:space="preserve"> do oblasti zdravotníctva sa rozpočtujú na rok 2013 vo výške 4,06 mld. eur, čo predstavuje oproti schválenému rozpočtu roku 2012 rast o 130 mil. eur, t. j. o 3,32</w:t>
      </w:r>
      <w:r w:rsidR="00976089">
        <w:rPr>
          <w:rFonts w:ascii="Times New Roman" w:hAnsi="Times New Roman"/>
        </w:rPr>
        <w:t xml:space="preserve"> </w:t>
      </w:r>
      <w:r w:rsidRPr="001C5A4C">
        <w:rPr>
          <w:rFonts w:ascii="Times New Roman" w:hAnsi="Times New Roman"/>
        </w:rPr>
        <w:t xml:space="preserve">%. </w:t>
      </w:r>
    </w:p>
    <w:p w:rsidR="00C90DEA" w:rsidRPr="001C5A4C" w:rsidP="00C90DEA">
      <w:pPr>
        <w:bidi w:val="0"/>
        <w:jc w:val="both"/>
        <w:rPr>
          <w:rFonts w:ascii="Times New Roman" w:hAnsi="Times New Roman"/>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300"/>
        </w:trPr>
        <w:tc>
          <w:tcPr>
            <w:tcW w:w="214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2010 S</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2011 S</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2012 R</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2012 OS</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2013 R</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2014 N</w:t>
            </w:r>
          </w:p>
        </w:tc>
        <w:tc>
          <w:tcPr>
            <w:tcW w:w="99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2015 N</w:t>
            </w:r>
          </w:p>
        </w:tc>
      </w:tr>
      <w:tr>
        <w:tblPrEx>
          <w:tblW w:w="9087" w:type="dxa"/>
          <w:tblInd w:w="55" w:type="dxa"/>
          <w:tblLayout w:type="fixed"/>
          <w:tblCellMar>
            <w:left w:w="70" w:type="dxa"/>
            <w:right w:w="70" w:type="dxa"/>
          </w:tblCellMar>
          <w:tblLook w:val="04A0"/>
        </w:tblPrEx>
        <w:trPr>
          <w:trHeight w:val="300"/>
        </w:trPr>
        <w:tc>
          <w:tcPr>
            <w:tcW w:w="2142"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C90DEA" w:rsidRPr="001C5A4C" w:rsidP="004B33C0">
            <w:pPr>
              <w:bidi w:val="0"/>
              <w:rPr>
                <w:rFonts w:ascii="Times New Roman" w:hAnsi="Times New Roman"/>
                <w:b/>
                <w:bCs/>
                <w:color w:val="000000"/>
                <w:sz w:val="14"/>
                <w:szCs w:val="14"/>
              </w:rPr>
            </w:pPr>
            <w:r w:rsidRPr="001C5A4C">
              <w:rPr>
                <w:rFonts w:ascii="Times New Roman" w:hAnsi="Times New Roman"/>
                <w:b/>
                <w:bCs/>
                <w:color w:val="000000"/>
                <w:sz w:val="14"/>
                <w:szCs w:val="14"/>
              </w:rPr>
              <w:t>Vybrané zdroje  spolu</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3 736 081 265</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3 747 454 878</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3 932 849 147</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3 967 581 294</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4 063 250 005</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4 187 399 053</w:t>
            </w:r>
          </w:p>
        </w:tc>
        <w:tc>
          <w:tcPr>
            <w:tcW w:w="993"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4 385 511 359</w:t>
            </w:r>
          </w:p>
        </w:tc>
      </w:tr>
      <w:tr>
        <w:tblPrEx>
          <w:tblW w:w="9087" w:type="dxa"/>
          <w:tblInd w:w="55" w:type="dxa"/>
          <w:tblLayout w:type="fixed"/>
          <w:tblCellMar>
            <w:left w:w="70" w:type="dxa"/>
            <w:right w:w="70" w:type="dxa"/>
          </w:tblCellMar>
          <w:tblLook w:val="04A0"/>
        </w:tblPrEx>
        <w:trPr>
          <w:trHeight w:val="300"/>
        </w:trPr>
        <w:tc>
          <w:tcPr>
            <w:tcW w:w="2142"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C90DEA" w:rsidRPr="001C5A4C" w:rsidP="004B33C0">
            <w:pPr>
              <w:bidi w:val="0"/>
              <w:rPr>
                <w:rFonts w:ascii="Times New Roman" w:hAnsi="Times New Roman"/>
                <w:i/>
                <w:iCs/>
                <w:color w:val="000000"/>
                <w:sz w:val="14"/>
                <w:szCs w:val="14"/>
              </w:rPr>
            </w:pPr>
            <w:r w:rsidRPr="001C5A4C">
              <w:rPr>
                <w:rFonts w:ascii="Times New Roman" w:hAnsi="Times New Roman"/>
                <w:i/>
                <w:iCs/>
                <w:color w:val="000000"/>
                <w:sz w:val="14"/>
                <w:szCs w:val="14"/>
              </w:rPr>
              <w:t>medziročná zmena zdrojov v %*</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i/>
                <w:iCs/>
                <w:color w:val="000000"/>
                <w:sz w:val="14"/>
                <w:szCs w:val="14"/>
                <w:lang w:eastAsia="sk-SK"/>
              </w:rPr>
            </w:pPr>
            <w:r w:rsidRPr="001C5A4C">
              <w:rPr>
                <w:rFonts w:ascii="Times New Roman" w:hAnsi="Times New Roman" w:cs="Times New Roman"/>
                <w:i/>
                <w:iCs/>
                <w:color w:val="000000"/>
                <w:sz w:val="14"/>
                <w:szCs w:val="14"/>
                <w:lang w:eastAsia="sk-SK"/>
              </w:rPr>
              <w:t>3,20</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i/>
                <w:iCs/>
                <w:color w:val="000000"/>
                <w:sz w:val="14"/>
                <w:szCs w:val="14"/>
                <w:lang w:eastAsia="sk-SK"/>
              </w:rPr>
            </w:pPr>
            <w:r w:rsidRPr="001C5A4C">
              <w:rPr>
                <w:rFonts w:ascii="Times New Roman" w:hAnsi="Times New Roman" w:cs="Times New Roman"/>
                <w:i/>
                <w:iCs/>
                <w:color w:val="000000"/>
                <w:sz w:val="14"/>
                <w:szCs w:val="14"/>
                <w:lang w:eastAsia="sk-SK"/>
              </w:rPr>
              <w:t>1,60</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i/>
                <w:iCs/>
                <w:color w:val="000000"/>
                <w:sz w:val="14"/>
                <w:szCs w:val="14"/>
                <w:lang w:eastAsia="sk-SK"/>
              </w:rPr>
            </w:pPr>
            <w:r w:rsidRPr="001C5A4C">
              <w:rPr>
                <w:rFonts w:ascii="Times New Roman" w:hAnsi="Times New Roman" w:cs="Times New Roman"/>
                <w:i/>
                <w:iCs/>
                <w:color w:val="000000"/>
                <w:sz w:val="14"/>
                <w:szCs w:val="14"/>
                <w:lang w:eastAsia="sk-SK"/>
              </w:rPr>
              <w:t>4,95</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i/>
                <w:iCs/>
                <w:color w:val="000000"/>
                <w:sz w:val="14"/>
                <w:szCs w:val="14"/>
                <w:lang w:eastAsia="sk-SK"/>
              </w:rPr>
            </w:pPr>
            <w:r w:rsidRPr="001C5A4C">
              <w:rPr>
                <w:rFonts w:ascii="Times New Roman" w:hAnsi="Times New Roman" w:cs="Times New Roman"/>
                <w:i/>
                <w:iCs/>
                <w:color w:val="000000"/>
                <w:sz w:val="14"/>
                <w:szCs w:val="14"/>
                <w:lang w:eastAsia="sk-SK"/>
              </w:rPr>
              <w:t>5,87</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i/>
                <w:iCs/>
                <w:color w:val="000000"/>
                <w:sz w:val="14"/>
                <w:szCs w:val="14"/>
                <w:lang w:eastAsia="sk-SK"/>
              </w:rPr>
            </w:pPr>
            <w:r w:rsidRPr="001C5A4C">
              <w:rPr>
                <w:rFonts w:ascii="Times New Roman" w:hAnsi="Times New Roman" w:cs="Times New Roman"/>
                <w:i/>
                <w:iCs/>
                <w:color w:val="000000"/>
                <w:sz w:val="14"/>
                <w:szCs w:val="14"/>
                <w:lang w:eastAsia="sk-SK"/>
              </w:rPr>
              <w:t>3,32</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i/>
                <w:iCs/>
                <w:color w:val="000000"/>
                <w:sz w:val="14"/>
                <w:szCs w:val="14"/>
                <w:lang w:eastAsia="sk-SK"/>
              </w:rPr>
            </w:pPr>
            <w:r w:rsidRPr="001C5A4C">
              <w:rPr>
                <w:rFonts w:ascii="Times New Roman" w:hAnsi="Times New Roman" w:cs="Times New Roman"/>
                <w:i/>
                <w:iCs/>
                <w:color w:val="000000"/>
                <w:sz w:val="14"/>
                <w:szCs w:val="14"/>
                <w:lang w:eastAsia="sk-SK"/>
              </w:rPr>
              <w:t>3,06</w:t>
            </w:r>
          </w:p>
        </w:tc>
        <w:tc>
          <w:tcPr>
            <w:tcW w:w="993"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i/>
                <w:iCs/>
                <w:color w:val="000000"/>
                <w:sz w:val="14"/>
                <w:szCs w:val="14"/>
                <w:lang w:eastAsia="sk-SK"/>
              </w:rPr>
            </w:pPr>
            <w:r w:rsidRPr="001C5A4C">
              <w:rPr>
                <w:rFonts w:ascii="Times New Roman" w:hAnsi="Times New Roman" w:cs="Times New Roman"/>
                <w:i/>
                <w:iCs/>
                <w:color w:val="000000"/>
                <w:sz w:val="14"/>
                <w:szCs w:val="14"/>
                <w:lang w:eastAsia="sk-SK"/>
              </w:rPr>
              <w:t>4,73</w:t>
            </w:r>
          </w:p>
        </w:tc>
      </w:tr>
      <w:tr>
        <w:tblPrEx>
          <w:tblW w:w="9087" w:type="dxa"/>
          <w:tblInd w:w="55" w:type="dxa"/>
          <w:tblLayout w:type="fixed"/>
          <w:tblCellMar>
            <w:left w:w="70" w:type="dxa"/>
            <w:right w:w="70" w:type="dxa"/>
          </w:tblCellMar>
          <w:tblLook w:val="04A0"/>
        </w:tblPrEx>
        <w:trPr>
          <w:trHeight w:val="300"/>
        </w:trPr>
        <w:tc>
          <w:tcPr>
            <w:tcW w:w="2142"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olor w:val="000000"/>
                <w:sz w:val="14"/>
                <w:szCs w:val="14"/>
              </w:rPr>
            </w:pPr>
            <w:r w:rsidRPr="001C5A4C">
              <w:rPr>
                <w:rFonts w:ascii="Times New Roman" w:hAnsi="Times New Roman"/>
                <w:color w:val="000000"/>
                <w:sz w:val="14"/>
                <w:szCs w:val="14"/>
              </w:rPr>
              <w:t>ZP - príjmy od EAO (vrátane RZZP**)</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2 230 622 509</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2 373 516 458</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2 464 708 000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2 419 445 000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2 645 012 172</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2 810 597 400</w:t>
            </w:r>
          </w:p>
        </w:tc>
        <w:tc>
          <w:tcPr>
            <w:tcW w:w="993"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2 974 992 185</w:t>
            </w:r>
          </w:p>
        </w:tc>
      </w:tr>
      <w:tr>
        <w:tblPrEx>
          <w:tblW w:w="9087" w:type="dxa"/>
          <w:tblInd w:w="55" w:type="dxa"/>
          <w:tblLayout w:type="fixed"/>
          <w:tblCellMar>
            <w:left w:w="70" w:type="dxa"/>
            <w:right w:w="70" w:type="dxa"/>
          </w:tblCellMar>
          <w:tblLook w:val="04A0"/>
        </w:tblPrEx>
        <w:trPr>
          <w:trHeight w:val="300"/>
        </w:trPr>
        <w:tc>
          <w:tcPr>
            <w:tcW w:w="2142"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olor w:val="000000"/>
                <w:sz w:val="14"/>
                <w:szCs w:val="14"/>
              </w:rPr>
            </w:pPr>
            <w:r w:rsidRPr="001C5A4C">
              <w:rPr>
                <w:rFonts w:ascii="Times New Roman" w:hAnsi="Times New Roman"/>
                <w:color w:val="000000"/>
                <w:sz w:val="14"/>
                <w:szCs w:val="14"/>
              </w:rPr>
              <w:t>ZP - príjmy za poistencov štátu (preddavky)</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1 282 803 160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1 197 816 000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1 218 096 000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1 268 096 000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1 263 888 000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1 294 115 240</w:t>
            </w:r>
          </w:p>
        </w:tc>
        <w:tc>
          <w:tcPr>
            <w:tcW w:w="993"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1 338 574 822</w:t>
            </w:r>
          </w:p>
        </w:tc>
      </w:tr>
      <w:tr>
        <w:tblPrEx>
          <w:tblW w:w="9087" w:type="dxa"/>
          <w:tblInd w:w="55" w:type="dxa"/>
          <w:tblLayout w:type="fixed"/>
          <w:tblCellMar>
            <w:left w:w="70" w:type="dxa"/>
            <w:right w:w="70" w:type="dxa"/>
          </w:tblCellMar>
          <w:tblLook w:val="04A0"/>
        </w:tblPrEx>
        <w:trPr>
          <w:trHeight w:val="300"/>
        </w:trPr>
        <w:tc>
          <w:tcPr>
            <w:tcW w:w="2142"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olor w:val="000000"/>
                <w:sz w:val="14"/>
                <w:szCs w:val="14"/>
              </w:rPr>
            </w:pPr>
            <w:r w:rsidRPr="001C5A4C">
              <w:rPr>
                <w:rFonts w:ascii="Times New Roman" w:hAnsi="Times New Roman"/>
                <w:color w:val="000000"/>
                <w:sz w:val="14"/>
                <w:szCs w:val="14"/>
              </w:rPr>
              <w:t>ZP - príjmy za poistencov štátu (RZZP**)</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58 421 575</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9 733 167</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75 000 000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83 377 746</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19 213 576</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0</w:t>
            </w:r>
          </w:p>
        </w:tc>
        <w:tc>
          <w:tcPr>
            <w:tcW w:w="993"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0</w:t>
            </w:r>
          </w:p>
        </w:tc>
      </w:tr>
      <w:tr>
        <w:tblPrEx>
          <w:tblW w:w="9087" w:type="dxa"/>
          <w:tblInd w:w="55" w:type="dxa"/>
          <w:tblLayout w:type="fixed"/>
          <w:tblCellMar>
            <w:left w:w="70" w:type="dxa"/>
            <w:right w:w="70" w:type="dxa"/>
          </w:tblCellMar>
          <w:tblLook w:val="04A0"/>
        </w:tblPrEx>
        <w:trPr>
          <w:trHeight w:val="300"/>
        </w:trPr>
        <w:tc>
          <w:tcPr>
            <w:tcW w:w="2142"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olor w:val="000000"/>
                <w:sz w:val="14"/>
                <w:szCs w:val="14"/>
              </w:rPr>
            </w:pPr>
            <w:r w:rsidRPr="001C5A4C">
              <w:rPr>
                <w:rFonts w:ascii="Times New Roman" w:hAnsi="Times New Roman"/>
                <w:color w:val="000000"/>
                <w:sz w:val="14"/>
                <w:szCs w:val="14"/>
              </w:rPr>
              <w:t>MZ SR (bez platby štátu, EÚ prostriedkov a spolufinancovania)</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75 436 348</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74 480 712</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69 648 415</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79 156 909</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67 873 257</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67 880 413</w:t>
            </w:r>
          </w:p>
        </w:tc>
        <w:tc>
          <w:tcPr>
            <w:tcW w:w="993"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68 004 186</w:t>
            </w:r>
          </w:p>
        </w:tc>
      </w:tr>
      <w:tr>
        <w:tblPrEx>
          <w:tblW w:w="9087" w:type="dxa"/>
          <w:tblInd w:w="55" w:type="dxa"/>
          <w:tblLayout w:type="fixed"/>
          <w:tblCellMar>
            <w:left w:w="70" w:type="dxa"/>
            <w:right w:w="70" w:type="dxa"/>
          </w:tblCellMar>
          <w:tblLook w:val="04A0"/>
        </w:tblPrEx>
        <w:trPr>
          <w:trHeight w:val="300"/>
        </w:trPr>
        <w:tc>
          <w:tcPr>
            <w:tcW w:w="2142"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olor w:val="000000"/>
                <w:sz w:val="14"/>
                <w:szCs w:val="14"/>
              </w:rPr>
            </w:pPr>
            <w:r w:rsidRPr="001C5A4C">
              <w:rPr>
                <w:rFonts w:ascii="Times New Roman" w:hAnsi="Times New Roman"/>
                <w:color w:val="000000"/>
                <w:sz w:val="14"/>
                <w:szCs w:val="14"/>
              </w:rPr>
              <w:t>MZ SR (EÚ prostriedky a  spolufinancovanie)</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53 697 673</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91 908 541</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105 396 732</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117 505 639</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67 263 000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14 806 000</w:t>
            </w:r>
          </w:p>
        </w:tc>
        <w:tc>
          <w:tcPr>
            <w:tcW w:w="993"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3 940 166</w:t>
            </w:r>
          </w:p>
        </w:tc>
      </w:tr>
      <w:tr>
        <w:tblPrEx>
          <w:tblW w:w="9087" w:type="dxa"/>
          <w:tblInd w:w="55" w:type="dxa"/>
          <w:tblLayout w:type="fixed"/>
          <w:tblCellMar>
            <w:left w:w="70" w:type="dxa"/>
            <w:right w:w="70" w:type="dxa"/>
          </w:tblCellMar>
          <w:tblLook w:val="04A0"/>
        </w:tblPrEx>
        <w:trPr>
          <w:trHeight w:val="300"/>
        </w:trPr>
        <w:tc>
          <w:tcPr>
            <w:tcW w:w="2142"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olor w:val="000000"/>
                <w:sz w:val="14"/>
                <w:szCs w:val="14"/>
              </w:rPr>
            </w:pPr>
            <w:r w:rsidRPr="001C5A4C">
              <w:rPr>
                <w:rFonts w:ascii="Times New Roman" w:hAnsi="Times New Roman"/>
                <w:color w:val="000000"/>
                <w:sz w:val="14"/>
                <w:szCs w:val="14"/>
              </w:rPr>
              <w:t>Zvýšenie ZI pre VšZP</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35 100 000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0</w:t>
            </w:r>
          </w:p>
        </w:tc>
        <w:tc>
          <w:tcPr>
            <w:tcW w:w="99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0</w:t>
            </w:r>
          </w:p>
        </w:tc>
        <w:tc>
          <w:tcPr>
            <w:tcW w:w="993"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0</w:t>
            </w:r>
          </w:p>
        </w:tc>
      </w:tr>
    </w:tbl>
    <w:p w:rsidR="00C90DEA" w:rsidRPr="001C5A4C" w:rsidP="00C90DEA">
      <w:pPr>
        <w:bidi w:val="0"/>
        <w:rPr>
          <w:rFonts w:ascii="Times New Roman" w:hAnsi="Times New Roman"/>
          <w:color w:val="000000"/>
          <w:sz w:val="14"/>
          <w:szCs w:val="14"/>
        </w:rPr>
      </w:pPr>
      <w:r w:rsidRPr="001C5A4C">
        <w:rPr>
          <w:rFonts w:ascii="Times New Roman" w:hAnsi="Times New Roman"/>
          <w:color w:val="000000"/>
          <w:sz w:val="14"/>
          <w:szCs w:val="14"/>
        </w:rPr>
        <w:t>*   pre  2013 R  je uvedený nárast oproti schválenému rozpočtu 2012</w:t>
      </w:r>
    </w:p>
    <w:p w:rsidR="00C90DEA" w:rsidRPr="001C5A4C" w:rsidP="00C90DEA">
      <w:pPr>
        <w:bidi w:val="0"/>
        <w:rPr>
          <w:rFonts w:ascii="Times New Roman" w:hAnsi="Times New Roman"/>
          <w:color w:val="000000"/>
          <w:sz w:val="14"/>
          <w:szCs w:val="14"/>
        </w:rPr>
      </w:pPr>
      <w:r w:rsidRPr="001C5A4C">
        <w:rPr>
          <w:rFonts w:ascii="Times New Roman" w:hAnsi="Times New Roman"/>
          <w:color w:val="000000"/>
          <w:sz w:val="14"/>
          <w:szCs w:val="14"/>
        </w:rPr>
        <w:t xml:space="preserve">** RZZP - ročné zúčtovanie verejného zdravotného poistenia </w:t>
      </w:r>
    </w:p>
    <w:p w:rsidR="00C90DEA" w:rsidRPr="001C5A4C" w:rsidP="00C90DEA">
      <w:pPr>
        <w:bidi w:val="0"/>
        <w:jc w:val="both"/>
        <w:rPr>
          <w:rFonts w:ascii="Times New Roman" w:hAnsi="Times New Roman"/>
          <w:bCs/>
          <w:highlight w:val="yellow"/>
        </w:rPr>
      </w:pPr>
    </w:p>
    <w:p w:rsidR="00C90DEA" w:rsidRPr="001C5A4C" w:rsidP="00C90DEA">
      <w:pPr>
        <w:bidi w:val="0"/>
        <w:jc w:val="both"/>
        <w:rPr>
          <w:rFonts w:ascii="Times New Roman" w:hAnsi="Times New Roman"/>
          <w:b/>
          <w:bCs/>
        </w:rPr>
      </w:pPr>
      <w:r w:rsidRPr="001C5A4C">
        <w:rPr>
          <w:rFonts w:ascii="Times New Roman" w:hAnsi="Times New Roman"/>
          <w:b/>
          <w:bCs/>
        </w:rPr>
        <w:t>Ministerstvo zdravotníctva SR</w:t>
      </w:r>
    </w:p>
    <w:p w:rsidR="00C90DEA" w:rsidRPr="001C5A4C" w:rsidP="00C90DEA">
      <w:pPr>
        <w:bidi w:val="0"/>
        <w:jc w:val="both"/>
        <w:rPr>
          <w:rFonts w:ascii="Times New Roman" w:hAnsi="Times New Roman"/>
          <w:bCs/>
          <w:highlight w:val="yellow"/>
        </w:rPr>
      </w:pPr>
    </w:p>
    <w:tbl>
      <w:tblPr>
        <w:tblStyle w:val="TableNormal"/>
        <w:tblW w:w="9147" w:type="dxa"/>
        <w:tblInd w:w="65" w:type="dxa"/>
        <w:tblLayout w:type="fixed"/>
        <w:tblCellMar>
          <w:left w:w="70" w:type="dxa"/>
          <w:right w:w="70" w:type="dxa"/>
        </w:tblCellMar>
        <w:tblLook w:val="04A0"/>
      </w:tblPr>
      <w:tblGrid>
        <w:gridCol w:w="2110"/>
        <w:gridCol w:w="1005"/>
        <w:gridCol w:w="1005"/>
        <w:gridCol w:w="1005"/>
        <w:gridCol w:w="1006"/>
        <w:gridCol w:w="1005"/>
        <w:gridCol w:w="1005"/>
        <w:gridCol w:w="1006"/>
      </w:tblGrid>
      <w:tr>
        <w:tblPrEx>
          <w:tblW w:w="9147" w:type="dxa"/>
          <w:tblInd w:w="65" w:type="dxa"/>
          <w:tblLayout w:type="fixed"/>
          <w:tblCellMar>
            <w:left w:w="70" w:type="dxa"/>
            <w:right w:w="70" w:type="dxa"/>
          </w:tblCellMar>
          <w:tblLook w:val="04A0"/>
        </w:tblPrEx>
        <w:trPr>
          <w:trHeight w:val="255"/>
        </w:trPr>
        <w:tc>
          <w:tcPr>
            <w:tcW w:w="211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rPr>
                <w:rFonts w:ascii="Times New Roman" w:hAnsi="Times New Roman" w:cs="Times New Roman"/>
                <w:b/>
                <w:sz w:val="14"/>
                <w:szCs w:val="14"/>
                <w:lang w:eastAsia="sk-SK"/>
              </w:rPr>
            </w:pPr>
            <w:r w:rsidRPr="001C5A4C">
              <w:rPr>
                <w:rFonts w:ascii="Times New Roman" w:hAnsi="Times New Roman" w:cs="Times New Roman"/>
                <w:b/>
                <w:sz w:val="14"/>
                <w:szCs w:val="14"/>
                <w:lang w:eastAsia="sk-SK"/>
              </w:rPr>
              <w:t>v eurách</w:t>
            </w:r>
          </w:p>
        </w:tc>
        <w:tc>
          <w:tcPr>
            <w:tcW w:w="100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2010 S</w:t>
            </w:r>
          </w:p>
        </w:tc>
        <w:tc>
          <w:tcPr>
            <w:tcW w:w="100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2011 S</w:t>
            </w:r>
          </w:p>
        </w:tc>
        <w:tc>
          <w:tcPr>
            <w:tcW w:w="100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2012 R</w:t>
            </w:r>
          </w:p>
        </w:tc>
        <w:tc>
          <w:tcPr>
            <w:tcW w:w="1006"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OS 2012</w:t>
            </w:r>
          </w:p>
        </w:tc>
        <w:tc>
          <w:tcPr>
            <w:tcW w:w="100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2013 R</w:t>
            </w:r>
          </w:p>
        </w:tc>
        <w:tc>
          <w:tcPr>
            <w:tcW w:w="100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2014 N</w:t>
            </w:r>
          </w:p>
        </w:tc>
        <w:tc>
          <w:tcPr>
            <w:tcW w:w="1006"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2015 N</w:t>
            </w:r>
          </w:p>
        </w:tc>
      </w:tr>
      <w:tr>
        <w:tblPrEx>
          <w:tblW w:w="9147" w:type="dxa"/>
          <w:tblInd w:w="65" w:type="dxa"/>
          <w:tblLayout w:type="fixed"/>
          <w:tblCellMar>
            <w:left w:w="70" w:type="dxa"/>
            <w:right w:w="70" w:type="dxa"/>
          </w:tblCellMar>
          <w:tblLook w:val="04A0"/>
        </w:tblPrEx>
        <w:trPr>
          <w:trHeight w:val="255"/>
        </w:trPr>
        <w:tc>
          <w:tcPr>
            <w:tcW w:w="211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C90DEA" w:rsidRPr="001C5A4C" w:rsidP="004B33C0">
            <w:pPr>
              <w:bidi w:val="0"/>
              <w:rPr>
                <w:rFonts w:ascii="Times New Roman" w:hAnsi="Times New Roman"/>
                <w:b/>
                <w:bCs/>
                <w:sz w:val="14"/>
                <w:szCs w:val="14"/>
              </w:rPr>
            </w:pPr>
            <w:r w:rsidRPr="001C5A4C">
              <w:rPr>
                <w:rFonts w:ascii="Times New Roman" w:hAnsi="Times New Roman"/>
                <w:b/>
                <w:bCs/>
                <w:sz w:val="14"/>
                <w:szCs w:val="14"/>
              </w:rPr>
              <w:t>Ministerstvo zdravotníctva SR</w:t>
            </w:r>
          </w:p>
        </w:tc>
        <w:tc>
          <w:tcPr>
            <w:tcW w:w="1005"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1 470 358 756</w:t>
            </w:r>
          </w:p>
        </w:tc>
        <w:tc>
          <w:tcPr>
            <w:tcW w:w="1005"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1 373 938 421</w:t>
            </w:r>
          </w:p>
        </w:tc>
        <w:tc>
          <w:tcPr>
            <w:tcW w:w="1005"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1 393 141 147</w:t>
            </w:r>
          </w:p>
        </w:tc>
        <w:tc>
          <w:tcPr>
            <w:tcW w:w="1006"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1 464 758 547</w:t>
            </w:r>
          </w:p>
        </w:tc>
        <w:tc>
          <w:tcPr>
            <w:tcW w:w="1005"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1 399 024 257</w:t>
            </w:r>
          </w:p>
        </w:tc>
        <w:tc>
          <w:tcPr>
            <w:tcW w:w="1005"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1 376 801 653</w:t>
            </w:r>
          </w:p>
        </w:tc>
        <w:tc>
          <w:tcPr>
            <w:tcW w:w="1006" w:type="dxa"/>
            <w:tcBorders>
              <w:top w:val="nil"/>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1 410 519 174</w:t>
            </w:r>
          </w:p>
        </w:tc>
      </w:tr>
      <w:tr>
        <w:tblPrEx>
          <w:tblW w:w="9147" w:type="dxa"/>
          <w:tblInd w:w="65" w:type="dxa"/>
          <w:tblLayout w:type="fixed"/>
          <w:tblCellMar>
            <w:left w:w="70" w:type="dxa"/>
            <w:right w:w="70" w:type="dxa"/>
          </w:tblCellMar>
          <w:tblLook w:val="04A0"/>
        </w:tblPrEx>
        <w:trPr>
          <w:trHeight w:val="255"/>
        </w:trPr>
        <w:tc>
          <w:tcPr>
            <w:tcW w:w="2110" w:type="dxa"/>
            <w:tcBorders>
              <w:top w:val="nil"/>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sz w:val="14"/>
                <w:szCs w:val="14"/>
              </w:rPr>
            </w:pPr>
            <w:r w:rsidRPr="001C5A4C">
              <w:rPr>
                <w:rFonts w:ascii="Times New Roman" w:hAnsi="Times New Roman"/>
                <w:sz w:val="14"/>
                <w:szCs w:val="14"/>
              </w:rPr>
              <w:t>z toho:</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1005" w:type="dxa"/>
            <w:tcBorders>
              <w:top w:val="nil"/>
              <w:left w:val="nil"/>
              <w:bottom w:val="single" w:sz="4" w:space="0" w:color="auto"/>
              <w:right w:val="single" w:sz="4" w:space="0" w:color="auto"/>
            </w:tcBorders>
            <w:shd w:val="clear" w:color="000000" w:fill="auto"/>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w:t>
            </w:r>
          </w:p>
        </w:tc>
      </w:tr>
      <w:tr>
        <w:tblPrEx>
          <w:tblW w:w="9147" w:type="dxa"/>
          <w:tblInd w:w="65" w:type="dxa"/>
          <w:tblLayout w:type="fixed"/>
          <w:tblCellMar>
            <w:left w:w="70" w:type="dxa"/>
            <w:right w:w="70" w:type="dxa"/>
          </w:tblCellMar>
          <w:tblLook w:val="04A0"/>
        </w:tblPrEx>
        <w:trPr>
          <w:trHeight w:val="255"/>
        </w:trPr>
        <w:tc>
          <w:tcPr>
            <w:tcW w:w="2110"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sz w:val="14"/>
                <w:szCs w:val="14"/>
              </w:rPr>
            </w:pPr>
            <w:r w:rsidRPr="001C5A4C">
              <w:rPr>
                <w:rFonts w:ascii="Times New Roman" w:hAnsi="Times New Roman"/>
                <w:sz w:val="14"/>
                <w:szCs w:val="14"/>
              </w:rPr>
              <w:t>poistné platené štátom - preddavky</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1 341 224 735</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1 207 549 167</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1 218 096 000</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1 268 096 000</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1 263 888 000</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1 294 115 240</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1 338 574 822</w:t>
            </w:r>
          </w:p>
        </w:tc>
      </w:tr>
      <w:tr>
        <w:tblPrEx>
          <w:tblW w:w="9147" w:type="dxa"/>
          <w:tblInd w:w="65" w:type="dxa"/>
          <w:tblLayout w:type="fixed"/>
          <w:tblCellMar>
            <w:left w:w="70" w:type="dxa"/>
            <w:right w:w="70" w:type="dxa"/>
          </w:tblCellMar>
          <w:tblLook w:val="04A0"/>
        </w:tblPrEx>
        <w:trPr>
          <w:trHeight w:val="255"/>
        </w:trPr>
        <w:tc>
          <w:tcPr>
            <w:tcW w:w="2110"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sz w:val="14"/>
                <w:szCs w:val="14"/>
              </w:rPr>
            </w:pPr>
            <w:r w:rsidRPr="001C5A4C">
              <w:rPr>
                <w:rFonts w:ascii="Times New Roman" w:hAnsi="Times New Roman"/>
                <w:sz w:val="14"/>
                <w:szCs w:val="14"/>
              </w:rPr>
              <w:t xml:space="preserve">príspevok na činnosť OS ZZS </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11 252 366</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11 747 014</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11 908 475</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11 907 042</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12 538 305</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13 060 978</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13 648 170</w:t>
            </w:r>
          </w:p>
        </w:tc>
      </w:tr>
      <w:tr>
        <w:tblPrEx>
          <w:tblW w:w="9147" w:type="dxa"/>
          <w:tblInd w:w="65" w:type="dxa"/>
          <w:tblLayout w:type="fixed"/>
          <w:tblCellMar>
            <w:left w:w="70" w:type="dxa"/>
            <w:right w:w="70" w:type="dxa"/>
          </w:tblCellMar>
          <w:tblLook w:val="04A0"/>
        </w:tblPrEx>
        <w:trPr>
          <w:trHeight w:val="255"/>
        </w:trPr>
        <w:tc>
          <w:tcPr>
            <w:tcW w:w="2110"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sz w:val="14"/>
                <w:szCs w:val="14"/>
              </w:rPr>
            </w:pPr>
            <w:r w:rsidRPr="001C5A4C">
              <w:rPr>
                <w:rFonts w:ascii="Times New Roman" w:hAnsi="Times New Roman"/>
                <w:sz w:val="14"/>
                <w:szCs w:val="14"/>
              </w:rPr>
              <w:t xml:space="preserve">výdavky kapitoly na činnosť </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62 919 012</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61 659 699</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57 739 940</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67 249 867</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55 334 952</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54 819 435</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54 356 016</w:t>
            </w:r>
          </w:p>
        </w:tc>
      </w:tr>
      <w:tr>
        <w:tblPrEx>
          <w:tblW w:w="9147" w:type="dxa"/>
          <w:tblInd w:w="65" w:type="dxa"/>
          <w:tblLayout w:type="fixed"/>
          <w:tblCellMar>
            <w:left w:w="70" w:type="dxa"/>
            <w:right w:w="70" w:type="dxa"/>
          </w:tblCellMar>
          <w:tblLook w:val="04A0"/>
        </w:tblPrEx>
        <w:trPr>
          <w:trHeight w:val="255"/>
        </w:trPr>
        <w:tc>
          <w:tcPr>
            <w:tcW w:w="2110"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sz w:val="14"/>
                <w:szCs w:val="14"/>
              </w:rPr>
            </w:pPr>
            <w:r w:rsidRPr="001C5A4C">
              <w:rPr>
                <w:rFonts w:ascii="Times New Roman" w:hAnsi="Times New Roman"/>
                <w:sz w:val="14"/>
                <w:szCs w:val="14"/>
              </w:rPr>
              <w:t>prostriedky EÚ</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18 683 365</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76 649 996</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89 558 502</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98 294 059</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57 137 000</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12 537 000</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3 336 525</w:t>
            </w:r>
          </w:p>
        </w:tc>
      </w:tr>
      <w:tr>
        <w:tblPrEx>
          <w:tblW w:w="9147" w:type="dxa"/>
          <w:tblInd w:w="65" w:type="dxa"/>
          <w:tblLayout w:type="fixed"/>
          <w:tblCellMar>
            <w:left w:w="70" w:type="dxa"/>
            <w:right w:w="70" w:type="dxa"/>
          </w:tblCellMar>
          <w:tblLook w:val="04A0"/>
        </w:tblPrEx>
        <w:trPr>
          <w:trHeight w:val="255"/>
        </w:trPr>
        <w:tc>
          <w:tcPr>
            <w:tcW w:w="2110"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sz w:val="14"/>
                <w:szCs w:val="14"/>
              </w:rPr>
            </w:pPr>
            <w:r w:rsidRPr="001C5A4C">
              <w:rPr>
                <w:rFonts w:ascii="Times New Roman" w:hAnsi="Times New Roman"/>
                <w:sz w:val="14"/>
                <w:szCs w:val="14"/>
              </w:rPr>
              <w:t>spolufinancovanie k zdrojom EÚ</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3 297 081</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14 886 615</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15 838 230</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19 211 579</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10 126 000</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2 269 000</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603 641</w:t>
            </w:r>
          </w:p>
        </w:tc>
      </w:tr>
      <w:tr>
        <w:tblPrEx>
          <w:tblW w:w="9147" w:type="dxa"/>
          <w:tblInd w:w="65" w:type="dxa"/>
          <w:tblLayout w:type="fixed"/>
          <w:tblCellMar>
            <w:left w:w="70" w:type="dxa"/>
            <w:right w:w="70" w:type="dxa"/>
          </w:tblCellMar>
          <w:tblLook w:val="04A0"/>
        </w:tblPrEx>
        <w:trPr>
          <w:trHeight w:val="255"/>
        </w:trPr>
        <w:tc>
          <w:tcPr>
            <w:tcW w:w="2110"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sz w:val="14"/>
                <w:szCs w:val="14"/>
              </w:rPr>
            </w:pPr>
            <w:r w:rsidRPr="001C5A4C">
              <w:rPr>
                <w:rFonts w:ascii="Times New Roman" w:hAnsi="Times New Roman"/>
                <w:sz w:val="14"/>
                <w:szCs w:val="14"/>
              </w:rPr>
              <w:t>presun z minulých rokov</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32 982 197</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1 445 930</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100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100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r>
    </w:tbl>
    <w:p w:rsidR="00C90DEA" w:rsidRPr="001C5A4C" w:rsidP="00C90DEA">
      <w:pPr>
        <w:bidi w:val="0"/>
        <w:jc w:val="both"/>
        <w:rPr>
          <w:rFonts w:ascii="Times New Roman" w:hAnsi="Times New Roman"/>
          <w:b/>
          <w:bCs/>
          <w:highlight w:val="yellow"/>
        </w:rPr>
      </w:pPr>
    </w:p>
    <w:p w:rsidR="00C90DEA" w:rsidRPr="00CF4AFE" w:rsidP="00C90DEA">
      <w:pPr>
        <w:bidi w:val="0"/>
        <w:ind w:firstLine="708"/>
        <w:jc w:val="both"/>
        <w:rPr>
          <w:rFonts w:ascii="Times New Roman" w:hAnsi="Times New Roman"/>
        </w:rPr>
      </w:pPr>
      <w:r w:rsidRPr="00CF4AFE">
        <w:rPr>
          <w:rFonts w:ascii="Times New Roman" w:hAnsi="Times New Roman"/>
        </w:rPr>
        <w:t xml:space="preserve">Poistné platené štátom na verejné zdravotné poistenie je určené pre zákonom vymedzené kategórie osôb. Sadzba pre výpočet poistného sa </w:t>
      </w:r>
      <w:r w:rsidR="00976089">
        <w:rPr>
          <w:rFonts w:ascii="Times New Roman" w:hAnsi="Times New Roman"/>
        </w:rPr>
        <w:t>na</w:t>
      </w:r>
      <w:r w:rsidRPr="00CF4AFE">
        <w:rPr>
          <w:rFonts w:ascii="Times New Roman" w:hAnsi="Times New Roman"/>
        </w:rPr>
        <w:t xml:space="preserve"> rok 2013, vzhľadom na zmeny pripravované Ministerstvom zdravotníctva SR, očakáva vo výške 4,25 %. V prípade negatívneho vývoja bude nevyhnutné pristúpiť k legislatívnym úpravám. </w:t>
      </w:r>
    </w:p>
    <w:p w:rsidR="00C90DEA" w:rsidRPr="00CF4AFE" w:rsidP="00C90DEA">
      <w:pPr>
        <w:bidi w:val="0"/>
        <w:ind w:firstLine="708"/>
        <w:jc w:val="both"/>
        <w:rPr>
          <w:rFonts w:ascii="Times New Roman" w:hAnsi="Times New Roman"/>
        </w:rPr>
      </w:pPr>
    </w:p>
    <w:p w:rsidR="00C90DEA" w:rsidRPr="001C5A4C" w:rsidP="00C90DEA">
      <w:pPr>
        <w:bidi w:val="0"/>
        <w:ind w:firstLine="708"/>
        <w:jc w:val="both"/>
        <w:rPr>
          <w:rFonts w:ascii="Times New Roman" w:hAnsi="Times New Roman"/>
        </w:rPr>
      </w:pPr>
      <w:r w:rsidRPr="00CF4AFE">
        <w:rPr>
          <w:rFonts w:ascii="Times New Roman" w:hAnsi="Times New Roman"/>
        </w:rPr>
        <w:t xml:space="preserve">Platba na jedného poistenca na mesiac </w:t>
      </w:r>
      <w:r w:rsidR="00976089">
        <w:rPr>
          <w:rFonts w:ascii="Times New Roman" w:hAnsi="Times New Roman"/>
        </w:rPr>
        <w:t>na</w:t>
      </w:r>
      <w:r w:rsidRPr="00CF4AFE">
        <w:rPr>
          <w:rFonts w:ascii="Times New Roman" w:hAnsi="Times New Roman"/>
        </w:rPr>
        <w:t xml:space="preserve"> rok 2013 vzrastie o 8,71 % oproti schválenému rozpočtu roku 2012, a to na úroveň 33,44 eur. Medziročný rast preddavkov na poistné platené štátom predstavuje v roku 2013 zvýšenie o 45,8 mil. eur, t. j. o 3,76 %. Počet poistencov štátu na rozpočtové obdobie 2013 až 2015 sa očakáva na úrovni 3 150 000.</w:t>
      </w:r>
      <w:r w:rsidRPr="001C5A4C">
        <w:rPr>
          <w:rFonts w:ascii="Times New Roman" w:hAnsi="Times New Roman"/>
        </w:rPr>
        <w:t xml:space="preserve">  </w:t>
      </w:r>
    </w:p>
    <w:p w:rsidR="00C90DEA" w:rsidRPr="001C5A4C" w:rsidP="00C90DEA">
      <w:pPr>
        <w:bidi w:val="0"/>
        <w:ind w:firstLine="708"/>
        <w:jc w:val="both"/>
        <w:rPr>
          <w:rFonts w:ascii="Times New Roman" w:hAnsi="Times New Roman"/>
        </w:rPr>
      </w:pPr>
    </w:p>
    <w:p w:rsidR="00C90DEA" w:rsidRPr="001C5A4C" w:rsidP="00C90DEA">
      <w:pPr>
        <w:bidi w:val="0"/>
        <w:ind w:firstLine="708"/>
        <w:jc w:val="both"/>
        <w:rPr>
          <w:rFonts w:ascii="Times New Roman" w:hAnsi="Times New Roman"/>
        </w:rPr>
      </w:pPr>
      <w:r w:rsidRPr="001C5A4C">
        <w:rPr>
          <w:rFonts w:ascii="Times New Roman" w:hAnsi="Times New Roman"/>
        </w:rPr>
        <w:t>V roku 2013 sa vplyvom zvýšen</w:t>
      </w:r>
      <w:r>
        <w:rPr>
          <w:rFonts w:ascii="Times New Roman" w:hAnsi="Times New Roman"/>
        </w:rPr>
        <w:t>ia</w:t>
      </w:r>
      <w:r w:rsidRPr="001C5A4C">
        <w:rPr>
          <w:rFonts w:ascii="Times New Roman" w:hAnsi="Times New Roman"/>
        </w:rPr>
        <w:t xml:space="preserve"> počtu poistencov </w:t>
      </w:r>
      <w:r>
        <w:rPr>
          <w:rFonts w:ascii="Times New Roman" w:hAnsi="Times New Roman"/>
        </w:rPr>
        <w:t xml:space="preserve">štátu </w:t>
      </w:r>
      <w:r w:rsidRPr="001C5A4C">
        <w:rPr>
          <w:rFonts w:ascii="Times New Roman" w:hAnsi="Times New Roman"/>
        </w:rPr>
        <w:t>v</w:t>
      </w:r>
      <w:r>
        <w:rPr>
          <w:rFonts w:ascii="Times New Roman" w:hAnsi="Times New Roman"/>
        </w:rPr>
        <w:t xml:space="preserve"> priebehu </w:t>
      </w:r>
      <w:r w:rsidRPr="001C5A4C">
        <w:rPr>
          <w:rFonts w:ascii="Times New Roman" w:hAnsi="Times New Roman"/>
        </w:rPr>
        <w:t>rok</w:t>
      </w:r>
      <w:r>
        <w:rPr>
          <w:rFonts w:ascii="Times New Roman" w:hAnsi="Times New Roman"/>
        </w:rPr>
        <w:t>a</w:t>
      </w:r>
      <w:r w:rsidRPr="001C5A4C">
        <w:rPr>
          <w:rFonts w:ascii="Times New Roman" w:hAnsi="Times New Roman"/>
        </w:rPr>
        <w:t xml:space="preserve"> 2012 predpokladá úhrada ročného zúčtovania poistného plateného štátom za rok 2012 vo výške 19,2 mil. eur, </w:t>
      </w:r>
      <w:r>
        <w:rPr>
          <w:rFonts w:ascii="Times New Roman" w:hAnsi="Times New Roman"/>
        </w:rPr>
        <w:t xml:space="preserve">ktorá je </w:t>
      </w:r>
      <w:r w:rsidRPr="001C5A4C">
        <w:rPr>
          <w:rFonts w:ascii="Times New Roman" w:hAnsi="Times New Roman"/>
        </w:rPr>
        <w:t>rozpočtovaná v kapitole Všeobecná pokladničná správa. Výška ročného zúčtovania poistného zohľadňuje údaje o počte poistencov štátu evidované v roku 2012 v centrálnom registri poistencov.</w:t>
      </w:r>
    </w:p>
    <w:p w:rsidR="00C90DEA" w:rsidRPr="001C5A4C" w:rsidP="00C90DEA">
      <w:pPr>
        <w:bidi w:val="0"/>
        <w:jc w:val="both"/>
        <w:rPr>
          <w:rFonts w:ascii="Times New Roman" w:hAnsi="Times New Roman"/>
          <w:highlight w:val="yellow"/>
        </w:rPr>
      </w:pPr>
    </w:p>
    <w:tbl>
      <w:tblPr>
        <w:tblStyle w:val="TableNormal"/>
        <w:tblW w:w="9147" w:type="dxa"/>
        <w:tblInd w:w="65" w:type="dxa"/>
        <w:tblLayout w:type="fixed"/>
        <w:tblCellMar>
          <w:left w:w="70" w:type="dxa"/>
          <w:right w:w="70" w:type="dxa"/>
        </w:tblCellMar>
        <w:tblLook w:val="04A0"/>
      </w:tblPr>
      <w:tblGrid>
        <w:gridCol w:w="1987"/>
        <w:gridCol w:w="1022"/>
        <w:gridCol w:w="1023"/>
        <w:gridCol w:w="1023"/>
        <w:gridCol w:w="1023"/>
        <w:gridCol w:w="1023"/>
        <w:gridCol w:w="1023"/>
        <w:gridCol w:w="1023"/>
      </w:tblGrid>
      <w:tr>
        <w:tblPrEx>
          <w:tblW w:w="9147" w:type="dxa"/>
          <w:tblInd w:w="65" w:type="dxa"/>
          <w:tblLayout w:type="fixed"/>
          <w:tblCellMar>
            <w:left w:w="70" w:type="dxa"/>
            <w:right w:w="70" w:type="dxa"/>
          </w:tblCellMar>
          <w:tblLook w:val="04A0"/>
        </w:tblPrEx>
        <w:trPr>
          <w:trHeight w:val="255"/>
        </w:trPr>
        <w:tc>
          <w:tcPr>
            <w:tcW w:w="198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rPr>
                <w:rFonts w:ascii="Times New Roman" w:hAnsi="Times New Roman" w:cs="Times New Roman"/>
                <w:b/>
                <w:sz w:val="14"/>
                <w:szCs w:val="14"/>
                <w:lang w:eastAsia="sk-SK"/>
              </w:rPr>
            </w:pPr>
            <w:r w:rsidRPr="001C5A4C">
              <w:rPr>
                <w:rFonts w:ascii="Times New Roman" w:hAnsi="Times New Roman"/>
                <w:highlight w:val="yellow"/>
              </w:rPr>
              <w:br w:type="page"/>
            </w:r>
            <w:r w:rsidRPr="001C5A4C">
              <w:rPr>
                <w:rFonts w:ascii="Times New Roman" w:hAnsi="Times New Roman" w:cs="Times New Roman"/>
                <w:b/>
                <w:sz w:val="14"/>
                <w:szCs w:val="14"/>
                <w:lang w:eastAsia="sk-SK"/>
              </w:rPr>
              <w:t>v eurách</w:t>
            </w:r>
          </w:p>
        </w:tc>
        <w:tc>
          <w:tcPr>
            <w:tcW w:w="102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2010 S</w:t>
            </w:r>
          </w:p>
        </w:tc>
        <w:tc>
          <w:tcPr>
            <w:tcW w:w="102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2011 S</w:t>
            </w:r>
          </w:p>
        </w:tc>
        <w:tc>
          <w:tcPr>
            <w:tcW w:w="102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2012 R</w:t>
            </w:r>
          </w:p>
        </w:tc>
        <w:tc>
          <w:tcPr>
            <w:tcW w:w="102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OS 2012</w:t>
            </w:r>
          </w:p>
        </w:tc>
        <w:tc>
          <w:tcPr>
            <w:tcW w:w="102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2013 R</w:t>
            </w:r>
          </w:p>
        </w:tc>
        <w:tc>
          <w:tcPr>
            <w:tcW w:w="102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2014 N</w:t>
            </w:r>
          </w:p>
        </w:tc>
        <w:tc>
          <w:tcPr>
            <w:tcW w:w="102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2015 N</w:t>
            </w:r>
          </w:p>
        </w:tc>
      </w:tr>
      <w:tr>
        <w:tblPrEx>
          <w:tblW w:w="9147" w:type="dxa"/>
          <w:tblInd w:w="65" w:type="dxa"/>
          <w:tblLayout w:type="fixed"/>
          <w:tblCellMar>
            <w:left w:w="70" w:type="dxa"/>
            <w:right w:w="70" w:type="dxa"/>
          </w:tblCellMar>
          <w:tblLook w:val="04A0"/>
        </w:tblPrEx>
        <w:trPr>
          <w:trHeight w:val="255"/>
        </w:trPr>
        <w:tc>
          <w:tcPr>
            <w:tcW w:w="1987"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C90DEA" w:rsidRPr="001C5A4C" w:rsidP="004B33C0">
            <w:pPr>
              <w:bidi w:val="0"/>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Poistného platené štátom na verejné zdravotné poistenie</w:t>
            </w:r>
          </w:p>
        </w:tc>
        <w:tc>
          <w:tcPr>
            <w:tcW w:w="1022" w:type="dxa"/>
            <w:tcBorders>
              <w:top w:val="nil"/>
              <w:left w:val="nil"/>
              <w:bottom w:val="single" w:sz="4" w:space="0" w:color="auto"/>
              <w:right w:val="single" w:sz="4" w:space="0" w:color="auto"/>
            </w:tcBorders>
            <w:shd w:val="clear" w:color="000000" w:fill="BFBFBF"/>
            <w:noWrap/>
            <w:textDirection w:val="lrTb"/>
            <w:vAlign w:val="center"/>
            <w:hideMark/>
          </w:tcPr>
          <w:p w:rsidR="00C90DEA" w:rsidRPr="00437DE1" w:rsidP="004B33C0">
            <w:pPr>
              <w:bidi w:val="0"/>
              <w:jc w:val="right"/>
              <w:rPr>
                <w:rFonts w:ascii="Times New Roman" w:hAnsi="Times New Roman" w:cs="Times New Roman"/>
                <w:b/>
                <w:sz w:val="14"/>
                <w:szCs w:val="14"/>
                <w:lang w:eastAsia="sk-SK"/>
              </w:rPr>
            </w:pPr>
            <w:r w:rsidRPr="00437DE1">
              <w:rPr>
                <w:rFonts w:ascii="Times New Roman" w:hAnsi="Times New Roman" w:cs="Times New Roman"/>
                <w:b/>
                <w:sz w:val="14"/>
                <w:szCs w:val="14"/>
                <w:lang w:eastAsia="sk-SK"/>
              </w:rPr>
              <w:t>1 341 224 735</w:t>
            </w:r>
          </w:p>
        </w:tc>
        <w:tc>
          <w:tcPr>
            <w:tcW w:w="1023" w:type="dxa"/>
            <w:tcBorders>
              <w:top w:val="nil"/>
              <w:left w:val="nil"/>
              <w:bottom w:val="single" w:sz="4" w:space="0" w:color="auto"/>
              <w:right w:val="single" w:sz="4" w:space="0" w:color="auto"/>
            </w:tcBorders>
            <w:shd w:val="clear" w:color="000000" w:fill="BFBFBF"/>
            <w:noWrap/>
            <w:textDirection w:val="lrTb"/>
            <w:vAlign w:val="center"/>
            <w:hideMark/>
          </w:tcPr>
          <w:p w:rsidR="00C90DEA" w:rsidRPr="00437DE1" w:rsidP="004B33C0">
            <w:pPr>
              <w:bidi w:val="0"/>
              <w:jc w:val="right"/>
              <w:rPr>
                <w:rFonts w:ascii="Times New Roman" w:hAnsi="Times New Roman" w:cs="Times New Roman"/>
                <w:b/>
                <w:sz w:val="14"/>
                <w:szCs w:val="14"/>
                <w:lang w:eastAsia="sk-SK"/>
              </w:rPr>
            </w:pPr>
            <w:r w:rsidRPr="00437DE1">
              <w:rPr>
                <w:rFonts w:ascii="Times New Roman" w:hAnsi="Times New Roman" w:cs="Times New Roman"/>
                <w:b/>
                <w:sz w:val="14"/>
                <w:szCs w:val="14"/>
                <w:lang w:eastAsia="sk-SK"/>
              </w:rPr>
              <w:t>1 207 549 167</w:t>
            </w:r>
          </w:p>
        </w:tc>
        <w:tc>
          <w:tcPr>
            <w:tcW w:w="1023" w:type="dxa"/>
            <w:tcBorders>
              <w:top w:val="nil"/>
              <w:left w:val="nil"/>
              <w:bottom w:val="single" w:sz="4" w:space="0" w:color="auto"/>
              <w:right w:val="single" w:sz="4" w:space="0" w:color="auto"/>
            </w:tcBorders>
            <w:shd w:val="clear" w:color="000000" w:fill="BFBFBF"/>
            <w:noWrap/>
            <w:textDirection w:val="lrTb"/>
            <w:vAlign w:val="center"/>
            <w:hideMark/>
          </w:tcPr>
          <w:p w:rsidR="00C90DEA" w:rsidRPr="00437DE1" w:rsidP="004B33C0">
            <w:pPr>
              <w:bidi w:val="0"/>
              <w:jc w:val="right"/>
              <w:rPr>
                <w:rFonts w:ascii="Times New Roman" w:hAnsi="Times New Roman" w:cs="Times New Roman"/>
                <w:b/>
                <w:sz w:val="14"/>
                <w:szCs w:val="14"/>
                <w:lang w:eastAsia="sk-SK"/>
              </w:rPr>
            </w:pPr>
            <w:r w:rsidRPr="00437DE1">
              <w:rPr>
                <w:rFonts w:ascii="Times New Roman" w:hAnsi="Times New Roman" w:cs="Times New Roman"/>
                <w:b/>
                <w:sz w:val="14"/>
                <w:szCs w:val="14"/>
                <w:lang w:eastAsia="sk-SK"/>
              </w:rPr>
              <w:t>1 293 096 000</w:t>
            </w:r>
          </w:p>
        </w:tc>
        <w:tc>
          <w:tcPr>
            <w:tcW w:w="1023" w:type="dxa"/>
            <w:tcBorders>
              <w:top w:val="nil"/>
              <w:left w:val="nil"/>
              <w:bottom w:val="single" w:sz="4" w:space="0" w:color="auto"/>
              <w:right w:val="single" w:sz="4" w:space="0" w:color="auto"/>
            </w:tcBorders>
            <w:shd w:val="clear" w:color="000000" w:fill="BFBFBF"/>
            <w:noWrap/>
            <w:textDirection w:val="lrTb"/>
            <w:vAlign w:val="center"/>
            <w:hideMark/>
          </w:tcPr>
          <w:p w:rsidR="00C90DEA" w:rsidRPr="00437DE1" w:rsidP="004B33C0">
            <w:pPr>
              <w:bidi w:val="0"/>
              <w:jc w:val="right"/>
              <w:rPr>
                <w:rFonts w:ascii="Times New Roman" w:hAnsi="Times New Roman" w:cs="Times New Roman"/>
                <w:b/>
                <w:sz w:val="14"/>
                <w:szCs w:val="14"/>
                <w:lang w:eastAsia="sk-SK"/>
              </w:rPr>
            </w:pPr>
            <w:r w:rsidRPr="00437DE1">
              <w:rPr>
                <w:rFonts w:ascii="Times New Roman" w:hAnsi="Times New Roman" w:cs="Times New Roman"/>
                <w:b/>
                <w:sz w:val="14"/>
                <w:szCs w:val="14"/>
                <w:lang w:eastAsia="sk-SK"/>
              </w:rPr>
              <w:t>1 351 473 746</w:t>
            </w:r>
          </w:p>
        </w:tc>
        <w:tc>
          <w:tcPr>
            <w:tcW w:w="1023" w:type="dxa"/>
            <w:tcBorders>
              <w:top w:val="nil"/>
              <w:left w:val="nil"/>
              <w:bottom w:val="single" w:sz="4" w:space="0" w:color="auto"/>
              <w:right w:val="single" w:sz="4" w:space="0" w:color="auto"/>
            </w:tcBorders>
            <w:shd w:val="clear" w:color="000000" w:fill="BFBFBF"/>
            <w:noWrap/>
            <w:textDirection w:val="lrTb"/>
            <w:vAlign w:val="center"/>
            <w:hideMark/>
          </w:tcPr>
          <w:p w:rsidR="00C90DEA" w:rsidRPr="00437DE1" w:rsidP="004B33C0">
            <w:pPr>
              <w:bidi w:val="0"/>
              <w:jc w:val="right"/>
              <w:rPr>
                <w:rFonts w:ascii="Times New Roman" w:hAnsi="Times New Roman" w:cs="Times New Roman"/>
                <w:b/>
                <w:sz w:val="14"/>
                <w:szCs w:val="14"/>
                <w:lang w:eastAsia="sk-SK"/>
              </w:rPr>
            </w:pPr>
            <w:r w:rsidRPr="00437DE1">
              <w:rPr>
                <w:rFonts w:ascii="Times New Roman" w:hAnsi="Times New Roman" w:cs="Times New Roman"/>
                <w:b/>
                <w:sz w:val="14"/>
                <w:szCs w:val="14"/>
                <w:lang w:eastAsia="sk-SK"/>
              </w:rPr>
              <w:t>1 283 101 576</w:t>
            </w:r>
          </w:p>
        </w:tc>
        <w:tc>
          <w:tcPr>
            <w:tcW w:w="1023" w:type="dxa"/>
            <w:tcBorders>
              <w:top w:val="nil"/>
              <w:left w:val="nil"/>
              <w:bottom w:val="single" w:sz="4" w:space="0" w:color="auto"/>
              <w:right w:val="single" w:sz="4" w:space="0" w:color="auto"/>
            </w:tcBorders>
            <w:shd w:val="clear" w:color="000000" w:fill="BFBFBF"/>
            <w:noWrap/>
            <w:textDirection w:val="lrTb"/>
            <w:vAlign w:val="center"/>
            <w:hideMark/>
          </w:tcPr>
          <w:p w:rsidR="00C90DEA" w:rsidRPr="00437DE1" w:rsidP="004B33C0">
            <w:pPr>
              <w:bidi w:val="0"/>
              <w:jc w:val="right"/>
              <w:rPr>
                <w:rFonts w:ascii="Times New Roman" w:hAnsi="Times New Roman" w:cs="Times New Roman"/>
                <w:b/>
                <w:sz w:val="14"/>
                <w:szCs w:val="14"/>
                <w:lang w:eastAsia="sk-SK"/>
              </w:rPr>
            </w:pPr>
            <w:r w:rsidRPr="00437DE1">
              <w:rPr>
                <w:rFonts w:ascii="Times New Roman" w:hAnsi="Times New Roman" w:cs="Times New Roman"/>
                <w:b/>
                <w:sz w:val="14"/>
                <w:szCs w:val="14"/>
                <w:lang w:eastAsia="sk-SK"/>
              </w:rPr>
              <w:t>1 294 115 240</w:t>
            </w:r>
          </w:p>
        </w:tc>
        <w:tc>
          <w:tcPr>
            <w:tcW w:w="1023" w:type="dxa"/>
            <w:tcBorders>
              <w:top w:val="nil"/>
              <w:left w:val="nil"/>
              <w:bottom w:val="single" w:sz="4" w:space="0" w:color="auto"/>
              <w:right w:val="single" w:sz="4" w:space="0" w:color="auto"/>
            </w:tcBorders>
            <w:shd w:val="clear" w:color="000000" w:fill="BFBFBF"/>
            <w:noWrap/>
            <w:textDirection w:val="lrTb"/>
            <w:vAlign w:val="center"/>
            <w:hideMark/>
          </w:tcPr>
          <w:p w:rsidR="00C90DEA" w:rsidRPr="00437DE1" w:rsidP="004B33C0">
            <w:pPr>
              <w:bidi w:val="0"/>
              <w:jc w:val="right"/>
              <w:rPr>
                <w:rFonts w:ascii="Times New Roman" w:hAnsi="Times New Roman" w:cs="Times New Roman"/>
                <w:b/>
                <w:sz w:val="14"/>
                <w:szCs w:val="14"/>
                <w:lang w:eastAsia="sk-SK"/>
              </w:rPr>
            </w:pPr>
            <w:r w:rsidRPr="00437DE1">
              <w:rPr>
                <w:rFonts w:ascii="Times New Roman" w:hAnsi="Times New Roman" w:cs="Times New Roman"/>
                <w:b/>
                <w:sz w:val="14"/>
                <w:szCs w:val="14"/>
                <w:lang w:eastAsia="sk-SK"/>
              </w:rPr>
              <w:t>1 338 574 822</w:t>
            </w:r>
          </w:p>
        </w:tc>
      </w:tr>
      <w:tr>
        <w:tblPrEx>
          <w:tblW w:w="9147" w:type="dxa"/>
          <w:tblInd w:w="65" w:type="dxa"/>
          <w:tblLayout w:type="fixed"/>
          <w:tblCellMar>
            <w:left w:w="70" w:type="dxa"/>
            <w:right w:w="70" w:type="dxa"/>
          </w:tblCellMar>
          <w:tblLook w:val="04A0"/>
        </w:tblPrEx>
        <w:trPr>
          <w:trHeight w:val="255"/>
        </w:trPr>
        <w:tc>
          <w:tcPr>
            <w:tcW w:w="1987" w:type="dxa"/>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C90DEA" w:rsidRPr="001C5A4C" w:rsidP="004B33C0">
            <w:pPr>
              <w:bidi w:val="0"/>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 xml:space="preserve">Preddavky na poistné platené štátom </w:t>
            </w:r>
          </w:p>
        </w:tc>
        <w:tc>
          <w:tcPr>
            <w:tcW w:w="1022" w:type="dxa"/>
            <w:tcBorders>
              <w:top w:val="single" w:sz="4" w:space="0" w:color="auto"/>
              <w:left w:val="nil"/>
              <w:bottom w:val="single" w:sz="4" w:space="0" w:color="auto"/>
              <w:right w:val="single" w:sz="4" w:space="0" w:color="auto"/>
            </w:tcBorders>
            <w:shd w:val="clear" w:color="000000" w:fill="auto"/>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1 282 803 160</w:t>
            </w:r>
          </w:p>
        </w:tc>
        <w:tc>
          <w:tcPr>
            <w:tcW w:w="1023" w:type="dxa"/>
            <w:tcBorders>
              <w:top w:val="single" w:sz="4" w:space="0" w:color="auto"/>
              <w:left w:val="nil"/>
              <w:bottom w:val="single" w:sz="4" w:space="0" w:color="auto"/>
              <w:right w:val="single" w:sz="4" w:space="0" w:color="auto"/>
            </w:tcBorders>
            <w:shd w:val="clear" w:color="000000" w:fill="auto"/>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1 197 816 000</w:t>
            </w:r>
          </w:p>
        </w:tc>
        <w:tc>
          <w:tcPr>
            <w:tcW w:w="1023" w:type="dxa"/>
            <w:tcBorders>
              <w:top w:val="single" w:sz="4" w:space="0" w:color="auto"/>
              <w:left w:val="nil"/>
              <w:bottom w:val="single" w:sz="4" w:space="0" w:color="auto"/>
              <w:right w:val="single" w:sz="4" w:space="0" w:color="auto"/>
            </w:tcBorders>
            <w:shd w:val="clear" w:color="000000" w:fill="auto"/>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1 218 096 000</w:t>
            </w:r>
          </w:p>
        </w:tc>
        <w:tc>
          <w:tcPr>
            <w:tcW w:w="1023" w:type="dxa"/>
            <w:tcBorders>
              <w:top w:val="single" w:sz="4" w:space="0" w:color="auto"/>
              <w:left w:val="nil"/>
              <w:bottom w:val="single" w:sz="4" w:space="0" w:color="auto"/>
              <w:right w:val="single" w:sz="4" w:space="0" w:color="auto"/>
            </w:tcBorders>
            <w:shd w:val="clear" w:color="000000" w:fill="auto"/>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1 268 096 000</w:t>
            </w:r>
          </w:p>
        </w:tc>
        <w:tc>
          <w:tcPr>
            <w:tcW w:w="1023" w:type="dxa"/>
            <w:tcBorders>
              <w:top w:val="single" w:sz="4" w:space="0" w:color="auto"/>
              <w:left w:val="nil"/>
              <w:bottom w:val="single" w:sz="4" w:space="0" w:color="auto"/>
              <w:right w:val="single" w:sz="4" w:space="0" w:color="auto"/>
            </w:tcBorders>
            <w:shd w:val="clear" w:color="000000" w:fill="auto"/>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1 263 888 000</w:t>
            </w:r>
          </w:p>
        </w:tc>
        <w:tc>
          <w:tcPr>
            <w:tcW w:w="1023" w:type="dxa"/>
            <w:tcBorders>
              <w:top w:val="single" w:sz="4" w:space="0" w:color="auto"/>
              <w:left w:val="nil"/>
              <w:bottom w:val="single" w:sz="4" w:space="0" w:color="auto"/>
              <w:right w:val="single" w:sz="4" w:space="0" w:color="auto"/>
            </w:tcBorders>
            <w:shd w:val="clear" w:color="000000" w:fill="auto"/>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w:t>
            </w:r>
            <w:r>
              <w:rPr>
                <w:rFonts w:ascii="Times New Roman" w:hAnsi="Times New Roman" w:cs="Times New Roman"/>
                <w:bCs/>
                <w:sz w:val="14"/>
                <w:szCs w:val="14"/>
                <w:lang w:eastAsia="sk-SK"/>
              </w:rPr>
              <w:t> </w:t>
            </w:r>
            <w:r w:rsidRPr="001C5A4C">
              <w:rPr>
                <w:rFonts w:ascii="Times New Roman" w:hAnsi="Times New Roman" w:cs="Times New Roman"/>
                <w:bCs/>
                <w:sz w:val="14"/>
                <w:szCs w:val="14"/>
                <w:lang w:eastAsia="sk-SK"/>
              </w:rPr>
              <w:t>294</w:t>
            </w:r>
            <w:r>
              <w:rPr>
                <w:rFonts w:ascii="Times New Roman" w:hAnsi="Times New Roman" w:cs="Times New Roman"/>
                <w:bCs/>
                <w:sz w:val="14"/>
                <w:szCs w:val="14"/>
                <w:lang w:eastAsia="sk-SK"/>
              </w:rPr>
              <w:t xml:space="preserve"> </w:t>
            </w:r>
            <w:r w:rsidRPr="001C5A4C">
              <w:rPr>
                <w:rFonts w:ascii="Times New Roman" w:hAnsi="Times New Roman" w:cs="Times New Roman"/>
                <w:bCs/>
                <w:sz w:val="14"/>
                <w:szCs w:val="14"/>
                <w:lang w:eastAsia="sk-SK"/>
              </w:rPr>
              <w:t>115 240</w:t>
            </w:r>
          </w:p>
        </w:tc>
        <w:tc>
          <w:tcPr>
            <w:tcW w:w="1023" w:type="dxa"/>
            <w:tcBorders>
              <w:top w:val="single" w:sz="4" w:space="0" w:color="auto"/>
              <w:left w:val="nil"/>
              <w:bottom w:val="single" w:sz="4" w:space="0" w:color="auto"/>
              <w:right w:val="single" w:sz="4" w:space="0" w:color="auto"/>
            </w:tcBorders>
            <w:shd w:val="clear" w:color="000000" w:fill="auto"/>
            <w:noWrap/>
            <w:textDirection w:val="lrTb"/>
            <w:vAlign w:val="center"/>
            <w:hideMark/>
          </w:tcPr>
          <w:p w:rsidR="00C90DEA" w:rsidRPr="001C5A4C" w:rsidP="004B33C0">
            <w:pPr>
              <w:bidi w:val="0"/>
              <w:jc w:val="right"/>
              <w:rPr>
                <w:rFonts w:ascii="Times New Roman" w:hAnsi="Times New Roman" w:cs="Times New Roman"/>
                <w:bCs/>
                <w:sz w:val="14"/>
                <w:szCs w:val="14"/>
                <w:lang w:eastAsia="sk-SK"/>
              </w:rPr>
            </w:pPr>
            <w:r w:rsidRPr="001C5A4C">
              <w:rPr>
                <w:rFonts w:ascii="Times New Roman" w:hAnsi="Times New Roman" w:cs="Times New Roman"/>
                <w:bCs/>
                <w:sz w:val="14"/>
                <w:szCs w:val="14"/>
                <w:lang w:eastAsia="sk-SK"/>
              </w:rPr>
              <w:t>1 338 574 822</w:t>
            </w:r>
          </w:p>
        </w:tc>
      </w:tr>
      <w:tr>
        <w:tblPrEx>
          <w:tblW w:w="9147" w:type="dxa"/>
          <w:tblInd w:w="65" w:type="dxa"/>
          <w:tblLayout w:type="fixed"/>
          <w:tblCellMar>
            <w:left w:w="70" w:type="dxa"/>
            <w:right w:w="70" w:type="dxa"/>
          </w:tblCellMar>
          <w:tblLook w:val="04A0"/>
        </w:tblPrEx>
        <w:trPr>
          <w:trHeight w:val="255"/>
        </w:trPr>
        <w:tc>
          <w:tcPr>
            <w:tcW w:w="1987"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Ročné zúčtovanie poistného v danom roku</w:t>
            </w:r>
          </w:p>
        </w:tc>
        <w:tc>
          <w:tcPr>
            <w:tcW w:w="1022"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58 421 575</w:t>
            </w:r>
          </w:p>
        </w:tc>
        <w:tc>
          <w:tcPr>
            <w:tcW w:w="1023" w:type="dxa"/>
            <w:tcBorders>
              <w:top w:val="nil"/>
              <w:left w:val="nil"/>
              <w:bottom w:val="single" w:sz="4" w:space="0" w:color="auto"/>
              <w:right w:val="single" w:sz="4" w:space="0" w:color="auto"/>
            </w:tcBorders>
            <w:shd w:val="clear" w:color="000000" w:fill="FFFFFF"/>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9 733 167</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75 000 000</w:t>
            </w:r>
          </w:p>
        </w:tc>
        <w:tc>
          <w:tcPr>
            <w:tcW w:w="1023" w:type="dxa"/>
            <w:tcBorders>
              <w:top w:val="nil"/>
              <w:left w:val="nil"/>
              <w:bottom w:val="single" w:sz="4" w:space="0" w:color="auto"/>
              <w:right w:val="single" w:sz="4" w:space="0" w:color="auto"/>
            </w:tcBorders>
            <w:shd w:val="clear" w:color="000000" w:fill="FFFFFF"/>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83 377 746</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19 213 576</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0</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0 </w:t>
            </w:r>
          </w:p>
        </w:tc>
      </w:tr>
      <w:tr>
        <w:tblPrEx>
          <w:tblW w:w="9147" w:type="dxa"/>
          <w:tblInd w:w="65" w:type="dxa"/>
          <w:tblLayout w:type="fixed"/>
          <w:tblCellMar>
            <w:left w:w="70" w:type="dxa"/>
            <w:right w:w="70" w:type="dxa"/>
          </w:tblCellMar>
          <w:tblLook w:val="04A0"/>
        </w:tblPrEx>
        <w:trPr>
          <w:trHeight w:val="255"/>
        </w:trPr>
        <w:tc>
          <w:tcPr>
            <w:tcW w:w="1987"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Počet poistencov</w:t>
            </w:r>
          </w:p>
        </w:tc>
        <w:tc>
          <w:tcPr>
            <w:tcW w:w="1022"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3 093 178</w:t>
            </w:r>
          </w:p>
        </w:tc>
        <w:tc>
          <w:tcPr>
            <w:tcW w:w="1023" w:type="dxa"/>
            <w:tcBorders>
              <w:top w:val="nil"/>
              <w:left w:val="nil"/>
              <w:bottom w:val="single" w:sz="4" w:space="0" w:color="auto"/>
              <w:right w:val="single" w:sz="4" w:space="0" w:color="auto"/>
            </w:tcBorders>
            <w:shd w:val="clear" w:color="000000" w:fill="FFFFFF"/>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3 103 562</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3 300 000</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3 350 000</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3 150 000</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3 150 000</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3 150 000</w:t>
            </w:r>
          </w:p>
        </w:tc>
      </w:tr>
      <w:tr>
        <w:tblPrEx>
          <w:tblW w:w="9147" w:type="dxa"/>
          <w:tblInd w:w="65" w:type="dxa"/>
          <w:tblLayout w:type="fixed"/>
          <w:tblCellMar>
            <w:left w:w="70" w:type="dxa"/>
            <w:right w:w="70" w:type="dxa"/>
          </w:tblCellMar>
          <w:tblLook w:val="04A0"/>
        </w:tblPrEx>
        <w:trPr>
          <w:trHeight w:val="255"/>
        </w:trPr>
        <w:tc>
          <w:tcPr>
            <w:tcW w:w="1987"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Platba na poistenca na 1 mesiac</w:t>
            </w:r>
          </w:p>
        </w:tc>
        <w:tc>
          <w:tcPr>
            <w:tcW w:w="1022"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34,56</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32,16</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30,76</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31,54</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33,44</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34,24</w:t>
            </w:r>
          </w:p>
        </w:tc>
        <w:tc>
          <w:tcPr>
            <w:tcW w:w="1023" w:type="dxa"/>
            <w:tcBorders>
              <w:top w:val="nil"/>
              <w:left w:val="nil"/>
              <w:bottom w:val="single" w:sz="4" w:space="0" w:color="auto"/>
              <w:right w:val="single" w:sz="4" w:space="0" w:color="auto"/>
            </w:tcBorders>
            <w:noWrap/>
            <w:textDirection w:val="lrTb"/>
            <w:vAlign w:val="center"/>
            <w:hideMark/>
          </w:tcPr>
          <w:p w:rsidR="00C90DEA" w:rsidRPr="00800244" w:rsidP="004B33C0">
            <w:pPr>
              <w:bidi w:val="0"/>
              <w:jc w:val="right"/>
              <w:rPr>
                <w:rFonts w:ascii="Times New Roman" w:hAnsi="Times New Roman" w:cs="Times New Roman"/>
                <w:sz w:val="14"/>
                <w:szCs w:val="14"/>
                <w:lang w:eastAsia="sk-SK"/>
              </w:rPr>
            </w:pPr>
            <w:r w:rsidRPr="00800244">
              <w:rPr>
                <w:rFonts w:ascii="Times New Roman" w:hAnsi="Times New Roman" w:cs="Times New Roman"/>
                <w:sz w:val="14"/>
                <w:szCs w:val="14"/>
                <w:lang w:eastAsia="sk-SK"/>
              </w:rPr>
              <w:t>35,41</w:t>
            </w:r>
          </w:p>
        </w:tc>
      </w:tr>
    </w:tbl>
    <w:p w:rsidR="00C90DEA" w:rsidRPr="001C5A4C" w:rsidP="00C90DEA">
      <w:pPr>
        <w:bidi w:val="0"/>
        <w:ind w:firstLine="708"/>
        <w:jc w:val="both"/>
        <w:rPr>
          <w:rFonts w:ascii="Times New Roman" w:hAnsi="Times New Roman"/>
        </w:rPr>
      </w:pPr>
    </w:p>
    <w:p w:rsidR="00C90DEA" w:rsidRPr="00CF4AFE" w:rsidP="00C90DEA">
      <w:pPr>
        <w:bidi w:val="0"/>
        <w:ind w:firstLine="708"/>
        <w:jc w:val="both"/>
        <w:rPr>
          <w:rFonts w:ascii="Times New Roman" w:hAnsi="Times New Roman"/>
        </w:rPr>
      </w:pPr>
      <w:r w:rsidRPr="00CF4AFE">
        <w:rPr>
          <w:rFonts w:ascii="Times New Roman" w:hAnsi="Times New Roman"/>
        </w:rPr>
        <w:t>Odvody od ekonomicky aktívneho obyvateľstva  vrátane ročného zúčtovania rastú na rok 2013 oproti schválenému rozpočtu na  rok 2012 o 180 mil. eur. V roku 2014 sa očakáva medziročný rast o 166 mil. eur a v roku 2015 o 164 mil. eur. V prípade, že platba štátu by sa zvýšila o rovnakú sumu ako odvody od ekonomicky aktívneho obyvateľstva sadzba poistného plateného štátom v roku 2013 by sa zvýšila o 0,61 %, v roku 2014 o 0,55 % a v roku 2015 o 0,53%.</w:t>
      </w:r>
    </w:p>
    <w:p w:rsidR="00C90DEA" w:rsidRPr="00CF4AFE" w:rsidP="00C90DEA">
      <w:pPr>
        <w:bidi w:val="0"/>
        <w:ind w:firstLine="708"/>
        <w:jc w:val="both"/>
        <w:rPr>
          <w:rFonts w:ascii="Times New Roman" w:hAnsi="Times New Roman"/>
        </w:rPr>
      </w:pPr>
    </w:p>
    <w:p w:rsidR="00C90DEA" w:rsidRPr="00CF4AFE" w:rsidP="00C90DEA">
      <w:pPr>
        <w:bidi w:val="0"/>
        <w:ind w:firstLine="708"/>
        <w:jc w:val="both"/>
        <w:rPr>
          <w:rFonts w:ascii="Times New Roman" w:hAnsi="Times New Roman"/>
        </w:rPr>
      </w:pPr>
      <w:r w:rsidRPr="00CF4AFE">
        <w:rPr>
          <w:rFonts w:ascii="Times New Roman" w:hAnsi="Times New Roman"/>
        </w:rPr>
        <w:t xml:space="preserve">Príspevok na činnosť operačných stredísk záchrannej zdravotnej služby (ďalej len „OS ZZS“) poukazujú zdravotné poisťovne v súlade so zákonom č. 581/2004 Z. z. o zdravotných poisťovniach a dohľade nad zdravotnou starostlivosťou na účet Ministerstva zdravotníctva SR do 20. decembra kalendárneho roka. Výška sadzby na výpočet príspevku je rovnaká ako v roku 2012, a to 0,35 % z vymeriavacieho základu. Na základe legislatívnej úpravy s účinnosťou od 1. januára 2011, sa za vymeriavací základ považuje suma nachádzajúca sa v rozhodnutí úradu o ročnom prerozdelení poistného za príslušný kalendárny rok ako celková suma z ročného prerozdelenia, pričom základom ročného prerozdelenia je iba 95 % povinného poistného. </w:t>
      </w:r>
    </w:p>
    <w:p w:rsidR="00C90DEA" w:rsidRPr="00CF4AFE" w:rsidP="00C90DEA">
      <w:pPr>
        <w:bidi w:val="0"/>
        <w:jc w:val="both"/>
        <w:rPr>
          <w:rFonts w:ascii="Times New Roman" w:hAnsi="Times New Roman"/>
        </w:rPr>
      </w:pPr>
    </w:p>
    <w:p w:rsidR="00C90DEA" w:rsidRPr="00CF4AFE" w:rsidP="00C90DEA">
      <w:pPr>
        <w:bidi w:val="0"/>
        <w:ind w:firstLine="708"/>
        <w:jc w:val="both"/>
        <w:rPr>
          <w:rFonts w:ascii="Times New Roman" w:hAnsi="Times New Roman"/>
        </w:rPr>
      </w:pPr>
      <w:r w:rsidRPr="00CF4AFE">
        <w:rPr>
          <w:rFonts w:ascii="Times New Roman" w:hAnsi="Times New Roman"/>
        </w:rPr>
        <w:t>V rozpočtovanej výške príspevku na roky 2013 až 2015 je zohľadnený vplyv legislatívnej zmeny v oblasti odvodov na zdravotné poistenie, ktorá nadobud</w:t>
      </w:r>
      <w:r w:rsidR="009023BD">
        <w:rPr>
          <w:rFonts w:ascii="Times New Roman" w:hAnsi="Times New Roman"/>
        </w:rPr>
        <w:t>ne</w:t>
      </w:r>
      <w:r w:rsidRPr="00CF4AFE">
        <w:rPr>
          <w:rFonts w:ascii="Times New Roman" w:hAnsi="Times New Roman"/>
        </w:rPr>
        <w:t xml:space="preserve"> účinnosť 1. januára 2013. V nadväznosti na rast základne, z ktorej sa príspevok vypočíta každoročne, rastú zdroje účelovo určené na financovanie OS ZZS. Rozpočtovaný príspevok na rok 2013 v sume 12,6 mil. eur medziročne rastie o 715,9 tis. eur. Na rok 2014 sa navrhuje príspevok v sume 13,1 mil. eur a na rok 2015 v sume 13,6 mil. eur.</w:t>
      </w:r>
    </w:p>
    <w:p w:rsidR="00C90DEA" w:rsidRPr="001C5A4C" w:rsidP="00C90DEA">
      <w:pPr>
        <w:bidi w:val="0"/>
        <w:ind w:firstLine="708"/>
        <w:jc w:val="both"/>
        <w:rPr>
          <w:rFonts w:ascii="Times New Roman" w:hAnsi="Times New Roman"/>
        </w:rPr>
      </w:pPr>
    </w:p>
    <w:p w:rsidR="00C90DEA" w:rsidRPr="001C5A4C" w:rsidP="00C90DEA">
      <w:pPr>
        <w:bidi w:val="0"/>
        <w:ind w:firstLine="708"/>
        <w:jc w:val="both"/>
        <w:rPr>
          <w:rFonts w:ascii="Times New Roman" w:hAnsi="Times New Roman"/>
        </w:rPr>
      </w:pPr>
      <w:r w:rsidRPr="001C5A4C">
        <w:rPr>
          <w:rFonts w:ascii="Times New Roman" w:hAnsi="Times New Roman"/>
        </w:rPr>
        <w:t>Výdavky Ministerstva zdravotníctva SR z rozpočtových prostriedkov kapitoly, bez poistného plateného štátom</w:t>
      </w:r>
      <w:r>
        <w:rPr>
          <w:rFonts w:ascii="Times New Roman" w:hAnsi="Times New Roman"/>
        </w:rPr>
        <w:t xml:space="preserve"> a príspevku na činnosť OS ZZS</w:t>
      </w:r>
      <w:r w:rsidRPr="001C5A4C">
        <w:rPr>
          <w:rFonts w:ascii="Times New Roman" w:hAnsi="Times New Roman"/>
        </w:rPr>
        <w:t>, sa na rok 2013 predpokladajú na úrovni 55,3 mil. eur, čo predstavuje pokles oproti schválenému rozpočtu roku 2012 o</w:t>
      </w:r>
      <w:r>
        <w:rPr>
          <w:rFonts w:ascii="Times New Roman" w:hAnsi="Times New Roman"/>
        </w:rPr>
        <w:t> 2,40</w:t>
      </w:r>
      <w:r w:rsidRPr="001C5A4C">
        <w:rPr>
          <w:rFonts w:ascii="Times New Roman" w:hAnsi="Times New Roman"/>
        </w:rPr>
        <w:t> mil. eur, t. j. o 4,1</w:t>
      </w:r>
      <w:r>
        <w:rPr>
          <w:rFonts w:ascii="Times New Roman" w:hAnsi="Times New Roman"/>
        </w:rPr>
        <w:t>7</w:t>
      </w:r>
      <w:r w:rsidRPr="001C5A4C">
        <w:rPr>
          <w:rFonts w:ascii="Times New Roman" w:hAnsi="Times New Roman"/>
        </w:rPr>
        <w:t xml:space="preserve"> %.</w:t>
      </w:r>
    </w:p>
    <w:p w:rsidR="00C90DEA" w:rsidRPr="001C5A4C" w:rsidP="00C90DEA">
      <w:pPr>
        <w:bidi w:val="0"/>
        <w:ind w:firstLine="708"/>
        <w:jc w:val="both"/>
        <w:rPr>
          <w:rFonts w:ascii="Times New Roman" w:hAnsi="Times New Roman"/>
          <w:highlight w:val="yellow"/>
        </w:rPr>
      </w:pPr>
    </w:p>
    <w:p w:rsidR="00C90DEA" w:rsidRPr="001C5A4C" w:rsidP="00C90DEA">
      <w:pPr>
        <w:bidi w:val="0"/>
        <w:ind w:firstLine="709"/>
        <w:jc w:val="both"/>
        <w:rPr>
          <w:rFonts w:ascii="Times New Roman" w:hAnsi="Times New Roman"/>
        </w:rPr>
      </w:pPr>
      <w:r w:rsidRPr="001C5A4C">
        <w:rPr>
          <w:rFonts w:ascii="Times New Roman" w:hAnsi="Times New Roman"/>
        </w:rPr>
        <w:t xml:space="preserve">Bežné výdavky kapitoly, prostredníctvom ktorých sa zabezpečuje financovanie činností v pôsobnosti úradu a financovanie rozpočtových a príspevkových organizácií, </w:t>
      </w:r>
      <w:r w:rsidRPr="001C5A4C">
        <w:rPr>
          <w:rFonts w:ascii="Times New Roman" w:hAnsi="Times New Roman"/>
          <w:bCs/>
        </w:rPr>
        <w:t>bez poistného plateného štátom</w:t>
      </w:r>
      <w:r>
        <w:rPr>
          <w:rFonts w:ascii="Times New Roman" w:hAnsi="Times New Roman"/>
          <w:bCs/>
        </w:rPr>
        <w:t xml:space="preserve"> a príspevku na činnosť OS ZZS,</w:t>
      </w:r>
      <w:r w:rsidRPr="001C5A4C">
        <w:rPr>
          <w:rFonts w:ascii="Times New Roman" w:hAnsi="Times New Roman"/>
          <w:bCs/>
        </w:rPr>
        <w:t xml:space="preserve"> sa navrhujú na rok 2013 vo výške 54,8 mil. eur, čo predstavuje pokles</w:t>
      </w:r>
      <w:r w:rsidRPr="001C5A4C">
        <w:rPr>
          <w:rFonts w:ascii="Times New Roman" w:hAnsi="Times New Roman"/>
        </w:rPr>
        <w:t xml:space="preserve"> oproti schválenému rozpočtu na rok 2012 o 2,40 mil. eur, t. j. o 4,20 %. Najvýraznejší podiel  na bežných výdavkoch kapitoly tvoria výdavky Úradu verejného zdravotníctva SR a regionálnych úradov verejného zdravotníctva (ďalej len „ÚVZ“ a „RÚVZ“). Na ich činnosť sa v roku 2013 rozpočtujú prostriedky vo výške 29,8 mil. eur, čo oproti rozpočtovaným prostriedkom roku 2012 predstavuje pokles o 1,68 mil. eur, t. j. o 5,33 %. </w:t>
      </w:r>
    </w:p>
    <w:p w:rsidR="00C90DEA" w:rsidRPr="001C5A4C" w:rsidP="00C90DEA">
      <w:pPr>
        <w:bidi w:val="0"/>
        <w:ind w:firstLine="709"/>
        <w:jc w:val="both"/>
        <w:rPr>
          <w:rFonts w:ascii="Times New Roman" w:hAnsi="Times New Roman"/>
          <w:highlight w:val="yellow"/>
        </w:rPr>
      </w:pPr>
    </w:p>
    <w:p w:rsidR="00C90DEA" w:rsidRPr="001C5A4C" w:rsidP="00C90DEA">
      <w:pPr>
        <w:bidi w:val="0"/>
        <w:ind w:firstLine="709"/>
        <w:jc w:val="both"/>
        <w:rPr>
          <w:rFonts w:ascii="Times New Roman" w:hAnsi="Times New Roman"/>
        </w:rPr>
      </w:pPr>
      <w:r w:rsidRPr="001C5A4C">
        <w:rPr>
          <w:rFonts w:ascii="Times New Roman" w:hAnsi="Times New Roman"/>
        </w:rPr>
        <w:t xml:space="preserve">Na rok 2013 sa zachováva rozpočtovaná úroveň z roku 2012 pre činnosť ostatných  organizácií podporovaných Ministerstvom zdravotníctva SR, napr. Národné centrum zdravotníckych informácií, Toxikologické centrum, Centrum pre liečbu drogových závislostí. Zároveň sa predpokladá rast výdavkov na vedu a výskum v rezorte zdravotníctva </w:t>
        <w:br/>
        <w:t xml:space="preserve">o 597 tis. eur, t. j. o 59,7 %. Na roky 2013 a 2014 v súlade s pokračovaním projektu </w:t>
      </w:r>
      <w:r w:rsidRPr="001C5A4C">
        <w:rPr>
          <w:rFonts w:ascii="Times New Roman" w:hAnsi="Times New Roman"/>
          <w:bCs/>
        </w:rPr>
        <w:t>dochádza k účelovému zvýšeniu prostriedkov kapitoly na transfer pre Úrad pre dohľad nad zdravotnou starostlivosťou</w:t>
      </w:r>
      <w:r w:rsidRPr="001C5A4C">
        <w:rPr>
          <w:rFonts w:ascii="Times New Roman" w:hAnsi="Times New Roman"/>
        </w:rPr>
        <w:t>, ktorý ho využije na vlastné spolufinancovanie k prostriedkom EÚ pri realizácií DRG systému.</w:t>
      </w:r>
    </w:p>
    <w:p w:rsidR="00C90DEA" w:rsidRPr="001C5A4C" w:rsidP="00C90DEA">
      <w:pPr>
        <w:bidi w:val="0"/>
        <w:ind w:firstLine="709"/>
        <w:jc w:val="both"/>
        <w:rPr>
          <w:rFonts w:ascii="Times New Roman" w:hAnsi="Times New Roman"/>
          <w:highlight w:val="yellow"/>
        </w:rPr>
      </w:pPr>
    </w:p>
    <w:p w:rsidR="00C90DEA" w:rsidRPr="001C5A4C" w:rsidP="00C90DEA">
      <w:pPr>
        <w:bidi w:val="0"/>
        <w:ind w:firstLine="709"/>
        <w:jc w:val="both"/>
        <w:rPr>
          <w:rFonts w:ascii="Times New Roman" w:hAnsi="Times New Roman"/>
        </w:rPr>
      </w:pPr>
      <w:r w:rsidRPr="001C5A4C">
        <w:rPr>
          <w:rFonts w:ascii="Times New Roman" w:hAnsi="Times New Roman"/>
        </w:rPr>
        <w:t xml:space="preserve">Kapitálové výdavky Ministerstva zdravotníctva SR z prostriedkov štátneho rozpočtu sú na roky  2013 až 2015 rozpočtované na rovnakej úrovni ako v schválenom rozpočte na rok 2012, a to vo výške 500 tis. eur. Prostriedky sú určené na financovanie investičných akcií rozpočtových a príspevkových organizácií v pôsobnosti Ministerstva zdravotníctva SR. </w:t>
      </w:r>
    </w:p>
    <w:p w:rsidR="00C90DEA" w:rsidRPr="001C5A4C" w:rsidP="00C90DEA">
      <w:pPr>
        <w:bidi w:val="0"/>
        <w:jc w:val="both"/>
        <w:rPr>
          <w:rFonts w:ascii="Times New Roman" w:hAnsi="Times New Roman"/>
        </w:rPr>
      </w:pPr>
    </w:p>
    <w:p w:rsidR="00C90DEA" w:rsidRPr="001C5A4C" w:rsidP="00C90DEA">
      <w:pPr>
        <w:bidi w:val="0"/>
        <w:ind w:firstLine="709"/>
        <w:jc w:val="both"/>
        <w:rPr>
          <w:rFonts w:ascii="Times New Roman" w:hAnsi="Times New Roman"/>
        </w:rPr>
      </w:pPr>
      <w:r w:rsidRPr="001C5A4C">
        <w:rPr>
          <w:rFonts w:ascii="Times New Roman" w:hAnsi="Times New Roman"/>
        </w:rPr>
        <w:t>Nasledujúca tabuľka zobrazuje výdavky Ministerstva zdravotníctva SR z rozpočtových prostriedkov kapitoly na jednotlivé oblasti.</w:t>
      </w:r>
    </w:p>
    <w:p w:rsidR="00C90DEA" w:rsidRPr="001C5A4C" w:rsidP="00C90DEA">
      <w:pPr>
        <w:bidi w:val="0"/>
        <w:jc w:val="both"/>
        <w:rPr>
          <w:rFonts w:ascii="Times New Roman" w:hAnsi="Times New Roman"/>
          <w:highlight w:val="yellow"/>
        </w:rPr>
      </w:pPr>
    </w:p>
    <w:tbl>
      <w:tblPr>
        <w:tblStyle w:val="TableNormal"/>
        <w:tblW w:w="9147" w:type="dxa"/>
        <w:tblInd w:w="65" w:type="dxa"/>
        <w:tblLayout w:type="fixed"/>
        <w:tblCellMar>
          <w:left w:w="70" w:type="dxa"/>
          <w:right w:w="70" w:type="dxa"/>
        </w:tblCellMar>
        <w:tblLook w:val="04A0"/>
      </w:tblPr>
      <w:tblGrid>
        <w:gridCol w:w="3231"/>
        <w:gridCol w:w="845"/>
        <w:gridCol w:w="845"/>
        <w:gridCol w:w="845"/>
        <w:gridCol w:w="845"/>
        <w:gridCol w:w="845"/>
        <w:gridCol w:w="845"/>
        <w:gridCol w:w="846"/>
      </w:tblGrid>
      <w:tr>
        <w:tblPrEx>
          <w:tblW w:w="9147" w:type="dxa"/>
          <w:tblInd w:w="65" w:type="dxa"/>
          <w:tblLayout w:type="fixed"/>
          <w:tblCellMar>
            <w:left w:w="70" w:type="dxa"/>
            <w:right w:w="70" w:type="dxa"/>
          </w:tblCellMar>
          <w:tblLook w:val="04A0"/>
        </w:tblPrEx>
        <w:trPr>
          <w:trHeight w:val="255"/>
        </w:trPr>
        <w:tc>
          <w:tcPr>
            <w:tcW w:w="3231"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v eurách</w:t>
            </w:r>
          </w:p>
        </w:tc>
        <w:tc>
          <w:tcPr>
            <w:tcW w:w="845"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2010 S</w:t>
            </w:r>
          </w:p>
        </w:tc>
        <w:tc>
          <w:tcPr>
            <w:tcW w:w="84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2011 S</w:t>
            </w:r>
          </w:p>
        </w:tc>
        <w:tc>
          <w:tcPr>
            <w:tcW w:w="84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2012 R</w:t>
            </w:r>
          </w:p>
        </w:tc>
        <w:tc>
          <w:tcPr>
            <w:tcW w:w="84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2012 OS</w:t>
            </w:r>
          </w:p>
        </w:tc>
        <w:tc>
          <w:tcPr>
            <w:tcW w:w="84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2013 R</w:t>
            </w:r>
          </w:p>
        </w:tc>
        <w:tc>
          <w:tcPr>
            <w:tcW w:w="845"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2014 N</w:t>
            </w:r>
          </w:p>
        </w:tc>
        <w:tc>
          <w:tcPr>
            <w:tcW w:w="846"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2015 N</w:t>
            </w:r>
          </w:p>
        </w:tc>
      </w:tr>
      <w:tr>
        <w:tblPrEx>
          <w:tblW w:w="9147" w:type="dxa"/>
          <w:tblInd w:w="65" w:type="dxa"/>
          <w:tblLayout w:type="fixed"/>
          <w:tblCellMar>
            <w:left w:w="70" w:type="dxa"/>
            <w:right w:w="70" w:type="dxa"/>
          </w:tblCellMar>
          <w:tblLook w:val="04A0"/>
        </w:tblPrEx>
        <w:trPr>
          <w:trHeight w:val="255"/>
        </w:trPr>
        <w:tc>
          <w:tcPr>
            <w:tcW w:w="3231"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C90DEA" w:rsidRPr="001C5A4C" w:rsidP="004B33C0">
            <w:pPr>
              <w:bidi w:val="0"/>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Výdavky kapitoly na činnosť spolu</w:t>
            </w:r>
          </w:p>
        </w:tc>
        <w:tc>
          <w:tcPr>
            <w:tcW w:w="845"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64 183 982</w:t>
            </w:r>
          </w:p>
        </w:tc>
        <w:tc>
          <w:tcPr>
            <w:tcW w:w="845"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62 733 699</w:t>
            </w:r>
          </w:p>
        </w:tc>
        <w:tc>
          <w:tcPr>
            <w:tcW w:w="845"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57 739 940</w:t>
            </w:r>
          </w:p>
        </w:tc>
        <w:tc>
          <w:tcPr>
            <w:tcW w:w="845"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67 249 867</w:t>
            </w:r>
          </w:p>
        </w:tc>
        <w:tc>
          <w:tcPr>
            <w:tcW w:w="845"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55 334 952</w:t>
            </w:r>
          </w:p>
        </w:tc>
        <w:tc>
          <w:tcPr>
            <w:tcW w:w="845"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54 819 435</w:t>
            </w:r>
          </w:p>
        </w:tc>
        <w:tc>
          <w:tcPr>
            <w:tcW w:w="846"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54 356 016</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Bežné výdavky kapitoly, z toho:</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58 453 216</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58 227 168</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57 239 940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56 247 867</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54 834 952</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54 319 435</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53 856 016</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ÚVZ a RÚVZ (RO)</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34 492 226</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30 487 663</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31 472 041</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31 472 041</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29 793 184</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29 793 184</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29 793 184</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Štátny ústav pre kontrolu liečiv (RO)</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4 240 332</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3 785 497</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3 818 370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3 818 370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3 734 074</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3 734 074</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3 734 074</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Národné centrum zdravotníckych informácií (PO)</w:t>
            </w:r>
          </w:p>
        </w:tc>
        <w:tc>
          <w:tcPr>
            <w:tcW w:w="845" w:type="dxa"/>
            <w:tcBorders>
              <w:top w:val="nil"/>
              <w:left w:val="nil"/>
              <w:bottom w:val="single" w:sz="4" w:space="0" w:color="auto"/>
              <w:right w:val="single" w:sz="4" w:space="0" w:color="auto"/>
            </w:tcBorders>
            <w:shd w:val="clear" w:color="000000" w:fill="FFFFFF"/>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3 382 406</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2 300 000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2 500 000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2 500 000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2 500 000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2 500 000</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2 500 000</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Slovenská zdravotnícka univerzita (PO)</w:t>
            </w:r>
          </w:p>
        </w:tc>
        <w:tc>
          <w:tcPr>
            <w:tcW w:w="845" w:type="dxa"/>
            <w:tcBorders>
              <w:top w:val="nil"/>
              <w:left w:val="nil"/>
              <w:bottom w:val="single" w:sz="4" w:space="0" w:color="auto"/>
              <w:right w:val="single" w:sz="4" w:space="0" w:color="auto"/>
            </w:tcBorders>
            <w:shd w:val="clear" w:color="000000" w:fill="FFFFFF"/>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7 243 604</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5 053 381</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5 851 710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5 851 710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5 505 210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6 883 103</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5 951 145</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Toxikologické centrum</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150 000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40 000</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40 000</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Centrum pre liečbu drogových závislostí</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47 207</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30 000</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30 000</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Slovenský Červený kríž</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1 000 000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700 000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871 992</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871 992</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700 000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700 000</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700 000</w:t>
            </w:r>
          </w:p>
        </w:tc>
      </w:tr>
      <w:tr>
        <w:tblPrEx>
          <w:tblW w:w="9147" w:type="dxa"/>
          <w:tblInd w:w="65" w:type="dxa"/>
          <w:tblLayout w:type="fixed"/>
          <w:tblCellMar>
            <w:left w:w="70" w:type="dxa"/>
            <w:right w:w="70" w:type="dxa"/>
          </w:tblCellMar>
          <w:tblLook w:val="04A0"/>
        </w:tblPrEx>
        <w:trPr>
          <w:trHeight w:val="350"/>
        </w:trPr>
        <w:tc>
          <w:tcPr>
            <w:tcW w:w="3231" w:type="dxa"/>
            <w:tcBorders>
              <w:top w:val="nil"/>
              <w:left w:val="single" w:sz="4" w:space="0" w:color="auto"/>
              <w:bottom w:val="single" w:sz="4" w:space="0" w:color="auto"/>
              <w:right w:val="single" w:sz="4" w:space="0" w:color="auto"/>
            </w:tcBorders>
            <w:textDirection w:val="lrTb"/>
            <w:vAlign w:val="center"/>
            <w:hideMark/>
          </w:tcPr>
          <w:p w:rsidR="00C90DEA" w:rsidRPr="001C5A4C" w:rsidP="004B33C0">
            <w:pPr>
              <w:bidi w:val="0"/>
              <w:rPr>
                <w:rFonts w:ascii="Times New Roman" w:hAnsi="Times New Roman" w:cs="Times New Roman"/>
                <w:color w:val="000000"/>
                <w:sz w:val="14"/>
                <w:szCs w:val="14"/>
                <w:lang w:eastAsia="sk-SK"/>
              </w:rPr>
            </w:pPr>
            <w:r w:rsidRPr="001C5A4C">
              <w:rPr>
                <w:rFonts w:ascii="Times New Roman" w:hAnsi="Times New Roman" w:cs="Times New Roman"/>
                <w:color w:val="000000"/>
                <w:sz w:val="14"/>
                <w:szCs w:val="14"/>
                <w:lang w:eastAsia="sk-SK"/>
              </w:rPr>
              <w:t>náhrada nákladov VšZP za ZS poskytnutú nepoisteným osobám (bezdomovci, iní nepoistení)</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109 527</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63 902</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199 165</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199 165</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175 000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175 000</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175 000</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podpora vedy a výskumu</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831 794</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1 901 300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1 000 000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1 000 000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1 596 623</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1 804 342</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2 000 000</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plnenie programu eHealth</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975 963</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54 000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0</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ostatné výdavky aparátu, z toho:</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5 980 157</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13 865 425</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11 456 662</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10 464 589</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10 706 861</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8 183 732</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8 932 613</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 xml:space="preserve">      transfer UDZS na spoluf. DRG</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 </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 </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628 575</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628 575</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995 925</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476 000</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0</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 xml:space="preserve">      ostatná činnosť v zdravotníctve bez SČK</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410 860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5 850 022</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2 500 000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2 500 000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1 629 571</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0</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774 258</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 xml:space="preserve">      ostatné výdavky aparátu</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5 569 297</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8 015 403</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8 328 087</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7 336 014</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8 081 365</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7 707 732</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i/>
                <w:iCs/>
                <w:sz w:val="14"/>
                <w:szCs w:val="14"/>
                <w:lang w:eastAsia="sk-SK"/>
              </w:rPr>
            </w:pPr>
            <w:r w:rsidRPr="001C5A4C">
              <w:rPr>
                <w:rFonts w:ascii="Times New Roman" w:hAnsi="Times New Roman" w:cs="Times New Roman"/>
                <w:i/>
                <w:iCs/>
                <w:sz w:val="14"/>
                <w:szCs w:val="14"/>
                <w:lang w:eastAsia="sk-SK"/>
              </w:rPr>
              <w:t>8 158 355</w:t>
            </w:r>
          </w:p>
        </w:tc>
      </w:tr>
      <w:tr>
        <w:tblPrEx>
          <w:tblW w:w="9147" w:type="dxa"/>
          <w:tblInd w:w="65" w:type="dxa"/>
          <w:tblLayout w:type="fixed"/>
          <w:tblCellMar>
            <w:left w:w="70" w:type="dxa"/>
            <w:right w:w="70" w:type="dxa"/>
          </w:tblCellMar>
          <w:tblLook w:val="04A0"/>
        </w:tblPrEx>
        <w:trPr>
          <w:trHeight w:val="255"/>
        </w:trPr>
        <w:tc>
          <w:tcPr>
            <w:tcW w:w="3231"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Kapitálové výdavky kapitoly</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5 730 766</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4 506 531</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500 000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11 002 000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500 000</w:t>
            </w:r>
          </w:p>
        </w:tc>
        <w:tc>
          <w:tcPr>
            <w:tcW w:w="845"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500 000</w:t>
            </w:r>
          </w:p>
        </w:tc>
        <w:tc>
          <w:tcPr>
            <w:tcW w:w="846"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500 000</w:t>
            </w:r>
          </w:p>
        </w:tc>
      </w:tr>
    </w:tbl>
    <w:p w:rsidR="00C90DEA" w:rsidRPr="001C5A4C" w:rsidP="00C90DEA">
      <w:pPr>
        <w:bidi w:val="0"/>
        <w:ind w:firstLine="708"/>
        <w:jc w:val="both"/>
        <w:rPr>
          <w:rFonts w:ascii="Times New Roman" w:hAnsi="Times New Roman"/>
          <w:highlight w:val="yellow"/>
        </w:rPr>
      </w:pPr>
    </w:p>
    <w:p w:rsidR="00C90DEA" w:rsidRPr="001C5A4C" w:rsidP="00C90DEA">
      <w:pPr>
        <w:bidi w:val="0"/>
        <w:ind w:firstLine="708"/>
        <w:jc w:val="both"/>
        <w:rPr>
          <w:rFonts w:ascii="Times New Roman" w:hAnsi="Times New Roman"/>
        </w:rPr>
      </w:pPr>
      <w:r w:rsidRPr="001C5A4C">
        <w:rPr>
          <w:rFonts w:ascii="Times New Roman" w:hAnsi="Times New Roman"/>
        </w:rPr>
        <w:t xml:space="preserve">Prostriedky EÚ a spolufinancovanie 2. programového obdobia sú pre rezort zdravotníctva rozpočtované od roku 2008, a to prostredníctvom Operačného programu Zdravotníctvo, ktorý je zameraný na výstavbu, rekonštrukciu a modernizáciu všeobecných, špecializovaných nemocníc, ambulantnej zdravotnej starostlivosti, obnovu a modernizáciu zdravotníckej techniky a prostredníctvom Operačného programu Vzdelávanie so zameraním najmä na podporu ďalšieho vzdelávania zdravotníckych pracovníkov. </w:t>
      </w:r>
    </w:p>
    <w:p w:rsidR="00C90DEA" w:rsidRPr="001C5A4C" w:rsidP="00C90DEA">
      <w:pPr>
        <w:bidi w:val="0"/>
        <w:jc w:val="both"/>
        <w:rPr>
          <w:rFonts w:ascii="Times New Roman" w:hAnsi="Times New Roman"/>
        </w:rPr>
      </w:pPr>
    </w:p>
    <w:p w:rsidR="00C90DEA" w:rsidRPr="001C5A4C" w:rsidP="00C90DEA">
      <w:pPr>
        <w:bidi w:val="0"/>
        <w:ind w:firstLine="708"/>
        <w:jc w:val="both"/>
        <w:rPr>
          <w:rFonts w:ascii="Times New Roman" w:hAnsi="Times New Roman"/>
        </w:rPr>
      </w:pPr>
      <w:r w:rsidRPr="001C5A4C">
        <w:rPr>
          <w:rFonts w:ascii="Times New Roman" w:hAnsi="Times New Roman"/>
        </w:rPr>
        <w:t xml:space="preserve">Celkové prostriedky EÚ, vrátane spolufinancovania na rok 2013 sú vzhľadom na postupné dočerpanie zdrojov Operačného programu Zdravotníctvo a Operačného programu Vzdelávanie v pôsobnosti MZ SR nižšie oproti schválenému rozpočtu </w:t>
      </w:r>
      <w:r w:rsidR="00976089">
        <w:rPr>
          <w:rFonts w:ascii="Times New Roman" w:hAnsi="Times New Roman"/>
        </w:rPr>
        <w:t>na</w:t>
      </w:r>
      <w:r w:rsidRPr="001C5A4C">
        <w:rPr>
          <w:rFonts w:ascii="Times New Roman" w:hAnsi="Times New Roman"/>
        </w:rPr>
        <w:t xml:space="preserve"> rok 2012 </w:t>
      </w:r>
      <w:r w:rsidR="0054020A">
        <w:rPr>
          <w:rFonts w:ascii="Times New Roman" w:hAnsi="Times New Roman"/>
        </w:rPr>
        <w:br/>
      </w:r>
      <w:r w:rsidRPr="001C5A4C">
        <w:rPr>
          <w:rFonts w:ascii="Times New Roman" w:hAnsi="Times New Roman"/>
        </w:rPr>
        <w:t>o 38,1 mil. eur, t. j. o 36,2 %.</w:t>
      </w:r>
    </w:p>
    <w:p w:rsidR="00C90DEA" w:rsidRPr="001C5A4C" w:rsidP="00C90DEA">
      <w:pPr>
        <w:bidi w:val="0"/>
        <w:jc w:val="both"/>
        <w:rPr>
          <w:rFonts w:ascii="Times New Roman" w:hAnsi="Times New Roman"/>
          <w:highlight w:val="yellow"/>
        </w:rPr>
      </w:pPr>
    </w:p>
    <w:tbl>
      <w:tblPr>
        <w:tblStyle w:val="TableNormal"/>
        <w:tblW w:w="9077" w:type="dxa"/>
        <w:tblInd w:w="65" w:type="dxa"/>
        <w:tblLayout w:type="fixed"/>
        <w:tblCellMar>
          <w:left w:w="70" w:type="dxa"/>
          <w:right w:w="70" w:type="dxa"/>
        </w:tblCellMar>
        <w:tblLook w:val="04A0"/>
      </w:tblPr>
      <w:tblGrid>
        <w:gridCol w:w="2557"/>
        <w:gridCol w:w="931"/>
        <w:gridCol w:w="931"/>
        <w:gridCol w:w="932"/>
        <w:gridCol w:w="931"/>
        <w:gridCol w:w="932"/>
        <w:gridCol w:w="931"/>
        <w:gridCol w:w="932"/>
      </w:tblGrid>
      <w:tr>
        <w:tblPrEx>
          <w:tblW w:w="9077" w:type="dxa"/>
          <w:tblInd w:w="65" w:type="dxa"/>
          <w:tblLayout w:type="fixed"/>
          <w:tblCellMar>
            <w:left w:w="70" w:type="dxa"/>
            <w:right w:w="70" w:type="dxa"/>
          </w:tblCellMar>
          <w:tblLook w:val="04A0"/>
        </w:tblPrEx>
        <w:trPr>
          <w:trHeight w:val="255"/>
        </w:trPr>
        <w:tc>
          <w:tcPr>
            <w:tcW w:w="255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C90DEA" w:rsidRPr="001C5A4C" w:rsidP="004B33C0">
            <w:pPr>
              <w:bidi w:val="0"/>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  v eurách</w:t>
            </w:r>
          </w:p>
        </w:tc>
        <w:tc>
          <w:tcPr>
            <w:tcW w:w="93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2010 S</w:t>
            </w:r>
          </w:p>
        </w:tc>
        <w:tc>
          <w:tcPr>
            <w:tcW w:w="93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2011 S</w:t>
            </w:r>
          </w:p>
        </w:tc>
        <w:tc>
          <w:tcPr>
            <w:tcW w:w="93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2012 R</w:t>
            </w:r>
          </w:p>
        </w:tc>
        <w:tc>
          <w:tcPr>
            <w:tcW w:w="93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2012 OS</w:t>
            </w:r>
          </w:p>
        </w:tc>
        <w:tc>
          <w:tcPr>
            <w:tcW w:w="93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2013 R</w:t>
            </w:r>
          </w:p>
        </w:tc>
        <w:tc>
          <w:tcPr>
            <w:tcW w:w="93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2014 N</w:t>
            </w:r>
          </w:p>
        </w:tc>
        <w:tc>
          <w:tcPr>
            <w:tcW w:w="93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C90DEA" w:rsidRPr="001C5A4C" w:rsidP="004B33C0">
            <w:pPr>
              <w:bidi w:val="0"/>
              <w:jc w:val="center"/>
              <w:rPr>
                <w:rFonts w:ascii="Times New Roman" w:hAnsi="Times New Roman" w:cs="Times New Roman"/>
                <w:b/>
                <w:bCs/>
                <w:color w:val="000000"/>
                <w:sz w:val="14"/>
                <w:szCs w:val="14"/>
                <w:lang w:eastAsia="sk-SK"/>
              </w:rPr>
            </w:pPr>
            <w:r w:rsidRPr="001C5A4C">
              <w:rPr>
                <w:rFonts w:ascii="Times New Roman" w:hAnsi="Times New Roman" w:cs="Times New Roman"/>
                <w:b/>
                <w:bCs/>
                <w:color w:val="000000"/>
                <w:sz w:val="14"/>
                <w:szCs w:val="14"/>
                <w:lang w:eastAsia="sk-SK"/>
              </w:rPr>
              <w:t>2015 N</w:t>
            </w:r>
          </w:p>
        </w:tc>
      </w:tr>
      <w:tr>
        <w:tblPrEx>
          <w:tblW w:w="9077" w:type="dxa"/>
          <w:tblInd w:w="65" w:type="dxa"/>
          <w:tblLayout w:type="fixed"/>
          <w:tblCellMar>
            <w:left w:w="70" w:type="dxa"/>
            <w:right w:w="70" w:type="dxa"/>
          </w:tblCellMar>
          <w:tblLook w:val="04A0"/>
        </w:tblPrEx>
        <w:trPr>
          <w:trHeight w:val="255"/>
        </w:trPr>
        <w:tc>
          <w:tcPr>
            <w:tcW w:w="255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90DEA" w:rsidRPr="001C5A4C" w:rsidP="004B33C0">
            <w:pPr>
              <w:bidi w:val="0"/>
              <w:rPr>
                <w:rFonts w:ascii="Times New Roman" w:hAnsi="Times New Roman" w:cs="Times New Roman"/>
                <w:b/>
                <w:bCs/>
                <w:sz w:val="14"/>
                <w:szCs w:val="14"/>
                <w:lang w:eastAsia="sk-SK"/>
              </w:rPr>
            </w:pPr>
            <w:r w:rsidRPr="001C5A4C">
              <w:rPr>
                <w:rFonts w:ascii="Times New Roman" w:hAnsi="Times New Roman"/>
                <w:b/>
                <w:sz w:val="14"/>
                <w:szCs w:val="14"/>
              </w:rPr>
              <w:t>EÚ zdroje a spolufinancovanie celkom</w:t>
            </w:r>
          </w:p>
        </w:tc>
        <w:tc>
          <w:tcPr>
            <w:tcW w:w="93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53 697 673</w:t>
            </w:r>
          </w:p>
        </w:tc>
        <w:tc>
          <w:tcPr>
            <w:tcW w:w="93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91 908 541</w:t>
            </w:r>
          </w:p>
        </w:tc>
        <w:tc>
          <w:tcPr>
            <w:tcW w:w="93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105 396 732</w:t>
            </w:r>
          </w:p>
        </w:tc>
        <w:tc>
          <w:tcPr>
            <w:tcW w:w="93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117 505 639</w:t>
            </w:r>
          </w:p>
        </w:tc>
        <w:tc>
          <w:tcPr>
            <w:tcW w:w="93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67 263 000</w:t>
            </w:r>
          </w:p>
        </w:tc>
        <w:tc>
          <w:tcPr>
            <w:tcW w:w="93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14 806 000</w:t>
            </w:r>
          </w:p>
        </w:tc>
        <w:tc>
          <w:tcPr>
            <w:tcW w:w="93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C90DEA" w:rsidRPr="001C5A4C" w:rsidP="004B33C0">
            <w:pPr>
              <w:bidi w:val="0"/>
              <w:jc w:val="right"/>
              <w:rPr>
                <w:rFonts w:ascii="Times New Roman" w:hAnsi="Times New Roman" w:cs="Times New Roman"/>
                <w:b/>
                <w:bCs/>
                <w:sz w:val="14"/>
                <w:szCs w:val="14"/>
                <w:lang w:eastAsia="sk-SK"/>
              </w:rPr>
            </w:pPr>
            <w:r w:rsidRPr="001C5A4C">
              <w:rPr>
                <w:rFonts w:ascii="Times New Roman" w:hAnsi="Times New Roman" w:cs="Times New Roman"/>
                <w:b/>
                <w:bCs/>
                <w:sz w:val="14"/>
                <w:szCs w:val="14"/>
                <w:lang w:eastAsia="sk-SK"/>
              </w:rPr>
              <w:t>3 940 166</w:t>
            </w:r>
          </w:p>
        </w:tc>
      </w:tr>
      <w:tr>
        <w:tblPrEx>
          <w:tblW w:w="9077" w:type="dxa"/>
          <w:tblInd w:w="65" w:type="dxa"/>
          <w:tblLayout w:type="fixed"/>
          <w:tblCellMar>
            <w:left w:w="70" w:type="dxa"/>
            <w:right w:w="70" w:type="dxa"/>
          </w:tblCellMar>
          <w:tblLook w:val="04A0"/>
        </w:tblPrEx>
        <w:trPr>
          <w:trHeight w:val="255"/>
        </w:trPr>
        <w:tc>
          <w:tcPr>
            <w:tcW w:w="2557"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Operačný program Zdravotníctvo</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51 466 558</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87 905 307</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86 522 399</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98 541 487</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55 105 000</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9 267 000</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1 253 059</w:t>
            </w:r>
          </w:p>
        </w:tc>
      </w:tr>
      <w:tr>
        <w:tblPrEx>
          <w:tblW w:w="9077" w:type="dxa"/>
          <w:tblInd w:w="65" w:type="dxa"/>
          <w:tblLayout w:type="fixed"/>
          <w:tblCellMar>
            <w:left w:w="70" w:type="dxa"/>
            <w:right w:w="70" w:type="dxa"/>
          </w:tblCellMar>
          <w:tblLook w:val="04A0"/>
        </w:tblPrEx>
        <w:trPr>
          <w:trHeight w:val="255"/>
        </w:trPr>
        <w:tc>
          <w:tcPr>
            <w:tcW w:w="2557"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xml:space="preserve">     EÚ prostriedky</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44 115 743</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73 463 073</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73 544 039</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82 203 250</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46 855 000</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7 853 000</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1 064 709</w:t>
            </w:r>
          </w:p>
        </w:tc>
      </w:tr>
      <w:tr>
        <w:tblPrEx>
          <w:tblW w:w="9077" w:type="dxa"/>
          <w:tblInd w:w="65" w:type="dxa"/>
          <w:tblLayout w:type="fixed"/>
          <w:tblCellMar>
            <w:left w:w="70" w:type="dxa"/>
            <w:right w:w="70" w:type="dxa"/>
          </w:tblCellMar>
          <w:tblLook w:val="04A0"/>
        </w:tblPrEx>
        <w:trPr>
          <w:trHeight w:val="255"/>
        </w:trPr>
        <w:tc>
          <w:tcPr>
            <w:tcW w:w="2557"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xml:space="preserve">     spolufinancovanie</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7 350 815</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14 442 234</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12 978 360</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16 338 237</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8 250 000</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1 414 000</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188 350</w:t>
            </w:r>
          </w:p>
        </w:tc>
      </w:tr>
      <w:tr>
        <w:tblPrEx>
          <w:tblW w:w="9077" w:type="dxa"/>
          <w:tblInd w:w="65" w:type="dxa"/>
          <w:tblLayout w:type="fixed"/>
          <w:tblCellMar>
            <w:left w:w="70" w:type="dxa"/>
            <w:right w:w="70" w:type="dxa"/>
          </w:tblCellMar>
          <w:tblLook w:val="04A0"/>
        </w:tblPrEx>
        <w:trPr>
          <w:trHeight w:val="255"/>
        </w:trPr>
        <w:tc>
          <w:tcPr>
            <w:tcW w:w="2557"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Operačný program Vzdelávanie</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2 231 115</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4 003 234</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18 874 333</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18 964 152</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12 158 000</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5 539 000</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2 687 107</w:t>
            </w:r>
          </w:p>
        </w:tc>
      </w:tr>
      <w:tr>
        <w:tblPrEx>
          <w:tblW w:w="9077" w:type="dxa"/>
          <w:tblInd w:w="65" w:type="dxa"/>
          <w:tblLayout w:type="fixed"/>
          <w:tblCellMar>
            <w:left w:w="70" w:type="dxa"/>
            <w:right w:w="70" w:type="dxa"/>
          </w:tblCellMar>
          <w:tblLook w:val="04A0"/>
        </w:tblPrEx>
        <w:trPr>
          <w:trHeight w:val="255"/>
        </w:trPr>
        <w:tc>
          <w:tcPr>
            <w:tcW w:w="2557"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xml:space="preserve">     EÚ prostriedky</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1 916 419</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3 503 060</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16 014 463</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16 090 809</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10 282 000</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4 684 000</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2 271 816</w:t>
            </w:r>
          </w:p>
        </w:tc>
      </w:tr>
      <w:tr>
        <w:tblPrEx>
          <w:tblW w:w="9077" w:type="dxa"/>
          <w:tblInd w:w="65" w:type="dxa"/>
          <w:tblLayout w:type="fixed"/>
          <w:tblCellMar>
            <w:left w:w="70" w:type="dxa"/>
            <w:right w:w="70" w:type="dxa"/>
          </w:tblCellMar>
          <w:tblLook w:val="04A0"/>
        </w:tblPrEx>
        <w:trPr>
          <w:trHeight w:val="255"/>
        </w:trPr>
        <w:tc>
          <w:tcPr>
            <w:tcW w:w="2557" w:type="dxa"/>
            <w:tcBorders>
              <w:top w:val="nil"/>
              <w:left w:val="single" w:sz="4" w:space="0" w:color="auto"/>
              <w:bottom w:val="single" w:sz="4" w:space="0" w:color="auto"/>
              <w:right w:val="single" w:sz="4" w:space="0" w:color="auto"/>
            </w:tcBorders>
            <w:noWrap/>
            <w:textDirection w:val="lrTb"/>
            <w:vAlign w:val="center"/>
            <w:hideMark/>
          </w:tcPr>
          <w:p w:rsidR="00C90DEA" w:rsidRPr="001C5A4C" w:rsidP="004B33C0">
            <w:pPr>
              <w:bidi w:val="0"/>
              <w:rPr>
                <w:rFonts w:ascii="Times New Roman" w:hAnsi="Times New Roman" w:cs="Times New Roman"/>
                <w:sz w:val="14"/>
                <w:szCs w:val="14"/>
                <w:lang w:eastAsia="sk-SK"/>
              </w:rPr>
            </w:pPr>
            <w:r w:rsidRPr="001C5A4C">
              <w:rPr>
                <w:rFonts w:ascii="Times New Roman" w:hAnsi="Times New Roman" w:cs="Times New Roman"/>
                <w:sz w:val="14"/>
                <w:szCs w:val="14"/>
                <w:lang w:eastAsia="sk-SK"/>
              </w:rPr>
              <w:t xml:space="preserve">     spolufinancovanie</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314 696</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500 174</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2 859 870</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2 873 343</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1 876 000</w:t>
            </w:r>
          </w:p>
        </w:tc>
        <w:tc>
          <w:tcPr>
            <w:tcW w:w="931"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855 000</w:t>
            </w:r>
          </w:p>
        </w:tc>
        <w:tc>
          <w:tcPr>
            <w:tcW w:w="932" w:type="dxa"/>
            <w:tcBorders>
              <w:top w:val="nil"/>
              <w:left w:val="nil"/>
              <w:bottom w:val="single" w:sz="4" w:space="0" w:color="auto"/>
              <w:right w:val="single" w:sz="4" w:space="0" w:color="auto"/>
            </w:tcBorders>
            <w:noWrap/>
            <w:textDirection w:val="lrTb"/>
            <w:vAlign w:val="center"/>
            <w:hideMark/>
          </w:tcPr>
          <w:p w:rsidR="00C90DEA" w:rsidRPr="001C5A4C" w:rsidP="004B33C0">
            <w:pPr>
              <w:bidi w:val="0"/>
              <w:jc w:val="right"/>
              <w:rPr>
                <w:rFonts w:ascii="Times New Roman" w:hAnsi="Times New Roman" w:cs="Times New Roman"/>
                <w:sz w:val="14"/>
                <w:szCs w:val="14"/>
                <w:lang w:eastAsia="sk-SK"/>
              </w:rPr>
            </w:pPr>
            <w:r w:rsidRPr="001C5A4C">
              <w:rPr>
                <w:rFonts w:ascii="Times New Roman" w:hAnsi="Times New Roman" w:cs="Times New Roman"/>
                <w:sz w:val="14"/>
                <w:szCs w:val="14"/>
                <w:lang w:eastAsia="sk-SK"/>
              </w:rPr>
              <w:t>415 291</w:t>
            </w:r>
          </w:p>
        </w:tc>
      </w:tr>
    </w:tbl>
    <w:p w:rsidR="00C90DEA" w:rsidRPr="001C5A4C" w:rsidP="00C90DEA">
      <w:pPr>
        <w:bidi w:val="0"/>
        <w:rPr>
          <w:rFonts w:ascii="Times New Roman" w:hAnsi="Times New Roman"/>
          <w:sz w:val="14"/>
          <w:szCs w:val="14"/>
        </w:rPr>
      </w:pPr>
      <w:r w:rsidRPr="001C5A4C">
        <w:rPr>
          <w:rFonts w:ascii="Times New Roman" w:hAnsi="Times New Roman"/>
          <w:sz w:val="14"/>
          <w:szCs w:val="14"/>
        </w:rPr>
        <w:t>Poznámka: Skutočné čerpanie prostriedkov je uvedené vrátane zdrojov z predchádzajúcich rokov.</w:t>
      </w:r>
    </w:p>
    <w:p w:rsidR="00C90DEA" w:rsidP="00C90DEA">
      <w:pPr>
        <w:bidi w:val="0"/>
      </w:pPr>
    </w:p>
    <w:tbl>
      <w:tblPr>
        <w:tblStyle w:val="TableNormal"/>
        <w:tblW w:w="9072" w:type="dxa"/>
        <w:tblInd w:w="-70" w:type="dxa"/>
        <w:tblLayout w:type="fixed"/>
        <w:tblCellMar>
          <w:left w:w="0" w:type="dxa"/>
          <w:right w:w="0" w:type="dxa"/>
        </w:tblCellMar>
        <w:tblLook w:val="04A0"/>
      </w:tblPr>
      <w:tblGrid>
        <w:gridCol w:w="2268"/>
        <w:gridCol w:w="972"/>
        <w:gridCol w:w="972"/>
        <w:gridCol w:w="972"/>
        <w:gridCol w:w="972"/>
        <w:gridCol w:w="972"/>
        <w:gridCol w:w="972"/>
        <w:gridCol w:w="972"/>
      </w:tblGrid>
      <w:tr>
        <w:tblPrEx>
          <w:tblW w:w="9072" w:type="dxa"/>
          <w:tblInd w:w="-70" w:type="dxa"/>
          <w:tblLayout w:type="fixed"/>
          <w:tblCellMar>
            <w:left w:w="0" w:type="dxa"/>
            <w:right w:w="0" w:type="dxa"/>
          </w:tblCellMar>
          <w:tblLook w:val="04A0"/>
        </w:tblPrEx>
        <w:tc>
          <w:tcPr>
            <w:tcW w:w="2268" w:type="dxa"/>
            <w:tcBorders>
              <w:top w:val="nil"/>
              <w:left w:val="nil"/>
              <w:bottom w:val="nil"/>
              <w:right w:val="nil"/>
            </w:tcBorders>
            <w:textDirection w:val="lrTb"/>
            <w:vAlign w:val="center"/>
            <w:hideMark/>
          </w:tcPr>
          <w:p w:rsidR="009D2A34" w:rsidRPr="007E0D85" w:rsidP="006338E5">
            <w:pPr>
              <w:bidi w:val="0"/>
              <w:rPr>
                <w:rFonts w:ascii="Times New Roman" w:hAnsi="Times New Roman"/>
                <w:sz w:val="2"/>
                <w:highlight w:val="yellow"/>
                <w:lang w:eastAsia="sk-SK"/>
              </w:rPr>
            </w:pPr>
          </w:p>
        </w:tc>
        <w:tc>
          <w:tcPr>
            <w:tcW w:w="972" w:type="dxa"/>
            <w:tcBorders>
              <w:top w:val="nil"/>
              <w:left w:val="nil"/>
              <w:bottom w:val="nil"/>
              <w:right w:val="nil"/>
            </w:tcBorders>
            <w:textDirection w:val="lrTb"/>
            <w:vAlign w:val="center"/>
            <w:hideMark/>
          </w:tcPr>
          <w:p w:rsidR="009D2A34" w:rsidRPr="007E0D85" w:rsidP="006338E5">
            <w:pPr>
              <w:bidi w:val="0"/>
              <w:rPr>
                <w:rFonts w:ascii="Times New Roman" w:hAnsi="Times New Roman"/>
                <w:sz w:val="2"/>
                <w:highlight w:val="yellow"/>
                <w:lang w:eastAsia="sk-SK"/>
              </w:rPr>
            </w:pPr>
          </w:p>
        </w:tc>
        <w:tc>
          <w:tcPr>
            <w:tcW w:w="972" w:type="dxa"/>
            <w:tcBorders>
              <w:top w:val="nil"/>
              <w:left w:val="nil"/>
              <w:bottom w:val="nil"/>
              <w:right w:val="nil"/>
            </w:tcBorders>
            <w:textDirection w:val="lrTb"/>
            <w:vAlign w:val="center"/>
            <w:hideMark/>
          </w:tcPr>
          <w:p w:rsidR="009D2A34" w:rsidRPr="007E0D85" w:rsidP="006338E5">
            <w:pPr>
              <w:bidi w:val="0"/>
              <w:rPr>
                <w:rFonts w:ascii="Times New Roman" w:hAnsi="Times New Roman"/>
                <w:sz w:val="2"/>
                <w:highlight w:val="yellow"/>
                <w:lang w:eastAsia="sk-SK"/>
              </w:rPr>
            </w:pPr>
          </w:p>
        </w:tc>
        <w:tc>
          <w:tcPr>
            <w:tcW w:w="972" w:type="dxa"/>
            <w:tcBorders>
              <w:top w:val="nil"/>
              <w:left w:val="nil"/>
              <w:bottom w:val="nil"/>
              <w:right w:val="nil"/>
            </w:tcBorders>
            <w:textDirection w:val="lrTb"/>
            <w:vAlign w:val="center"/>
            <w:hideMark/>
          </w:tcPr>
          <w:p w:rsidR="009D2A34" w:rsidRPr="007E0D85" w:rsidP="006338E5">
            <w:pPr>
              <w:bidi w:val="0"/>
              <w:rPr>
                <w:rFonts w:ascii="Times New Roman" w:hAnsi="Times New Roman"/>
                <w:sz w:val="2"/>
                <w:highlight w:val="yellow"/>
                <w:lang w:eastAsia="sk-SK"/>
              </w:rPr>
            </w:pPr>
          </w:p>
        </w:tc>
        <w:tc>
          <w:tcPr>
            <w:tcW w:w="972" w:type="dxa"/>
            <w:tcBorders>
              <w:top w:val="nil"/>
              <w:left w:val="nil"/>
              <w:bottom w:val="nil"/>
              <w:right w:val="nil"/>
            </w:tcBorders>
            <w:textDirection w:val="lrTb"/>
            <w:vAlign w:val="center"/>
            <w:hideMark/>
          </w:tcPr>
          <w:p w:rsidR="009D2A34" w:rsidRPr="007E0D85" w:rsidP="006338E5">
            <w:pPr>
              <w:bidi w:val="0"/>
              <w:rPr>
                <w:rFonts w:ascii="Times New Roman" w:hAnsi="Times New Roman"/>
                <w:sz w:val="2"/>
                <w:highlight w:val="yellow"/>
                <w:lang w:eastAsia="sk-SK"/>
              </w:rPr>
            </w:pPr>
          </w:p>
        </w:tc>
        <w:tc>
          <w:tcPr>
            <w:tcW w:w="972" w:type="dxa"/>
            <w:tcBorders>
              <w:top w:val="nil"/>
              <w:left w:val="nil"/>
              <w:bottom w:val="nil"/>
              <w:right w:val="nil"/>
            </w:tcBorders>
            <w:textDirection w:val="lrTb"/>
            <w:vAlign w:val="center"/>
            <w:hideMark/>
          </w:tcPr>
          <w:p w:rsidR="009D2A34" w:rsidRPr="007E0D85" w:rsidP="006338E5">
            <w:pPr>
              <w:bidi w:val="0"/>
              <w:rPr>
                <w:rFonts w:ascii="Times New Roman" w:hAnsi="Times New Roman"/>
                <w:sz w:val="2"/>
                <w:highlight w:val="yellow"/>
                <w:lang w:eastAsia="sk-SK"/>
              </w:rPr>
            </w:pPr>
          </w:p>
        </w:tc>
        <w:tc>
          <w:tcPr>
            <w:tcW w:w="972" w:type="dxa"/>
            <w:tcBorders>
              <w:top w:val="nil"/>
              <w:left w:val="nil"/>
              <w:bottom w:val="nil"/>
              <w:right w:val="nil"/>
            </w:tcBorders>
            <w:textDirection w:val="lrTb"/>
            <w:vAlign w:val="center"/>
            <w:hideMark/>
          </w:tcPr>
          <w:p w:rsidR="009D2A34" w:rsidRPr="007E0D85" w:rsidP="006338E5">
            <w:pPr>
              <w:bidi w:val="0"/>
              <w:rPr>
                <w:rFonts w:ascii="Times New Roman" w:hAnsi="Times New Roman"/>
                <w:sz w:val="2"/>
                <w:highlight w:val="yellow"/>
                <w:lang w:eastAsia="sk-SK"/>
              </w:rPr>
            </w:pPr>
          </w:p>
        </w:tc>
        <w:tc>
          <w:tcPr>
            <w:tcW w:w="972" w:type="dxa"/>
            <w:tcBorders>
              <w:top w:val="nil"/>
              <w:left w:val="nil"/>
              <w:bottom w:val="nil"/>
              <w:right w:val="nil"/>
            </w:tcBorders>
            <w:textDirection w:val="lrTb"/>
            <w:vAlign w:val="center"/>
            <w:hideMark/>
          </w:tcPr>
          <w:p w:rsidR="009D2A34" w:rsidRPr="007E0D85" w:rsidP="006338E5">
            <w:pPr>
              <w:bidi w:val="0"/>
              <w:rPr>
                <w:rFonts w:ascii="Times New Roman" w:hAnsi="Times New Roman"/>
                <w:sz w:val="2"/>
                <w:highlight w:val="yellow"/>
                <w:lang w:eastAsia="sk-SK"/>
              </w:rPr>
            </w:pPr>
          </w:p>
        </w:tc>
      </w:tr>
    </w:tbl>
    <w:p w:rsidR="009D2A34" w:rsidRPr="0063370D" w:rsidP="009D2A34">
      <w:pPr>
        <w:pBdr>
          <w:bottom w:val="single" w:sz="4" w:space="1" w:color="auto"/>
        </w:pBdr>
        <w:bidi w:val="0"/>
        <w:jc w:val="both"/>
        <w:rPr>
          <w:rFonts w:ascii="Times New Roman" w:hAnsi="Times New Roman"/>
          <w:b/>
          <w:bCs/>
        </w:rPr>
      </w:pPr>
      <w:r w:rsidRPr="0063370D">
        <w:rPr>
          <w:rFonts w:ascii="Times New Roman" w:hAnsi="Times New Roman"/>
          <w:b/>
          <w:bCs/>
        </w:rPr>
        <w:t>Ministerstvo pôdohospodárstva a rozvoja vidieka SR</w:t>
      </w:r>
    </w:p>
    <w:p w:rsidR="009D2A34" w:rsidRPr="0063370D" w:rsidP="009D2A34">
      <w:pPr>
        <w:bidi w:val="0"/>
        <w:jc w:val="both"/>
        <w:rPr>
          <w:rFonts w:ascii="Times New Roman" w:hAnsi="Times New Roman"/>
          <w:b/>
        </w:rPr>
      </w:pPr>
    </w:p>
    <w:tbl>
      <w:tblPr>
        <w:tblStyle w:val="TableNormal"/>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24"/>
        <w:gridCol w:w="968"/>
        <w:gridCol w:w="968"/>
        <w:gridCol w:w="968"/>
        <w:gridCol w:w="970"/>
        <w:gridCol w:w="970"/>
        <w:gridCol w:w="970"/>
        <w:gridCol w:w="945"/>
      </w:tblGrid>
      <w:tr>
        <w:tblPrEx>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v eurách</w:t>
            </w:r>
          </w:p>
        </w:tc>
        <w:tc>
          <w:tcPr>
            <w:tcW w:w="516"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2010 S</w:t>
            </w:r>
          </w:p>
        </w:tc>
        <w:tc>
          <w:tcPr>
            <w:tcW w:w="516"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00820722">
              <w:rPr>
                <w:rFonts w:ascii="Times New Roman" w:hAnsi="Times New Roman"/>
                <w:b/>
                <w:bCs/>
                <w:color w:val="000000"/>
                <w:sz w:val="14"/>
                <w:szCs w:val="14"/>
                <w:lang w:eastAsia="sk-SK"/>
              </w:rPr>
              <w:t>2</w:t>
            </w:r>
            <w:r w:rsidRPr="0063370D">
              <w:rPr>
                <w:rFonts w:ascii="Times New Roman" w:hAnsi="Times New Roman"/>
                <w:b/>
                <w:bCs/>
                <w:color w:val="000000"/>
                <w:sz w:val="14"/>
                <w:szCs w:val="14"/>
                <w:lang w:eastAsia="sk-SK"/>
              </w:rPr>
              <w:t>011 S</w:t>
            </w:r>
          </w:p>
        </w:tc>
        <w:tc>
          <w:tcPr>
            <w:tcW w:w="516"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R</w:t>
            </w:r>
          </w:p>
        </w:tc>
        <w:tc>
          <w:tcPr>
            <w:tcW w:w="517"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OS</w:t>
            </w:r>
          </w:p>
        </w:tc>
        <w:tc>
          <w:tcPr>
            <w:tcW w:w="517"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2013 N</w:t>
            </w:r>
          </w:p>
        </w:tc>
        <w:tc>
          <w:tcPr>
            <w:tcW w:w="517"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2014 N</w:t>
            </w:r>
          </w:p>
        </w:tc>
        <w:tc>
          <w:tcPr>
            <w:tcW w:w="504"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2015 N</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Zdroje príslušnej kapitoly</w:t>
            </w:r>
          </w:p>
        </w:tc>
        <w:tc>
          <w:tcPr>
            <w:tcW w:w="516"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1 205 435 301</w:t>
            </w:r>
          </w:p>
        </w:tc>
        <w:tc>
          <w:tcPr>
            <w:tcW w:w="516"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1 264 300 068</w:t>
            </w:r>
          </w:p>
        </w:tc>
        <w:tc>
          <w:tcPr>
            <w:tcW w:w="516"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1 409 113 939</w:t>
            </w:r>
          </w:p>
        </w:tc>
        <w:tc>
          <w:tcPr>
            <w:tcW w:w="51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1 449 651 855</w:t>
            </w:r>
          </w:p>
        </w:tc>
        <w:tc>
          <w:tcPr>
            <w:tcW w:w="51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Pr>
                <w:rFonts w:ascii="Times New Roman" w:hAnsi="Times New Roman"/>
                <w:b/>
                <w:bCs/>
                <w:color w:val="000000"/>
                <w:sz w:val="14"/>
                <w:szCs w:val="14"/>
                <w:lang w:eastAsia="sk-SK"/>
              </w:rPr>
              <w:t>1 24</w:t>
            </w:r>
            <w:r w:rsidRPr="0063370D">
              <w:rPr>
                <w:rFonts w:ascii="Times New Roman" w:hAnsi="Times New Roman"/>
                <w:b/>
                <w:bCs/>
                <w:color w:val="000000"/>
                <w:sz w:val="14"/>
                <w:szCs w:val="14"/>
                <w:lang w:eastAsia="sk-SK"/>
              </w:rPr>
              <w:t>5 979 888</w:t>
            </w:r>
          </w:p>
        </w:tc>
        <w:tc>
          <w:tcPr>
            <w:tcW w:w="51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1 215 418 765</w:t>
            </w:r>
          </w:p>
        </w:tc>
        <w:tc>
          <w:tcPr>
            <w:tcW w:w="504"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1 020 844 238</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z toho:</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 </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 </w:t>
            </w:r>
          </w:p>
        </w:tc>
        <w:tc>
          <w:tcPr>
            <w:tcW w:w="516"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 </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 </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 </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 </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 </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b/>
                <w:color w:val="000000"/>
                <w:sz w:val="14"/>
                <w:szCs w:val="14"/>
                <w:lang w:eastAsia="sk-SK"/>
              </w:rPr>
            </w:pPr>
            <w:r w:rsidRPr="0063370D">
              <w:rPr>
                <w:rFonts w:ascii="Times New Roman" w:hAnsi="Times New Roman"/>
                <w:b/>
                <w:color w:val="000000"/>
                <w:sz w:val="14"/>
                <w:szCs w:val="14"/>
                <w:lang w:eastAsia="sk-SK"/>
              </w:rPr>
              <w:t>rozpočtové zdroje kapitoly</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147 868 078</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111 795 710</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115 301 787</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116 307 898</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Pr>
                <w:rFonts w:ascii="Times New Roman" w:hAnsi="Times New Roman"/>
                <w:b/>
                <w:sz w:val="14"/>
                <w:szCs w:val="14"/>
                <w:lang w:eastAsia="sk-SK"/>
              </w:rPr>
              <w:t>11</w:t>
            </w:r>
            <w:r w:rsidRPr="0063370D">
              <w:rPr>
                <w:rFonts w:ascii="Times New Roman" w:hAnsi="Times New Roman"/>
                <w:b/>
                <w:sz w:val="14"/>
                <w:szCs w:val="14"/>
                <w:lang w:eastAsia="sk-SK"/>
              </w:rPr>
              <w:t>7 820 018</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107 824 427</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107 837 009</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v tom: bežné výdavky  600</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143 600 943</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110 010 225</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112 972 357</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113 969 468</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Pr>
                <w:rFonts w:ascii="Times New Roman" w:hAnsi="Times New Roman"/>
                <w:sz w:val="14"/>
                <w:szCs w:val="14"/>
                <w:lang w:eastAsia="sk-SK"/>
              </w:rPr>
              <w:t>115 490 588</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105 494 997</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105 507 579</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610 mzdy</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41 694 873</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33 556 391</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33 361 080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33 361 080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31 715 109</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31 718 474</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31 727 871</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620 odvody</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14 629 419</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12 241 838</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11 658 347</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11 709 306</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11 083 841</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11 084 885</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11 088 070</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630 tovary a služby</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31 886 186</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31 672 523</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32 601 479</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33 282 302</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32 052 384</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32 052 384</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32 052 384</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640 bežné transfery</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55 390 465</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32 539 473</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35 351 451</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35 616 780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Pr>
                <w:rFonts w:ascii="Times New Roman" w:hAnsi="Times New Roman"/>
                <w:sz w:val="14"/>
                <w:szCs w:val="14"/>
                <w:lang w:eastAsia="sk-SK"/>
              </w:rPr>
              <w:t>40 639 254</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30 639 254</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30 639 254</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kapitálové výdavky 700</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4 267 136</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1 785 485</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2 329 430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2 338 430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2 329 430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2 329 430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2 329 430</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b/>
                <w:color w:val="000000"/>
                <w:sz w:val="14"/>
                <w:szCs w:val="14"/>
                <w:lang w:eastAsia="sk-SK"/>
              </w:rPr>
            </w:pPr>
            <w:r w:rsidRPr="0063370D">
              <w:rPr>
                <w:rFonts w:ascii="Times New Roman" w:hAnsi="Times New Roman"/>
                <w:b/>
                <w:color w:val="000000"/>
                <w:sz w:val="14"/>
                <w:szCs w:val="14"/>
                <w:lang w:eastAsia="sk-SK"/>
              </w:rPr>
              <w:t xml:space="preserve">zdroje EÚ vrátane spolufinancovania: </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843 896 699</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1 087 122 251</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1 293 812 152</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1 289 387 887</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1 128 159 870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1 107 594 338</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sz w:val="14"/>
                <w:szCs w:val="14"/>
                <w:lang w:eastAsia="sk-SK"/>
              </w:rPr>
            </w:pPr>
            <w:r w:rsidRPr="0063370D">
              <w:rPr>
                <w:rFonts w:ascii="Times New Roman" w:hAnsi="Times New Roman"/>
                <w:b/>
                <w:sz w:val="14"/>
                <w:szCs w:val="14"/>
                <w:lang w:eastAsia="sk-SK"/>
              </w:rPr>
              <w:t>913 007 229</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v tom: 1. program. obdobie  EÚ</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2 174 806</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spolufinancovanie zo ŠR</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515 239</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2. program. obdobie EÚ</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663 269 619</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901 775 212</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1 052 872 052</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1 049 127 335</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967 704 814</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334 389 348</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86 905 002</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spolufinancovanie zo ŠR</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177 937 035</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185 347 039</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240 940 100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240 260 552</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160 455 056</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53 344 990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28 029 727</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3. program. obdobie EÚ</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636 400 000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701 500 000</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spolufinancovanie zo ŠR</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83 460 000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96 572 500</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b/>
                <w:bCs/>
                <w:sz w:val="14"/>
                <w:szCs w:val="16"/>
                <w:lang w:eastAsia="sk-SK"/>
              </w:rPr>
            </w:pPr>
            <w:r w:rsidRPr="0063370D">
              <w:rPr>
                <w:rFonts w:ascii="Times New Roman" w:hAnsi="Times New Roman"/>
                <w:b/>
                <w:bCs/>
                <w:sz w:val="14"/>
                <w:szCs w:val="16"/>
                <w:lang w:eastAsia="sk-SK"/>
              </w:rPr>
              <w:t>presun z minulých rokov §</w:t>
            </w:r>
            <w:r w:rsidR="004B6109">
              <w:rPr>
                <w:rFonts w:ascii="Times New Roman" w:hAnsi="Times New Roman"/>
                <w:b/>
                <w:bCs/>
                <w:sz w:val="14"/>
                <w:szCs w:val="16"/>
                <w:lang w:eastAsia="sk-SK"/>
              </w:rPr>
              <w:t xml:space="preserve"> </w:t>
            </w:r>
            <w:r w:rsidRPr="0063370D">
              <w:rPr>
                <w:rFonts w:ascii="Times New Roman" w:hAnsi="Times New Roman"/>
                <w:b/>
                <w:bCs/>
                <w:sz w:val="14"/>
                <w:szCs w:val="16"/>
                <w:lang w:eastAsia="sk-SK"/>
              </w:rPr>
              <w:t>8</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213 670 524</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65 382 107</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43 956 070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z toho: štátny rozpočet</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7 769 376</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6 556 398</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6 469 677</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004B6109">
              <w:rPr>
                <w:rFonts w:ascii="Times New Roman" w:hAnsi="Times New Roman"/>
                <w:color w:val="000000"/>
                <w:sz w:val="14"/>
                <w:szCs w:val="14"/>
                <w:lang w:eastAsia="sk-SK"/>
              </w:rPr>
              <w:t xml:space="preserve">                EÚ</w:t>
            </w:r>
            <w:r w:rsidRPr="0063370D">
              <w:rPr>
                <w:rFonts w:ascii="Times New Roman" w:hAnsi="Times New Roman"/>
                <w:color w:val="000000"/>
                <w:sz w:val="14"/>
                <w:szCs w:val="14"/>
                <w:lang w:eastAsia="sk-SK"/>
              </w:rPr>
              <w:t xml:space="preserve"> prostriedky</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149 503 615</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15 742 872</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2 078 872</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r>
      <w:tr>
        <w:tblPrEx>
          <w:tblW w:w="5093" w:type="pct"/>
          <w:tblCellMar>
            <w:left w:w="70" w:type="dxa"/>
            <w:right w:w="70" w:type="dxa"/>
          </w:tblCellMar>
          <w:tblLook w:val="04A0"/>
        </w:tblPrEx>
        <w:trPr>
          <w:trHeight w:val="255"/>
        </w:trPr>
        <w:tc>
          <w:tcPr>
            <w:tcW w:w="1398"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 xml:space="preserve">                spolufinancovanie zo ŠR</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56 397 533</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43 082 837</w:t>
            </w:r>
          </w:p>
        </w:tc>
        <w:tc>
          <w:tcPr>
            <w:tcW w:w="51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35 407 521</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1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c>
          <w:tcPr>
            <w:tcW w:w="50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lang w:eastAsia="sk-SK"/>
              </w:rPr>
            </w:pPr>
            <w:r w:rsidRPr="0063370D">
              <w:rPr>
                <w:rFonts w:ascii="Times New Roman" w:hAnsi="Times New Roman"/>
                <w:sz w:val="14"/>
                <w:szCs w:val="14"/>
                <w:lang w:eastAsia="sk-SK"/>
              </w:rPr>
              <w:t>0</w:t>
            </w:r>
          </w:p>
        </w:tc>
      </w:tr>
    </w:tbl>
    <w:p w:rsidR="009D2A34" w:rsidRPr="0063370D" w:rsidP="009D2A34">
      <w:pPr>
        <w:bidi w:val="0"/>
        <w:jc w:val="both"/>
        <w:rPr>
          <w:rFonts w:ascii="Times New Roman" w:hAnsi="Times New Roman"/>
          <w:b/>
        </w:rPr>
      </w:pPr>
    </w:p>
    <w:p w:rsidR="009D2A34" w:rsidRPr="0063370D" w:rsidP="009D2A34">
      <w:pPr>
        <w:bidi w:val="0"/>
        <w:jc w:val="both"/>
        <w:rPr>
          <w:rFonts w:ascii="Times New Roman" w:hAnsi="Times New Roman"/>
        </w:rPr>
      </w:pPr>
      <w:r>
        <w:rPr>
          <w:rFonts w:ascii="Times New Roman" w:hAnsi="Times New Roman"/>
        </w:rPr>
        <w:tab/>
      </w:r>
      <w:r w:rsidRPr="0063370D">
        <w:rPr>
          <w:rFonts w:ascii="Times New Roman" w:hAnsi="Times New Roman"/>
        </w:rPr>
        <w:t>Kapitola Ministerstva pôdohospodárstva a rozvoja vidieka SR (ďalej len „MPRV SR“) bude mať v roku 2013 k dispozícii celkové zdroje vo výške 1,2</w:t>
      </w:r>
      <w:r>
        <w:rPr>
          <w:rFonts w:ascii="Times New Roman" w:hAnsi="Times New Roman"/>
        </w:rPr>
        <w:t>5</w:t>
      </w:r>
      <w:r w:rsidRPr="0063370D">
        <w:rPr>
          <w:rFonts w:ascii="Times New Roman" w:hAnsi="Times New Roman"/>
        </w:rPr>
        <w:t> mld. eur, čo v porovnaní so schváleným rozpočtom r</w:t>
      </w:r>
      <w:r>
        <w:rPr>
          <w:rFonts w:ascii="Times New Roman" w:hAnsi="Times New Roman"/>
        </w:rPr>
        <w:t>oku 2012 predstavuje pokles o 163 mil. eur, t. j. o 11,6</w:t>
      </w:r>
      <w:r w:rsidRPr="0063370D">
        <w:rPr>
          <w:rFonts w:ascii="Times New Roman" w:hAnsi="Times New Roman"/>
        </w:rPr>
        <w:t xml:space="preserve"> %. </w:t>
      </w:r>
    </w:p>
    <w:p w:rsidR="009D2A34" w:rsidRPr="0063370D" w:rsidP="009D2A34">
      <w:pPr>
        <w:bidi w:val="0"/>
        <w:jc w:val="both"/>
        <w:rPr>
          <w:rFonts w:ascii="Times New Roman" w:hAnsi="Times New Roman"/>
          <w:highlight w:val="yellow"/>
        </w:rPr>
      </w:pPr>
    </w:p>
    <w:p w:rsidR="009D2A34" w:rsidRPr="0063370D" w:rsidP="009D2A34">
      <w:pPr>
        <w:bidi w:val="0"/>
        <w:jc w:val="both"/>
        <w:rPr>
          <w:rFonts w:ascii="Times New Roman" w:hAnsi="Times New Roman"/>
        </w:rPr>
      </w:pPr>
      <w:r w:rsidRPr="0063370D">
        <w:rPr>
          <w:rFonts w:ascii="Times New Roman" w:hAnsi="Times New Roman"/>
        </w:rPr>
        <w:tab/>
        <w:t>Výdavky EÚ a spolufinancovania sa rozpočtujú v sume 1,13 mld. eur, čo v porovnaní so schváleným rozpočtom roku 2012 predstavuje pokles o 166 mil. eur, t. j. o 12,8 %. Medziročný pokles ovplyvnila nižšia alokácia výdavkov EÚ a spolufinancovania z Európskeho poľnohospodárskeho fondu pre rozvoj vidieka.</w:t>
      </w:r>
    </w:p>
    <w:p w:rsidR="009D2A34" w:rsidRPr="0063370D" w:rsidP="009D2A34">
      <w:pPr>
        <w:bidi w:val="0"/>
        <w:jc w:val="both"/>
        <w:rPr>
          <w:rFonts w:ascii="Times New Roman" w:hAnsi="Times New Roman"/>
          <w:highlight w:val="yellow"/>
        </w:rPr>
      </w:pPr>
    </w:p>
    <w:p w:rsidR="009D2A34" w:rsidRPr="0063370D" w:rsidP="009D2A34">
      <w:pPr>
        <w:bidi w:val="0"/>
        <w:jc w:val="both"/>
        <w:rPr>
          <w:rFonts w:ascii="Times New Roman" w:hAnsi="Times New Roman"/>
        </w:rPr>
      </w:pPr>
      <w:r w:rsidRPr="0063370D">
        <w:rPr>
          <w:rFonts w:ascii="Times New Roman" w:hAnsi="Times New Roman"/>
        </w:rPr>
        <w:tab/>
        <w:t xml:space="preserve">Rozpočtové prostriedky kapitoly </w:t>
      </w:r>
      <w:r>
        <w:rPr>
          <w:rFonts w:ascii="Times New Roman" w:hAnsi="Times New Roman"/>
        </w:rPr>
        <w:t>predstavujú sumu 11</w:t>
      </w:r>
      <w:r w:rsidRPr="0063370D">
        <w:rPr>
          <w:rFonts w:ascii="Times New Roman" w:hAnsi="Times New Roman"/>
        </w:rPr>
        <w:t xml:space="preserve">8 mil. eur, čo v porovnaní </w:t>
        <w:br/>
        <w:t xml:space="preserve">so schváleným rozpočtom roku 2012 predstavuje </w:t>
      </w:r>
      <w:r>
        <w:rPr>
          <w:rFonts w:ascii="Times New Roman" w:hAnsi="Times New Roman"/>
        </w:rPr>
        <w:t>nárast</w:t>
      </w:r>
      <w:r w:rsidRPr="0063370D">
        <w:rPr>
          <w:rFonts w:ascii="Times New Roman" w:hAnsi="Times New Roman"/>
        </w:rPr>
        <w:t xml:space="preserve"> o</w:t>
      </w:r>
      <w:r>
        <w:rPr>
          <w:rFonts w:ascii="Times New Roman" w:hAnsi="Times New Roman"/>
        </w:rPr>
        <w:t> 2,52</w:t>
      </w:r>
      <w:r w:rsidRPr="0063370D">
        <w:rPr>
          <w:rFonts w:ascii="Times New Roman" w:hAnsi="Times New Roman"/>
        </w:rPr>
        <w:t xml:space="preserve"> mil. eur, t. j. o</w:t>
      </w:r>
      <w:r>
        <w:rPr>
          <w:rFonts w:ascii="Times New Roman" w:hAnsi="Times New Roman"/>
        </w:rPr>
        <w:t> 2,18</w:t>
      </w:r>
      <w:r w:rsidRPr="0063370D">
        <w:rPr>
          <w:rFonts w:ascii="Times New Roman" w:hAnsi="Times New Roman"/>
        </w:rPr>
        <w:t xml:space="preserve"> %. Uvedenú zmenu okrem 5% viazania osobných výdavkov a 10% viazania prevádzkových výdavkov ovplyvnilo</w:t>
      </w:r>
      <w:r>
        <w:rPr>
          <w:rFonts w:ascii="Times New Roman" w:hAnsi="Times New Roman"/>
        </w:rPr>
        <w:t xml:space="preserve"> rozpočtovanie bežných transferov pre štátnu pomoc určených na poskytovanie dotácií na refundáciu časti spotrebnej dane z minerálnych olejov v sume </w:t>
      </w:r>
      <w:r w:rsidR="007574E8">
        <w:rPr>
          <w:rFonts w:ascii="Times New Roman" w:hAnsi="Times New Roman"/>
        </w:rPr>
        <w:br/>
      </w:r>
      <w:r>
        <w:rPr>
          <w:rFonts w:ascii="Times New Roman" w:hAnsi="Times New Roman"/>
        </w:rPr>
        <w:t xml:space="preserve">10,0 mil. eur.  </w:t>
      </w:r>
    </w:p>
    <w:p w:rsidR="009D2A34" w:rsidRPr="0063370D" w:rsidP="009D2A34">
      <w:pPr>
        <w:bidi w:val="0"/>
        <w:jc w:val="both"/>
        <w:rPr>
          <w:rFonts w:ascii="Times New Roman" w:hAnsi="Times New Roman"/>
          <w:highlight w:val="yellow"/>
        </w:rPr>
      </w:pPr>
    </w:p>
    <w:p w:rsidR="009D2A34" w:rsidP="009D2A34">
      <w:pPr>
        <w:bidi w:val="0"/>
        <w:jc w:val="both"/>
        <w:rPr>
          <w:rFonts w:ascii="Times New Roman" w:hAnsi="Times New Roman"/>
        </w:rPr>
      </w:pPr>
      <w:r w:rsidRPr="0063370D">
        <w:rPr>
          <w:rFonts w:ascii="Times New Roman" w:hAnsi="Times New Roman"/>
        </w:rPr>
        <w:tab/>
        <w:t xml:space="preserve">Osobné výdavky sa rozpočtujú v sume 42,8 mil. eur, čo v porovnaní so schváleným rozpočtom roku 2012 predstavuje pokles o 2,22 mil. eur, t. j. o 4,93 %. </w:t>
      </w:r>
    </w:p>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rPr>
      </w:pPr>
      <w:r w:rsidRPr="0063370D">
        <w:rPr>
          <w:rFonts w:ascii="Times New Roman" w:hAnsi="Times New Roman"/>
        </w:rPr>
        <w:tab/>
        <w:t xml:space="preserve">Výdavky na tovary a služby predstavujú sumu 32,1 mil. eur, čo v porovnaní </w:t>
        <w:br/>
        <w:t>so schváleným rozpočtom roku 2012 predstavuje pokles o 549 tis. eur, t. j. o 1,68 %. Uvedenú zmenu ovplyvnili celoplošné úsporné opatrenia a rozhodnutie kapitoly realizovať presun výdavkov z bežných transferov v sume 2,71 mil. eur do tejto kategórie.</w:t>
      </w:r>
    </w:p>
    <w:p w:rsidR="009D2A34" w:rsidRPr="0063370D" w:rsidP="009D2A34">
      <w:pPr>
        <w:bidi w:val="0"/>
        <w:jc w:val="both"/>
        <w:rPr>
          <w:rFonts w:ascii="Times New Roman" w:hAnsi="Times New Roman"/>
          <w:highlight w:val="yellow"/>
        </w:rPr>
      </w:pPr>
    </w:p>
    <w:p w:rsidR="009D2A34" w:rsidP="009D2A34">
      <w:pPr>
        <w:bidi w:val="0"/>
        <w:jc w:val="both"/>
        <w:rPr>
          <w:rFonts w:ascii="Times New Roman" w:hAnsi="Times New Roman"/>
        </w:rPr>
      </w:pPr>
      <w:r w:rsidRPr="0063370D">
        <w:rPr>
          <w:rFonts w:ascii="Times New Roman" w:hAnsi="Times New Roman"/>
        </w:rPr>
        <w:tab/>
      </w:r>
      <w:r w:rsidRPr="00FB6444">
        <w:rPr>
          <w:rFonts w:ascii="Times New Roman" w:hAnsi="Times New Roman"/>
        </w:rPr>
        <w:t xml:space="preserve">Výdavky na bežné transfery sa rozpočtujú v sume 40,6 mil. eur, čo v porovnaní </w:t>
        <w:br/>
      </w:r>
      <w:r w:rsidRPr="00B01713">
        <w:rPr>
          <w:rFonts w:ascii="Times New Roman" w:hAnsi="Times New Roman"/>
        </w:rPr>
        <w:t>so schváleným rozpočtom roku 2012 predstavuje nárast o 5,29 mil. eur, t. j. o 15,0</w:t>
      </w:r>
      <w:r>
        <w:rPr>
          <w:rFonts w:ascii="Times New Roman" w:hAnsi="Times New Roman"/>
        </w:rPr>
        <w:t xml:space="preserve"> %. Uvedenú</w:t>
      </w:r>
      <w:r w:rsidRPr="00B01713">
        <w:rPr>
          <w:rFonts w:ascii="Times New Roman" w:hAnsi="Times New Roman"/>
        </w:rPr>
        <w:t xml:space="preserve"> zmenu ovplyvnilo premietnutie 10% zníženia prevádzkových výdavkov v sume </w:t>
      </w:r>
      <w:r w:rsidR="007574E8">
        <w:rPr>
          <w:rFonts w:ascii="Times New Roman" w:hAnsi="Times New Roman"/>
        </w:rPr>
        <w:br/>
      </w:r>
      <w:r w:rsidRPr="00B01713">
        <w:rPr>
          <w:rFonts w:ascii="Times New Roman" w:hAnsi="Times New Roman"/>
        </w:rPr>
        <w:t xml:space="preserve">2,71 mil. eur v tejto kategórii a  rozpočtovanie bežných transferov pre štátnu pomoc určených na poskytovanie dotácií na refundáciu časti spotrebnej dane z minerálnych olejov v sume </w:t>
      </w:r>
      <w:r w:rsidR="007574E8">
        <w:rPr>
          <w:rFonts w:ascii="Times New Roman" w:hAnsi="Times New Roman"/>
        </w:rPr>
        <w:br/>
      </w:r>
      <w:r w:rsidRPr="00B01713">
        <w:rPr>
          <w:rFonts w:ascii="Times New Roman" w:hAnsi="Times New Roman"/>
        </w:rPr>
        <w:t xml:space="preserve">10,0 mil. eur.  </w:t>
      </w:r>
    </w:p>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rPr>
      </w:pPr>
      <w:r w:rsidRPr="0063370D">
        <w:rPr>
          <w:rFonts w:ascii="Times New Roman" w:hAnsi="Times New Roman"/>
        </w:rPr>
        <w:tab/>
        <w:t>Objem kapitálových výdavkov predstavuje sumu 2,33 mil. eur, v porovnaní so schváleným rozpočtom roku 2012 sa nemení.</w:t>
      </w:r>
    </w:p>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rPr>
      </w:pPr>
      <w:r w:rsidRPr="0063370D">
        <w:rPr>
          <w:rFonts w:ascii="Times New Roman" w:hAnsi="Times New Roman"/>
        </w:rPr>
        <w:tab/>
        <w:t>Výdavky kapitoly MPRV SR sú smerované do nasledovných oblastí:</w:t>
      </w:r>
    </w:p>
    <w:p w:rsidR="009D2A34" w:rsidRPr="0063370D" w:rsidP="009D2A34">
      <w:pPr>
        <w:bidi w:val="0"/>
        <w:jc w:val="both"/>
        <w:rPr>
          <w:rFonts w:ascii="Times New Roman" w:hAnsi="Times New Roman"/>
          <w:b/>
        </w:rPr>
      </w:pPr>
    </w:p>
    <w:tbl>
      <w:tblPr>
        <w:tblStyle w:val="TableNormal"/>
        <w:tblW w:w="4962" w:type="pct"/>
        <w:tblCellMar>
          <w:left w:w="70" w:type="dxa"/>
          <w:right w:w="70" w:type="dxa"/>
        </w:tblCellMar>
        <w:tblLook w:val="04A0"/>
      </w:tblPr>
      <w:tblGrid>
        <w:gridCol w:w="2054"/>
        <w:gridCol w:w="1021"/>
        <w:gridCol w:w="1021"/>
        <w:gridCol w:w="1021"/>
        <w:gridCol w:w="1021"/>
        <w:gridCol w:w="1020"/>
        <w:gridCol w:w="1020"/>
        <w:gridCol w:w="964"/>
      </w:tblGrid>
      <w:tr>
        <w:tblPrEx>
          <w:tblW w:w="4962" w:type="pct"/>
          <w:tblCellMar>
            <w:left w:w="70" w:type="dxa"/>
            <w:right w:w="70" w:type="dxa"/>
          </w:tblCellMar>
          <w:tblLook w:val="04A0"/>
        </w:tblPrEx>
        <w:trPr>
          <w:trHeight w:val="255"/>
        </w:trPr>
        <w:tc>
          <w:tcPr>
            <w:tcW w:w="1123"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v eurách</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2010 S</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2011 S</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R</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OS</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2013 N</w:t>
            </w:r>
          </w:p>
        </w:tc>
        <w:tc>
          <w:tcPr>
            <w:tcW w:w="5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2014 N</w:t>
            </w:r>
          </w:p>
        </w:tc>
        <w:tc>
          <w:tcPr>
            <w:tcW w:w="52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2015 N</w:t>
            </w:r>
          </w:p>
        </w:tc>
      </w:tr>
      <w:tr>
        <w:tblPrEx>
          <w:tblW w:w="4962" w:type="pct"/>
          <w:tblCellMar>
            <w:left w:w="70" w:type="dxa"/>
            <w:right w:w="70" w:type="dxa"/>
          </w:tblCellMar>
          <w:tblLook w:val="04A0"/>
        </w:tblPrEx>
        <w:trPr>
          <w:trHeight w:val="360"/>
        </w:trPr>
        <w:tc>
          <w:tcPr>
            <w:tcW w:w="1123"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Ministerstvo pôdohospodárstva a rozvoja vidieka SR</w:t>
            </w:r>
          </w:p>
        </w:tc>
        <w:tc>
          <w:tcPr>
            <w:tcW w:w="558" w:type="pct"/>
            <w:tcBorders>
              <w:top w:val="nil"/>
              <w:left w:val="nil"/>
              <w:bottom w:val="single" w:sz="4" w:space="0" w:color="auto"/>
              <w:right w:val="single" w:sz="4" w:space="0" w:color="auto"/>
            </w:tcBorders>
            <w:shd w:val="clear" w:color="000000" w:fill="C0C0C0"/>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1 205 435 301</w:t>
            </w:r>
          </w:p>
        </w:tc>
        <w:tc>
          <w:tcPr>
            <w:tcW w:w="558" w:type="pct"/>
            <w:tcBorders>
              <w:top w:val="nil"/>
              <w:left w:val="nil"/>
              <w:bottom w:val="single" w:sz="4" w:space="0" w:color="auto"/>
              <w:right w:val="single" w:sz="4" w:space="0" w:color="auto"/>
            </w:tcBorders>
            <w:shd w:val="clear" w:color="000000" w:fill="C0C0C0"/>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1 264 300 068</w:t>
            </w:r>
          </w:p>
        </w:tc>
        <w:tc>
          <w:tcPr>
            <w:tcW w:w="558" w:type="pct"/>
            <w:tcBorders>
              <w:top w:val="nil"/>
              <w:left w:val="nil"/>
              <w:bottom w:val="single" w:sz="4" w:space="0" w:color="auto"/>
              <w:right w:val="single" w:sz="4" w:space="0" w:color="auto"/>
            </w:tcBorders>
            <w:shd w:val="clear" w:color="000000" w:fill="C0C0C0"/>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1 409 113 939</w:t>
            </w:r>
          </w:p>
        </w:tc>
        <w:tc>
          <w:tcPr>
            <w:tcW w:w="558" w:type="pct"/>
            <w:tcBorders>
              <w:top w:val="nil"/>
              <w:left w:val="nil"/>
              <w:bottom w:val="single" w:sz="4" w:space="0" w:color="auto"/>
              <w:right w:val="single" w:sz="4" w:space="0" w:color="auto"/>
            </w:tcBorders>
            <w:shd w:val="clear" w:color="000000" w:fill="C0C0C0"/>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1 449 651 855</w:t>
            </w:r>
          </w:p>
        </w:tc>
        <w:tc>
          <w:tcPr>
            <w:tcW w:w="558" w:type="pct"/>
            <w:tcBorders>
              <w:top w:val="nil"/>
              <w:left w:val="nil"/>
              <w:bottom w:val="single" w:sz="4" w:space="0" w:color="auto"/>
              <w:right w:val="single" w:sz="4" w:space="0" w:color="auto"/>
            </w:tcBorders>
            <w:shd w:val="clear" w:color="000000" w:fill="C0C0C0"/>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Pr>
                <w:rFonts w:ascii="Times New Roman" w:hAnsi="Times New Roman"/>
                <w:b/>
                <w:bCs/>
                <w:color w:val="000000"/>
                <w:sz w:val="14"/>
                <w:szCs w:val="14"/>
                <w:lang w:eastAsia="sk-SK"/>
              </w:rPr>
              <w:t>1 24</w:t>
            </w:r>
            <w:r w:rsidRPr="0063370D">
              <w:rPr>
                <w:rFonts w:ascii="Times New Roman" w:hAnsi="Times New Roman"/>
                <w:b/>
                <w:bCs/>
                <w:color w:val="000000"/>
                <w:sz w:val="14"/>
                <w:szCs w:val="14"/>
                <w:lang w:eastAsia="sk-SK"/>
              </w:rPr>
              <w:t>5 979 888</w:t>
            </w:r>
          </w:p>
        </w:tc>
        <w:tc>
          <w:tcPr>
            <w:tcW w:w="558" w:type="pct"/>
            <w:tcBorders>
              <w:top w:val="nil"/>
              <w:left w:val="nil"/>
              <w:bottom w:val="single" w:sz="4" w:space="0" w:color="auto"/>
              <w:right w:val="single" w:sz="4" w:space="0" w:color="auto"/>
            </w:tcBorders>
            <w:shd w:val="clear" w:color="000000" w:fill="C0C0C0"/>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1 215 418 765</w:t>
            </w:r>
          </w:p>
        </w:tc>
        <w:tc>
          <w:tcPr>
            <w:tcW w:w="527" w:type="pct"/>
            <w:tcBorders>
              <w:top w:val="nil"/>
              <w:left w:val="nil"/>
              <w:bottom w:val="single" w:sz="4" w:space="0" w:color="auto"/>
              <w:right w:val="single" w:sz="4" w:space="0" w:color="auto"/>
            </w:tcBorders>
            <w:shd w:val="clear" w:color="000000" w:fill="C0C0C0"/>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1 020 844 238</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sz w:val="14"/>
                <w:szCs w:val="14"/>
                <w:lang w:eastAsia="sk-SK"/>
              </w:rPr>
            </w:pPr>
            <w:r w:rsidRPr="0063370D">
              <w:rPr>
                <w:rFonts w:ascii="Times New Roman" w:hAnsi="Times New Roman"/>
                <w:sz w:val="14"/>
                <w:szCs w:val="14"/>
                <w:lang w:eastAsia="sk-SK"/>
              </w:rPr>
              <w:t>Priame platby</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337 645 238</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365 202 647</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375 020 000</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404 456 471</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390 138 000</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389 500 000</w:t>
            </w:r>
          </w:p>
        </w:tc>
        <w:tc>
          <w:tcPr>
            <w:tcW w:w="527"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394 500 000</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sz w:val="14"/>
                <w:szCs w:val="14"/>
                <w:lang w:eastAsia="sk-SK"/>
              </w:rPr>
            </w:pPr>
            <w:r w:rsidRPr="0063370D">
              <w:rPr>
                <w:rFonts w:ascii="Times New Roman" w:hAnsi="Times New Roman"/>
                <w:sz w:val="14"/>
                <w:szCs w:val="14"/>
                <w:lang w:eastAsia="sk-SK"/>
              </w:rPr>
              <w:t>Rozvoj vidieka</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481 077 683</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408 533 672</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492 491 410</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492 562 294</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283 052 158</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484 123 517</w:t>
            </w:r>
          </w:p>
        </w:tc>
        <w:tc>
          <w:tcPr>
            <w:tcW w:w="527"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457 103 007</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sz w:val="14"/>
                <w:szCs w:val="14"/>
                <w:lang w:eastAsia="sk-SK"/>
              </w:rPr>
            </w:pPr>
            <w:r w:rsidRPr="0063370D">
              <w:rPr>
                <w:rFonts w:ascii="Times New Roman" w:hAnsi="Times New Roman"/>
                <w:sz w:val="14"/>
                <w:szCs w:val="14"/>
                <w:lang w:eastAsia="sk-SK"/>
              </w:rPr>
              <w:t>Rybné hospodárstvo</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1 970 879</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1 653 179</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3 489 489</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3 485 029</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5 361 836</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2 979 835</w:t>
            </w:r>
          </w:p>
        </w:tc>
        <w:tc>
          <w:tcPr>
            <w:tcW w:w="527"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2 105 613</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sz w:val="14"/>
                <w:szCs w:val="14"/>
                <w:lang w:eastAsia="sk-SK"/>
              </w:rPr>
            </w:pPr>
            <w:r w:rsidRPr="0063370D">
              <w:rPr>
                <w:rFonts w:ascii="Times New Roman" w:hAnsi="Times New Roman"/>
                <w:sz w:val="14"/>
                <w:szCs w:val="14"/>
                <w:lang w:eastAsia="sk-SK"/>
              </w:rPr>
              <w:t>Trhovo-orientované výdavky</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13 637 537</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13 068 344</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19 752 761</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27 723 116</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15 487 788</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15 000 000</w:t>
            </w:r>
          </w:p>
        </w:tc>
        <w:tc>
          <w:tcPr>
            <w:tcW w:w="527"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15 000 000</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sz w:val="14"/>
                <w:szCs w:val="14"/>
                <w:lang w:eastAsia="sk-SK"/>
              </w:rPr>
            </w:pPr>
            <w:r w:rsidRPr="0063370D">
              <w:rPr>
                <w:rFonts w:ascii="Times New Roman" w:hAnsi="Times New Roman"/>
                <w:sz w:val="14"/>
                <w:szCs w:val="14"/>
                <w:lang w:eastAsia="sk-SK"/>
              </w:rPr>
              <w:t>Štátna pomoc</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13 427 249</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5 148 613</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10 000 000</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9 980 600</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Pr>
                <w:rFonts w:ascii="Times New Roman" w:hAnsi="Times New Roman"/>
                <w:color w:val="000000"/>
                <w:sz w:val="14"/>
                <w:szCs w:val="14"/>
                <w:lang w:eastAsia="sk-SK"/>
              </w:rPr>
              <w:t>1</w:t>
            </w:r>
            <w:r w:rsidRPr="0063370D">
              <w:rPr>
                <w:rFonts w:ascii="Times New Roman" w:hAnsi="Times New Roman"/>
                <w:color w:val="000000"/>
                <w:sz w:val="14"/>
                <w:szCs w:val="14"/>
                <w:lang w:eastAsia="sk-SK"/>
              </w:rPr>
              <w:t>7 374 657</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7 374 657</w:t>
            </w:r>
          </w:p>
        </w:tc>
        <w:tc>
          <w:tcPr>
            <w:tcW w:w="527"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7 374 657</w:t>
            </w:r>
          </w:p>
        </w:tc>
      </w:tr>
      <w:tr>
        <w:tblPrEx>
          <w:tblW w:w="4962" w:type="pct"/>
          <w:tblCellMar>
            <w:left w:w="70" w:type="dxa"/>
            <w:right w:w="70" w:type="dxa"/>
          </w:tblCellMar>
          <w:tblLook w:val="04A0"/>
        </w:tblPrEx>
        <w:trPr>
          <w:trHeight w:val="255"/>
        </w:trPr>
        <w:tc>
          <w:tcPr>
            <w:tcW w:w="1123"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sz w:val="14"/>
                <w:szCs w:val="14"/>
                <w:lang w:eastAsia="sk-SK"/>
              </w:rPr>
            </w:pPr>
            <w:r w:rsidRPr="0063370D">
              <w:rPr>
                <w:rFonts w:ascii="Times New Roman" w:hAnsi="Times New Roman"/>
                <w:sz w:val="14"/>
                <w:szCs w:val="14"/>
                <w:lang w:eastAsia="sk-SK"/>
              </w:rPr>
              <w:t>Regionálny rozvoj</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178 839 465</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357 498 074</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403 058 492</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398 647 370</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434 120 088</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215 990 986</w:t>
            </w:r>
          </w:p>
        </w:tc>
        <w:tc>
          <w:tcPr>
            <w:tcW w:w="527"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44 298 609</w:t>
            </w:r>
          </w:p>
        </w:tc>
      </w:tr>
      <w:tr>
        <w:tblPrEx>
          <w:tblW w:w="4962" w:type="pct"/>
          <w:tblCellMar>
            <w:left w:w="70" w:type="dxa"/>
            <w:right w:w="70" w:type="dxa"/>
          </w:tblCellMar>
          <w:tblLook w:val="04A0"/>
        </w:tblPrEx>
        <w:trPr>
          <w:trHeight w:val="230"/>
        </w:trPr>
        <w:tc>
          <w:tcPr>
            <w:tcW w:w="1123"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sz w:val="14"/>
                <w:szCs w:val="14"/>
                <w:lang w:eastAsia="sk-SK"/>
              </w:rPr>
            </w:pPr>
            <w:r w:rsidRPr="0063370D">
              <w:rPr>
                <w:rFonts w:ascii="Times New Roman" w:hAnsi="Times New Roman"/>
                <w:sz w:val="14"/>
                <w:szCs w:val="14"/>
                <w:lang w:eastAsia="sk-SK"/>
              </w:rPr>
              <w:t xml:space="preserve">Inštitucionálna podpora </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178 837 250</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113 195 539</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105 301 787</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112 796 975</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100 445 361</w:t>
            </w:r>
          </w:p>
        </w:tc>
        <w:tc>
          <w:tcPr>
            <w:tcW w:w="558"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100 449 770</w:t>
            </w:r>
          </w:p>
        </w:tc>
        <w:tc>
          <w:tcPr>
            <w:tcW w:w="527"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100 462 352</w:t>
            </w:r>
          </w:p>
        </w:tc>
      </w:tr>
    </w:tbl>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b/>
        </w:rPr>
      </w:pPr>
      <w:r w:rsidRPr="0063370D">
        <w:rPr>
          <w:rFonts w:ascii="Times New Roman" w:hAnsi="Times New Roman"/>
          <w:b/>
        </w:rPr>
        <w:t>Priame platby</w:t>
      </w:r>
    </w:p>
    <w:p w:rsidR="009D2A34" w:rsidRPr="0063370D" w:rsidP="009D2A34">
      <w:pPr>
        <w:bidi w:val="0"/>
        <w:jc w:val="both"/>
        <w:rPr>
          <w:rFonts w:ascii="Times New Roman" w:hAnsi="Times New Roman"/>
          <w:b/>
        </w:rPr>
      </w:pPr>
    </w:p>
    <w:tbl>
      <w:tblPr>
        <w:tblStyle w:val="TableNormal"/>
        <w:tblW w:w="4926" w:type="pct"/>
        <w:tblCellMar>
          <w:left w:w="70" w:type="dxa"/>
          <w:right w:w="70" w:type="dxa"/>
        </w:tblCellMar>
        <w:tblLook w:val="04A0"/>
      </w:tblPr>
      <w:tblGrid>
        <w:gridCol w:w="2174"/>
        <w:gridCol w:w="986"/>
        <w:gridCol w:w="986"/>
        <w:gridCol w:w="986"/>
        <w:gridCol w:w="986"/>
        <w:gridCol w:w="986"/>
        <w:gridCol w:w="986"/>
        <w:gridCol w:w="986"/>
      </w:tblGrid>
      <w:tr>
        <w:tblPrEx>
          <w:tblW w:w="4926" w:type="pct"/>
          <w:tblCellMar>
            <w:left w:w="70" w:type="dxa"/>
            <w:right w:w="70" w:type="dxa"/>
          </w:tblCellMar>
          <w:tblLook w:val="04A0"/>
        </w:tblPrEx>
        <w:trPr>
          <w:trHeight w:val="255"/>
        </w:trPr>
        <w:tc>
          <w:tcPr>
            <w:tcW w:w="1198"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rPr>
                <w:rFonts w:ascii="Times New Roman" w:hAnsi="Times New Roman"/>
                <w:b/>
                <w:sz w:val="14"/>
                <w:szCs w:val="14"/>
              </w:rPr>
            </w:pPr>
            <w:r w:rsidRPr="0063370D">
              <w:rPr>
                <w:rFonts w:ascii="Times New Roman" w:hAnsi="Times New Roman"/>
                <w:b/>
                <w:sz w:val="14"/>
                <w:szCs w:val="14"/>
              </w:rPr>
              <w:t>v eurách</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sz w:val="14"/>
                <w:szCs w:val="14"/>
              </w:rPr>
            </w:pPr>
            <w:r w:rsidRPr="0063370D">
              <w:rPr>
                <w:rFonts w:ascii="Times New Roman" w:hAnsi="Times New Roman"/>
                <w:b/>
                <w:sz w:val="14"/>
                <w:szCs w:val="14"/>
              </w:rPr>
              <w:t>2010 S</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sz w:val="14"/>
                <w:szCs w:val="14"/>
              </w:rPr>
            </w:pPr>
            <w:r w:rsidRPr="0063370D">
              <w:rPr>
                <w:rFonts w:ascii="Times New Roman" w:hAnsi="Times New Roman"/>
                <w:b/>
                <w:sz w:val="14"/>
                <w:szCs w:val="14"/>
              </w:rPr>
              <w:t>2011 S</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sz w:val="14"/>
                <w:szCs w:val="14"/>
              </w:rPr>
            </w:pPr>
            <w:r w:rsidRPr="0063370D">
              <w:rPr>
                <w:rFonts w:ascii="Times New Roman" w:hAnsi="Times New Roman"/>
                <w:b/>
                <w:sz w:val="14"/>
                <w:szCs w:val="14"/>
              </w:rPr>
              <w:t>2012 R</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sz w:val="14"/>
                <w:szCs w:val="14"/>
              </w:rPr>
            </w:pPr>
            <w:r w:rsidRPr="0063370D">
              <w:rPr>
                <w:rFonts w:ascii="Times New Roman" w:hAnsi="Times New Roman"/>
                <w:b/>
                <w:sz w:val="14"/>
                <w:szCs w:val="14"/>
              </w:rPr>
              <w:t>2012 OS</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sz w:val="14"/>
                <w:szCs w:val="14"/>
              </w:rPr>
            </w:pPr>
            <w:r w:rsidRPr="0063370D">
              <w:rPr>
                <w:rFonts w:ascii="Times New Roman" w:hAnsi="Times New Roman"/>
                <w:b/>
                <w:sz w:val="14"/>
                <w:szCs w:val="14"/>
              </w:rPr>
              <w:t>2013 N</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sz w:val="14"/>
                <w:szCs w:val="14"/>
              </w:rPr>
            </w:pPr>
            <w:r w:rsidRPr="0063370D">
              <w:rPr>
                <w:rFonts w:ascii="Times New Roman" w:hAnsi="Times New Roman"/>
                <w:b/>
                <w:sz w:val="14"/>
                <w:szCs w:val="14"/>
              </w:rPr>
              <w:t>2014 N</w:t>
            </w:r>
          </w:p>
        </w:tc>
        <w:tc>
          <w:tcPr>
            <w:tcW w:w="5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sz w:val="14"/>
                <w:szCs w:val="14"/>
              </w:rPr>
            </w:pPr>
            <w:r w:rsidRPr="0063370D">
              <w:rPr>
                <w:rFonts w:ascii="Times New Roman" w:hAnsi="Times New Roman"/>
                <w:b/>
                <w:sz w:val="14"/>
                <w:szCs w:val="14"/>
              </w:rPr>
              <w:t>2015 N</w:t>
            </w:r>
          </w:p>
        </w:tc>
      </w:tr>
      <w:tr>
        <w:tblPrEx>
          <w:tblW w:w="4926"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9D2A34" w:rsidRPr="0063370D" w:rsidP="006338E5">
            <w:pPr>
              <w:bidi w:val="0"/>
              <w:rPr>
                <w:rFonts w:ascii="Times New Roman" w:hAnsi="Times New Roman"/>
                <w:b/>
                <w:sz w:val="14"/>
                <w:szCs w:val="14"/>
              </w:rPr>
            </w:pPr>
            <w:r w:rsidRPr="0063370D">
              <w:rPr>
                <w:rFonts w:ascii="Times New Roman" w:hAnsi="Times New Roman"/>
                <w:b/>
                <w:sz w:val="14"/>
                <w:szCs w:val="14"/>
              </w:rPr>
              <w:t xml:space="preserve">Priame platby </w:t>
            </w:r>
          </w:p>
        </w:tc>
        <w:tc>
          <w:tcPr>
            <w:tcW w:w="54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sz w:val="14"/>
                <w:szCs w:val="14"/>
              </w:rPr>
            </w:pPr>
            <w:r w:rsidRPr="0063370D">
              <w:rPr>
                <w:rFonts w:ascii="Times New Roman" w:hAnsi="Times New Roman"/>
                <w:b/>
                <w:sz w:val="14"/>
                <w:szCs w:val="14"/>
              </w:rPr>
              <w:t>337 645 238</w:t>
            </w:r>
          </w:p>
        </w:tc>
        <w:tc>
          <w:tcPr>
            <w:tcW w:w="54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sz w:val="14"/>
                <w:szCs w:val="14"/>
              </w:rPr>
            </w:pPr>
            <w:r w:rsidRPr="0063370D">
              <w:rPr>
                <w:rFonts w:ascii="Times New Roman" w:hAnsi="Times New Roman"/>
                <w:b/>
                <w:sz w:val="14"/>
                <w:szCs w:val="14"/>
              </w:rPr>
              <w:t>365 202 647</w:t>
            </w:r>
          </w:p>
        </w:tc>
        <w:tc>
          <w:tcPr>
            <w:tcW w:w="54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sz w:val="14"/>
                <w:szCs w:val="14"/>
              </w:rPr>
            </w:pPr>
            <w:r w:rsidRPr="0063370D">
              <w:rPr>
                <w:rFonts w:ascii="Times New Roman" w:hAnsi="Times New Roman"/>
                <w:b/>
                <w:sz w:val="14"/>
                <w:szCs w:val="14"/>
              </w:rPr>
              <w:t>375 020 000</w:t>
            </w:r>
          </w:p>
        </w:tc>
        <w:tc>
          <w:tcPr>
            <w:tcW w:w="54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sz w:val="14"/>
                <w:szCs w:val="14"/>
              </w:rPr>
            </w:pPr>
            <w:r w:rsidRPr="0063370D">
              <w:rPr>
                <w:rFonts w:ascii="Times New Roman" w:hAnsi="Times New Roman"/>
                <w:b/>
                <w:sz w:val="14"/>
                <w:szCs w:val="14"/>
              </w:rPr>
              <w:t>404 456 471</w:t>
            </w:r>
          </w:p>
        </w:tc>
        <w:tc>
          <w:tcPr>
            <w:tcW w:w="54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sz w:val="14"/>
                <w:szCs w:val="14"/>
              </w:rPr>
            </w:pPr>
            <w:r w:rsidRPr="0063370D">
              <w:rPr>
                <w:rFonts w:ascii="Times New Roman" w:hAnsi="Times New Roman"/>
                <w:b/>
                <w:sz w:val="14"/>
                <w:szCs w:val="14"/>
              </w:rPr>
              <w:t>390 138 000</w:t>
            </w:r>
          </w:p>
        </w:tc>
        <w:tc>
          <w:tcPr>
            <w:tcW w:w="54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sz w:val="14"/>
                <w:szCs w:val="14"/>
              </w:rPr>
            </w:pPr>
            <w:r w:rsidRPr="0063370D">
              <w:rPr>
                <w:rFonts w:ascii="Times New Roman" w:hAnsi="Times New Roman"/>
                <w:b/>
                <w:sz w:val="14"/>
                <w:szCs w:val="14"/>
              </w:rPr>
              <w:t>389 500 000</w:t>
            </w:r>
          </w:p>
        </w:tc>
        <w:tc>
          <w:tcPr>
            <w:tcW w:w="543"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sz w:val="14"/>
                <w:szCs w:val="14"/>
              </w:rPr>
            </w:pPr>
            <w:r w:rsidRPr="0063370D">
              <w:rPr>
                <w:rFonts w:ascii="Times New Roman" w:hAnsi="Times New Roman"/>
                <w:b/>
                <w:sz w:val="14"/>
                <w:szCs w:val="14"/>
              </w:rPr>
              <w:t>394 500 000</w:t>
            </w:r>
          </w:p>
        </w:tc>
      </w:tr>
      <w:tr>
        <w:tblPrEx>
          <w:tblW w:w="4926"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prostriedky EÚ</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236 902 444</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276 282 653</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314 155 000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314 155 000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357 020 000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384 400 000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389 500 000</w:t>
            </w:r>
          </w:p>
        </w:tc>
      </w:tr>
      <w:tr>
        <w:tblPrEx>
          <w:tblW w:w="4926"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spolufinancovanie zo ŠR*</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14 044 712</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7 746 129</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42 865 000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42 865 000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33 118 000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5 100 000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5 000 000</w:t>
            </w:r>
          </w:p>
        </w:tc>
      </w:tr>
      <w:tr>
        <w:tblPrEx>
          <w:tblW w:w="4926"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národná vyrovnávacia platba</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61 193 786</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39 803 745</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18 000 000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18 000 000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0</w:t>
            </w:r>
          </w:p>
        </w:tc>
      </w:tr>
      <w:tr>
        <w:tblPrEx>
          <w:tblW w:w="4926" w:type="pct"/>
          <w:tblCellMar>
            <w:left w:w="70" w:type="dxa"/>
            <w:right w:w="70" w:type="dxa"/>
          </w:tblCellMar>
          <w:tblLook w:val="04A0"/>
        </w:tblPrEx>
        <w:trPr>
          <w:trHeight w:val="255"/>
        </w:trPr>
        <w:tc>
          <w:tcPr>
            <w:tcW w:w="1198"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presun z minulých rokov</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25 504 296</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41 370 120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29 436 471</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0</w:t>
            </w:r>
          </w:p>
        </w:tc>
        <w:tc>
          <w:tcPr>
            <w:tcW w:w="543"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sz w:val="14"/>
                <w:szCs w:val="14"/>
              </w:rPr>
            </w:pPr>
            <w:r w:rsidRPr="0063370D">
              <w:rPr>
                <w:rFonts w:ascii="Times New Roman" w:hAnsi="Times New Roman"/>
                <w:sz w:val="14"/>
                <w:szCs w:val="14"/>
              </w:rPr>
              <w:t>0</w:t>
            </w:r>
          </w:p>
        </w:tc>
      </w:tr>
    </w:tbl>
    <w:p w:rsidR="009D2A34" w:rsidRPr="0063370D" w:rsidP="009D2A34">
      <w:pPr>
        <w:bidi w:val="0"/>
        <w:jc w:val="both"/>
        <w:rPr>
          <w:rFonts w:ascii="Times New Roman" w:hAnsi="Times New Roman"/>
          <w:sz w:val="14"/>
          <w:szCs w:val="14"/>
        </w:rPr>
      </w:pPr>
      <w:r w:rsidRPr="0063370D">
        <w:rPr>
          <w:rFonts w:ascii="Times New Roman" w:hAnsi="Times New Roman"/>
          <w:sz w:val="14"/>
          <w:szCs w:val="14"/>
        </w:rPr>
        <w:t>* spolufinancovanie predstavuje medziročný nárast pohľadávky voči EÚ</w:t>
      </w:r>
    </w:p>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rPr>
      </w:pPr>
      <w:r w:rsidRPr="0063370D">
        <w:rPr>
          <w:rFonts w:ascii="Times New Roman" w:hAnsi="Times New Roman"/>
        </w:rPr>
        <w:tab/>
        <w:t xml:space="preserve">Priame platby predstavujú dotácie na zachovanie poľnohospodárskej produkcie podľa vopred stanovených výrobných kvót. Stabilizujú príjmy farmárov, zlepšujú konkurenčnú pozíciu farmárov, zabraňujú negatívnemu vplyvu cezhraničnej dotačnej konkurencie z okolitých krajín, rozvíjajú odvetvia tvoriace pridanú hodnotu na území SR a revitalizujú živočíšnu výrobu. </w:t>
      </w:r>
    </w:p>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rPr>
      </w:pPr>
      <w:r w:rsidRPr="0063370D">
        <w:rPr>
          <w:rFonts w:ascii="Times New Roman" w:hAnsi="Times New Roman"/>
        </w:rPr>
        <w:tab/>
        <w:t>V priamom porovnaní so schváleným rozpočtom roku 2012 sú priame platby o 4,03 % vyššie. V roku 2013 sa už rozpočtuje 100 % priemeru krajín EÚ 15 a to výhradne zo zdrojov EÚ a príslušného spolufinancovania.</w:t>
      </w:r>
    </w:p>
    <w:p w:rsidR="009D2A34" w:rsidRPr="0063370D" w:rsidP="009D2A34">
      <w:pPr>
        <w:bidi w:val="0"/>
        <w:jc w:val="both"/>
        <w:rPr>
          <w:rFonts w:ascii="Times New Roman" w:hAnsi="Times New Roman"/>
          <w:b/>
        </w:rPr>
      </w:pPr>
    </w:p>
    <w:p w:rsidR="009D2A34" w:rsidP="009D2A34">
      <w:pPr>
        <w:bidi w:val="0"/>
        <w:jc w:val="both"/>
        <w:rPr>
          <w:rFonts w:ascii="Times New Roman" w:hAnsi="Times New Roman"/>
          <w:b/>
        </w:rPr>
      </w:pPr>
    </w:p>
    <w:p w:rsidR="009D2A34" w:rsidP="009D2A34">
      <w:pPr>
        <w:bidi w:val="0"/>
        <w:jc w:val="both"/>
        <w:rPr>
          <w:rFonts w:ascii="Times New Roman" w:hAnsi="Times New Roman"/>
          <w:b/>
        </w:rPr>
      </w:pPr>
    </w:p>
    <w:p w:rsidR="009D2A34" w:rsidP="009D2A34">
      <w:pPr>
        <w:bidi w:val="0"/>
        <w:jc w:val="both"/>
        <w:rPr>
          <w:rFonts w:ascii="Times New Roman" w:hAnsi="Times New Roman"/>
          <w:b/>
        </w:rPr>
      </w:pPr>
    </w:p>
    <w:p w:rsidR="009D2A34" w:rsidRPr="0063370D" w:rsidP="009D2A34">
      <w:pPr>
        <w:bidi w:val="0"/>
        <w:jc w:val="both"/>
        <w:rPr>
          <w:rFonts w:ascii="Times New Roman" w:hAnsi="Times New Roman"/>
          <w:b/>
        </w:rPr>
      </w:pPr>
      <w:r w:rsidRPr="0063370D">
        <w:rPr>
          <w:rFonts w:ascii="Times New Roman" w:hAnsi="Times New Roman"/>
          <w:b/>
        </w:rPr>
        <w:t>Rozvoj vidieka</w:t>
      </w:r>
    </w:p>
    <w:p w:rsidR="009D2A34" w:rsidRPr="0063370D" w:rsidP="009D2A34">
      <w:pPr>
        <w:bidi w:val="0"/>
        <w:jc w:val="both"/>
        <w:rPr>
          <w:rFonts w:ascii="Times New Roman" w:hAnsi="Times New Roman"/>
          <w:b/>
        </w:rPr>
      </w:pPr>
    </w:p>
    <w:tbl>
      <w:tblPr>
        <w:tblStyle w:val="TableNormal"/>
        <w:tblW w:w="4966" w:type="pct"/>
        <w:tblCellMar>
          <w:left w:w="70" w:type="dxa"/>
          <w:right w:w="70" w:type="dxa"/>
        </w:tblCellMar>
        <w:tblLook w:val="04A0"/>
      </w:tblPr>
      <w:tblGrid>
        <w:gridCol w:w="2176"/>
        <w:gridCol w:w="1014"/>
        <w:gridCol w:w="1014"/>
        <w:gridCol w:w="1014"/>
        <w:gridCol w:w="1014"/>
        <w:gridCol w:w="1014"/>
        <w:gridCol w:w="1014"/>
        <w:gridCol w:w="889"/>
      </w:tblGrid>
      <w:tr>
        <w:tblPrEx>
          <w:tblW w:w="4966" w:type="pct"/>
          <w:tblCellMar>
            <w:left w:w="70" w:type="dxa"/>
            <w:right w:w="70" w:type="dxa"/>
          </w:tblCellMar>
          <w:tblLook w:val="04A0"/>
        </w:tblPrEx>
        <w:trPr>
          <w:trHeight w:val="265"/>
        </w:trPr>
        <w:tc>
          <w:tcPr>
            <w:tcW w:w="1190"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2010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2011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2013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2014 N</w:t>
            </w:r>
          </w:p>
        </w:tc>
        <w:tc>
          <w:tcPr>
            <w:tcW w:w="48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2015 N</w:t>
            </w:r>
          </w:p>
        </w:tc>
      </w:tr>
      <w:tr>
        <w:tblPrEx>
          <w:tblW w:w="4966" w:type="pct"/>
          <w:tblCellMar>
            <w:left w:w="70" w:type="dxa"/>
            <w:right w:w="70" w:type="dxa"/>
          </w:tblCellMar>
          <w:tblLook w:val="04A0"/>
        </w:tblPrEx>
        <w:trPr>
          <w:trHeight w:val="265"/>
        </w:trPr>
        <w:tc>
          <w:tcPr>
            <w:tcW w:w="1190"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 xml:space="preserve">Rozvoj vidieka </w:t>
            </w:r>
          </w:p>
        </w:tc>
        <w:tc>
          <w:tcPr>
            <w:tcW w:w="554"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481 077 683</w:t>
            </w:r>
          </w:p>
        </w:tc>
        <w:tc>
          <w:tcPr>
            <w:tcW w:w="554"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408 533 672</w:t>
            </w:r>
          </w:p>
        </w:tc>
        <w:tc>
          <w:tcPr>
            <w:tcW w:w="554"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492 491 410</w:t>
            </w:r>
          </w:p>
        </w:tc>
        <w:tc>
          <w:tcPr>
            <w:tcW w:w="554"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492 562 294</w:t>
            </w:r>
          </w:p>
        </w:tc>
        <w:tc>
          <w:tcPr>
            <w:tcW w:w="554"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283 052 158</w:t>
            </w:r>
          </w:p>
        </w:tc>
        <w:tc>
          <w:tcPr>
            <w:tcW w:w="554"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484 123 517</w:t>
            </w:r>
          </w:p>
        </w:tc>
        <w:tc>
          <w:tcPr>
            <w:tcW w:w="486" w:type="pct"/>
            <w:tcBorders>
              <w:top w:val="nil"/>
              <w:left w:val="nil"/>
              <w:bottom w:val="single" w:sz="4" w:space="0" w:color="auto"/>
              <w:right w:val="single" w:sz="4" w:space="0" w:color="auto"/>
            </w:tcBorders>
            <w:shd w:val="clear" w:color="000000" w:fill="BFBFBF"/>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457 103 007</w:t>
            </w:r>
          </w:p>
        </w:tc>
      </w:tr>
      <w:tr>
        <w:tblPrEx>
          <w:tblW w:w="4966" w:type="pct"/>
          <w:tblCellMar>
            <w:left w:w="70" w:type="dxa"/>
            <w:right w:w="70" w:type="dxa"/>
          </w:tblCellMar>
          <w:tblLook w:val="04A0"/>
        </w:tblPrEx>
        <w:trPr>
          <w:trHeight w:val="265"/>
        </w:trPr>
        <w:tc>
          <w:tcPr>
            <w:tcW w:w="1190"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258 195 012</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312 582 320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376 291 753</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376 284 134</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218 830 908</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369 396 046</w:t>
            </w:r>
          </w:p>
        </w:tc>
        <w:tc>
          <w:tcPr>
            <w:tcW w:w="48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351 444 705</w:t>
            </w:r>
          </w:p>
        </w:tc>
      </w:tr>
      <w:tr>
        <w:tblPrEx>
          <w:tblW w:w="4966" w:type="pct"/>
          <w:tblCellMar>
            <w:left w:w="70" w:type="dxa"/>
            <w:right w:w="70" w:type="dxa"/>
          </w:tblCellMar>
          <w:tblLook w:val="04A0"/>
        </w:tblPrEx>
        <w:trPr>
          <w:trHeight w:val="265"/>
        </w:trPr>
        <w:tc>
          <w:tcPr>
            <w:tcW w:w="1190"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85 514 520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94 795 888</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116 199 657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116 198 593</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64 221 250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114 727 471</w:t>
            </w:r>
          </w:p>
        </w:tc>
        <w:tc>
          <w:tcPr>
            <w:tcW w:w="48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105 658 302</w:t>
            </w:r>
          </w:p>
        </w:tc>
      </w:tr>
      <w:tr>
        <w:tblPrEx>
          <w:tblW w:w="4966" w:type="pct"/>
          <w:tblCellMar>
            <w:left w:w="70" w:type="dxa"/>
            <w:right w:w="70" w:type="dxa"/>
          </w:tblCellMar>
          <w:tblLook w:val="04A0"/>
        </w:tblPrEx>
        <w:trPr>
          <w:trHeight w:val="265"/>
        </w:trPr>
        <w:tc>
          <w:tcPr>
            <w:tcW w:w="1190"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137 368 151</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1 155 464</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79 567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48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r>
    </w:tbl>
    <w:p w:rsidR="009D2A34" w:rsidRPr="0063370D" w:rsidP="009D2A34">
      <w:pPr>
        <w:bidi w:val="0"/>
        <w:jc w:val="both"/>
        <w:rPr>
          <w:rFonts w:ascii="Times New Roman" w:hAnsi="Times New Roman"/>
          <w:b/>
        </w:rPr>
      </w:pPr>
    </w:p>
    <w:p w:rsidR="009D2A34" w:rsidRPr="0063370D" w:rsidP="009D2A34">
      <w:pPr>
        <w:bidi w:val="0"/>
        <w:jc w:val="both"/>
        <w:rPr>
          <w:rFonts w:ascii="Times New Roman" w:hAnsi="Times New Roman"/>
        </w:rPr>
      </w:pPr>
      <w:r w:rsidRPr="0063370D">
        <w:rPr>
          <w:rFonts w:ascii="Times New Roman" w:hAnsi="Times New Roman"/>
        </w:rPr>
        <w:tab/>
        <w:t>V programovom období 2007 až 2013 sa rozvoj vidieka podporuje z Európskeho poľnohospodárskeho fondu pre rozvoj vidieka, čím sa zabezpečuje vyššia konkurencieschopnosť poľnohospodárstva, potravinárstva a lesného hospodárstva, lepší stav životného prostredia a krajiny, kvalitnejší život vo vidieckych oblastiach a diverzifikácia vidieckeho hospodárstva. Výdavky na rozvoj vidieka sú oproti schválenému rozpočtu roku 2012 o 42,5 % nižšie. Výška týchto výdavkov je v plnej miere ovplyvňovaná alokáciou výdavkov EÚ a spolufinancovania v rámci 2. programového obdobia na roky 2007 až 2013.</w:t>
      </w:r>
    </w:p>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b/>
        </w:rPr>
      </w:pPr>
      <w:r w:rsidRPr="0063370D">
        <w:rPr>
          <w:rFonts w:ascii="Times New Roman" w:hAnsi="Times New Roman"/>
          <w:b/>
        </w:rPr>
        <w:t>Rybné hospodárstvo</w:t>
      </w:r>
    </w:p>
    <w:p w:rsidR="009D2A34" w:rsidRPr="0063370D" w:rsidP="009D2A34">
      <w:pPr>
        <w:bidi w:val="0"/>
        <w:jc w:val="both"/>
        <w:rPr>
          <w:rFonts w:ascii="Times New Roman" w:hAnsi="Times New Roman"/>
          <w:b/>
        </w:rPr>
      </w:pPr>
    </w:p>
    <w:tbl>
      <w:tblPr>
        <w:tblStyle w:val="TableNormal"/>
        <w:tblW w:w="5000" w:type="pct"/>
        <w:tblCellMar>
          <w:left w:w="70" w:type="dxa"/>
          <w:right w:w="70" w:type="dxa"/>
        </w:tblCellMar>
        <w:tblLook w:val="04A0"/>
      </w:tblPr>
      <w:tblGrid>
        <w:gridCol w:w="2201"/>
        <w:gridCol w:w="1020"/>
        <w:gridCol w:w="1021"/>
        <w:gridCol w:w="1021"/>
        <w:gridCol w:w="1021"/>
        <w:gridCol w:w="1021"/>
        <w:gridCol w:w="1021"/>
        <w:gridCol w:w="886"/>
      </w:tblGrid>
      <w:tr>
        <w:tblPrEx>
          <w:tblW w:w="5000" w:type="pct"/>
          <w:tblCellMar>
            <w:left w:w="70" w:type="dxa"/>
            <w:right w:w="70" w:type="dxa"/>
          </w:tblCellMar>
          <w:tblLook w:val="04A0"/>
        </w:tblPrEx>
        <w:trPr>
          <w:trHeight w:val="255"/>
        </w:trPr>
        <w:tc>
          <w:tcPr>
            <w:tcW w:w="1195"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2010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2011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2013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2014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2015 N</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 xml:space="preserve">Rybné hospodárstvo </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1 970 879</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1 653 179</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3 489 489</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3 485 029</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5 361 836</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2 979 835</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2 105 613</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339 711</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1 211 120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2 582 992</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2 579 647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3 857 439</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2 164 599</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1 544 497</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113 231</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442 059</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906 497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905 382</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1 504 397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815 236</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561 116</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1 517 937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r>
    </w:tbl>
    <w:p w:rsidR="009D2A34" w:rsidRPr="0063370D" w:rsidP="009D2A34">
      <w:pPr>
        <w:bidi w:val="0"/>
        <w:jc w:val="both"/>
        <w:rPr>
          <w:rFonts w:ascii="Times New Roman" w:hAnsi="Times New Roman"/>
          <w:b/>
        </w:rPr>
      </w:pPr>
    </w:p>
    <w:p w:rsidR="009D2A34" w:rsidRPr="0063370D" w:rsidP="009D2A34">
      <w:pPr>
        <w:bidi w:val="0"/>
        <w:jc w:val="both"/>
        <w:rPr>
          <w:rFonts w:ascii="Times New Roman" w:hAnsi="Times New Roman"/>
        </w:rPr>
      </w:pPr>
      <w:r w:rsidRPr="0063370D">
        <w:rPr>
          <w:rFonts w:ascii="Times New Roman" w:hAnsi="Times New Roman"/>
          <w:b/>
        </w:rPr>
        <w:tab/>
      </w:r>
      <w:r w:rsidRPr="0063370D">
        <w:rPr>
          <w:rFonts w:ascii="Times New Roman" w:hAnsi="Times New Roman"/>
        </w:rPr>
        <w:t xml:space="preserve">Výdavky na podporu, ktorou sa zabezpečuje modernizácia, inovácia a reštrukturalizácia akvakultúry a zvýšenie konkurencieschopnosti podnikov zaoberajúcich sa spracovaním produktov z rybolovu a akvakultúry, pričom hlavný dôraz je kladený na podporu spracovania domácej produkcie a rozvoj ľudských zdrojov v oblasti rybného hospodárstva prostredníctvom celoživotného vzdelávania, sú oproti schválenému rozpočtu roku 2012 vyššie o 53,7 %. </w:t>
      </w:r>
    </w:p>
    <w:p w:rsidR="009D2A34" w:rsidRPr="0063370D" w:rsidP="009D2A34">
      <w:pPr>
        <w:bidi w:val="0"/>
        <w:jc w:val="both"/>
        <w:rPr>
          <w:rFonts w:ascii="Times New Roman" w:hAnsi="Times New Roman"/>
          <w:b/>
        </w:rPr>
      </w:pPr>
    </w:p>
    <w:p w:rsidR="009D2A34" w:rsidRPr="0063370D" w:rsidP="009D2A34">
      <w:pPr>
        <w:bidi w:val="0"/>
        <w:jc w:val="both"/>
        <w:rPr>
          <w:rFonts w:ascii="Times New Roman" w:hAnsi="Times New Roman"/>
          <w:b/>
        </w:rPr>
      </w:pPr>
      <w:r w:rsidRPr="0063370D">
        <w:rPr>
          <w:rFonts w:ascii="Times New Roman" w:hAnsi="Times New Roman"/>
          <w:b/>
        </w:rPr>
        <w:t>Trhovo-orientované výdavky</w:t>
      </w:r>
    </w:p>
    <w:p w:rsidR="009D2A34" w:rsidRPr="0063370D" w:rsidP="009D2A34">
      <w:pPr>
        <w:bidi w:val="0"/>
        <w:jc w:val="both"/>
        <w:rPr>
          <w:rFonts w:ascii="Times New Roman" w:hAnsi="Times New Roman"/>
        </w:rPr>
      </w:pPr>
    </w:p>
    <w:tbl>
      <w:tblPr>
        <w:tblStyle w:val="TableNormal"/>
        <w:tblW w:w="5000" w:type="pct"/>
        <w:tblCellMar>
          <w:left w:w="70" w:type="dxa"/>
          <w:right w:w="70" w:type="dxa"/>
        </w:tblCellMar>
        <w:tblLook w:val="04A0"/>
      </w:tblPr>
      <w:tblGrid>
        <w:gridCol w:w="2203"/>
        <w:gridCol w:w="1020"/>
        <w:gridCol w:w="1021"/>
        <w:gridCol w:w="1021"/>
        <w:gridCol w:w="1021"/>
        <w:gridCol w:w="1021"/>
        <w:gridCol w:w="1021"/>
        <w:gridCol w:w="884"/>
      </w:tblGrid>
      <w:tr>
        <w:tblPrEx>
          <w:tblW w:w="5000" w:type="pct"/>
          <w:tblCellMar>
            <w:left w:w="70" w:type="dxa"/>
            <w:right w:w="70" w:type="dxa"/>
          </w:tblCellMar>
          <w:tblLook w:val="04A0"/>
        </w:tblPrEx>
        <w:trPr>
          <w:trHeight w:val="255"/>
        </w:trPr>
        <w:tc>
          <w:tcPr>
            <w:tcW w:w="1196"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2010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2011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2013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2014 N</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2015 N</w:t>
            </w:r>
          </w:p>
        </w:tc>
      </w:tr>
      <w:tr>
        <w:tblPrEx>
          <w:tblW w:w="5000" w:type="pct"/>
          <w:tblCellMar>
            <w:left w:w="70" w:type="dxa"/>
            <w:right w:w="70" w:type="dxa"/>
          </w:tblCellMar>
          <w:tblLook w:val="04A0"/>
        </w:tblPrEx>
        <w:trPr>
          <w:trHeight w:val="255"/>
        </w:trPr>
        <w:tc>
          <w:tcPr>
            <w:tcW w:w="1196"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 xml:space="preserve">Trhovo-orientované výdavky </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13 637 537</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13 068 344</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19 752 761</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27 723 116</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15 487 788</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15 000 000</w:t>
            </w:r>
          </w:p>
        </w:tc>
        <w:tc>
          <w:tcPr>
            <w:tcW w:w="481"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15 000 000</w:t>
            </w:r>
          </w:p>
        </w:tc>
      </w:tr>
      <w:tr>
        <w:tblPrEx>
          <w:tblW w:w="5000" w:type="pct"/>
          <w:tblCellMar>
            <w:left w:w="70" w:type="dxa"/>
            <w:right w:w="70" w:type="dxa"/>
          </w:tblCellMar>
          <w:tblLook w:val="04A0"/>
        </w:tblPrEx>
        <w:trPr>
          <w:trHeight w:val="255"/>
        </w:trPr>
        <w:tc>
          <w:tcPr>
            <w:tcW w:w="1196"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10 918 045</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9 863 638</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16 472 307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16 472 307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12 000 000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12 000 000</w:t>
            </w:r>
          </w:p>
        </w:tc>
        <w:tc>
          <w:tcPr>
            <w:tcW w:w="481"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12 000 000</w:t>
            </w:r>
          </w:p>
        </w:tc>
      </w:tr>
      <w:tr>
        <w:tblPrEx>
          <w:tblW w:w="5000" w:type="pct"/>
          <w:tblCellMar>
            <w:left w:w="70" w:type="dxa"/>
            <w:right w:w="70" w:type="dxa"/>
          </w:tblCellMar>
          <w:tblLook w:val="04A0"/>
        </w:tblPrEx>
        <w:trPr>
          <w:trHeight w:val="255"/>
        </w:trPr>
        <w:tc>
          <w:tcPr>
            <w:tcW w:w="1196"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675 366</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3 280 454</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3 280 454</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3 487 788</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3 000 000</w:t>
            </w:r>
          </w:p>
        </w:tc>
        <w:tc>
          <w:tcPr>
            <w:tcW w:w="481"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3 000 000</w:t>
            </w:r>
          </w:p>
        </w:tc>
      </w:tr>
      <w:tr>
        <w:tblPrEx>
          <w:tblW w:w="5000" w:type="pct"/>
          <w:tblCellMar>
            <w:left w:w="70" w:type="dxa"/>
            <w:right w:w="70" w:type="dxa"/>
          </w:tblCellMar>
          <w:tblLook w:val="04A0"/>
        </w:tblPrEx>
        <w:trPr>
          <w:trHeight w:val="255"/>
        </w:trPr>
        <w:tc>
          <w:tcPr>
            <w:tcW w:w="1196"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2 719 492</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2 529 340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7 970 355</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481"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r>
    </w:tbl>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rPr>
      </w:pPr>
      <w:r w:rsidRPr="0063370D">
        <w:rPr>
          <w:rFonts w:ascii="Times New Roman" w:hAnsi="Times New Roman"/>
        </w:rPr>
        <w:tab/>
        <w:t>Trhovo orientované výdavky sú výdavky na trhové opatrenia, ktoré sa realizujú na základe záväzných nariadení, ktorými sa uskutočňuje spoločná organizácia trhu v EÚ. Vo všeobecnosti ich možno rozdeliť na intervencie určené na reguláciu poľnohospodárskych trhov, náhrady stanovené za vývoz poľnohospodárskych výrobkov do tretích krajín a iné podporné opatrenia v zmysle spoločnej organizácie trhu v rámci EÚ ako sú výrobné náhrady, podpory v sektore ovocia a zeleniny, špecifické opatrenia vo vinohradníckom sektore (napr. reštrukturalizácia a konverzia vinohradov a ďalšie opatrenia), podpora spotreby školského mlieka a mliečnych výrobkov a ďalšie opatrenia. Výdavky na trhovo-orientované výdavky sú oproti schválenému rozpočtu roku 2012 nižšie o 21,6 %. Výška týchto výdavkov je v plnej miere ovplyvňovaná alokáciou výdavkov EÚ a spolufinancovania v rámci 2. programového obdobia na roky 2007 až 2013.</w:t>
      </w:r>
    </w:p>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b/>
        </w:rPr>
      </w:pPr>
      <w:r w:rsidRPr="0063370D">
        <w:rPr>
          <w:rFonts w:ascii="Times New Roman" w:hAnsi="Times New Roman"/>
          <w:b/>
        </w:rPr>
        <w:t>Štátna pomoc</w:t>
      </w:r>
    </w:p>
    <w:p w:rsidR="009D2A34" w:rsidRPr="0063370D" w:rsidP="009D2A34">
      <w:pPr>
        <w:bidi w:val="0"/>
        <w:jc w:val="both"/>
        <w:rPr>
          <w:rFonts w:ascii="Times New Roman" w:hAnsi="Times New Roman"/>
          <w:b/>
        </w:rPr>
      </w:pPr>
    </w:p>
    <w:tbl>
      <w:tblPr>
        <w:tblStyle w:val="TableNormal"/>
        <w:tblW w:w="5000" w:type="pct"/>
        <w:tblCellMar>
          <w:left w:w="70" w:type="dxa"/>
          <w:right w:w="70" w:type="dxa"/>
        </w:tblCellMar>
        <w:tblLook w:val="04A0"/>
      </w:tblPr>
      <w:tblGrid>
        <w:gridCol w:w="2201"/>
        <w:gridCol w:w="1020"/>
        <w:gridCol w:w="1021"/>
        <w:gridCol w:w="1021"/>
        <w:gridCol w:w="1021"/>
        <w:gridCol w:w="1021"/>
        <w:gridCol w:w="1021"/>
        <w:gridCol w:w="886"/>
      </w:tblGrid>
      <w:tr>
        <w:tblPrEx>
          <w:tblW w:w="5000" w:type="pct"/>
          <w:tblCellMar>
            <w:left w:w="70" w:type="dxa"/>
            <w:right w:w="70" w:type="dxa"/>
          </w:tblCellMar>
          <w:tblLook w:val="04A0"/>
        </w:tblPrEx>
        <w:trPr>
          <w:trHeight w:val="255"/>
        </w:trPr>
        <w:tc>
          <w:tcPr>
            <w:tcW w:w="1195" w:type="pct"/>
            <w:tcBorders>
              <w:top w:val="single" w:sz="4" w:space="0" w:color="auto"/>
              <w:left w:val="single" w:sz="4" w:space="0" w:color="auto"/>
              <w:bottom w:val="nil"/>
              <w:right w:val="single" w:sz="4" w:space="0" w:color="auto"/>
            </w:tcBorders>
            <w:shd w:val="clear" w:color="000000" w:fill="A5A5A5"/>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v eurách</w:t>
            </w:r>
          </w:p>
        </w:tc>
        <w:tc>
          <w:tcPr>
            <w:tcW w:w="554" w:type="pct"/>
            <w:tcBorders>
              <w:top w:val="single" w:sz="4" w:space="0" w:color="auto"/>
              <w:left w:val="nil"/>
              <w:bottom w:val="nil"/>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2010 S</w:t>
            </w:r>
          </w:p>
        </w:tc>
        <w:tc>
          <w:tcPr>
            <w:tcW w:w="554" w:type="pct"/>
            <w:tcBorders>
              <w:top w:val="single" w:sz="4" w:space="0" w:color="auto"/>
              <w:left w:val="nil"/>
              <w:bottom w:val="nil"/>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2011 S</w:t>
            </w:r>
          </w:p>
        </w:tc>
        <w:tc>
          <w:tcPr>
            <w:tcW w:w="554" w:type="pct"/>
            <w:tcBorders>
              <w:top w:val="single" w:sz="4" w:space="0" w:color="auto"/>
              <w:left w:val="nil"/>
              <w:bottom w:val="nil"/>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R</w:t>
            </w:r>
          </w:p>
        </w:tc>
        <w:tc>
          <w:tcPr>
            <w:tcW w:w="554" w:type="pct"/>
            <w:tcBorders>
              <w:top w:val="single" w:sz="4" w:space="0" w:color="auto"/>
              <w:left w:val="nil"/>
              <w:bottom w:val="nil"/>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OS</w:t>
            </w:r>
          </w:p>
        </w:tc>
        <w:tc>
          <w:tcPr>
            <w:tcW w:w="554" w:type="pct"/>
            <w:tcBorders>
              <w:top w:val="single" w:sz="4" w:space="0" w:color="auto"/>
              <w:left w:val="nil"/>
              <w:bottom w:val="nil"/>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2013 N</w:t>
            </w:r>
          </w:p>
        </w:tc>
        <w:tc>
          <w:tcPr>
            <w:tcW w:w="554" w:type="pct"/>
            <w:tcBorders>
              <w:top w:val="single" w:sz="4" w:space="0" w:color="auto"/>
              <w:left w:val="nil"/>
              <w:bottom w:val="nil"/>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2014 N</w:t>
            </w:r>
          </w:p>
        </w:tc>
        <w:tc>
          <w:tcPr>
            <w:tcW w:w="554" w:type="pct"/>
            <w:tcBorders>
              <w:top w:val="single" w:sz="4" w:space="0" w:color="auto"/>
              <w:left w:val="nil"/>
              <w:bottom w:val="nil"/>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2015 N</w:t>
            </w:r>
          </w:p>
        </w:tc>
      </w:tr>
      <w:tr>
        <w:tblPrEx>
          <w:tblW w:w="5000" w:type="pct"/>
          <w:tblCellMar>
            <w:left w:w="70" w:type="dxa"/>
            <w:right w:w="70" w:type="dxa"/>
          </w:tblCellMar>
          <w:tblLook w:val="04A0"/>
        </w:tblPrEx>
        <w:trPr>
          <w:trHeight w:val="255"/>
        </w:trPr>
        <w:tc>
          <w:tcPr>
            <w:tcW w:w="1195"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 xml:space="preserve">Štátna pomoc </w:t>
            </w:r>
          </w:p>
        </w:tc>
        <w:tc>
          <w:tcPr>
            <w:tcW w:w="554"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13 427 249</w:t>
            </w:r>
          </w:p>
        </w:tc>
        <w:tc>
          <w:tcPr>
            <w:tcW w:w="554"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5 148 613</w:t>
            </w:r>
          </w:p>
        </w:tc>
        <w:tc>
          <w:tcPr>
            <w:tcW w:w="554"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10 000 000</w:t>
            </w:r>
          </w:p>
        </w:tc>
        <w:tc>
          <w:tcPr>
            <w:tcW w:w="554"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9 980 600</w:t>
            </w:r>
          </w:p>
        </w:tc>
        <w:tc>
          <w:tcPr>
            <w:tcW w:w="554"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Pr>
                <w:rFonts w:ascii="Times New Roman" w:hAnsi="Times New Roman"/>
                <w:b/>
                <w:bCs/>
                <w:color w:val="000000"/>
                <w:sz w:val="14"/>
                <w:szCs w:val="14"/>
                <w:lang w:eastAsia="sk-SK"/>
              </w:rPr>
              <w:t>1</w:t>
            </w:r>
            <w:r w:rsidRPr="0063370D">
              <w:rPr>
                <w:rFonts w:ascii="Times New Roman" w:hAnsi="Times New Roman"/>
                <w:b/>
                <w:bCs/>
                <w:color w:val="000000"/>
                <w:sz w:val="14"/>
                <w:szCs w:val="14"/>
                <w:lang w:eastAsia="sk-SK"/>
              </w:rPr>
              <w:t>7 374 657</w:t>
            </w:r>
          </w:p>
        </w:tc>
        <w:tc>
          <w:tcPr>
            <w:tcW w:w="554"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7 374 657</w:t>
            </w:r>
          </w:p>
        </w:tc>
        <w:tc>
          <w:tcPr>
            <w:tcW w:w="554" w:type="pct"/>
            <w:tcBorders>
              <w:top w:val="single" w:sz="4" w:space="0" w:color="auto"/>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7 374 657</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prostriedky ŠR</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11 529 358</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5 148 613</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10 000 000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9 980 600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Pr>
                <w:rFonts w:ascii="Times New Roman" w:hAnsi="Times New Roman"/>
                <w:color w:val="000000"/>
                <w:sz w:val="14"/>
                <w:szCs w:val="14"/>
                <w:lang w:eastAsia="sk-SK"/>
              </w:rPr>
              <w:t>1</w:t>
            </w:r>
            <w:r w:rsidRPr="0063370D">
              <w:rPr>
                <w:rFonts w:ascii="Times New Roman" w:hAnsi="Times New Roman"/>
                <w:color w:val="000000"/>
                <w:sz w:val="14"/>
                <w:szCs w:val="14"/>
                <w:lang w:eastAsia="sk-SK"/>
              </w:rPr>
              <w:t>7 374 657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7 374 657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7 374 657</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1 897 891</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r>
    </w:tbl>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color w:val="000000"/>
        </w:rPr>
      </w:pPr>
      <w:r w:rsidRPr="0063370D">
        <w:rPr>
          <w:rFonts w:ascii="Times New Roman" w:hAnsi="Times New Roman"/>
        </w:rPr>
        <w:tab/>
        <w:t xml:space="preserve">EÚ umožňuje poskytovať podnikateľským subjektom v pôdohospodárstve štátnu pomoc z vlastných zdrojov členského štátu v súlade s pravidlami EÚ o štátnej pomoci. Podporuje sa účasť prvovýrobcov na výstavách, založenie a vedenie plemennej knihy alebo plemenárskej evidencie, rozvoj včelárstva, kompenzácia škôd spôsobených živelnými pohromami, zvýšenie kvality poľnohospodárskych produktov, pestovanie a ochrana lesov, </w:t>
      </w:r>
      <w:r w:rsidRPr="00956E7A">
        <w:rPr>
          <w:rFonts w:ascii="Times New Roman" w:hAnsi="Times New Roman"/>
        </w:rPr>
        <w:t>podpora rybnikárstva, karanténne opatrenie plodín a pod.</w:t>
      </w:r>
      <w:r w:rsidRPr="00956E7A">
        <w:rPr>
          <w:rFonts w:ascii="Times New Roman" w:hAnsi="Times New Roman"/>
          <w:color w:val="000000"/>
        </w:rPr>
        <w:t xml:space="preserve"> Výdavky na bežné transfery pre štátnu pomoc a národné podpory sú oproti schválenému rozpočtu roku 2012 vyššie o 73,8</w:t>
      </w:r>
      <w:r>
        <w:rPr>
          <w:rFonts w:ascii="Times New Roman" w:hAnsi="Times New Roman"/>
          <w:color w:val="000000"/>
        </w:rPr>
        <w:t xml:space="preserve"> %. </w:t>
      </w:r>
    </w:p>
    <w:p w:rsidR="009D2A34" w:rsidP="009D2A34">
      <w:pPr>
        <w:bidi w:val="0"/>
        <w:jc w:val="both"/>
        <w:rPr>
          <w:rFonts w:ascii="Times New Roman" w:hAnsi="Times New Roman"/>
        </w:rPr>
      </w:pPr>
      <w:r>
        <w:rPr>
          <w:rFonts w:ascii="Times New Roman" w:hAnsi="Times New Roman"/>
        </w:rPr>
        <w:t xml:space="preserve">Uvedený nárast ovplyvnilo rozpočtovanie prostriedkov na </w:t>
      </w:r>
      <w:r w:rsidRPr="00B01713">
        <w:rPr>
          <w:rFonts w:ascii="Times New Roman" w:hAnsi="Times New Roman"/>
        </w:rPr>
        <w:t xml:space="preserve">poskytovanie dotácií na refundáciu časti spotrebnej dane z minerálnych olejov v sume 10,0 mil. eur.  </w:t>
      </w:r>
    </w:p>
    <w:p w:rsidR="009D2A34" w:rsidRPr="0063370D" w:rsidP="009D2A34">
      <w:pPr>
        <w:bidi w:val="0"/>
        <w:rPr>
          <w:rFonts w:ascii="Times New Roman" w:hAnsi="Times New Roman"/>
        </w:rPr>
      </w:pPr>
    </w:p>
    <w:p w:rsidR="009D2A34" w:rsidRPr="0063370D" w:rsidP="009D2A34">
      <w:pPr>
        <w:bidi w:val="0"/>
        <w:jc w:val="both"/>
        <w:rPr>
          <w:rFonts w:ascii="Times New Roman" w:hAnsi="Times New Roman"/>
          <w:b/>
        </w:rPr>
      </w:pPr>
      <w:r w:rsidRPr="0063370D">
        <w:rPr>
          <w:rFonts w:ascii="Times New Roman" w:hAnsi="Times New Roman"/>
          <w:b/>
        </w:rPr>
        <w:t xml:space="preserve">Regionálny rozvoj </w:t>
      </w:r>
    </w:p>
    <w:p w:rsidR="009D2A34" w:rsidRPr="0063370D" w:rsidP="009D2A34">
      <w:pPr>
        <w:bidi w:val="0"/>
        <w:jc w:val="both"/>
        <w:rPr>
          <w:rFonts w:ascii="Times New Roman" w:hAnsi="Times New Roman"/>
        </w:rPr>
      </w:pPr>
    </w:p>
    <w:tbl>
      <w:tblPr>
        <w:tblStyle w:val="TableNormal"/>
        <w:tblW w:w="5000" w:type="pct"/>
        <w:tblCellMar>
          <w:left w:w="70" w:type="dxa"/>
          <w:right w:w="70" w:type="dxa"/>
        </w:tblCellMar>
        <w:tblLook w:val="04A0"/>
      </w:tblPr>
      <w:tblGrid>
        <w:gridCol w:w="2201"/>
        <w:gridCol w:w="1020"/>
        <w:gridCol w:w="1021"/>
        <w:gridCol w:w="1021"/>
        <w:gridCol w:w="1021"/>
        <w:gridCol w:w="1021"/>
        <w:gridCol w:w="1021"/>
        <w:gridCol w:w="886"/>
      </w:tblGrid>
      <w:tr>
        <w:tblPrEx>
          <w:tblW w:w="5000" w:type="pct"/>
          <w:tblCellMar>
            <w:left w:w="70" w:type="dxa"/>
            <w:right w:w="70" w:type="dxa"/>
          </w:tblCellMar>
          <w:tblLook w:val="04A0"/>
        </w:tblPrEx>
        <w:trPr>
          <w:trHeight w:val="255"/>
        </w:trPr>
        <w:tc>
          <w:tcPr>
            <w:tcW w:w="1195"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2010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2011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2013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2014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2015 N</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 xml:space="preserve">Regionálny rozvoj </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178 839 465</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357 498 074</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403 058 492</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398 647 370</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434 120 088</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215 990 986</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44 298 609</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prostriedky ŠR</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3 025 594</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149 891 771</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301 835 481</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343 370 000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339 636 247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375 996 467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202 828 703</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33 915 800</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17 070 787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41 883 852</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59 688 492</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59 011 123</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58 123 621</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13 162 283</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10 382 809</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8 851 313</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13 778 741</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r>
    </w:tbl>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rPr>
      </w:pPr>
      <w:r w:rsidRPr="0063370D">
        <w:rPr>
          <w:rFonts w:ascii="Times New Roman" w:hAnsi="Times New Roman"/>
        </w:rPr>
        <w:tab/>
        <w:t>Finančné prostriedky určené na financovanie projektov zo štrukturálnych fondov pre programové obdobie 2007 až 2013 a ich spolufinancovanie zo štátneho rozpočtu sú smerované do programov Operačný program Bratislavský kraj, Regionálny operačný program a Operačný program cezhraničnej spolupráce. Výdavky sú smerované na regeneráciu sídiel, regionálnu a mestskú hromadnú dopravu, inováciu a technologické transfery, informatizáciu spoločnosti, technickú pomoc, na financovanie kultúrneho potenciálu regiónov, sociálnu infraštruktúru, spoluprácu v cestovnom ruchu, podporu turizmu, spoluprácu v oblasti vedy, výskumu a inovácií, verejnú dopravu, vzdelávanie a pod. Výdavky na regionálny rozvoj sú na rok 2013 rozpočtované vo výške 434 mil. eur, čo predstavuje oproti schválenému rozpočtu roku 2012 nárast o 7,71 %.</w:t>
      </w:r>
    </w:p>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b/>
        </w:rPr>
      </w:pPr>
      <w:r w:rsidRPr="0063370D">
        <w:rPr>
          <w:rFonts w:ascii="Times New Roman" w:hAnsi="Times New Roman"/>
          <w:b/>
        </w:rPr>
        <w:t>Inštitucionálna podpora pôdohospodárstva</w:t>
      </w:r>
    </w:p>
    <w:p w:rsidR="009D2A34" w:rsidRPr="0063370D" w:rsidP="009D2A34">
      <w:pPr>
        <w:bidi w:val="0"/>
        <w:jc w:val="both"/>
        <w:rPr>
          <w:rFonts w:ascii="Times New Roman" w:hAnsi="Times New Roman"/>
          <w:b/>
        </w:rPr>
      </w:pPr>
    </w:p>
    <w:tbl>
      <w:tblPr>
        <w:tblStyle w:val="TableNormal"/>
        <w:tblW w:w="5000" w:type="pct"/>
        <w:tblCellMar>
          <w:left w:w="70" w:type="dxa"/>
          <w:right w:w="70" w:type="dxa"/>
        </w:tblCellMar>
        <w:tblLook w:val="04A0"/>
      </w:tblPr>
      <w:tblGrid>
        <w:gridCol w:w="2201"/>
        <w:gridCol w:w="1020"/>
        <w:gridCol w:w="1021"/>
        <w:gridCol w:w="1021"/>
        <w:gridCol w:w="1021"/>
        <w:gridCol w:w="1021"/>
        <w:gridCol w:w="1021"/>
        <w:gridCol w:w="886"/>
      </w:tblGrid>
      <w:tr>
        <w:tblPrEx>
          <w:tblW w:w="5000" w:type="pct"/>
          <w:tblCellMar>
            <w:left w:w="70" w:type="dxa"/>
            <w:right w:w="70" w:type="dxa"/>
          </w:tblCellMar>
          <w:tblLook w:val="04A0"/>
        </w:tblPrEx>
        <w:trPr>
          <w:trHeight w:val="255"/>
        </w:trPr>
        <w:tc>
          <w:tcPr>
            <w:tcW w:w="1195"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v eurách</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2010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2011 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R</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2012 OS</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2013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2014 N</w:t>
            </w:r>
          </w:p>
        </w:tc>
        <w:tc>
          <w:tcPr>
            <w:tcW w:w="554"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63370D" w:rsidP="006338E5">
            <w:pPr>
              <w:bidi w:val="0"/>
              <w:jc w:val="center"/>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2015 N</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9D2A34" w:rsidRPr="0063370D" w:rsidP="006338E5">
            <w:pPr>
              <w:bidi w:val="0"/>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 xml:space="preserve">Inštitucionálna podpora </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178 837 250</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113 195 539</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105 301 787</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112 796 975</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100 445 361</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100 449 770</w:t>
            </w:r>
          </w:p>
        </w:tc>
        <w:tc>
          <w:tcPr>
            <w:tcW w:w="554"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lang w:eastAsia="sk-SK"/>
              </w:rPr>
            </w:pPr>
            <w:r w:rsidRPr="0063370D">
              <w:rPr>
                <w:rFonts w:ascii="Times New Roman" w:hAnsi="Times New Roman"/>
                <w:b/>
                <w:bCs/>
                <w:color w:val="000000"/>
                <w:sz w:val="14"/>
                <w:szCs w:val="14"/>
                <w:lang w:eastAsia="sk-SK"/>
              </w:rPr>
              <w:t>100 462 352</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prostriedky ŠR</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133 313 126</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106 647 097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105 301 787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106 327 298</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100 445 361</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100 449 770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100 462 352</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prostriedky EÚ</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9 197 442</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spolufinancovanie zo ŠR</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515 239</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r>
      <w:tr>
        <w:tblPrEx>
          <w:tblW w:w="5000" w:type="pct"/>
          <w:tblCellMar>
            <w:left w:w="70" w:type="dxa"/>
            <w:right w:w="70" w:type="dxa"/>
          </w:tblCellMar>
          <w:tblLook w:val="04A0"/>
        </w:tblPrEx>
        <w:trPr>
          <w:trHeight w:val="255"/>
        </w:trPr>
        <w:tc>
          <w:tcPr>
            <w:tcW w:w="1195" w:type="pct"/>
            <w:tcBorders>
              <w:top w:val="nil"/>
              <w:left w:val="single" w:sz="4" w:space="0" w:color="auto"/>
              <w:bottom w:val="single" w:sz="4" w:space="0" w:color="auto"/>
              <w:right w:val="single" w:sz="4" w:space="0" w:color="auto"/>
            </w:tcBorders>
            <w:noWrap/>
            <w:textDirection w:val="lrTb"/>
            <w:vAlign w:val="center"/>
            <w:hideMark/>
          </w:tcPr>
          <w:p w:rsidR="009D2A34" w:rsidRPr="0063370D" w:rsidP="006338E5">
            <w:pPr>
              <w:bidi w:val="0"/>
              <w:rPr>
                <w:rFonts w:ascii="Times New Roman" w:hAnsi="Times New Roman"/>
                <w:color w:val="000000"/>
                <w:sz w:val="14"/>
                <w:szCs w:val="14"/>
                <w:lang w:eastAsia="sk-SK"/>
              </w:rPr>
            </w:pPr>
            <w:r w:rsidRPr="0063370D">
              <w:rPr>
                <w:rFonts w:ascii="Times New Roman" w:hAnsi="Times New Roman"/>
                <w:color w:val="000000"/>
                <w:sz w:val="14"/>
                <w:szCs w:val="14"/>
                <w:lang w:eastAsia="sk-SK"/>
              </w:rPr>
              <w:t>presun z minulých rokov</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35 811 443</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6 548 442</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6 469 677</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c>
          <w:tcPr>
            <w:tcW w:w="554"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lang w:eastAsia="sk-SK"/>
              </w:rPr>
            </w:pPr>
            <w:r w:rsidRPr="0063370D">
              <w:rPr>
                <w:rFonts w:ascii="Times New Roman" w:hAnsi="Times New Roman"/>
                <w:color w:val="000000"/>
                <w:sz w:val="14"/>
                <w:szCs w:val="14"/>
                <w:lang w:eastAsia="sk-SK"/>
              </w:rPr>
              <w:t>0</w:t>
            </w:r>
          </w:p>
        </w:tc>
      </w:tr>
    </w:tbl>
    <w:p w:rsidR="009D2A34" w:rsidRPr="0063370D" w:rsidP="009D2A34">
      <w:pPr>
        <w:bidi w:val="0"/>
        <w:jc w:val="both"/>
        <w:rPr>
          <w:rFonts w:ascii="Times New Roman" w:hAnsi="Times New Roman"/>
          <w:b/>
        </w:rPr>
      </w:pPr>
    </w:p>
    <w:p w:rsidR="009D2A34" w:rsidRPr="0063370D" w:rsidP="009D2A34">
      <w:pPr>
        <w:bidi w:val="0"/>
        <w:jc w:val="both"/>
        <w:rPr>
          <w:rFonts w:ascii="Times New Roman" w:hAnsi="Times New Roman"/>
        </w:rPr>
      </w:pPr>
      <w:r w:rsidRPr="0063370D">
        <w:rPr>
          <w:rFonts w:ascii="Times New Roman" w:hAnsi="Times New Roman"/>
          <w:b/>
        </w:rPr>
        <w:tab/>
      </w:r>
      <w:r w:rsidRPr="0063370D">
        <w:rPr>
          <w:rFonts w:ascii="Times New Roman" w:hAnsi="Times New Roman"/>
        </w:rPr>
        <w:t xml:space="preserve">Celkové výdavky na inštitucionálnu podporu pôdohospodárstva sú určené na zabezpečenie plnenia úloh rozpočtových a príspevkových organizácií rezortu, na činnosť Agentúry na podporu regionálneho rozvoja, financovanie DPH pre Program rozvoja vidieka SR 2007 až 2013 a na ďalšie výdavky ako sú napr. pozemkové úpravy, vyhotovenie lesných hospodárskych plánov, eradikácia chorôb, kontrola BSE, štatistický informačný systém, verejnoprospešné aktivity rozvoja vidieka, špecifické činnosti v lesnom hospodárstve, potravinový dozor a iné úlohy rezortu. Výdavky na inštitucionálnu podporu pôdohospodárstva sú oproti schválenému rozpočtu roku 2012 nižšie o 4,61 %. V tejto oblasti je premietnuté zníženie výdavkov z titulu 5% viazania osobných výdavkov a 10% viazania prevádzkových výdavkov a zároveň kapitola zvýšila výdavky tejto oblasti v roku 2013 o 625 tis. eur na úkor výdavkov v oblasti štátna pomoc. </w:t>
      </w:r>
    </w:p>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rPr>
      </w:pPr>
      <w:r w:rsidRPr="0063370D">
        <w:rPr>
          <w:rFonts w:ascii="Times New Roman" w:hAnsi="Times New Roman"/>
        </w:rPr>
        <w:tab/>
        <w:t>Podrobné členenie výdavkov zo štátneho rozpočtu na inštitucionálnu podporu pôdohospodárstva je uvedené v nasledujúcej tabuľke.</w:t>
      </w:r>
    </w:p>
    <w:p w:rsidR="009D2A34" w:rsidRPr="0063370D" w:rsidP="009D2A34">
      <w:pPr>
        <w:bidi w:val="0"/>
        <w:jc w:val="both"/>
        <w:rPr>
          <w:rFonts w:ascii="Times New Roman" w:hAnsi="Times New Roman"/>
        </w:rPr>
      </w:pPr>
    </w:p>
    <w:tbl>
      <w:tblPr>
        <w:tblStyle w:val="TableNormal"/>
        <w:tblW w:w="5000" w:type="pct"/>
        <w:tblCellMar>
          <w:left w:w="70" w:type="dxa"/>
          <w:right w:w="70" w:type="dxa"/>
        </w:tblCellMar>
        <w:tblLook w:val="04A0"/>
      </w:tblPr>
      <w:tblGrid>
        <w:gridCol w:w="3103"/>
        <w:gridCol w:w="884"/>
        <w:gridCol w:w="866"/>
        <w:gridCol w:w="903"/>
        <w:gridCol w:w="866"/>
        <w:gridCol w:w="866"/>
        <w:gridCol w:w="884"/>
        <w:gridCol w:w="840"/>
      </w:tblGrid>
      <w:tr>
        <w:tblPrEx>
          <w:tblW w:w="5000" w:type="pct"/>
          <w:tblCellMar>
            <w:left w:w="70" w:type="dxa"/>
            <w:right w:w="70" w:type="dxa"/>
          </w:tblCellMar>
          <w:tblLook w:val="04A0"/>
        </w:tblPrEx>
        <w:trPr>
          <w:trHeight w:val="270"/>
        </w:trPr>
        <w:tc>
          <w:tcPr>
            <w:tcW w:w="168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63370D" w:rsidP="006338E5">
            <w:pPr>
              <w:bidi w:val="0"/>
              <w:rPr>
                <w:rFonts w:ascii="Times New Roman" w:hAnsi="Times New Roman"/>
                <w:b/>
                <w:bCs/>
                <w:color w:val="000000"/>
                <w:sz w:val="14"/>
                <w:szCs w:val="14"/>
              </w:rPr>
            </w:pPr>
            <w:r w:rsidRPr="0063370D">
              <w:rPr>
                <w:rFonts w:ascii="Times New Roman" w:hAnsi="Times New Roman"/>
                <w:b/>
                <w:bCs/>
                <w:color w:val="000000"/>
                <w:sz w:val="14"/>
                <w:szCs w:val="14"/>
              </w:rPr>
              <w:t>v eurách</w:t>
            </w:r>
          </w:p>
        </w:tc>
        <w:tc>
          <w:tcPr>
            <w:tcW w:w="48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63370D" w:rsidP="006338E5">
            <w:pPr>
              <w:bidi w:val="0"/>
              <w:jc w:val="center"/>
              <w:rPr>
                <w:rFonts w:ascii="Times New Roman" w:hAnsi="Times New Roman"/>
                <w:b/>
                <w:bCs/>
                <w:color w:val="000000"/>
                <w:sz w:val="14"/>
                <w:szCs w:val="14"/>
              </w:rPr>
            </w:pPr>
            <w:r w:rsidRPr="0063370D">
              <w:rPr>
                <w:rFonts w:ascii="Times New Roman" w:hAnsi="Times New Roman"/>
                <w:b/>
                <w:bCs/>
                <w:color w:val="000000"/>
                <w:sz w:val="14"/>
                <w:szCs w:val="14"/>
              </w:rPr>
              <w:t>2010 S</w:t>
            </w:r>
          </w:p>
        </w:tc>
        <w:tc>
          <w:tcPr>
            <w:tcW w:w="47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63370D" w:rsidP="006338E5">
            <w:pPr>
              <w:bidi w:val="0"/>
              <w:jc w:val="center"/>
              <w:rPr>
                <w:rFonts w:ascii="Times New Roman" w:hAnsi="Times New Roman"/>
                <w:b/>
                <w:bCs/>
                <w:color w:val="000000"/>
                <w:sz w:val="14"/>
                <w:szCs w:val="14"/>
              </w:rPr>
            </w:pPr>
            <w:r w:rsidRPr="0063370D">
              <w:rPr>
                <w:rFonts w:ascii="Times New Roman" w:hAnsi="Times New Roman"/>
                <w:b/>
                <w:bCs/>
                <w:color w:val="000000"/>
                <w:sz w:val="14"/>
                <w:szCs w:val="14"/>
              </w:rPr>
              <w:t>2011 S</w:t>
            </w:r>
          </w:p>
        </w:tc>
        <w:tc>
          <w:tcPr>
            <w:tcW w:w="49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63370D" w:rsidP="006338E5">
            <w:pPr>
              <w:bidi w:val="0"/>
              <w:jc w:val="center"/>
              <w:rPr>
                <w:rFonts w:ascii="Times New Roman" w:hAnsi="Times New Roman"/>
                <w:b/>
                <w:bCs/>
                <w:color w:val="000000"/>
                <w:sz w:val="14"/>
                <w:szCs w:val="14"/>
              </w:rPr>
            </w:pPr>
            <w:r w:rsidRPr="0063370D">
              <w:rPr>
                <w:rFonts w:ascii="Times New Roman" w:hAnsi="Times New Roman"/>
                <w:b/>
                <w:bCs/>
                <w:color w:val="000000"/>
                <w:sz w:val="14"/>
                <w:szCs w:val="14"/>
              </w:rPr>
              <w:t>2012 R</w:t>
            </w:r>
          </w:p>
        </w:tc>
        <w:tc>
          <w:tcPr>
            <w:tcW w:w="47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63370D" w:rsidP="006338E5">
            <w:pPr>
              <w:bidi w:val="0"/>
              <w:jc w:val="center"/>
              <w:rPr>
                <w:rFonts w:ascii="Times New Roman" w:hAnsi="Times New Roman"/>
                <w:b/>
                <w:bCs/>
                <w:color w:val="000000"/>
                <w:sz w:val="14"/>
                <w:szCs w:val="14"/>
              </w:rPr>
            </w:pPr>
            <w:r w:rsidRPr="0063370D">
              <w:rPr>
                <w:rFonts w:ascii="Times New Roman" w:hAnsi="Times New Roman"/>
                <w:b/>
                <w:bCs/>
                <w:color w:val="000000"/>
                <w:sz w:val="14"/>
                <w:szCs w:val="14"/>
              </w:rPr>
              <w:t>2012 OS</w:t>
            </w:r>
          </w:p>
        </w:tc>
        <w:tc>
          <w:tcPr>
            <w:tcW w:w="47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63370D" w:rsidP="006338E5">
            <w:pPr>
              <w:bidi w:val="0"/>
              <w:jc w:val="center"/>
              <w:rPr>
                <w:rFonts w:ascii="Times New Roman" w:hAnsi="Times New Roman"/>
                <w:b/>
                <w:bCs/>
                <w:color w:val="000000"/>
                <w:sz w:val="14"/>
                <w:szCs w:val="14"/>
              </w:rPr>
            </w:pPr>
            <w:r w:rsidRPr="0063370D">
              <w:rPr>
                <w:rFonts w:ascii="Times New Roman" w:hAnsi="Times New Roman"/>
                <w:b/>
                <w:bCs/>
                <w:color w:val="000000"/>
                <w:sz w:val="14"/>
                <w:szCs w:val="14"/>
              </w:rPr>
              <w:t>2013 N</w:t>
            </w:r>
          </w:p>
        </w:tc>
        <w:tc>
          <w:tcPr>
            <w:tcW w:w="48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63370D" w:rsidP="006338E5">
            <w:pPr>
              <w:bidi w:val="0"/>
              <w:jc w:val="center"/>
              <w:rPr>
                <w:rFonts w:ascii="Times New Roman" w:hAnsi="Times New Roman"/>
                <w:b/>
                <w:bCs/>
                <w:color w:val="000000"/>
                <w:sz w:val="14"/>
                <w:szCs w:val="14"/>
              </w:rPr>
            </w:pPr>
            <w:r w:rsidRPr="0063370D">
              <w:rPr>
                <w:rFonts w:ascii="Times New Roman" w:hAnsi="Times New Roman"/>
                <w:b/>
                <w:bCs/>
                <w:color w:val="000000"/>
                <w:sz w:val="14"/>
                <w:szCs w:val="14"/>
              </w:rPr>
              <w:t>2014 N</w:t>
            </w:r>
          </w:p>
        </w:tc>
        <w:tc>
          <w:tcPr>
            <w:tcW w:w="45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63370D" w:rsidP="006338E5">
            <w:pPr>
              <w:bidi w:val="0"/>
              <w:jc w:val="center"/>
              <w:rPr>
                <w:rFonts w:ascii="Times New Roman" w:hAnsi="Times New Roman"/>
                <w:b/>
                <w:bCs/>
                <w:color w:val="000000"/>
                <w:sz w:val="14"/>
                <w:szCs w:val="14"/>
              </w:rPr>
            </w:pPr>
            <w:r w:rsidRPr="0063370D">
              <w:rPr>
                <w:rFonts w:ascii="Times New Roman" w:hAnsi="Times New Roman"/>
                <w:b/>
                <w:bCs/>
                <w:color w:val="000000"/>
                <w:sz w:val="14"/>
                <w:szCs w:val="14"/>
              </w:rPr>
              <w:t>2015 N</w:t>
            </w:r>
          </w:p>
        </w:tc>
      </w:tr>
      <w:tr>
        <w:tblPrEx>
          <w:tblW w:w="5000" w:type="pct"/>
          <w:tblCellMar>
            <w:left w:w="70" w:type="dxa"/>
            <w:right w:w="70" w:type="dxa"/>
          </w:tblCellMar>
          <w:tblLook w:val="04A0"/>
        </w:tblPrEx>
        <w:trPr>
          <w:trHeight w:val="270"/>
        </w:trPr>
        <w:tc>
          <w:tcPr>
            <w:tcW w:w="1684"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9D2A34" w:rsidRPr="0063370D" w:rsidP="006338E5">
            <w:pPr>
              <w:bidi w:val="0"/>
              <w:rPr>
                <w:rFonts w:ascii="Times New Roman" w:hAnsi="Times New Roman"/>
                <w:b/>
                <w:bCs/>
                <w:sz w:val="14"/>
                <w:szCs w:val="14"/>
              </w:rPr>
            </w:pPr>
            <w:r w:rsidRPr="0063370D">
              <w:rPr>
                <w:rFonts w:ascii="Times New Roman" w:hAnsi="Times New Roman"/>
                <w:b/>
                <w:bCs/>
                <w:sz w:val="14"/>
                <w:szCs w:val="14"/>
              </w:rPr>
              <w:t xml:space="preserve">Výdavky zo ŠR na inštitucionálnu podporu </w:t>
            </w:r>
          </w:p>
        </w:tc>
        <w:tc>
          <w:tcPr>
            <w:tcW w:w="480"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133 313 126</w:t>
            </w:r>
          </w:p>
        </w:tc>
        <w:tc>
          <w:tcPr>
            <w:tcW w:w="470"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106 647 097</w:t>
            </w:r>
          </w:p>
        </w:tc>
        <w:tc>
          <w:tcPr>
            <w:tcW w:w="490"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105 301 787</w:t>
            </w:r>
          </w:p>
        </w:tc>
        <w:tc>
          <w:tcPr>
            <w:tcW w:w="470"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106 327 298</w:t>
            </w:r>
          </w:p>
        </w:tc>
        <w:tc>
          <w:tcPr>
            <w:tcW w:w="470"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100 445 361</w:t>
            </w:r>
          </w:p>
        </w:tc>
        <w:tc>
          <w:tcPr>
            <w:tcW w:w="480"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100 449 770</w:t>
            </w:r>
          </w:p>
        </w:tc>
        <w:tc>
          <w:tcPr>
            <w:tcW w:w="456" w:type="pct"/>
            <w:tcBorders>
              <w:top w:val="nil"/>
              <w:left w:val="nil"/>
              <w:bottom w:val="single" w:sz="4" w:space="0" w:color="auto"/>
              <w:right w:val="single" w:sz="4" w:space="0" w:color="auto"/>
            </w:tcBorders>
            <w:shd w:val="clear" w:color="000000" w:fill="C0C0C0"/>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100 462 352</w:t>
            </w:r>
          </w:p>
        </w:tc>
      </w:tr>
      <w:tr>
        <w:tblPrEx>
          <w:tblW w:w="5000" w:type="pct"/>
          <w:tblCellMar>
            <w:left w:w="70" w:type="dxa"/>
            <w:right w:w="70" w:type="dxa"/>
          </w:tblCellMar>
          <w:tblLook w:val="04A0"/>
        </w:tblPrEx>
        <w:trPr>
          <w:trHeight w:val="270"/>
        </w:trPr>
        <w:tc>
          <w:tcPr>
            <w:tcW w:w="1684"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b/>
                <w:bCs/>
                <w:sz w:val="14"/>
                <w:szCs w:val="14"/>
              </w:rPr>
            </w:pPr>
            <w:r w:rsidRPr="0063370D">
              <w:rPr>
                <w:rFonts w:ascii="Times New Roman" w:hAnsi="Times New Roman"/>
                <w:b/>
                <w:bCs/>
                <w:sz w:val="14"/>
                <w:szCs w:val="14"/>
              </w:rPr>
              <w:t>Rozpočtové organizácie:</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111 528 777</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87 751 946</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88 288 332</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89 250 618</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84 281 765</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84 286 174</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84 298 756</w:t>
            </w:r>
          </w:p>
        </w:tc>
      </w:tr>
      <w:tr>
        <w:tblPrEx>
          <w:tblW w:w="5000" w:type="pct"/>
          <w:tblCellMar>
            <w:left w:w="70" w:type="dxa"/>
            <w:right w:w="70" w:type="dxa"/>
          </w:tblCellMar>
          <w:tblLook w:val="04A0"/>
        </w:tblPrEx>
        <w:trPr>
          <w:trHeight w:val="270"/>
        </w:trPr>
        <w:tc>
          <w:tcPr>
            <w:tcW w:w="1684"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Služobný úrad MPRV SR</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50 984 985</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21 410 404</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36 695 050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27 935 052</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34 628 966</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34 633 375</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34 645 957</w:t>
            </w:r>
          </w:p>
        </w:tc>
      </w:tr>
      <w:tr>
        <w:tblPrEx>
          <w:tblW w:w="5000" w:type="pct"/>
          <w:tblCellMar>
            <w:left w:w="70" w:type="dxa"/>
            <w:right w:w="70" w:type="dxa"/>
          </w:tblCellMar>
          <w:tblLook w:val="04A0"/>
        </w:tblPrEx>
        <w:trPr>
          <w:trHeight w:val="270"/>
        </w:trPr>
        <w:tc>
          <w:tcPr>
            <w:tcW w:w="1684"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Štátna veterinárna a potravinová správa SR</w:t>
            </w:r>
          </w:p>
        </w:tc>
        <w:tc>
          <w:tcPr>
            <w:tcW w:w="480" w:type="pct"/>
            <w:tcBorders>
              <w:top w:val="nil"/>
              <w:left w:val="nil"/>
              <w:bottom w:val="single" w:sz="4" w:space="0" w:color="auto"/>
              <w:right w:val="single" w:sz="4" w:space="0" w:color="auto"/>
            </w:tcBorders>
            <w:shd w:val="clear" w:color="000000" w:fill="FFFFFF"/>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23 721 307</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21 768 530</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21 030 432</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21 208 339</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20 125 985</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20 125 985</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20 125 985</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Ústredný kontrolný a skúšobný ústav poľnohospodársky</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9 736 282</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8 864 944</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8 542 829</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8 675 981</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8 153 625</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8 153 625</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8 153 625</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Plemenárska inšpekcia SR</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254 296</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229 230</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227 544</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227 544</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216 969</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216 969</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216 969</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Agentúra Slovenskej akadémie pôdohospodárskych vied</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75 439</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72 839</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69 161</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69 161</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65 987</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65 987</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65 987</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Pôdohospodárska platobná agentúra</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14 418 830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23 665 148</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11 220 841</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20 455 650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11 220 616</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11 220 616</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11 220 616</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Špecializovaná štátna správa spolu, z toho:</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12 337 638</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11 740 850</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10 502 475</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10 678 891</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9 869 617</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9 869 617</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9 869 617</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 xml:space="preserve">       na úseku pozemkových úprav a ochrany </w:t>
            </w:r>
          </w:p>
          <w:p w:rsidR="009D2A34" w:rsidRPr="0063370D" w:rsidP="006338E5">
            <w:pPr>
              <w:bidi w:val="0"/>
              <w:rPr>
                <w:rFonts w:ascii="Times New Roman" w:hAnsi="Times New Roman"/>
                <w:sz w:val="14"/>
                <w:szCs w:val="14"/>
              </w:rPr>
            </w:pPr>
            <w:r w:rsidRPr="0063370D">
              <w:rPr>
                <w:rFonts w:ascii="Times New Roman" w:hAnsi="Times New Roman"/>
                <w:sz w:val="14"/>
                <w:szCs w:val="14"/>
              </w:rPr>
              <w:t xml:space="preserve">       poľnohospodárskej pôdy</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8 372 623</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7 864 387</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7 151 122</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7 255 122</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6 717 391</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6 717 391</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6 717 391</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 xml:space="preserve">       na úseku lesného hospodárstva a poľovníctva</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3 965 015</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3 876 463</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3 351 353</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3 423 769</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3 152 226</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3 152 226</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3 152 226</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textDirection w:val="lrTb"/>
            <w:vAlign w:val="center"/>
            <w:hideMark/>
          </w:tcPr>
          <w:p w:rsidR="009D2A34" w:rsidRPr="0063370D" w:rsidP="006338E5">
            <w:pPr>
              <w:bidi w:val="0"/>
              <w:rPr>
                <w:rFonts w:ascii="Times New Roman" w:hAnsi="Times New Roman"/>
                <w:b/>
                <w:bCs/>
                <w:sz w:val="14"/>
                <w:szCs w:val="14"/>
              </w:rPr>
            </w:pPr>
            <w:r w:rsidRPr="0063370D">
              <w:rPr>
                <w:rFonts w:ascii="Times New Roman" w:hAnsi="Times New Roman"/>
                <w:b/>
                <w:bCs/>
                <w:sz w:val="14"/>
                <w:szCs w:val="14"/>
              </w:rPr>
              <w:t>Príspevkové organizácie:</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21 784 349</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18 895 151</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17 013 455</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17 076 680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16 163 596</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16 163 596</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b/>
                <w:bCs/>
                <w:color w:val="000000"/>
                <w:sz w:val="14"/>
                <w:szCs w:val="14"/>
              </w:rPr>
            </w:pPr>
            <w:r w:rsidRPr="0063370D">
              <w:rPr>
                <w:rFonts w:ascii="Times New Roman" w:hAnsi="Times New Roman"/>
                <w:b/>
                <w:bCs/>
                <w:color w:val="000000"/>
                <w:sz w:val="14"/>
                <w:szCs w:val="14"/>
              </w:rPr>
              <w:t>16 163 596</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Výskumný ústav pôdoznalectva a ochrany pôdy Bratislava</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1 201 034</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1 207 166</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896 127</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909 352</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854 669</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854 669</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854 669</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Výskumný ústav potravinársky Bratislava</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861 000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788 900</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757 160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757 160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721 197</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721 197</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721 197</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Výskumný ústav ekonomiky poľnohospodárstva a potravinárstva Bratislava</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1 103 154</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941 839</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897 550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897 550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852 673</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852 673</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852 673</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Národné lesnícke centrum Zvolen</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5 306 445</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5 231 545</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4 546 173</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4 596 173</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4 318 864</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4 318 864</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4 318 864</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Štátny veterinárny a potravinový ústav Bratislava</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1 508 214</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1 352 554</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1 264 870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1 264 870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1 201 627</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1 201 627</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1 201 627</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Štátny veterinárny a potravinový ústav Dolný Kubín</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1 271 681</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1 132 511</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1 106 762</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1 106 762</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1 051 424</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1 051 424</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1 051 424</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Štátny veterinárny ústav Zvolen</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1 689 223</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1 493 851</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1 440 768</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1 440 768</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1 368 730</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1 368 730</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1 368 730</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Štátny veterinárny a potravinový ústav Košice</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400 339</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468 094</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405 184</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405 184</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384 925</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384 925</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384 925</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Inštitút vzdelávania veterinárnych lekárov, Košice</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181 606</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183 445</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158 309</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158 309</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150 394</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150 394</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150 394</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Štátne lesy Tatranského národného parku, Tatranská Lomnica</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1 645 540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1 133 517</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864 916</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864 916</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821 670</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821 670</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821 670</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Agentúra pre rozvoj vidieka, Nitra</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97 470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99 823</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112 293</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112 293</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106 678</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106 678</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106 678</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Múzeum vo Svätom Antone</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189 370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279 889</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124 281</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124 281</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118 067</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118 067</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118 067</w:t>
            </w:r>
          </w:p>
        </w:tc>
      </w:tr>
      <w:tr>
        <w:tblPrEx>
          <w:tblW w:w="5000" w:type="pct"/>
          <w:tblCellMar>
            <w:left w:w="70" w:type="dxa"/>
            <w:right w:w="70" w:type="dxa"/>
          </w:tblCellMar>
          <w:tblLook w:val="04A0"/>
        </w:tblPrEx>
        <w:trPr>
          <w:trHeight w:val="510"/>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Technický a skúšobný ústav pôdohospodársky, Rovinka</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390 918</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261 251</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240 643</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240 643</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228 611</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228 611</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228 611</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Centrum výskumu rastlinnej výroby Piešťany</w:t>
            </w:r>
          </w:p>
        </w:tc>
        <w:tc>
          <w:tcPr>
            <w:tcW w:w="480" w:type="pct"/>
            <w:tcBorders>
              <w:top w:val="nil"/>
              <w:left w:val="nil"/>
              <w:bottom w:val="single" w:sz="4" w:space="0" w:color="auto"/>
              <w:right w:val="single" w:sz="4" w:space="0" w:color="auto"/>
            </w:tcBorders>
            <w:shd w:val="clear" w:color="000000" w:fill="FFFFFF"/>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3 769 577</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2 383 799</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2 309 680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2 309 680</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2 194 196</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2 194 196</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2 194 196</w:t>
            </w:r>
          </w:p>
        </w:tc>
      </w:tr>
      <w:tr>
        <w:tblPrEx>
          <w:tblW w:w="5000" w:type="pct"/>
          <w:tblCellMar>
            <w:left w:w="70" w:type="dxa"/>
            <w:right w:w="70" w:type="dxa"/>
          </w:tblCellMar>
          <w:tblLook w:val="04A0"/>
        </w:tblPrEx>
        <w:trPr>
          <w:trHeight w:val="255"/>
        </w:trPr>
        <w:tc>
          <w:tcPr>
            <w:tcW w:w="1684"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63370D" w:rsidP="006338E5">
            <w:pPr>
              <w:bidi w:val="0"/>
              <w:rPr>
                <w:rFonts w:ascii="Times New Roman" w:hAnsi="Times New Roman"/>
                <w:sz w:val="14"/>
                <w:szCs w:val="14"/>
              </w:rPr>
            </w:pPr>
            <w:r w:rsidRPr="0063370D">
              <w:rPr>
                <w:rFonts w:ascii="Times New Roman" w:hAnsi="Times New Roman"/>
                <w:sz w:val="14"/>
                <w:szCs w:val="14"/>
              </w:rPr>
              <w:t>Centrum výskumu živočíšnej výroby Nitra</w:t>
            </w:r>
          </w:p>
        </w:tc>
        <w:tc>
          <w:tcPr>
            <w:tcW w:w="480" w:type="pct"/>
            <w:tcBorders>
              <w:top w:val="nil"/>
              <w:left w:val="nil"/>
              <w:bottom w:val="single" w:sz="4" w:space="0" w:color="auto"/>
              <w:right w:val="single" w:sz="4" w:space="0" w:color="auto"/>
            </w:tcBorders>
            <w:shd w:val="clear" w:color="000000" w:fill="FFFFFF"/>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2 168 778</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1 936 967</w:t>
            </w:r>
          </w:p>
        </w:tc>
        <w:tc>
          <w:tcPr>
            <w:tcW w:w="49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1 888 739</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1 888 739</w:t>
            </w:r>
          </w:p>
        </w:tc>
        <w:tc>
          <w:tcPr>
            <w:tcW w:w="47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1 789 871</w:t>
            </w:r>
          </w:p>
        </w:tc>
        <w:tc>
          <w:tcPr>
            <w:tcW w:w="480"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1 789 871</w:t>
            </w:r>
          </w:p>
        </w:tc>
        <w:tc>
          <w:tcPr>
            <w:tcW w:w="456" w:type="pct"/>
            <w:tcBorders>
              <w:top w:val="nil"/>
              <w:left w:val="nil"/>
              <w:bottom w:val="single" w:sz="4" w:space="0" w:color="auto"/>
              <w:right w:val="single" w:sz="4" w:space="0" w:color="auto"/>
            </w:tcBorders>
            <w:noWrap/>
            <w:textDirection w:val="lrTb"/>
            <w:vAlign w:val="center"/>
            <w:hideMark/>
          </w:tcPr>
          <w:p w:rsidR="009D2A34" w:rsidRPr="0063370D" w:rsidP="006338E5">
            <w:pPr>
              <w:bidi w:val="0"/>
              <w:jc w:val="right"/>
              <w:rPr>
                <w:rFonts w:ascii="Times New Roman" w:hAnsi="Times New Roman"/>
                <w:color w:val="000000"/>
                <w:sz w:val="14"/>
                <w:szCs w:val="14"/>
              </w:rPr>
            </w:pPr>
            <w:r w:rsidRPr="0063370D">
              <w:rPr>
                <w:rFonts w:ascii="Times New Roman" w:hAnsi="Times New Roman"/>
                <w:color w:val="000000"/>
                <w:sz w:val="14"/>
                <w:szCs w:val="14"/>
              </w:rPr>
              <w:t>1 789 871</w:t>
            </w:r>
          </w:p>
        </w:tc>
      </w:tr>
    </w:tbl>
    <w:p w:rsidR="009D2A34" w:rsidRPr="0063370D" w:rsidP="009D2A34">
      <w:pPr>
        <w:bidi w:val="0"/>
        <w:jc w:val="both"/>
        <w:rPr>
          <w:rFonts w:ascii="Times New Roman" w:hAnsi="Times New Roman"/>
        </w:rPr>
      </w:pPr>
    </w:p>
    <w:p w:rsidR="009D2A34" w:rsidRPr="0063370D" w:rsidP="009D2A34">
      <w:pPr>
        <w:bidi w:val="0"/>
        <w:jc w:val="both"/>
        <w:rPr>
          <w:rFonts w:ascii="Times New Roman" w:hAnsi="Times New Roman"/>
        </w:rPr>
      </w:pPr>
      <w:r w:rsidRPr="0063370D">
        <w:rPr>
          <w:rFonts w:ascii="Times New Roman" w:hAnsi="Times New Roman"/>
        </w:rPr>
        <w:tab/>
        <w:t xml:space="preserve">Celkové výdavky zo ŠR na inštitucionálnu podporu pôdohospodárstva sú rozpočtované vo výške 100 mil. eur, čo predstavuje pokles oproti schválenému rozpočtu roku 2012 o 4,61 %. Výdavky rozpočtových organizácií v porovnaní so schváleným rozpočtom roku 2012 klesajú o 4,54 % a výdavky príspevkových organizácií medziročne klesajú </w:t>
        <w:br/>
        <w:t xml:space="preserve">o 5,00 %. </w:t>
      </w:r>
    </w:p>
    <w:p w:rsidR="009D2A34" w:rsidRPr="0063370D" w:rsidP="009D2A34">
      <w:pPr>
        <w:bidi w:val="0"/>
      </w:pPr>
    </w:p>
    <w:p w:rsidR="009D2A34" w:rsidRPr="00F72547" w:rsidP="009D2A34">
      <w:pPr>
        <w:pBdr>
          <w:bottom w:val="single" w:sz="4" w:space="1" w:color="auto"/>
        </w:pBdr>
        <w:bidi w:val="0"/>
        <w:rPr>
          <w:rFonts w:ascii="Times New Roman" w:hAnsi="Times New Roman" w:cs="Times New Roman"/>
          <w:b/>
          <w:bCs/>
        </w:rPr>
      </w:pPr>
      <w:r w:rsidRPr="00F72547">
        <w:rPr>
          <w:rFonts w:ascii="Times New Roman" w:hAnsi="Times New Roman" w:cs="Times New Roman"/>
          <w:b/>
          <w:bCs/>
        </w:rPr>
        <w:t>Ministerstvo vnútra SR</w:t>
      </w:r>
    </w:p>
    <w:p w:rsidR="009D2A34" w:rsidRPr="00F72547" w:rsidP="009D2A34">
      <w:pPr>
        <w:bidi w:val="0"/>
        <w:rPr>
          <w:rFonts w:ascii="Times New Roman" w:hAnsi="Times New Roman" w:cs="Times New Roman"/>
          <w:bCs/>
        </w:rPr>
      </w:pPr>
    </w:p>
    <w:tbl>
      <w:tblPr>
        <w:tblStyle w:val="TableNormal"/>
        <w:tblW w:w="5001" w:type="pct"/>
        <w:tblInd w:w="70" w:type="dxa"/>
        <w:tblCellMar>
          <w:left w:w="70" w:type="dxa"/>
          <w:right w:w="70" w:type="dxa"/>
        </w:tblCellMar>
        <w:tblLook w:val="04A0"/>
      </w:tblPr>
      <w:tblGrid>
        <w:gridCol w:w="2682"/>
        <w:gridCol w:w="933"/>
        <w:gridCol w:w="933"/>
        <w:gridCol w:w="933"/>
        <w:gridCol w:w="935"/>
        <w:gridCol w:w="932"/>
        <w:gridCol w:w="932"/>
        <w:gridCol w:w="934"/>
      </w:tblGrid>
      <w:tr>
        <w:tblPrEx>
          <w:tblW w:w="5001" w:type="pct"/>
          <w:tblInd w:w="70" w:type="dxa"/>
          <w:tblCellMar>
            <w:left w:w="70" w:type="dxa"/>
            <w:right w:w="70" w:type="dxa"/>
          </w:tblCellMar>
          <w:tblLook w:val="04A0"/>
        </w:tblPrEx>
        <w:trPr>
          <w:trHeight w:val="259"/>
        </w:trPr>
        <w:tc>
          <w:tcPr>
            <w:tcW w:w="1455"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F72547" w:rsidP="006338E5">
            <w:pPr>
              <w:bidi w:val="0"/>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 v eurách</w:t>
            </w:r>
          </w:p>
        </w:tc>
        <w:tc>
          <w:tcPr>
            <w:tcW w:w="50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2010</w:t>
            </w:r>
            <w:r w:rsidR="00AF644C">
              <w:rPr>
                <w:rFonts w:ascii="Times New Roman" w:hAnsi="Times New Roman" w:cs="Times New Roman"/>
                <w:b/>
                <w:sz w:val="14"/>
                <w:szCs w:val="14"/>
                <w:lang w:eastAsia="sk-SK"/>
              </w:rPr>
              <w:t xml:space="preserve"> </w:t>
            </w:r>
            <w:r w:rsidRPr="00F72547">
              <w:rPr>
                <w:rFonts w:ascii="Times New Roman" w:hAnsi="Times New Roman" w:cs="Times New Roman"/>
                <w:b/>
                <w:sz w:val="14"/>
                <w:szCs w:val="14"/>
                <w:lang w:eastAsia="sk-SK"/>
              </w:rPr>
              <w:t>S</w:t>
            </w:r>
          </w:p>
        </w:tc>
        <w:tc>
          <w:tcPr>
            <w:tcW w:w="50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2011</w:t>
            </w:r>
            <w:r w:rsidR="00AF644C">
              <w:rPr>
                <w:rFonts w:ascii="Times New Roman" w:hAnsi="Times New Roman" w:cs="Times New Roman"/>
                <w:b/>
                <w:sz w:val="14"/>
                <w:szCs w:val="14"/>
                <w:lang w:eastAsia="sk-SK"/>
              </w:rPr>
              <w:t xml:space="preserve"> </w:t>
            </w:r>
            <w:r w:rsidRPr="00F72547">
              <w:rPr>
                <w:rFonts w:ascii="Times New Roman" w:hAnsi="Times New Roman" w:cs="Times New Roman"/>
                <w:b/>
                <w:sz w:val="14"/>
                <w:szCs w:val="14"/>
                <w:lang w:eastAsia="sk-SK"/>
              </w:rPr>
              <w:t>S</w:t>
            </w:r>
          </w:p>
        </w:tc>
        <w:tc>
          <w:tcPr>
            <w:tcW w:w="50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2012 R</w:t>
            </w:r>
          </w:p>
        </w:tc>
        <w:tc>
          <w:tcPr>
            <w:tcW w:w="50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2012 OS</w:t>
            </w:r>
          </w:p>
        </w:tc>
        <w:tc>
          <w:tcPr>
            <w:tcW w:w="50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2013 N</w:t>
            </w:r>
          </w:p>
        </w:tc>
        <w:tc>
          <w:tcPr>
            <w:tcW w:w="50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2014 N</w:t>
            </w:r>
          </w:p>
        </w:tc>
        <w:tc>
          <w:tcPr>
            <w:tcW w:w="50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2015 N</w:t>
            </w:r>
          </w:p>
        </w:tc>
      </w:tr>
      <w:tr>
        <w:tblPrEx>
          <w:tblW w:w="5001" w:type="pct"/>
          <w:tblInd w:w="70" w:type="dxa"/>
          <w:tblCellMar>
            <w:left w:w="70" w:type="dxa"/>
            <w:right w:w="70" w:type="dxa"/>
          </w:tblCellMar>
          <w:tblLook w:val="04A0"/>
        </w:tblPrEx>
        <w:trPr>
          <w:trHeight w:val="259"/>
        </w:trPr>
        <w:tc>
          <w:tcPr>
            <w:tcW w:w="1455"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F72547" w:rsidP="006338E5">
            <w:pPr>
              <w:bidi w:val="0"/>
              <w:rPr>
                <w:rFonts w:ascii="Times New Roman" w:hAnsi="Times New Roman" w:cs="Times New Roman"/>
                <w:b/>
                <w:bCs/>
                <w:sz w:val="14"/>
                <w:szCs w:val="14"/>
                <w:lang w:eastAsia="sk-SK"/>
              </w:rPr>
            </w:pPr>
            <w:r w:rsidRPr="00F72547">
              <w:rPr>
                <w:rFonts w:ascii="Times New Roman" w:hAnsi="Times New Roman" w:cs="Times New Roman"/>
                <w:b/>
                <w:bCs/>
                <w:sz w:val="14"/>
                <w:szCs w:val="14"/>
                <w:lang w:eastAsia="sk-SK"/>
              </w:rPr>
              <w:t>Zdroje príslušnej kapitoly</w:t>
            </w:r>
          </w:p>
        </w:tc>
        <w:tc>
          <w:tcPr>
            <w:tcW w:w="506" w:type="pct"/>
            <w:tcBorders>
              <w:top w:val="single" w:sz="4" w:space="0" w:color="auto"/>
              <w:left w:val="nil"/>
              <w:bottom w:val="single" w:sz="4" w:space="0" w:color="auto"/>
              <w:right w:val="single" w:sz="4" w:space="0" w:color="auto"/>
            </w:tcBorders>
            <w:shd w:val="clear" w:color="000000" w:fill="C0C0C0"/>
            <w:textDirection w:val="lrTb"/>
            <w:vAlign w:val="center"/>
            <w:hideMark/>
          </w:tcPr>
          <w:p w:rsidR="009D2A34" w:rsidRPr="00F72547" w:rsidP="006338E5">
            <w:pPr>
              <w:autoSpaceDE w:val="0"/>
              <w:autoSpaceDN w:val="0"/>
              <w:bidi w:val="0"/>
              <w:adjustRightInd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978 129 415</w:t>
            </w:r>
          </w:p>
        </w:tc>
        <w:tc>
          <w:tcPr>
            <w:tcW w:w="506"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897 354 587</w:t>
            </w:r>
          </w:p>
        </w:tc>
        <w:tc>
          <w:tcPr>
            <w:tcW w:w="506"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bidi w:val="0"/>
              <w:jc w:val="right"/>
              <w:rPr>
                <w:rFonts w:ascii="Times New Roman" w:hAnsi="Times New Roman" w:cs="Times New Roman"/>
                <w:b/>
                <w:bCs/>
                <w:sz w:val="14"/>
                <w:szCs w:val="14"/>
                <w:lang w:eastAsia="sk-SK"/>
              </w:rPr>
            </w:pPr>
            <w:r w:rsidRPr="00F72547">
              <w:rPr>
                <w:rFonts w:ascii="Times New Roman" w:hAnsi="Times New Roman" w:cs="Times New Roman"/>
                <w:b/>
                <w:bCs/>
                <w:sz w:val="14"/>
                <w:szCs w:val="14"/>
                <w:lang w:eastAsia="sk-SK"/>
              </w:rPr>
              <w:t>902 168 231</w:t>
            </w:r>
          </w:p>
        </w:tc>
        <w:tc>
          <w:tcPr>
            <w:tcW w:w="507"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bidi w:val="0"/>
              <w:jc w:val="right"/>
              <w:rPr>
                <w:rFonts w:ascii="Times New Roman" w:hAnsi="Times New Roman" w:cs="Times New Roman"/>
                <w:b/>
                <w:bCs/>
                <w:sz w:val="14"/>
                <w:szCs w:val="14"/>
                <w:lang w:eastAsia="sk-SK"/>
              </w:rPr>
            </w:pPr>
            <w:r w:rsidRPr="00F72547">
              <w:rPr>
                <w:rFonts w:ascii="Times New Roman" w:hAnsi="Times New Roman" w:cs="Times New Roman"/>
                <w:b/>
                <w:bCs/>
                <w:sz w:val="14"/>
                <w:szCs w:val="14"/>
                <w:lang w:eastAsia="sk-SK"/>
              </w:rPr>
              <w:t>925 810 231</w:t>
            </w:r>
          </w:p>
        </w:tc>
        <w:tc>
          <w:tcPr>
            <w:tcW w:w="506"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bidi w:val="0"/>
              <w:jc w:val="right"/>
              <w:rPr>
                <w:rFonts w:ascii="Times New Roman" w:hAnsi="Times New Roman" w:cs="Times New Roman"/>
                <w:b/>
                <w:bCs/>
                <w:sz w:val="14"/>
                <w:szCs w:val="14"/>
                <w:lang w:eastAsia="sk-SK"/>
              </w:rPr>
            </w:pPr>
            <w:r w:rsidRPr="00F72547">
              <w:rPr>
                <w:rFonts w:ascii="Times New Roman" w:hAnsi="Times New Roman" w:cs="Times New Roman"/>
                <w:b/>
                <w:sz w:val="14"/>
                <w:szCs w:val="14"/>
                <w:lang w:eastAsia="sk-SK"/>
              </w:rPr>
              <w:t>902 570 100</w:t>
            </w:r>
          </w:p>
        </w:tc>
        <w:tc>
          <w:tcPr>
            <w:tcW w:w="506"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bidi w:val="0"/>
              <w:jc w:val="right"/>
              <w:rPr>
                <w:rFonts w:ascii="Times New Roman" w:hAnsi="Times New Roman" w:cs="Times New Roman"/>
                <w:b/>
                <w:bCs/>
                <w:sz w:val="14"/>
                <w:szCs w:val="14"/>
                <w:lang w:eastAsia="sk-SK"/>
              </w:rPr>
            </w:pPr>
            <w:r w:rsidRPr="00F72547">
              <w:rPr>
                <w:rFonts w:ascii="Times New Roman" w:hAnsi="Times New Roman" w:cs="Times New Roman"/>
                <w:b/>
                <w:bCs/>
                <w:sz w:val="14"/>
                <w:szCs w:val="14"/>
                <w:lang w:eastAsia="sk-SK"/>
              </w:rPr>
              <w:t>905 883 599</w:t>
            </w:r>
          </w:p>
        </w:tc>
        <w:tc>
          <w:tcPr>
            <w:tcW w:w="507"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bidi w:val="0"/>
              <w:jc w:val="right"/>
              <w:rPr>
                <w:rFonts w:ascii="Times New Roman" w:hAnsi="Times New Roman" w:cs="Times New Roman"/>
                <w:b/>
                <w:bCs/>
                <w:sz w:val="14"/>
                <w:szCs w:val="14"/>
                <w:lang w:eastAsia="sk-SK"/>
              </w:rPr>
            </w:pPr>
            <w:r w:rsidRPr="00F72547">
              <w:rPr>
                <w:rFonts w:ascii="Times New Roman" w:hAnsi="Times New Roman" w:cs="Times New Roman"/>
                <w:b/>
                <w:bCs/>
                <w:sz w:val="14"/>
                <w:szCs w:val="14"/>
                <w:lang w:eastAsia="sk-SK"/>
              </w:rPr>
              <w:t>878 007 126</w:t>
            </w:r>
          </w:p>
        </w:tc>
      </w:tr>
      <w:tr>
        <w:tblPrEx>
          <w:tblW w:w="5001" w:type="pct"/>
          <w:tblInd w:w="70" w:type="dxa"/>
          <w:tblCellMar>
            <w:left w:w="70" w:type="dxa"/>
            <w:right w:w="70" w:type="dxa"/>
          </w:tblCellMar>
          <w:tblLook w:val="04A0"/>
        </w:tblPrEx>
        <w:trPr>
          <w:trHeight w:val="259"/>
        </w:trPr>
        <w:tc>
          <w:tcPr>
            <w:tcW w:w="1455"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sz w:val="14"/>
                <w:szCs w:val="14"/>
                <w:lang w:eastAsia="sk-SK"/>
              </w:rPr>
            </w:pPr>
            <w:r w:rsidRPr="00F72547">
              <w:rPr>
                <w:rFonts w:ascii="Times New Roman" w:hAnsi="Times New Roman" w:cs="Times New Roman"/>
                <w:sz w:val="14"/>
                <w:szCs w:val="14"/>
                <w:lang w:eastAsia="sk-SK"/>
              </w:rPr>
              <w:t>z toho:</w:t>
            </w:r>
          </w:p>
        </w:tc>
        <w:tc>
          <w:tcPr>
            <w:tcW w:w="506" w:type="pct"/>
            <w:tcBorders>
              <w:top w:val="single" w:sz="4" w:space="0" w:color="auto"/>
              <w:left w:val="nil"/>
              <w:bottom w:val="single" w:sz="4" w:space="0" w:color="auto"/>
              <w:right w:val="single" w:sz="4" w:space="0" w:color="auto"/>
            </w:tcBorders>
            <w:noWrap/>
            <w:textDirection w:val="lrTb"/>
            <w:vAlign w:val="center"/>
            <w:hideMark/>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 </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p>
        </w:tc>
        <w:tc>
          <w:tcPr>
            <w:tcW w:w="506" w:type="pct"/>
            <w:tcBorders>
              <w:top w:val="single" w:sz="4" w:space="0" w:color="auto"/>
              <w:left w:val="nil"/>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lang w:eastAsia="sk-SK"/>
              </w:rPr>
            </w:pP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p>
        </w:tc>
      </w:tr>
      <w:tr>
        <w:tblPrEx>
          <w:tblW w:w="5001" w:type="pct"/>
          <w:tblInd w:w="70" w:type="dxa"/>
          <w:tblCellMar>
            <w:left w:w="70" w:type="dxa"/>
            <w:right w:w="70" w:type="dxa"/>
          </w:tblCellMar>
          <w:tblLook w:val="04A0"/>
        </w:tblPrEx>
        <w:trPr>
          <w:trHeight w:val="259"/>
        </w:trPr>
        <w:tc>
          <w:tcPr>
            <w:tcW w:w="1455"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 xml:space="preserve">rozpočtové zdroje kapitoly (111 + 11R2) </w:t>
            </w:r>
          </w:p>
        </w:tc>
        <w:tc>
          <w:tcPr>
            <w:tcW w:w="506" w:type="pct"/>
            <w:tcBorders>
              <w:top w:val="single" w:sz="4" w:space="0" w:color="auto"/>
              <w:left w:val="nil"/>
              <w:bottom w:val="single" w:sz="4" w:space="0" w:color="auto"/>
              <w:right w:val="single" w:sz="4" w:space="0" w:color="auto"/>
            </w:tcBorders>
            <w:textDirection w:val="lrTb"/>
            <w:vAlign w:val="center"/>
            <w:hideMark/>
          </w:tcPr>
          <w:p w:rsidR="009D2A34" w:rsidRPr="00F72547" w:rsidP="006338E5">
            <w:pPr>
              <w:bidi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915 406 382</w:t>
            </w:r>
          </w:p>
        </w:tc>
        <w:tc>
          <w:tcPr>
            <w:tcW w:w="506" w:type="pct"/>
            <w:tcBorders>
              <w:top w:val="single" w:sz="4" w:space="0" w:color="auto"/>
              <w:left w:val="nil"/>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890 053 336</w:t>
            </w:r>
          </w:p>
        </w:tc>
        <w:tc>
          <w:tcPr>
            <w:tcW w:w="506" w:type="pct"/>
            <w:tcBorders>
              <w:top w:val="single" w:sz="4" w:space="0" w:color="auto"/>
              <w:left w:val="nil"/>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902 168 231</w:t>
            </w:r>
          </w:p>
        </w:tc>
        <w:tc>
          <w:tcPr>
            <w:tcW w:w="507" w:type="pct"/>
            <w:tcBorders>
              <w:top w:val="single" w:sz="4" w:space="0" w:color="auto"/>
              <w:left w:val="nil"/>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902 174 950</w:t>
            </w:r>
          </w:p>
        </w:tc>
        <w:tc>
          <w:tcPr>
            <w:tcW w:w="506" w:type="pct"/>
            <w:tcBorders>
              <w:top w:val="single" w:sz="4" w:space="0" w:color="auto"/>
              <w:left w:val="nil"/>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902 570 100</w:t>
            </w:r>
          </w:p>
        </w:tc>
        <w:tc>
          <w:tcPr>
            <w:tcW w:w="506" w:type="pct"/>
            <w:tcBorders>
              <w:top w:val="single" w:sz="4" w:space="0" w:color="auto"/>
              <w:left w:val="nil"/>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905 883 599</w:t>
            </w:r>
          </w:p>
        </w:tc>
        <w:tc>
          <w:tcPr>
            <w:tcW w:w="507" w:type="pct"/>
            <w:tcBorders>
              <w:top w:val="single" w:sz="4" w:space="0" w:color="auto"/>
              <w:left w:val="nil"/>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878 007 126</w:t>
            </w:r>
          </w:p>
        </w:tc>
      </w:tr>
      <w:tr>
        <w:tblPrEx>
          <w:tblW w:w="5001" w:type="pct"/>
          <w:tblInd w:w="70" w:type="dxa"/>
          <w:tblCellMar>
            <w:left w:w="70" w:type="dxa"/>
            <w:right w:w="70" w:type="dxa"/>
          </w:tblCellMar>
          <w:tblLook w:val="04A0"/>
        </w:tblPrEx>
        <w:trPr>
          <w:trHeight w:val="259"/>
        </w:trPr>
        <w:tc>
          <w:tcPr>
            <w:tcW w:w="1455"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sz w:val="14"/>
                <w:szCs w:val="14"/>
                <w:lang w:eastAsia="sk-SK"/>
              </w:rPr>
            </w:pPr>
            <w:r w:rsidRPr="00F72547">
              <w:rPr>
                <w:rFonts w:ascii="Times New Roman" w:hAnsi="Times New Roman" w:cs="Times New Roman"/>
                <w:sz w:val="14"/>
                <w:szCs w:val="14"/>
                <w:lang w:eastAsia="sk-SK"/>
              </w:rPr>
              <w:t xml:space="preserve">    v tom: bežné výdavky  600</w:t>
            </w:r>
          </w:p>
        </w:tc>
        <w:tc>
          <w:tcPr>
            <w:tcW w:w="506" w:type="pct"/>
            <w:tcBorders>
              <w:top w:val="single" w:sz="4" w:space="0" w:color="auto"/>
              <w:left w:val="nil"/>
              <w:bottom w:val="single" w:sz="4" w:space="0" w:color="auto"/>
              <w:right w:val="single" w:sz="4" w:space="0" w:color="auto"/>
            </w:tcBorders>
            <w:noWrap/>
            <w:textDirection w:val="lrTb"/>
            <w:vAlign w:val="center"/>
            <w:hideMark/>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899 878 779</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849 052 285</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859 098 231</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858 693 666</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855 028 116</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880 862 630</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853 292 157</w:t>
            </w:r>
          </w:p>
        </w:tc>
      </w:tr>
      <w:tr>
        <w:tblPrEx>
          <w:tblW w:w="5001" w:type="pct"/>
          <w:tblInd w:w="70" w:type="dxa"/>
          <w:tblCellMar>
            <w:left w:w="70" w:type="dxa"/>
            <w:right w:w="70" w:type="dxa"/>
          </w:tblCellMar>
          <w:tblLook w:val="04A0"/>
        </w:tblPrEx>
        <w:trPr>
          <w:trHeight w:val="259"/>
        </w:trPr>
        <w:tc>
          <w:tcPr>
            <w:tcW w:w="1455"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lang w:eastAsia="sk-SK"/>
              </w:rPr>
            </w:pPr>
            <w:r w:rsidRPr="00F72547">
              <w:rPr>
                <w:rFonts w:ascii="Times New Roman" w:hAnsi="Times New Roman" w:cs="Times New Roman"/>
                <w:sz w:val="14"/>
                <w:szCs w:val="14"/>
                <w:lang w:eastAsia="sk-SK"/>
              </w:rPr>
              <w:t xml:space="preserve">                               610 mzdy</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474 052 600</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438 624 222</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440 337 288</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440 345 188</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439 058 361</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441 689 135</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437 447 128</w:t>
            </w:r>
          </w:p>
        </w:tc>
      </w:tr>
      <w:tr>
        <w:tblPrEx>
          <w:tblW w:w="5001" w:type="pct"/>
          <w:tblInd w:w="70" w:type="dxa"/>
          <w:tblCellMar>
            <w:left w:w="70" w:type="dxa"/>
            <w:right w:w="70" w:type="dxa"/>
          </w:tblCellMar>
          <w:tblLook w:val="04A0"/>
        </w:tblPrEx>
        <w:trPr>
          <w:trHeight w:val="259"/>
        </w:trPr>
        <w:tc>
          <w:tcPr>
            <w:tcW w:w="1455"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lang w:eastAsia="sk-SK"/>
              </w:rPr>
            </w:pPr>
            <w:r w:rsidRPr="00F72547">
              <w:rPr>
                <w:rFonts w:ascii="Times New Roman" w:hAnsi="Times New Roman" w:cs="Times New Roman"/>
                <w:sz w:val="14"/>
                <w:szCs w:val="14"/>
                <w:lang w:eastAsia="sk-SK"/>
              </w:rPr>
              <w:t xml:space="preserve">                               620 odvody</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156 565 229</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146 901 323</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147 991 192</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147 757 819</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147 017 468</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147 936 883</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146 454 281</w:t>
            </w:r>
          </w:p>
        </w:tc>
      </w:tr>
      <w:tr>
        <w:tblPrEx>
          <w:tblW w:w="5001" w:type="pct"/>
          <w:tblInd w:w="70" w:type="dxa"/>
          <w:tblCellMar>
            <w:left w:w="70" w:type="dxa"/>
            <w:right w:w="70" w:type="dxa"/>
          </w:tblCellMar>
          <w:tblLook w:val="04A0"/>
        </w:tblPrEx>
        <w:trPr>
          <w:trHeight w:val="259"/>
        </w:trPr>
        <w:tc>
          <w:tcPr>
            <w:tcW w:w="1455"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lang w:eastAsia="sk-SK"/>
              </w:rPr>
            </w:pPr>
            <w:r w:rsidRPr="00F72547">
              <w:rPr>
                <w:rFonts w:ascii="Times New Roman" w:hAnsi="Times New Roman" w:cs="Times New Roman"/>
                <w:sz w:val="14"/>
                <w:szCs w:val="14"/>
                <w:lang w:eastAsia="sk-SK"/>
              </w:rPr>
              <w:t xml:space="preserve">                               630 tovary a služby</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215 076 658</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223 824 714</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213 961 686</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211 811 968</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204 257 198</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208 650 288</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201 708 286</w:t>
            </w:r>
          </w:p>
        </w:tc>
      </w:tr>
      <w:tr>
        <w:tblPrEx>
          <w:tblW w:w="5001" w:type="pct"/>
          <w:tblInd w:w="70" w:type="dxa"/>
          <w:tblCellMar>
            <w:left w:w="70" w:type="dxa"/>
            <w:right w:w="70" w:type="dxa"/>
          </w:tblCellMar>
          <w:tblLook w:val="04A0"/>
        </w:tblPrEx>
        <w:trPr>
          <w:trHeight w:val="259"/>
        </w:trPr>
        <w:tc>
          <w:tcPr>
            <w:tcW w:w="1455"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lang w:eastAsia="sk-SK"/>
              </w:rPr>
            </w:pPr>
            <w:r w:rsidRPr="00F72547">
              <w:rPr>
                <w:rFonts w:ascii="Times New Roman" w:hAnsi="Times New Roman" w:cs="Times New Roman"/>
                <w:sz w:val="14"/>
                <w:szCs w:val="14"/>
                <w:lang w:eastAsia="sk-SK"/>
              </w:rPr>
              <w:t xml:space="preserve">                               640 bežné transfery</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54 184 291</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39 702 025</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56 808 065</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58 778 692</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64 695 089</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82 586 324</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67 682 462</w:t>
            </w:r>
          </w:p>
        </w:tc>
      </w:tr>
      <w:tr>
        <w:tblPrEx>
          <w:tblW w:w="5001" w:type="pct"/>
          <w:tblInd w:w="70" w:type="dxa"/>
          <w:tblCellMar>
            <w:left w:w="70" w:type="dxa"/>
            <w:right w:w="70" w:type="dxa"/>
          </w:tblCellMar>
          <w:tblLook w:val="04A0"/>
        </w:tblPrEx>
        <w:trPr>
          <w:trHeight w:val="259"/>
        </w:trPr>
        <w:tc>
          <w:tcPr>
            <w:tcW w:w="1455"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sz w:val="14"/>
                <w:szCs w:val="14"/>
                <w:lang w:eastAsia="sk-SK"/>
              </w:rPr>
            </w:pPr>
            <w:r w:rsidRPr="00F72547">
              <w:rPr>
                <w:rFonts w:ascii="Times New Roman" w:hAnsi="Times New Roman" w:cs="Times New Roman"/>
                <w:sz w:val="14"/>
                <w:szCs w:val="14"/>
                <w:lang w:eastAsia="sk-SK"/>
              </w:rPr>
              <w:t xml:space="preserve">               kapitálové výdavky 700</w:t>
            </w:r>
          </w:p>
        </w:tc>
        <w:tc>
          <w:tcPr>
            <w:tcW w:w="506" w:type="pct"/>
            <w:tcBorders>
              <w:top w:val="single" w:sz="4" w:space="0" w:color="auto"/>
              <w:left w:val="nil"/>
              <w:bottom w:val="single" w:sz="4" w:space="0" w:color="auto"/>
              <w:right w:val="single" w:sz="4" w:space="0" w:color="auto"/>
            </w:tcBorders>
            <w:noWrap/>
            <w:textDirection w:val="lrTb"/>
            <w:vAlign w:val="center"/>
            <w:hideMark/>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 15 527 604</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41 001 051</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43 070 000</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43 481 284</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47 541 984</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25 020 969</w:t>
            </w: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lang w:eastAsia="sk-SK"/>
              </w:rPr>
            </w:pPr>
            <w:r w:rsidRPr="00F72547">
              <w:rPr>
                <w:rFonts w:ascii="Times New Roman" w:hAnsi="Times New Roman" w:cs="Times New Roman"/>
                <w:sz w:val="14"/>
                <w:szCs w:val="14"/>
                <w:lang w:eastAsia="sk-SK"/>
              </w:rPr>
              <w:t>24 714 969</w:t>
            </w:r>
          </w:p>
        </w:tc>
      </w:tr>
      <w:tr>
        <w:tblPrEx>
          <w:tblW w:w="5001" w:type="pct"/>
          <w:tblInd w:w="70" w:type="dxa"/>
          <w:tblCellMar>
            <w:left w:w="70" w:type="dxa"/>
            <w:right w:w="70" w:type="dxa"/>
          </w:tblCellMar>
          <w:tblLook w:val="04A0"/>
        </w:tblPrEx>
        <w:trPr>
          <w:trHeight w:val="259"/>
        </w:trPr>
        <w:tc>
          <w:tcPr>
            <w:tcW w:w="1455"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presun z minulých rokov</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62 723 033</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7 301 251</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
                <w:sz w:val="14"/>
                <w:szCs w:val="14"/>
                <w:lang w:eastAsia="sk-SK"/>
              </w:rPr>
            </w:pP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
                <w:sz w:val="14"/>
                <w:szCs w:val="14"/>
                <w:lang w:eastAsia="sk-SK"/>
              </w:rPr>
            </w:pPr>
            <w:r w:rsidRPr="00F72547">
              <w:rPr>
                <w:rFonts w:ascii="Times New Roman" w:hAnsi="Times New Roman" w:cs="Times New Roman"/>
                <w:b/>
                <w:sz w:val="14"/>
                <w:szCs w:val="14"/>
                <w:lang w:eastAsia="sk-SK"/>
              </w:rPr>
              <w:t>23 635 281</w:t>
            </w: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
                <w:sz w:val="14"/>
                <w:szCs w:val="14"/>
                <w:lang w:eastAsia="sk-SK"/>
              </w:rPr>
            </w:pPr>
          </w:p>
        </w:tc>
        <w:tc>
          <w:tcPr>
            <w:tcW w:w="506"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
                <w:sz w:val="14"/>
                <w:szCs w:val="14"/>
                <w:highlight w:val="yellow"/>
                <w:lang w:eastAsia="sk-SK"/>
              </w:rPr>
            </w:pPr>
          </w:p>
        </w:tc>
        <w:tc>
          <w:tcPr>
            <w:tcW w:w="507"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
                <w:sz w:val="14"/>
                <w:szCs w:val="14"/>
                <w:lang w:eastAsia="sk-SK"/>
              </w:rPr>
            </w:pPr>
          </w:p>
        </w:tc>
      </w:tr>
    </w:tbl>
    <w:p w:rsidR="009D2A34" w:rsidRPr="00F72547" w:rsidP="009D2A34">
      <w:pPr>
        <w:bidi w:val="0"/>
        <w:jc w:val="both"/>
        <w:rPr>
          <w:rFonts w:ascii="Times New Roman" w:hAnsi="Times New Roman" w:cs="Times New Roman"/>
          <w:lang w:eastAsia="sk-SK"/>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 xml:space="preserve">Výdavky kapitoly v roku 2013 oproti schválenému rozpočtu roka 2012 rastú </w:t>
      </w:r>
      <w:r w:rsidR="00D83F50">
        <w:rPr>
          <w:rFonts w:ascii="Times New Roman" w:hAnsi="Times New Roman" w:cs="Times New Roman"/>
        </w:rPr>
        <w:br/>
      </w:r>
      <w:r w:rsidRPr="00F72547">
        <w:rPr>
          <w:rFonts w:ascii="Times New Roman" w:hAnsi="Times New Roman" w:cs="Times New Roman"/>
        </w:rPr>
        <w:t>o 402 tis. eur, čo predstavuje nárast o 0,04 %.</w:t>
      </w:r>
    </w:p>
    <w:p w:rsidR="009D2A34" w:rsidRPr="00F72547" w:rsidP="009D2A34">
      <w:pPr>
        <w:bidi w:val="0"/>
        <w:jc w:val="both"/>
        <w:rPr>
          <w:rFonts w:ascii="Times New Roman" w:hAnsi="Times New Roman" w:cs="Times New Roman"/>
          <w:highlight w:val="yellow"/>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 xml:space="preserve">Osobné výdavky sú rozpočtované na rok 2013 v sume 586 mil. eur a oproti schválenému rozpočtu roku 2012 klesajú o sumu 2,25 mil. eur, čo predstavuje 0,38% pokles. </w:t>
      </w:r>
    </w:p>
    <w:p w:rsidR="009D2A34" w:rsidRPr="00F72547"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 xml:space="preserve">Tovary a služby rozpočtované na rok 2013 v sume 204 mil. eur klesajú medziročne o sumu 9,71 mil. eur, čo predstavuje pokles o 4,54 %. Ministerstvo financií </w:t>
      </w:r>
      <w:r w:rsidR="005177A8">
        <w:rPr>
          <w:rFonts w:ascii="Times New Roman" w:hAnsi="Times New Roman" w:cs="Times New Roman"/>
        </w:rPr>
        <w:t xml:space="preserve">SR </w:t>
      </w:r>
      <w:r w:rsidRPr="00F72547">
        <w:rPr>
          <w:rFonts w:ascii="Times New Roman" w:hAnsi="Times New Roman" w:cs="Times New Roman"/>
        </w:rPr>
        <w:t xml:space="preserve">pri návrhu výdavkov na tovary a služby upravilo základňu na tejto kategórii na úroveň skutočnosti roka 2011 z dôvodu nevyhnutného plnenia už uzatvorených zmluvných záväzkov rezortu a následne realizovalo celoplošné viazanie prostriedkov z uvedenej základne. </w:t>
      </w:r>
    </w:p>
    <w:p w:rsidR="009D2A34" w:rsidRPr="00F72547"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Bežné transfery rozpočtované na rok 2013 v sume 64,7 mil. eur sú oproti schválenému rozpočtu roka 2012 vyššie o 7,88 mil. eur, čo predstavuje nárast o 13,9 %. Ten súvisí najmä s medziročným rastom na osobitný účet o sumu 7,59 mil. eur. Výdavky v rámci bežných transferov súvisia s realizáciou mandatórnych výdavkov, ktorými sú výdavky na prenesený výkon štátnej správy, výdavky na starostlivosť o vojnové hroby, výdavky na nemocenské, odchodné a odstupné, vyrovnávací príspevok a príplatky k dôchodku.</w:t>
      </w:r>
    </w:p>
    <w:p w:rsidR="009D2A34" w:rsidRPr="00F72547" w:rsidP="009D2A34">
      <w:pPr>
        <w:bidi w:val="0"/>
        <w:jc w:val="both"/>
        <w:rPr>
          <w:rFonts w:ascii="Times New Roman" w:hAnsi="Times New Roman" w:cs="Times New Roman"/>
          <w:lang w:eastAsia="sk-SK"/>
        </w:rPr>
      </w:pPr>
    </w:p>
    <w:p w:rsidR="009D2A34" w:rsidRPr="00F72547" w:rsidP="00515262">
      <w:pPr>
        <w:bidi w:val="0"/>
        <w:ind w:firstLine="708"/>
        <w:jc w:val="both"/>
        <w:rPr>
          <w:rFonts w:ascii="Times New Roman" w:hAnsi="Times New Roman"/>
        </w:rPr>
      </w:pPr>
      <w:r w:rsidRPr="00F72547">
        <w:rPr>
          <w:rFonts w:ascii="Times New Roman" w:hAnsi="Times New Roman" w:cs="Times New Roman"/>
        </w:rPr>
        <w:t xml:space="preserve">Kapitálové výdavky rozpočtované na rok 2013 vo výške 47,5 mil. eur sú vyššie </w:t>
      </w:r>
      <w:r w:rsidR="005177A8">
        <w:rPr>
          <w:rFonts w:ascii="Times New Roman" w:hAnsi="Times New Roman" w:cs="Times New Roman"/>
        </w:rPr>
        <w:br/>
      </w:r>
      <w:r w:rsidRPr="00F72547">
        <w:rPr>
          <w:rFonts w:ascii="Times New Roman" w:hAnsi="Times New Roman" w:cs="Times New Roman"/>
        </w:rPr>
        <w:t xml:space="preserve">o 10,4 %, čo predstavuje nárast o 4,47 mil. eur oproti schválenému rozpočtu roku 2012. </w:t>
      </w:r>
    </w:p>
    <w:p w:rsidR="009D2A34" w:rsidRPr="00F72547" w:rsidP="009D2A34">
      <w:pPr>
        <w:bidi w:val="0"/>
        <w:jc w:val="both"/>
        <w:rPr>
          <w:rFonts w:ascii="Times New Roman" w:hAnsi="Times New Roman"/>
        </w:rPr>
      </w:pPr>
    </w:p>
    <w:p w:rsidR="009D2A34" w:rsidRPr="00F72547" w:rsidP="00515262">
      <w:pPr>
        <w:bidi w:val="0"/>
        <w:ind w:firstLine="708"/>
        <w:jc w:val="both"/>
        <w:rPr>
          <w:rFonts w:ascii="Times New Roman" w:hAnsi="Times New Roman" w:cs="Times New Roman"/>
          <w:lang w:eastAsia="sk-SK"/>
        </w:rPr>
      </w:pPr>
      <w:r w:rsidRPr="00F72547">
        <w:rPr>
          <w:rFonts w:ascii="Times New Roman" w:hAnsi="Times New Roman" w:cs="Times New Roman"/>
          <w:lang w:eastAsia="sk-SK"/>
        </w:rPr>
        <w:t>Rozpočet ministerstva vnútra sa skladá z nasledovných oblastí.</w:t>
      </w:r>
    </w:p>
    <w:p w:rsidR="009D2A34" w:rsidRPr="00F72547" w:rsidP="009D2A34">
      <w:pPr>
        <w:bidi w:val="0"/>
        <w:rPr>
          <w:rFonts w:ascii="Times New Roman" w:hAnsi="Times New Roman" w:cs="Times New Roman"/>
          <w:b/>
          <w:bCs/>
          <w:highlight w:val="yellow"/>
        </w:rPr>
      </w:pPr>
    </w:p>
    <w:tbl>
      <w:tblPr>
        <w:tblStyle w:val="TableNormal"/>
        <w:tblW w:w="5000" w:type="pct"/>
        <w:tblLayout w:type="fixed"/>
        <w:tblCellMar>
          <w:left w:w="70" w:type="dxa"/>
          <w:right w:w="70" w:type="dxa"/>
        </w:tblCellMar>
        <w:tblLook w:val="04A0"/>
      </w:tblPr>
      <w:tblGrid>
        <w:gridCol w:w="2532"/>
        <w:gridCol w:w="1085"/>
        <w:gridCol w:w="849"/>
        <w:gridCol w:w="849"/>
        <w:gridCol w:w="851"/>
        <w:gridCol w:w="986"/>
        <w:gridCol w:w="1030"/>
        <w:gridCol w:w="1030"/>
      </w:tblGrid>
      <w:tr>
        <w:tblPrEx>
          <w:tblW w:w="5000" w:type="pct"/>
          <w:tblLayout w:type="fixed"/>
          <w:tblCellMar>
            <w:left w:w="70" w:type="dxa"/>
            <w:right w:w="70" w:type="dxa"/>
          </w:tblCellMar>
          <w:tblLook w:val="04A0"/>
        </w:tblPrEx>
        <w:trPr>
          <w:trHeight w:val="259"/>
        </w:trPr>
        <w:tc>
          <w:tcPr>
            <w:tcW w:w="137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F72547" w:rsidP="006338E5">
            <w:pPr>
              <w:bidi w:val="0"/>
              <w:rPr>
                <w:rFonts w:ascii="Times New Roman" w:hAnsi="Times New Roman" w:cs="Times New Roman"/>
                <w:b/>
                <w:sz w:val="14"/>
                <w:szCs w:val="14"/>
              </w:rPr>
            </w:pPr>
            <w:r w:rsidRPr="00F72547">
              <w:rPr>
                <w:rFonts w:ascii="Times New Roman" w:hAnsi="Times New Roman" w:cs="Times New Roman"/>
                <w:b/>
                <w:sz w:val="14"/>
                <w:szCs w:val="14"/>
              </w:rPr>
              <w:t> v eurách</w:t>
            </w:r>
          </w:p>
        </w:tc>
        <w:tc>
          <w:tcPr>
            <w:tcW w:w="58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2010 S</w:t>
            </w:r>
          </w:p>
        </w:tc>
        <w:tc>
          <w:tcPr>
            <w:tcW w:w="46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2011 S</w:t>
            </w:r>
          </w:p>
        </w:tc>
        <w:tc>
          <w:tcPr>
            <w:tcW w:w="46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2012 R</w:t>
            </w:r>
          </w:p>
        </w:tc>
        <w:tc>
          <w:tcPr>
            <w:tcW w:w="46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2012 OS</w:t>
            </w:r>
          </w:p>
        </w:tc>
        <w:tc>
          <w:tcPr>
            <w:tcW w:w="53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2013 N</w:t>
            </w:r>
          </w:p>
        </w:tc>
        <w:tc>
          <w:tcPr>
            <w:tcW w:w="55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2014 N</w:t>
            </w:r>
          </w:p>
        </w:tc>
        <w:tc>
          <w:tcPr>
            <w:tcW w:w="55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2015 N</w:t>
            </w:r>
          </w:p>
        </w:tc>
      </w:tr>
      <w:tr>
        <w:tblPrEx>
          <w:tblW w:w="5000" w:type="pct"/>
          <w:tblLayout w:type="fixed"/>
          <w:tblCellMar>
            <w:left w:w="70" w:type="dxa"/>
            <w:right w:w="70" w:type="dxa"/>
          </w:tblCellMar>
          <w:tblLook w:val="04A0"/>
        </w:tblPrEx>
        <w:trPr>
          <w:trHeight w:val="259"/>
        </w:trPr>
        <w:tc>
          <w:tcPr>
            <w:tcW w:w="1374"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F72547" w:rsidP="006338E5">
            <w:pPr>
              <w:bidi w:val="0"/>
              <w:rPr>
                <w:rFonts w:ascii="Times New Roman" w:hAnsi="Times New Roman" w:cs="Times New Roman"/>
                <w:b/>
                <w:bCs/>
                <w:sz w:val="14"/>
                <w:szCs w:val="14"/>
              </w:rPr>
            </w:pPr>
            <w:r w:rsidRPr="00F72547">
              <w:rPr>
                <w:rFonts w:ascii="Times New Roman" w:hAnsi="Times New Roman" w:cs="Times New Roman"/>
                <w:b/>
                <w:bCs/>
                <w:sz w:val="14"/>
                <w:szCs w:val="14"/>
              </w:rPr>
              <w:t>Ministerstvo vnútra SR</w:t>
            </w:r>
          </w:p>
        </w:tc>
        <w:tc>
          <w:tcPr>
            <w:tcW w:w="589"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915 406 382</w:t>
            </w:r>
          </w:p>
        </w:tc>
        <w:tc>
          <w:tcPr>
            <w:tcW w:w="461"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890 053 336</w:t>
            </w:r>
          </w:p>
        </w:tc>
        <w:tc>
          <w:tcPr>
            <w:tcW w:w="461"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rPr>
              <w:t>902 168 231</w:t>
            </w:r>
          </w:p>
        </w:tc>
        <w:tc>
          <w:tcPr>
            <w:tcW w:w="462"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rPr>
              <w:t>902 174 950</w:t>
            </w:r>
          </w:p>
        </w:tc>
        <w:tc>
          <w:tcPr>
            <w:tcW w:w="535"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bidi w:val="0"/>
              <w:jc w:val="right"/>
              <w:rPr>
                <w:rFonts w:ascii="Times New Roman" w:hAnsi="Times New Roman" w:cs="Times New Roman"/>
                <w:b/>
                <w:bCs/>
                <w:sz w:val="14"/>
                <w:szCs w:val="14"/>
                <w:highlight w:val="yellow"/>
              </w:rPr>
            </w:pPr>
            <w:r w:rsidRPr="00F72547">
              <w:rPr>
                <w:rFonts w:ascii="Times New Roman" w:hAnsi="Times New Roman" w:cs="Times New Roman"/>
                <w:b/>
                <w:sz w:val="14"/>
                <w:szCs w:val="14"/>
                <w:lang w:eastAsia="sk-SK"/>
              </w:rPr>
              <w:t>902 570 100</w:t>
            </w:r>
          </w:p>
        </w:tc>
        <w:tc>
          <w:tcPr>
            <w:tcW w:w="559"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lang w:eastAsia="sk-SK"/>
              </w:rPr>
              <w:t>905 883 599</w:t>
            </w:r>
          </w:p>
        </w:tc>
        <w:tc>
          <w:tcPr>
            <w:tcW w:w="559" w:type="pct"/>
            <w:tcBorders>
              <w:top w:val="single" w:sz="4" w:space="0" w:color="auto"/>
              <w:left w:val="nil"/>
              <w:bottom w:val="single" w:sz="4" w:space="0" w:color="auto"/>
              <w:right w:val="single" w:sz="4" w:space="0" w:color="auto"/>
            </w:tcBorders>
            <w:shd w:val="clear" w:color="000000" w:fill="C0C0C0"/>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lang w:eastAsia="sk-SK"/>
              </w:rPr>
              <w:t>878 007 126</w:t>
            </w:r>
          </w:p>
        </w:tc>
      </w:tr>
      <w:tr>
        <w:tblPrEx>
          <w:tblW w:w="5000" w:type="pct"/>
          <w:tblLayout w:type="fixed"/>
          <w:tblCellMar>
            <w:left w:w="70" w:type="dxa"/>
            <w:right w:w="70" w:type="dxa"/>
          </w:tblCellMar>
          <w:tblLook w:val="04A0"/>
        </w:tblPrEx>
        <w:trPr>
          <w:trHeight w:val="259"/>
        </w:trPr>
        <w:tc>
          <w:tcPr>
            <w:tcW w:w="137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bCs/>
                <w:sz w:val="14"/>
                <w:szCs w:val="14"/>
              </w:rPr>
            </w:pPr>
            <w:r w:rsidRPr="00F72547">
              <w:rPr>
                <w:rFonts w:ascii="Times New Roman" w:hAnsi="Times New Roman" w:cs="Times New Roman"/>
                <w:bCs/>
                <w:sz w:val="14"/>
                <w:szCs w:val="14"/>
              </w:rPr>
              <w:t>Záchranné zložky</w:t>
            </w:r>
          </w:p>
        </w:tc>
        <w:tc>
          <w:tcPr>
            <w:tcW w:w="589" w:type="pct"/>
            <w:tcBorders>
              <w:top w:val="single" w:sz="4" w:space="0" w:color="auto"/>
              <w:left w:val="nil"/>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Cs/>
                <w:sz w:val="14"/>
                <w:szCs w:val="14"/>
              </w:rPr>
            </w:pPr>
            <w:r w:rsidRPr="00F72547">
              <w:rPr>
                <w:rFonts w:ascii="Times New Roman" w:hAnsi="Times New Roman" w:cs="Times New Roman"/>
                <w:bCs/>
                <w:sz w:val="14"/>
                <w:szCs w:val="14"/>
              </w:rPr>
              <w:t>97 863 946</w:t>
            </w:r>
          </w:p>
        </w:tc>
        <w:tc>
          <w:tcPr>
            <w:tcW w:w="461" w:type="pct"/>
            <w:tcBorders>
              <w:top w:val="single" w:sz="4" w:space="0" w:color="auto"/>
              <w:left w:val="nil"/>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Cs/>
                <w:sz w:val="14"/>
                <w:szCs w:val="14"/>
              </w:rPr>
            </w:pPr>
            <w:r w:rsidRPr="00F72547">
              <w:rPr>
                <w:rFonts w:ascii="Times New Roman" w:hAnsi="Times New Roman" w:cs="Times New Roman"/>
                <w:bCs/>
                <w:sz w:val="14"/>
                <w:szCs w:val="14"/>
              </w:rPr>
              <w:t>88 496 773</w:t>
            </w:r>
          </w:p>
        </w:tc>
        <w:tc>
          <w:tcPr>
            <w:tcW w:w="461" w:type="pct"/>
            <w:tcBorders>
              <w:top w:val="single" w:sz="4" w:space="0" w:color="auto"/>
              <w:left w:val="nil"/>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86 171 745</w:t>
            </w:r>
          </w:p>
        </w:tc>
        <w:tc>
          <w:tcPr>
            <w:tcW w:w="462" w:type="pct"/>
            <w:tcBorders>
              <w:top w:val="single" w:sz="4" w:space="0" w:color="auto"/>
              <w:left w:val="nil"/>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90 412 499</w:t>
            </w:r>
          </w:p>
        </w:tc>
        <w:tc>
          <w:tcPr>
            <w:tcW w:w="535" w:type="pct"/>
            <w:tcBorders>
              <w:top w:val="single" w:sz="4" w:space="0" w:color="auto"/>
              <w:left w:val="nil"/>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88 787 885</w:t>
            </w:r>
          </w:p>
        </w:tc>
        <w:tc>
          <w:tcPr>
            <w:tcW w:w="559" w:type="pct"/>
            <w:tcBorders>
              <w:top w:val="single" w:sz="4" w:space="0" w:color="auto"/>
              <w:left w:val="nil"/>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85 955 544</w:t>
            </w:r>
          </w:p>
        </w:tc>
        <w:tc>
          <w:tcPr>
            <w:tcW w:w="559" w:type="pct"/>
            <w:tcBorders>
              <w:top w:val="single" w:sz="4" w:space="0" w:color="auto"/>
              <w:left w:val="nil"/>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85 955 544</w:t>
            </w:r>
          </w:p>
        </w:tc>
      </w:tr>
      <w:tr>
        <w:tblPrEx>
          <w:tblW w:w="5000" w:type="pct"/>
          <w:tblLayout w:type="fixed"/>
          <w:tblCellMar>
            <w:left w:w="70" w:type="dxa"/>
            <w:right w:w="70" w:type="dxa"/>
          </w:tblCellMar>
          <w:tblLook w:val="04A0"/>
        </w:tblPrEx>
        <w:trPr>
          <w:trHeight w:val="259"/>
        </w:trPr>
        <w:tc>
          <w:tcPr>
            <w:tcW w:w="137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bCs/>
                <w:sz w:val="14"/>
                <w:szCs w:val="14"/>
              </w:rPr>
            </w:pPr>
            <w:r w:rsidRPr="00F72547">
              <w:rPr>
                <w:rFonts w:ascii="Times New Roman" w:hAnsi="Times New Roman" w:cs="Times New Roman"/>
                <w:bCs/>
                <w:sz w:val="14"/>
                <w:szCs w:val="14"/>
              </w:rPr>
              <w:t>Ochrana verejného poriadku a bezpečnosti</w:t>
            </w:r>
          </w:p>
        </w:tc>
        <w:tc>
          <w:tcPr>
            <w:tcW w:w="589"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Cs/>
                <w:sz w:val="14"/>
                <w:szCs w:val="14"/>
              </w:rPr>
            </w:pPr>
            <w:r w:rsidRPr="00F72547">
              <w:rPr>
                <w:rFonts w:ascii="Times New Roman" w:hAnsi="Times New Roman" w:cs="Times New Roman"/>
                <w:bCs/>
                <w:sz w:val="14"/>
                <w:szCs w:val="14"/>
              </w:rPr>
              <w:t>715 023 853</w:t>
            </w:r>
          </w:p>
        </w:tc>
        <w:tc>
          <w:tcPr>
            <w:tcW w:w="461"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Cs/>
                <w:sz w:val="14"/>
                <w:szCs w:val="14"/>
              </w:rPr>
            </w:pPr>
            <w:r w:rsidRPr="00F72547">
              <w:rPr>
                <w:rFonts w:ascii="Times New Roman" w:hAnsi="Times New Roman" w:cs="Times New Roman"/>
                <w:bCs/>
                <w:sz w:val="14"/>
                <w:szCs w:val="14"/>
              </w:rPr>
              <w:t>704 430 925</w:t>
            </w:r>
          </w:p>
        </w:tc>
        <w:tc>
          <w:tcPr>
            <w:tcW w:w="461"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Cs/>
                <w:sz w:val="14"/>
                <w:szCs w:val="14"/>
              </w:rPr>
            </w:pPr>
            <w:r w:rsidRPr="00F72547">
              <w:rPr>
                <w:rFonts w:ascii="Times New Roman" w:hAnsi="Times New Roman" w:cs="Times New Roman"/>
                <w:bCs/>
                <w:sz w:val="14"/>
                <w:szCs w:val="14"/>
              </w:rPr>
              <w:t>752 874 084</w:t>
            </w:r>
          </w:p>
        </w:tc>
        <w:tc>
          <w:tcPr>
            <w:tcW w:w="462"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745 754 081</w:t>
            </w:r>
          </w:p>
        </w:tc>
        <w:tc>
          <w:tcPr>
            <w:tcW w:w="535"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Cs/>
                <w:sz w:val="14"/>
                <w:szCs w:val="14"/>
              </w:rPr>
            </w:pPr>
            <w:r w:rsidRPr="00F72547">
              <w:rPr>
                <w:rFonts w:ascii="Times New Roman" w:hAnsi="Times New Roman" w:cs="Times New Roman"/>
                <w:bCs/>
                <w:sz w:val="14"/>
                <w:szCs w:val="14"/>
              </w:rPr>
              <w:t>751 326 229</w:t>
            </w:r>
          </w:p>
        </w:tc>
        <w:tc>
          <w:tcPr>
            <w:tcW w:w="559"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Cs/>
                <w:sz w:val="14"/>
                <w:szCs w:val="14"/>
              </w:rPr>
            </w:pPr>
            <w:r w:rsidRPr="00F72547">
              <w:rPr>
                <w:rFonts w:ascii="Times New Roman" w:hAnsi="Times New Roman" w:cs="Times New Roman"/>
                <w:bCs/>
                <w:sz w:val="14"/>
                <w:szCs w:val="14"/>
              </w:rPr>
              <w:t>740 404 161</w:t>
            </w:r>
          </w:p>
        </w:tc>
        <w:tc>
          <w:tcPr>
            <w:tcW w:w="559"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Cs/>
                <w:sz w:val="14"/>
                <w:szCs w:val="14"/>
              </w:rPr>
            </w:pPr>
            <w:r w:rsidRPr="00F72547">
              <w:rPr>
                <w:rFonts w:ascii="Times New Roman" w:hAnsi="Times New Roman" w:cs="Times New Roman"/>
                <w:bCs/>
                <w:sz w:val="14"/>
                <w:szCs w:val="14"/>
              </w:rPr>
              <w:t>738 112 579</w:t>
            </w:r>
          </w:p>
        </w:tc>
      </w:tr>
      <w:tr>
        <w:tblPrEx>
          <w:tblW w:w="5000" w:type="pct"/>
          <w:tblLayout w:type="fixed"/>
          <w:tblCellMar>
            <w:left w:w="70" w:type="dxa"/>
            <w:right w:w="70" w:type="dxa"/>
          </w:tblCellMar>
          <w:tblLook w:val="04A0"/>
        </w:tblPrEx>
        <w:trPr>
          <w:trHeight w:val="259"/>
        </w:trPr>
        <w:tc>
          <w:tcPr>
            <w:tcW w:w="1374"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bCs/>
                <w:sz w:val="14"/>
                <w:szCs w:val="14"/>
              </w:rPr>
            </w:pPr>
            <w:r w:rsidRPr="00F72547">
              <w:rPr>
                <w:rFonts w:ascii="Times New Roman" w:hAnsi="Times New Roman" w:cs="Times New Roman"/>
                <w:bCs/>
                <w:sz w:val="14"/>
                <w:szCs w:val="14"/>
              </w:rPr>
              <w:t>Verejná správa</w:t>
            </w:r>
          </w:p>
        </w:tc>
        <w:tc>
          <w:tcPr>
            <w:tcW w:w="589"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Cs/>
                <w:sz w:val="14"/>
                <w:szCs w:val="14"/>
              </w:rPr>
            </w:pPr>
            <w:r w:rsidRPr="00F72547">
              <w:rPr>
                <w:rFonts w:ascii="Times New Roman" w:hAnsi="Times New Roman" w:cs="Times New Roman"/>
                <w:bCs/>
                <w:sz w:val="14"/>
                <w:szCs w:val="14"/>
              </w:rPr>
              <w:t>102 144 321</w:t>
            </w:r>
          </w:p>
        </w:tc>
        <w:tc>
          <w:tcPr>
            <w:tcW w:w="461"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Cs/>
                <w:sz w:val="14"/>
                <w:szCs w:val="14"/>
              </w:rPr>
            </w:pPr>
            <w:r w:rsidRPr="00F72547">
              <w:rPr>
                <w:rFonts w:ascii="Times New Roman" w:hAnsi="Times New Roman" w:cs="Times New Roman"/>
                <w:bCs/>
                <w:sz w:val="14"/>
                <w:szCs w:val="14"/>
              </w:rPr>
              <w:t>90 180 440</w:t>
            </w:r>
          </w:p>
        </w:tc>
        <w:tc>
          <w:tcPr>
            <w:tcW w:w="461"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62 746 201</w:t>
            </w:r>
          </w:p>
        </w:tc>
        <w:tc>
          <w:tcPr>
            <w:tcW w:w="462"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65 632 169</w:t>
            </w:r>
          </w:p>
        </w:tc>
        <w:tc>
          <w:tcPr>
            <w:tcW w:w="535"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62 094 449</w:t>
            </w:r>
          </w:p>
        </w:tc>
        <w:tc>
          <w:tcPr>
            <w:tcW w:w="559"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79 162 357</w:t>
            </w:r>
          </w:p>
        </w:tc>
        <w:tc>
          <w:tcPr>
            <w:tcW w:w="559"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53 577 466</w:t>
            </w:r>
          </w:p>
        </w:tc>
      </w:tr>
      <w:tr>
        <w:tblPrEx>
          <w:tblW w:w="5000" w:type="pct"/>
          <w:tblLayout w:type="fixed"/>
          <w:tblCellMar>
            <w:left w:w="70" w:type="dxa"/>
            <w:right w:w="70" w:type="dxa"/>
          </w:tblCellMar>
          <w:tblLook w:val="04A0"/>
        </w:tblPrEx>
        <w:trPr>
          <w:trHeight w:val="259"/>
        </w:trPr>
        <w:tc>
          <w:tcPr>
            <w:tcW w:w="1374"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bCs/>
                <w:sz w:val="14"/>
                <w:szCs w:val="14"/>
              </w:rPr>
            </w:pPr>
            <w:r w:rsidRPr="00F72547">
              <w:rPr>
                <w:rFonts w:ascii="Times New Roman" w:hAnsi="Times New Roman" w:cs="Times New Roman"/>
                <w:bCs/>
                <w:sz w:val="14"/>
                <w:szCs w:val="14"/>
              </w:rPr>
              <w:t>Ostatné činnosti</w:t>
            </w:r>
          </w:p>
        </w:tc>
        <w:tc>
          <w:tcPr>
            <w:tcW w:w="589"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374 260</w:t>
            </w:r>
          </w:p>
        </w:tc>
        <w:tc>
          <w:tcPr>
            <w:tcW w:w="461"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6 945 197</w:t>
            </w:r>
          </w:p>
        </w:tc>
        <w:tc>
          <w:tcPr>
            <w:tcW w:w="461"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376 201</w:t>
            </w:r>
          </w:p>
        </w:tc>
        <w:tc>
          <w:tcPr>
            <w:tcW w:w="462"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376 201</w:t>
            </w:r>
          </w:p>
        </w:tc>
        <w:tc>
          <w:tcPr>
            <w:tcW w:w="535"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361 537</w:t>
            </w:r>
          </w:p>
        </w:tc>
        <w:tc>
          <w:tcPr>
            <w:tcW w:w="559"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361 537</w:t>
            </w:r>
          </w:p>
        </w:tc>
        <w:tc>
          <w:tcPr>
            <w:tcW w:w="559" w:type="pct"/>
            <w:tcBorders>
              <w:top w:val="single" w:sz="4" w:space="0" w:color="auto"/>
              <w:left w:val="nil"/>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361 537</w:t>
            </w:r>
          </w:p>
        </w:tc>
      </w:tr>
    </w:tbl>
    <w:p w:rsidR="009D2A34" w:rsidRPr="00F72547" w:rsidP="009D2A34">
      <w:pPr>
        <w:bidi w:val="0"/>
        <w:jc w:val="both"/>
        <w:rPr>
          <w:rFonts w:ascii="Times New Roman" w:hAnsi="Times New Roman" w:cs="Times New Roman"/>
          <w:b/>
        </w:rPr>
      </w:pPr>
    </w:p>
    <w:p w:rsidR="009D2A34" w:rsidRPr="00F72547" w:rsidP="009D2A34">
      <w:pPr>
        <w:bidi w:val="0"/>
        <w:jc w:val="both"/>
        <w:rPr>
          <w:rFonts w:ascii="Times New Roman" w:hAnsi="Times New Roman" w:cs="Times New Roman"/>
          <w:b/>
        </w:rPr>
      </w:pPr>
    </w:p>
    <w:p w:rsidR="009D2A34" w:rsidRPr="00F72547" w:rsidP="009D2A34">
      <w:pPr>
        <w:bidi w:val="0"/>
        <w:jc w:val="both"/>
        <w:rPr>
          <w:rFonts w:ascii="Times New Roman" w:hAnsi="Times New Roman" w:cs="Times New Roman"/>
          <w:b/>
        </w:rPr>
      </w:pPr>
    </w:p>
    <w:p w:rsidR="009D2A34" w:rsidRPr="00F72547" w:rsidP="009D2A34">
      <w:pPr>
        <w:bidi w:val="0"/>
        <w:jc w:val="both"/>
        <w:rPr>
          <w:rFonts w:ascii="Times New Roman" w:hAnsi="Times New Roman" w:cs="Times New Roman"/>
          <w:b/>
        </w:rPr>
      </w:pPr>
    </w:p>
    <w:p w:rsidR="009D2A34" w:rsidP="009D2A34">
      <w:pPr>
        <w:bidi w:val="0"/>
        <w:jc w:val="both"/>
        <w:rPr>
          <w:rFonts w:ascii="Times New Roman" w:hAnsi="Times New Roman" w:cs="Times New Roman"/>
          <w:b/>
        </w:rPr>
      </w:pPr>
    </w:p>
    <w:p w:rsidR="009D2A34" w:rsidP="009D2A34">
      <w:pPr>
        <w:bidi w:val="0"/>
        <w:jc w:val="both"/>
        <w:rPr>
          <w:rFonts w:ascii="Times New Roman" w:hAnsi="Times New Roman" w:cs="Times New Roman"/>
          <w:b/>
        </w:rPr>
      </w:pPr>
    </w:p>
    <w:p w:rsidR="009D2A34" w:rsidRPr="00F72547" w:rsidP="009D2A34">
      <w:pPr>
        <w:bidi w:val="0"/>
        <w:jc w:val="both"/>
        <w:rPr>
          <w:rFonts w:ascii="Times New Roman" w:hAnsi="Times New Roman" w:cs="Times New Roman"/>
          <w:b/>
        </w:rPr>
      </w:pPr>
      <w:r w:rsidRPr="00F72547">
        <w:rPr>
          <w:rFonts w:ascii="Times New Roman" w:hAnsi="Times New Roman" w:cs="Times New Roman"/>
          <w:b/>
        </w:rPr>
        <w:t>Záchranné zložky</w:t>
      </w:r>
    </w:p>
    <w:p w:rsidR="009D2A34" w:rsidRPr="00F72547" w:rsidP="009D2A34">
      <w:pPr>
        <w:bidi w:val="0"/>
        <w:jc w:val="both"/>
        <w:rPr>
          <w:rFonts w:ascii="Times New Roman" w:hAnsi="Times New Roman" w:cs="Times New Roman"/>
          <w:b/>
          <w:highlight w:val="yellow"/>
        </w:rPr>
      </w:pPr>
    </w:p>
    <w:tbl>
      <w:tblPr>
        <w:tblStyle w:val="TableNormal"/>
        <w:tblW w:w="4923" w:type="pct"/>
        <w:tblInd w:w="70" w:type="dxa"/>
        <w:tblLayout w:type="fixed"/>
        <w:tblCellMar>
          <w:left w:w="70" w:type="dxa"/>
          <w:right w:w="70" w:type="dxa"/>
        </w:tblCellMar>
        <w:tblLook w:val="04A0"/>
      </w:tblPr>
      <w:tblGrid>
        <w:gridCol w:w="2132"/>
        <w:gridCol w:w="993"/>
        <w:gridCol w:w="993"/>
        <w:gridCol w:w="991"/>
        <w:gridCol w:w="991"/>
        <w:gridCol w:w="990"/>
        <w:gridCol w:w="990"/>
        <w:gridCol w:w="990"/>
      </w:tblGrid>
      <w:tr>
        <w:tblPrEx>
          <w:tblW w:w="4923" w:type="pct"/>
          <w:tblInd w:w="70" w:type="dxa"/>
          <w:tblLayout w:type="fixed"/>
          <w:tblCellMar>
            <w:left w:w="70" w:type="dxa"/>
            <w:right w:w="70" w:type="dxa"/>
          </w:tblCellMar>
          <w:tblLook w:val="04A0"/>
        </w:tblPrEx>
        <w:trPr>
          <w:trHeight w:val="261"/>
        </w:trPr>
        <w:tc>
          <w:tcPr>
            <w:tcW w:w="117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rPr>
                <w:rFonts w:ascii="Times New Roman" w:hAnsi="Times New Roman" w:cs="Times New Roman"/>
                <w:b/>
                <w:sz w:val="14"/>
                <w:szCs w:val="14"/>
              </w:rPr>
            </w:pPr>
            <w:r w:rsidRPr="00F72547">
              <w:rPr>
                <w:rFonts w:ascii="Times New Roman" w:hAnsi="Times New Roman" w:cs="Times New Roman"/>
                <w:b/>
                <w:sz w:val="14"/>
                <w:szCs w:val="14"/>
              </w:rPr>
              <w:t>v eurách </w:t>
            </w:r>
          </w:p>
        </w:tc>
        <w:tc>
          <w:tcPr>
            <w:tcW w:w="547" w:type="pct"/>
            <w:tcBorders>
              <w:top w:val="single" w:sz="4" w:space="0" w:color="auto"/>
              <w:left w:val="nil"/>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2010 S</w:t>
            </w:r>
          </w:p>
        </w:tc>
        <w:tc>
          <w:tcPr>
            <w:tcW w:w="547" w:type="pct"/>
            <w:tcBorders>
              <w:top w:val="single" w:sz="4" w:space="0" w:color="auto"/>
              <w:left w:val="nil"/>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2011 S</w:t>
            </w:r>
          </w:p>
        </w:tc>
        <w:tc>
          <w:tcPr>
            <w:tcW w:w="546" w:type="pct"/>
            <w:tcBorders>
              <w:top w:val="single" w:sz="4" w:space="0" w:color="auto"/>
              <w:left w:val="nil"/>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2012 R</w:t>
            </w:r>
          </w:p>
        </w:tc>
        <w:tc>
          <w:tcPr>
            <w:tcW w:w="546" w:type="pct"/>
            <w:tcBorders>
              <w:top w:val="single" w:sz="4" w:space="0" w:color="auto"/>
              <w:left w:val="nil"/>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2012 OS</w:t>
            </w:r>
          </w:p>
        </w:tc>
        <w:tc>
          <w:tcPr>
            <w:tcW w:w="54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2013 N</w:t>
            </w:r>
          </w:p>
        </w:tc>
        <w:tc>
          <w:tcPr>
            <w:tcW w:w="546" w:type="pct"/>
            <w:tcBorders>
              <w:top w:val="single" w:sz="4" w:space="0" w:color="auto"/>
              <w:left w:val="nil"/>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2014 N</w:t>
            </w:r>
          </w:p>
        </w:tc>
        <w:tc>
          <w:tcPr>
            <w:tcW w:w="546" w:type="pct"/>
            <w:tcBorders>
              <w:top w:val="single" w:sz="4" w:space="0" w:color="auto"/>
              <w:left w:val="nil"/>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2015 N</w:t>
            </w:r>
          </w:p>
        </w:tc>
      </w:tr>
      <w:tr>
        <w:tblPrEx>
          <w:tblW w:w="4923" w:type="pct"/>
          <w:tblInd w:w="70" w:type="dxa"/>
          <w:tblLayout w:type="fixed"/>
          <w:tblCellMar>
            <w:left w:w="70" w:type="dxa"/>
            <w:right w:w="70" w:type="dxa"/>
          </w:tblCellMar>
          <w:tblLook w:val="04A0"/>
        </w:tblPrEx>
        <w:trPr>
          <w:trHeight w:val="261"/>
        </w:trPr>
        <w:tc>
          <w:tcPr>
            <w:tcW w:w="117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9D2A34" w:rsidRPr="00F72547" w:rsidP="006338E5">
            <w:pPr>
              <w:bidi w:val="0"/>
              <w:rPr>
                <w:rFonts w:ascii="Times New Roman" w:hAnsi="Times New Roman" w:cs="Times New Roman"/>
                <w:b/>
                <w:bCs/>
                <w:sz w:val="14"/>
                <w:szCs w:val="14"/>
              </w:rPr>
            </w:pPr>
            <w:r w:rsidRPr="00F72547">
              <w:rPr>
                <w:rFonts w:ascii="Times New Roman" w:hAnsi="Times New Roman" w:cs="Times New Roman"/>
                <w:b/>
                <w:bCs/>
                <w:sz w:val="14"/>
                <w:szCs w:val="14"/>
              </w:rPr>
              <w:t>Záchranné zložky</w:t>
            </w:r>
          </w:p>
        </w:tc>
        <w:tc>
          <w:tcPr>
            <w:tcW w:w="547" w:type="pct"/>
            <w:tcBorders>
              <w:top w:val="single" w:sz="4" w:space="0" w:color="auto"/>
              <w:left w:val="nil"/>
              <w:bottom w:val="single" w:sz="4" w:space="0" w:color="auto"/>
              <w:right w:val="single" w:sz="4" w:space="0" w:color="auto"/>
            </w:tcBorders>
            <w:shd w:val="clear" w:color="000000" w:fill="BFBFBF"/>
            <w:noWrap/>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rPr>
              <w:t>97 863 946</w:t>
            </w:r>
          </w:p>
        </w:tc>
        <w:tc>
          <w:tcPr>
            <w:tcW w:w="547" w:type="pct"/>
            <w:tcBorders>
              <w:top w:val="single" w:sz="4" w:space="0" w:color="auto"/>
              <w:left w:val="nil"/>
              <w:bottom w:val="single" w:sz="4" w:space="0" w:color="auto"/>
              <w:right w:val="single" w:sz="4" w:space="0" w:color="auto"/>
            </w:tcBorders>
            <w:shd w:val="clear" w:color="000000" w:fill="BFBFBF"/>
            <w:noWrap/>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rPr>
              <w:t>88 496 773</w:t>
            </w:r>
          </w:p>
        </w:tc>
        <w:tc>
          <w:tcPr>
            <w:tcW w:w="546" w:type="pct"/>
            <w:tcBorders>
              <w:top w:val="single" w:sz="4" w:space="0" w:color="auto"/>
              <w:left w:val="nil"/>
              <w:bottom w:val="single" w:sz="4" w:space="0" w:color="auto"/>
              <w:right w:val="single" w:sz="4" w:space="0" w:color="auto"/>
            </w:tcBorders>
            <w:shd w:val="clear" w:color="000000" w:fill="BFBFBF"/>
            <w:noWrap/>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rPr>
              <w:t>86 171 745</w:t>
            </w:r>
          </w:p>
        </w:tc>
        <w:tc>
          <w:tcPr>
            <w:tcW w:w="546" w:type="pct"/>
            <w:tcBorders>
              <w:top w:val="single" w:sz="4" w:space="0" w:color="auto"/>
              <w:left w:val="nil"/>
              <w:bottom w:val="single" w:sz="4" w:space="0" w:color="auto"/>
              <w:right w:val="single" w:sz="4" w:space="0" w:color="auto"/>
            </w:tcBorders>
            <w:shd w:val="clear" w:color="000000" w:fill="BFBFBF"/>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90 412 499</w:t>
            </w:r>
          </w:p>
        </w:tc>
        <w:tc>
          <w:tcPr>
            <w:tcW w:w="546"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88 787 885</w:t>
            </w:r>
          </w:p>
        </w:tc>
        <w:tc>
          <w:tcPr>
            <w:tcW w:w="546" w:type="pct"/>
            <w:tcBorders>
              <w:top w:val="single" w:sz="4" w:space="0" w:color="auto"/>
              <w:left w:val="nil"/>
              <w:bottom w:val="single" w:sz="4" w:space="0" w:color="auto"/>
              <w:right w:val="single" w:sz="4" w:space="0" w:color="auto"/>
            </w:tcBorders>
            <w:shd w:val="clear" w:color="000000" w:fill="BFBFBF"/>
            <w:noWrap/>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85 955 544</w:t>
            </w:r>
          </w:p>
        </w:tc>
        <w:tc>
          <w:tcPr>
            <w:tcW w:w="546" w:type="pct"/>
            <w:tcBorders>
              <w:top w:val="single" w:sz="4" w:space="0" w:color="auto"/>
              <w:left w:val="nil"/>
              <w:bottom w:val="single" w:sz="4" w:space="0" w:color="auto"/>
              <w:right w:val="single" w:sz="4" w:space="0" w:color="auto"/>
            </w:tcBorders>
            <w:shd w:val="clear" w:color="000000" w:fill="BFBFBF"/>
            <w:noWrap/>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85 955 544</w:t>
            </w:r>
          </w:p>
        </w:tc>
      </w:tr>
      <w:tr>
        <w:tblPrEx>
          <w:tblW w:w="4923" w:type="pct"/>
          <w:tblInd w:w="70" w:type="dxa"/>
          <w:tblLayout w:type="fixed"/>
          <w:tblCellMar>
            <w:left w:w="70" w:type="dxa"/>
            <w:right w:w="70" w:type="dxa"/>
          </w:tblCellMar>
          <w:tblLook w:val="04A0"/>
        </w:tblPrEx>
        <w:trPr>
          <w:trHeight w:val="261"/>
        </w:trPr>
        <w:tc>
          <w:tcPr>
            <w:tcW w:w="1175" w:type="pct"/>
            <w:tcBorders>
              <w:top w:val="nil"/>
              <w:left w:val="single" w:sz="4" w:space="0" w:color="auto"/>
              <w:bottom w:val="single" w:sz="4" w:space="0" w:color="auto"/>
              <w:right w:val="single" w:sz="4" w:space="0" w:color="auto"/>
            </w:tcBorders>
            <w:shd w:val="clear" w:color="000000" w:fill="FFFFFF"/>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Prezídium HaZZ</w:t>
            </w:r>
          </w:p>
        </w:tc>
        <w:tc>
          <w:tcPr>
            <w:tcW w:w="547" w:type="pct"/>
            <w:tcBorders>
              <w:top w:val="nil"/>
              <w:left w:val="nil"/>
              <w:bottom w:val="single" w:sz="4" w:space="0" w:color="auto"/>
              <w:right w:val="single" w:sz="4" w:space="0" w:color="auto"/>
            </w:tcBorders>
            <w:shd w:val="clear" w:color="000000" w:fill="FFFFFF"/>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4 020 665</w:t>
            </w:r>
          </w:p>
        </w:tc>
        <w:tc>
          <w:tcPr>
            <w:tcW w:w="547" w:type="pct"/>
            <w:tcBorders>
              <w:top w:val="nil"/>
              <w:left w:val="nil"/>
              <w:bottom w:val="single" w:sz="4" w:space="0" w:color="auto"/>
              <w:right w:val="single" w:sz="4" w:space="0" w:color="auto"/>
            </w:tcBorders>
            <w:shd w:val="clear" w:color="000000" w:fill="FFFFFF"/>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3 337 497</w:t>
            </w:r>
          </w:p>
        </w:tc>
        <w:tc>
          <w:tcPr>
            <w:tcW w:w="546" w:type="pct"/>
            <w:tcBorders>
              <w:top w:val="nil"/>
              <w:left w:val="nil"/>
              <w:bottom w:val="single" w:sz="4" w:space="0" w:color="auto"/>
              <w:right w:val="single" w:sz="4" w:space="0" w:color="auto"/>
            </w:tcBorders>
            <w:shd w:val="clear" w:color="000000" w:fill="FFFFFF"/>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4 233 054</w:t>
            </w:r>
          </w:p>
        </w:tc>
        <w:tc>
          <w:tcPr>
            <w:tcW w:w="546" w:type="pct"/>
            <w:tcBorders>
              <w:top w:val="single" w:sz="4" w:space="0" w:color="auto"/>
              <w:left w:val="nil"/>
              <w:bottom w:val="single" w:sz="4" w:space="0" w:color="auto"/>
              <w:right w:val="single" w:sz="4" w:space="0" w:color="auto"/>
            </w:tcBorders>
            <w:shd w:val="clear" w:color="000000" w:fill="FFFFFF"/>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4 227 514</w:t>
            </w:r>
          </w:p>
        </w:tc>
        <w:tc>
          <w:tcPr>
            <w:tcW w:w="546" w:type="pct"/>
            <w:tcBorders>
              <w:top w:val="nil"/>
              <w:left w:val="single" w:sz="4" w:space="0" w:color="auto"/>
              <w:bottom w:val="single" w:sz="4" w:space="0" w:color="auto"/>
              <w:right w:val="single" w:sz="4" w:space="0" w:color="auto"/>
            </w:tcBorders>
            <w:shd w:val="clear" w:color="000000" w:fill="FFFFFF"/>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5 855 167</w:t>
            </w:r>
          </w:p>
        </w:tc>
        <w:tc>
          <w:tcPr>
            <w:tcW w:w="546" w:type="pct"/>
            <w:tcBorders>
              <w:top w:val="nil"/>
              <w:left w:val="nil"/>
              <w:bottom w:val="single" w:sz="4" w:space="0" w:color="auto"/>
              <w:right w:val="single" w:sz="4" w:space="0" w:color="auto"/>
            </w:tcBorders>
            <w:shd w:val="clear" w:color="000000" w:fill="FFFFFF"/>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4 329 067</w:t>
            </w:r>
          </w:p>
        </w:tc>
        <w:tc>
          <w:tcPr>
            <w:tcW w:w="546" w:type="pct"/>
            <w:tcBorders>
              <w:top w:val="nil"/>
              <w:left w:val="nil"/>
              <w:bottom w:val="single" w:sz="4" w:space="0" w:color="auto"/>
              <w:right w:val="single" w:sz="4" w:space="0" w:color="auto"/>
            </w:tcBorders>
            <w:shd w:val="clear" w:color="000000" w:fill="FFFFFF"/>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4 329 067</w:t>
            </w:r>
          </w:p>
        </w:tc>
      </w:tr>
      <w:tr>
        <w:tblPrEx>
          <w:tblW w:w="4923" w:type="pct"/>
          <w:tblInd w:w="70" w:type="dxa"/>
          <w:tblLayout w:type="fixed"/>
          <w:tblCellMar>
            <w:left w:w="70" w:type="dxa"/>
            <w:right w:w="70" w:type="dxa"/>
          </w:tblCellMar>
          <w:tblLook w:val="04A0"/>
        </w:tblPrEx>
        <w:trPr>
          <w:trHeight w:val="261"/>
        </w:trPr>
        <w:tc>
          <w:tcPr>
            <w:tcW w:w="1175" w:type="pct"/>
            <w:tcBorders>
              <w:top w:val="nil"/>
              <w:left w:val="single" w:sz="4" w:space="0" w:color="auto"/>
              <w:bottom w:val="single" w:sz="4" w:space="0" w:color="auto"/>
              <w:right w:val="single" w:sz="4" w:space="0" w:color="auto"/>
            </w:tcBorders>
            <w:shd w:val="clear" w:color="000000" w:fill="FFFFFF"/>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Ochrana pred požiarmi</w:t>
            </w:r>
          </w:p>
        </w:tc>
        <w:tc>
          <w:tcPr>
            <w:tcW w:w="547" w:type="pct"/>
            <w:tcBorders>
              <w:top w:val="nil"/>
              <w:left w:val="nil"/>
              <w:bottom w:val="single" w:sz="4" w:space="0" w:color="auto"/>
              <w:right w:val="single" w:sz="4" w:space="0" w:color="auto"/>
            </w:tcBorders>
            <w:shd w:val="clear" w:color="000000" w:fill="FFFFFF"/>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90 847 683</w:t>
            </w:r>
          </w:p>
        </w:tc>
        <w:tc>
          <w:tcPr>
            <w:tcW w:w="547" w:type="pct"/>
            <w:tcBorders>
              <w:top w:val="nil"/>
              <w:left w:val="nil"/>
              <w:bottom w:val="single" w:sz="4" w:space="0" w:color="auto"/>
              <w:right w:val="single" w:sz="4" w:space="0" w:color="auto"/>
            </w:tcBorders>
            <w:shd w:val="clear" w:color="000000" w:fill="FFFFFF"/>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82 047 681</w:t>
            </w:r>
          </w:p>
        </w:tc>
        <w:tc>
          <w:tcPr>
            <w:tcW w:w="546" w:type="pct"/>
            <w:tcBorders>
              <w:top w:val="nil"/>
              <w:left w:val="nil"/>
              <w:bottom w:val="single" w:sz="4" w:space="0" w:color="auto"/>
              <w:right w:val="single" w:sz="4" w:space="0" w:color="auto"/>
            </w:tcBorders>
            <w:shd w:val="clear" w:color="000000" w:fill="FFFFFF"/>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79 242 072</w:t>
            </w:r>
          </w:p>
        </w:tc>
        <w:tc>
          <w:tcPr>
            <w:tcW w:w="546" w:type="pct"/>
            <w:tcBorders>
              <w:top w:val="single" w:sz="4" w:space="0" w:color="auto"/>
              <w:left w:val="nil"/>
              <w:bottom w:val="single" w:sz="4" w:space="0" w:color="auto"/>
              <w:right w:val="single" w:sz="4" w:space="0" w:color="auto"/>
            </w:tcBorders>
            <w:shd w:val="clear" w:color="000000" w:fill="FFFFFF"/>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83 006 182</w:t>
            </w:r>
          </w:p>
        </w:tc>
        <w:tc>
          <w:tcPr>
            <w:tcW w:w="546" w:type="pct"/>
            <w:tcBorders>
              <w:top w:val="nil"/>
              <w:left w:val="single" w:sz="4" w:space="0" w:color="auto"/>
              <w:bottom w:val="single" w:sz="4" w:space="0" w:color="auto"/>
              <w:right w:val="single" w:sz="4" w:space="0" w:color="auto"/>
            </w:tcBorders>
            <w:shd w:val="clear" w:color="000000" w:fill="FFFFFF"/>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79 717 372</w:t>
            </w:r>
          </w:p>
        </w:tc>
        <w:tc>
          <w:tcPr>
            <w:tcW w:w="546" w:type="pct"/>
            <w:tcBorders>
              <w:top w:val="nil"/>
              <w:left w:val="nil"/>
              <w:bottom w:val="single" w:sz="4" w:space="0" w:color="auto"/>
              <w:right w:val="single" w:sz="4" w:space="0" w:color="auto"/>
            </w:tcBorders>
            <w:shd w:val="clear" w:color="000000" w:fill="FFFFFF"/>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78 865 572</w:t>
            </w:r>
          </w:p>
        </w:tc>
        <w:tc>
          <w:tcPr>
            <w:tcW w:w="546" w:type="pct"/>
            <w:tcBorders>
              <w:top w:val="nil"/>
              <w:left w:val="nil"/>
              <w:bottom w:val="single" w:sz="4" w:space="0" w:color="auto"/>
              <w:right w:val="single" w:sz="4" w:space="0" w:color="auto"/>
            </w:tcBorders>
            <w:shd w:val="clear" w:color="000000" w:fill="FFFFFF"/>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78 865 572</w:t>
            </w:r>
          </w:p>
        </w:tc>
      </w:tr>
      <w:tr>
        <w:tblPrEx>
          <w:tblW w:w="4923" w:type="pct"/>
          <w:tblInd w:w="70" w:type="dxa"/>
          <w:tblLayout w:type="fixed"/>
          <w:tblCellMar>
            <w:left w:w="70" w:type="dxa"/>
            <w:right w:w="70" w:type="dxa"/>
          </w:tblCellMar>
          <w:tblLook w:val="04A0"/>
        </w:tblPrEx>
        <w:trPr>
          <w:trHeight w:val="261"/>
        </w:trPr>
        <w:tc>
          <w:tcPr>
            <w:tcW w:w="1175" w:type="pct"/>
            <w:tcBorders>
              <w:top w:val="nil"/>
              <w:left w:val="single" w:sz="4" w:space="0" w:color="auto"/>
              <w:bottom w:val="single" w:sz="4" w:space="0" w:color="auto"/>
              <w:right w:val="single" w:sz="4" w:space="0" w:color="auto"/>
            </w:tcBorders>
            <w:shd w:val="clear" w:color="000000" w:fill="FFFFFF"/>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Horská záchranná služba</w:t>
            </w:r>
          </w:p>
        </w:tc>
        <w:tc>
          <w:tcPr>
            <w:tcW w:w="547" w:type="pct"/>
            <w:tcBorders>
              <w:top w:val="nil"/>
              <w:left w:val="nil"/>
              <w:bottom w:val="single" w:sz="4" w:space="0" w:color="auto"/>
              <w:right w:val="single" w:sz="4" w:space="0" w:color="auto"/>
            </w:tcBorders>
            <w:shd w:val="clear" w:color="000000" w:fill="FFFFFF"/>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2 995 599</w:t>
            </w:r>
          </w:p>
        </w:tc>
        <w:tc>
          <w:tcPr>
            <w:tcW w:w="547" w:type="pct"/>
            <w:tcBorders>
              <w:top w:val="nil"/>
              <w:left w:val="nil"/>
              <w:bottom w:val="single" w:sz="4" w:space="0" w:color="auto"/>
              <w:right w:val="single" w:sz="4" w:space="0" w:color="auto"/>
            </w:tcBorders>
            <w:shd w:val="clear" w:color="000000" w:fill="FFFFFF"/>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3 111 595</w:t>
            </w:r>
          </w:p>
        </w:tc>
        <w:tc>
          <w:tcPr>
            <w:tcW w:w="546" w:type="pct"/>
            <w:tcBorders>
              <w:top w:val="nil"/>
              <w:left w:val="nil"/>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2 696 619</w:t>
            </w:r>
          </w:p>
        </w:tc>
        <w:tc>
          <w:tcPr>
            <w:tcW w:w="546" w:type="pct"/>
            <w:tcBorders>
              <w:top w:val="single" w:sz="4" w:space="0" w:color="auto"/>
              <w:left w:val="nil"/>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3 178 803</w:t>
            </w:r>
          </w:p>
        </w:tc>
        <w:tc>
          <w:tcPr>
            <w:tcW w:w="546" w:type="pct"/>
            <w:tcBorders>
              <w:top w:val="nil"/>
              <w:left w:val="single" w:sz="4" w:space="0" w:color="auto"/>
              <w:bottom w:val="single" w:sz="4" w:space="0" w:color="auto"/>
              <w:right w:val="single" w:sz="4" w:space="0" w:color="auto"/>
            </w:tcBorders>
            <w:shd w:val="clear" w:color="000000" w:fill="FFFFFF"/>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3 215 346</w:t>
            </w:r>
          </w:p>
        </w:tc>
        <w:tc>
          <w:tcPr>
            <w:tcW w:w="546" w:type="pct"/>
            <w:tcBorders>
              <w:top w:val="nil"/>
              <w:left w:val="nil"/>
              <w:bottom w:val="single" w:sz="4" w:space="0" w:color="auto"/>
              <w:right w:val="single" w:sz="4" w:space="0" w:color="auto"/>
            </w:tcBorders>
            <w:shd w:val="clear" w:color="000000" w:fill="FFFFFF"/>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2 760 905</w:t>
            </w:r>
          </w:p>
        </w:tc>
        <w:tc>
          <w:tcPr>
            <w:tcW w:w="546" w:type="pct"/>
            <w:tcBorders>
              <w:top w:val="nil"/>
              <w:left w:val="nil"/>
              <w:bottom w:val="single" w:sz="4" w:space="0" w:color="auto"/>
              <w:right w:val="single" w:sz="4" w:space="0" w:color="auto"/>
            </w:tcBorders>
            <w:shd w:val="clear" w:color="000000" w:fill="FFFFFF"/>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2 760 905</w:t>
            </w:r>
          </w:p>
        </w:tc>
      </w:tr>
    </w:tbl>
    <w:p w:rsidR="009D2A34" w:rsidRPr="00F72547"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Vo výdavkoch pre Záchranné zložky sú rozpočtované prostriedky na plnenie základných úloh na úseku ochrany pred požiarmi, pri záchranných prácach pri haváriách a živelných pohromách, na plnenie úloh v oblasti výchovy, vzdelávania a odbornej prípravy na úseku ochrany pred požiarmi. Zároveň sú v rámci záchranných zložiek rozpočtované výdavky pre plnenie úloh Horskej záchrannej služby.</w:t>
      </w:r>
    </w:p>
    <w:p w:rsidR="009D2A34" w:rsidRPr="00F72547" w:rsidP="009D2A34">
      <w:pPr>
        <w:bidi w:val="0"/>
        <w:jc w:val="both"/>
        <w:rPr>
          <w:rFonts w:ascii="Times New Roman" w:hAnsi="Times New Roman" w:cs="Times New Roman"/>
          <w:highlight w:val="yellow"/>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V rámci uvedeného programu výdavky medziročne rastú o 3,03 %.</w:t>
      </w:r>
    </w:p>
    <w:p w:rsidR="009D2A34" w:rsidRPr="00F72547" w:rsidP="009D2A34">
      <w:pPr>
        <w:bidi w:val="0"/>
        <w:jc w:val="both"/>
        <w:rPr>
          <w:rFonts w:ascii="Times New Roman" w:hAnsi="Times New Roman" w:cs="Times New Roman"/>
          <w:highlight w:val="yellow"/>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Nad rámec rozpočtovaných zdrojov sa v oblasti bezpečnosti (pre Policajný zbor a Hasičský a záchranný zbor) predpokladá príjem z povinného odvodu vo výške 8 % výberu z povinného zmluvného poistenia motorových vozidiel za predchádzajúci rok.</w:t>
      </w:r>
    </w:p>
    <w:p w:rsidR="009D2A34" w:rsidRPr="00F72547" w:rsidP="009D2A34">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339"/>
        <w:gridCol w:w="859"/>
        <w:gridCol w:w="859"/>
        <w:gridCol w:w="859"/>
        <w:gridCol w:w="859"/>
        <w:gridCol w:w="859"/>
        <w:gridCol w:w="859"/>
        <w:gridCol w:w="859"/>
        <w:gridCol w:w="860"/>
      </w:tblGrid>
      <w:tr>
        <w:tblPrEx>
          <w:tblW w:w="5000" w:type="pct"/>
          <w:tblCellMar>
            <w:left w:w="70" w:type="dxa"/>
            <w:right w:w="70" w:type="dxa"/>
          </w:tblCellMar>
          <w:tblLook w:val="04A0"/>
        </w:tblPrEx>
        <w:trPr>
          <w:trHeight w:val="260"/>
        </w:trPr>
        <w:tc>
          <w:tcPr>
            <w:tcW w:w="1270"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F72547" w:rsidP="006338E5">
            <w:pPr>
              <w:bidi w:val="0"/>
              <w:rPr>
                <w:rFonts w:ascii="Times New Roman" w:hAnsi="Times New Roman" w:cs="Times New Roman"/>
                <w:b/>
                <w:bCs/>
                <w:color w:val="000000"/>
                <w:sz w:val="14"/>
                <w:szCs w:val="14"/>
                <w:lang w:eastAsia="sk-SK"/>
              </w:rPr>
            </w:pPr>
            <w:r w:rsidRPr="00F72547">
              <w:rPr>
                <w:rFonts w:ascii="Times New Roman" w:hAnsi="Times New Roman" w:cs="Times New Roman"/>
                <w:b/>
                <w:bCs/>
                <w:color w:val="000000"/>
                <w:sz w:val="14"/>
                <w:szCs w:val="14"/>
                <w:lang w:eastAsia="sk-SK"/>
              </w:rPr>
              <w:t>v eurách</w:t>
            </w:r>
          </w:p>
        </w:tc>
        <w:tc>
          <w:tcPr>
            <w:tcW w:w="46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bCs/>
                <w:color w:val="000000"/>
                <w:sz w:val="14"/>
                <w:szCs w:val="14"/>
                <w:lang w:eastAsia="sk-SK"/>
              </w:rPr>
            </w:pPr>
            <w:r w:rsidRPr="00F72547">
              <w:rPr>
                <w:rFonts w:ascii="Times New Roman" w:hAnsi="Times New Roman" w:cs="Times New Roman"/>
                <w:b/>
                <w:bCs/>
                <w:color w:val="000000"/>
                <w:sz w:val="14"/>
                <w:szCs w:val="14"/>
                <w:lang w:eastAsia="sk-SK"/>
              </w:rPr>
              <w:t>2008</w:t>
            </w:r>
            <w:r w:rsidR="005177A8">
              <w:rPr>
                <w:rFonts w:ascii="Times New Roman" w:hAnsi="Times New Roman" w:cs="Times New Roman"/>
                <w:b/>
                <w:bCs/>
                <w:color w:val="000000"/>
                <w:sz w:val="14"/>
                <w:szCs w:val="14"/>
                <w:lang w:eastAsia="sk-SK"/>
              </w:rPr>
              <w:t xml:space="preserve"> </w:t>
            </w:r>
            <w:r w:rsidRPr="00F72547">
              <w:rPr>
                <w:rFonts w:ascii="Times New Roman" w:hAnsi="Times New Roman" w:cs="Times New Roman"/>
                <w:b/>
                <w:bCs/>
                <w:color w:val="000000"/>
                <w:sz w:val="14"/>
                <w:szCs w:val="14"/>
                <w:lang w:eastAsia="sk-SK"/>
              </w:rPr>
              <w:t>S</w:t>
            </w:r>
          </w:p>
        </w:tc>
        <w:tc>
          <w:tcPr>
            <w:tcW w:w="46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bCs/>
                <w:color w:val="000000"/>
                <w:sz w:val="14"/>
                <w:szCs w:val="14"/>
                <w:lang w:eastAsia="sk-SK"/>
              </w:rPr>
            </w:pPr>
            <w:r w:rsidRPr="00F72547">
              <w:rPr>
                <w:rFonts w:ascii="Times New Roman" w:hAnsi="Times New Roman" w:cs="Times New Roman"/>
                <w:b/>
                <w:bCs/>
                <w:color w:val="000000"/>
                <w:sz w:val="14"/>
                <w:szCs w:val="14"/>
                <w:lang w:eastAsia="sk-SK"/>
              </w:rPr>
              <w:t>2009</w:t>
            </w:r>
            <w:r w:rsidR="005177A8">
              <w:rPr>
                <w:rFonts w:ascii="Times New Roman" w:hAnsi="Times New Roman" w:cs="Times New Roman"/>
                <w:b/>
                <w:bCs/>
                <w:color w:val="000000"/>
                <w:sz w:val="14"/>
                <w:szCs w:val="14"/>
                <w:lang w:eastAsia="sk-SK"/>
              </w:rPr>
              <w:t xml:space="preserve"> </w:t>
            </w:r>
            <w:r w:rsidRPr="00F72547">
              <w:rPr>
                <w:rFonts w:ascii="Times New Roman" w:hAnsi="Times New Roman" w:cs="Times New Roman"/>
                <w:b/>
                <w:bCs/>
                <w:color w:val="000000"/>
                <w:sz w:val="14"/>
                <w:szCs w:val="14"/>
                <w:lang w:eastAsia="sk-SK"/>
              </w:rPr>
              <w:t>S</w:t>
            </w:r>
          </w:p>
        </w:tc>
        <w:tc>
          <w:tcPr>
            <w:tcW w:w="46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bCs/>
                <w:color w:val="000000"/>
                <w:sz w:val="14"/>
                <w:szCs w:val="14"/>
                <w:lang w:eastAsia="sk-SK"/>
              </w:rPr>
            </w:pPr>
            <w:r w:rsidRPr="00F72547">
              <w:rPr>
                <w:rFonts w:ascii="Times New Roman" w:hAnsi="Times New Roman" w:cs="Times New Roman"/>
                <w:b/>
                <w:bCs/>
                <w:color w:val="000000"/>
                <w:sz w:val="14"/>
                <w:szCs w:val="14"/>
                <w:lang w:eastAsia="sk-SK"/>
              </w:rPr>
              <w:t>2010</w:t>
            </w:r>
            <w:r w:rsidR="005177A8">
              <w:rPr>
                <w:rFonts w:ascii="Times New Roman" w:hAnsi="Times New Roman" w:cs="Times New Roman"/>
                <w:b/>
                <w:bCs/>
                <w:color w:val="000000"/>
                <w:sz w:val="14"/>
                <w:szCs w:val="14"/>
                <w:lang w:eastAsia="sk-SK"/>
              </w:rPr>
              <w:t xml:space="preserve"> </w:t>
            </w:r>
            <w:r w:rsidRPr="00F72547">
              <w:rPr>
                <w:rFonts w:ascii="Times New Roman" w:hAnsi="Times New Roman" w:cs="Times New Roman"/>
                <w:b/>
                <w:bCs/>
                <w:color w:val="000000"/>
                <w:sz w:val="14"/>
                <w:szCs w:val="14"/>
                <w:lang w:eastAsia="sk-SK"/>
              </w:rPr>
              <w:t>S</w:t>
            </w:r>
          </w:p>
        </w:tc>
        <w:tc>
          <w:tcPr>
            <w:tcW w:w="46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bCs/>
                <w:color w:val="000000"/>
                <w:sz w:val="14"/>
                <w:szCs w:val="14"/>
                <w:lang w:eastAsia="sk-SK"/>
              </w:rPr>
            </w:pPr>
            <w:r w:rsidRPr="00F72547">
              <w:rPr>
                <w:rFonts w:ascii="Times New Roman" w:hAnsi="Times New Roman" w:cs="Times New Roman"/>
                <w:b/>
                <w:bCs/>
                <w:color w:val="000000"/>
                <w:sz w:val="14"/>
                <w:szCs w:val="14"/>
                <w:lang w:eastAsia="sk-SK"/>
              </w:rPr>
              <w:t>2011</w:t>
            </w:r>
            <w:r w:rsidR="005177A8">
              <w:rPr>
                <w:rFonts w:ascii="Times New Roman" w:hAnsi="Times New Roman" w:cs="Times New Roman"/>
                <w:b/>
                <w:bCs/>
                <w:color w:val="000000"/>
                <w:sz w:val="14"/>
                <w:szCs w:val="14"/>
                <w:lang w:eastAsia="sk-SK"/>
              </w:rPr>
              <w:t xml:space="preserve"> </w:t>
            </w:r>
            <w:r w:rsidRPr="00F72547">
              <w:rPr>
                <w:rFonts w:ascii="Times New Roman" w:hAnsi="Times New Roman" w:cs="Times New Roman"/>
                <w:b/>
                <w:bCs/>
                <w:color w:val="000000"/>
                <w:sz w:val="14"/>
                <w:szCs w:val="14"/>
                <w:lang w:eastAsia="sk-SK"/>
              </w:rPr>
              <w:t>S</w:t>
            </w:r>
          </w:p>
        </w:tc>
        <w:tc>
          <w:tcPr>
            <w:tcW w:w="46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72547" w:rsidP="006338E5">
            <w:pPr>
              <w:bidi w:val="0"/>
              <w:jc w:val="center"/>
              <w:rPr>
                <w:rFonts w:ascii="Times New Roman" w:hAnsi="Times New Roman" w:cs="Times New Roman"/>
                <w:b/>
                <w:bCs/>
                <w:color w:val="000000"/>
                <w:sz w:val="14"/>
                <w:szCs w:val="14"/>
                <w:lang w:eastAsia="sk-SK"/>
              </w:rPr>
            </w:pPr>
            <w:r w:rsidRPr="00F72547">
              <w:rPr>
                <w:rFonts w:ascii="Times New Roman" w:hAnsi="Times New Roman" w:cs="Times New Roman"/>
                <w:b/>
                <w:bCs/>
                <w:color w:val="000000"/>
                <w:sz w:val="14"/>
                <w:szCs w:val="14"/>
                <w:lang w:eastAsia="sk-SK"/>
              </w:rPr>
              <w:t>2012</w:t>
            </w:r>
            <w:r w:rsidR="005177A8">
              <w:rPr>
                <w:rFonts w:ascii="Times New Roman" w:hAnsi="Times New Roman" w:cs="Times New Roman"/>
                <w:b/>
                <w:bCs/>
                <w:color w:val="000000"/>
                <w:sz w:val="14"/>
                <w:szCs w:val="14"/>
                <w:lang w:eastAsia="sk-SK"/>
              </w:rPr>
              <w:t xml:space="preserve"> </w:t>
            </w:r>
            <w:r w:rsidR="00584CC9">
              <w:rPr>
                <w:rFonts w:ascii="Times New Roman" w:hAnsi="Times New Roman" w:cs="Times New Roman"/>
                <w:b/>
                <w:bCs/>
                <w:color w:val="000000"/>
                <w:sz w:val="14"/>
                <w:szCs w:val="14"/>
                <w:lang w:eastAsia="sk-SK"/>
              </w:rPr>
              <w:t>O</w:t>
            </w:r>
            <w:r w:rsidRPr="00F72547">
              <w:rPr>
                <w:rFonts w:ascii="Times New Roman" w:hAnsi="Times New Roman" w:cs="Times New Roman"/>
                <w:b/>
                <w:bCs/>
                <w:color w:val="000000"/>
                <w:sz w:val="14"/>
                <w:szCs w:val="14"/>
                <w:lang w:eastAsia="sk-SK"/>
              </w:rPr>
              <w:t>S</w:t>
            </w:r>
          </w:p>
        </w:tc>
        <w:tc>
          <w:tcPr>
            <w:tcW w:w="46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72547" w:rsidP="00584CC9">
            <w:pPr>
              <w:bidi w:val="0"/>
              <w:jc w:val="center"/>
              <w:rPr>
                <w:rFonts w:ascii="Times New Roman" w:hAnsi="Times New Roman" w:cs="Times New Roman"/>
                <w:b/>
                <w:bCs/>
                <w:color w:val="000000"/>
                <w:sz w:val="14"/>
                <w:szCs w:val="14"/>
                <w:lang w:eastAsia="sk-SK"/>
              </w:rPr>
            </w:pPr>
            <w:r w:rsidRPr="00F72547">
              <w:rPr>
                <w:rFonts w:ascii="Times New Roman" w:hAnsi="Times New Roman" w:cs="Times New Roman"/>
                <w:b/>
                <w:bCs/>
                <w:color w:val="000000"/>
                <w:sz w:val="14"/>
                <w:szCs w:val="14"/>
                <w:lang w:eastAsia="sk-SK"/>
              </w:rPr>
              <w:t>2013</w:t>
            </w:r>
            <w:r w:rsidR="005177A8">
              <w:rPr>
                <w:rFonts w:ascii="Times New Roman" w:hAnsi="Times New Roman" w:cs="Times New Roman"/>
                <w:b/>
                <w:bCs/>
                <w:color w:val="000000"/>
                <w:sz w:val="14"/>
                <w:szCs w:val="14"/>
                <w:lang w:eastAsia="sk-SK"/>
              </w:rPr>
              <w:t xml:space="preserve"> </w:t>
            </w:r>
            <w:r w:rsidR="00584CC9">
              <w:rPr>
                <w:rFonts w:ascii="Times New Roman" w:hAnsi="Times New Roman" w:cs="Times New Roman"/>
                <w:b/>
                <w:bCs/>
                <w:color w:val="000000"/>
                <w:sz w:val="14"/>
                <w:szCs w:val="14"/>
                <w:lang w:eastAsia="sk-SK"/>
              </w:rPr>
              <w:t>N</w:t>
            </w:r>
          </w:p>
        </w:tc>
        <w:tc>
          <w:tcPr>
            <w:tcW w:w="46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72547" w:rsidP="00584CC9">
            <w:pPr>
              <w:bidi w:val="0"/>
              <w:jc w:val="center"/>
              <w:rPr>
                <w:rFonts w:ascii="Times New Roman" w:hAnsi="Times New Roman" w:cs="Times New Roman"/>
                <w:b/>
                <w:bCs/>
                <w:color w:val="000000"/>
                <w:sz w:val="14"/>
                <w:szCs w:val="14"/>
                <w:lang w:eastAsia="sk-SK"/>
              </w:rPr>
            </w:pPr>
            <w:r w:rsidRPr="00F72547">
              <w:rPr>
                <w:rFonts w:ascii="Times New Roman" w:hAnsi="Times New Roman" w:cs="Times New Roman"/>
                <w:b/>
                <w:bCs/>
                <w:color w:val="000000"/>
                <w:sz w:val="14"/>
                <w:szCs w:val="14"/>
                <w:lang w:eastAsia="sk-SK"/>
              </w:rPr>
              <w:t>2014</w:t>
            </w:r>
            <w:r w:rsidR="005177A8">
              <w:rPr>
                <w:rFonts w:ascii="Times New Roman" w:hAnsi="Times New Roman" w:cs="Times New Roman"/>
                <w:b/>
                <w:bCs/>
                <w:color w:val="000000"/>
                <w:sz w:val="14"/>
                <w:szCs w:val="14"/>
                <w:lang w:eastAsia="sk-SK"/>
              </w:rPr>
              <w:t xml:space="preserve"> </w:t>
            </w:r>
            <w:r w:rsidR="00584CC9">
              <w:rPr>
                <w:rFonts w:ascii="Times New Roman" w:hAnsi="Times New Roman" w:cs="Times New Roman"/>
                <w:b/>
                <w:bCs/>
                <w:color w:val="000000"/>
                <w:sz w:val="14"/>
                <w:szCs w:val="14"/>
                <w:lang w:eastAsia="sk-SK"/>
              </w:rPr>
              <w:t>N</w:t>
            </w:r>
          </w:p>
        </w:tc>
        <w:tc>
          <w:tcPr>
            <w:tcW w:w="46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72547" w:rsidP="00584CC9">
            <w:pPr>
              <w:bidi w:val="0"/>
              <w:jc w:val="center"/>
              <w:rPr>
                <w:rFonts w:ascii="Times New Roman" w:hAnsi="Times New Roman" w:cs="Times New Roman"/>
                <w:b/>
                <w:bCs/>
                <w:color w:val="000000"/>
                <w:sz w:val="14"/>
                <w:szCs w:val="14"/>
                <w:lang w:eastAsia="sk-SK"/>
              </w:rPr>
            </w:pPr>
            <w:r w:rsidRPr="00F72547">
              <w:rPr>
                <w:rFonts w:ascii="Times New Roman" w:hAnsi="Times New Roman" w:cs="Times New Roman"/>
                <w:b/>
                <w:bCs/>
                <w:color w:val="000000"/>
                <w:sz w:val="14"/>
                <w:szCs w:val="14"/>
                <w:lang w:eastAsia="sk-SK"/>
              </w:rPr>
              <w:t>2015</w:t>
            </w:r>
            <w:r w:rsidR="005177A8">
              <w:rPr>
                <w:rFonts w:ascii="Times New Roman" w:hAnsi="Times New Roman" w:cs="Times New Roman"/>
                <w:b/>
                <w:bCs/>
                <w:color w:val="000000"/>
                <w:sz w:val="14"/>
                <w:szCs w:val="14"/>
                <w:lang w:eastAsia="sk-SK"/>
              </w:rPr>
              <w:t xml:space="preserve"> </w:t>
            </w:r>
            <w:r w:rsidR="00584CC9">
              <w:rPr>
                <w:rFonts w:ascii="Times New Roman" w:hAnsi="Times New Roman" w:cs="Times New Roman"/>
                <w:b/>
                <w:bCs/>
                <w:color w:val="000000"/>
                <w:sz w:val="14"/>
                <w:szCs w:val="14"/>
                <w:lang w:eastAsia="sk-SK"/>
              </w:rPr>
              <w:t>N</w:t>
            </w:r>
          </w:p>
        </w:tc>
      </w:tr>
      <w:tr>
        <w:tblPrEx>
          <w:tblW w:w="5000" w:type="pct"/>
          <w:tblCellMar>
            <w:left w:w="70" w:type="dxa"/>
            <w:right w:w="70" w:type="dxa"/>
          </w:tblCellMar>
          <w:tblLook w:val="04A0"/>
        </w:tblPrEx>
        <w:trPr>
          <w:trHeight w:val="206"/>
        </w:trPr>
        <w:tc>
          <w:tcPr>
            <w:tcW w:w="1270" w:type="pct"/>
            <w:tcBorders>
              <w:top w:val="nil"/>
              <w:left w:val="single" w:sz="4" w:space="0" w:color="auto"/>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color w:val="000000"/>
                <w:sz w:val="14"/>
                <w:szCs w:val="14"/>
                <w:lang w:eastAsia="sk-SK"/>
              </w:rPr>
            </w:pPr>
            <w:r w:rsidRPr="00F72547">
              <w:rPr>
                <w:rFonts w:ascii="Times New Roman" w:hAnsi="Times New Roman" w:cs="Times New Roman"/>
                <w:color w:val="000000"/>
                <w:sz w:val="14"/>
                <w:szCs w:val="14"/>
                <w:lang w:eastAsia="sk-SK"/>
              </w:rPr>
              <w:t>odvod PZP</w:t>
            </w:r>
          </w:p>
        </w:tc>
        <w:tc>
          <w:tcPr>
            <w:tcW w:w="466" w:type="pct"/>
            <w:tcBorders>
              <w:top w:val="nil"/>
              <w:left w:val="nil"/>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color w:val="000000"/>
                <w:sz w:val="14"/>
                <w:szCs w:val="14"/>
                <w:lang w:eastAsia="sk-SK"/>
              </w:rPr>
            </w:pPr>
            <w:r w:rsidRPr="00F72547">
              <w:rPr>
                <w:rFonts w:ascii="Times New Roman" w:hAnsi="Times New Roman" w:cs="Times New Roman"/>
                <w:color w:val="000000"/>
                <w:sz w:val="14"/>
                <w:szCs w:val="14"/>
                <w:lang w:eastAsia="sk-SK"/>
              </w:rPr>
              <w:t xml:space="preserve">24 277 899   </w:t>
            </w:r>
          </w:p>
        </w:tc>
        <w:tc>
          <w:tcPr>
            <w:tcW w:w="466" w:type="pct"/>
            <w:tcBorders>
              <w:top w:val="nil"/>
              <w:left w:val="nil"/>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color w:val="000000"/>
                <w:sz w:val="14"/>
                <w:szCs w:val="14"/>
                <w:lang w:eastAsia="sk-SK"/>
              </w:rPr>
            </w:pPr>
            <w:r w:rsidRPr="00F72547">
              <w:rPr>
                <w:rFonts w:ascii="Times New Roman" w:hAnsi="Times New Roman" w:cs="Times New Roman"/>
                <w:color w:val="000000"/>
                <w:sz w:val="14"/>
                <w:szCs w:val="14"/>
                <w:lang w:eastAsia="sk-SK"/>
              </w:rPr>
              <w:t xml:space="preserve">24 986 971   </w:t>
            </w:r>
          </w:p>
        </w:tc>
        <w:tc>
          <w:tcPr>
            <w:tcW w:w="466" w:type="pct"/>
            <w:tcBorders>
              <w:top w:val="nil"/>
              <w:left w:val="nil"/>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color w:val="000000"/>
                <w:sz w:val="14"/>
                <w:szCs w:val="14"/>
                <w:lang w:eastAsia="sk-SK"/>
              </w:rPr>
            </w:pPr>
            <w:r w:rsidRPr="00F72547">
              <w:rPr>
                <w:rFonts w:ascii="Times New Roman" w:hAnsi="Times New Roman" w:cs="Times New Roman"/>
                <w:color w:val="000000"/>
                <w:sz w:val="14"/>
                <w:szCs w:val="14"/>
                <w:lang w:eastAsia="sk-SK"/>
              </w:rPr>
              <w:t xml:space="preserve">23 290 907   </w:t>
            </w:r>
          </w:p>
        </w:tc>
        <w:tc>
          <w:tcPr>
            <w:tcW w:w="466" w:type="pct"/>
            <w:tcBorders>
              <w:top w:val="nil"/>
              <w:left w:val="nil"/>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color w:val="000000"/>
                <w:sz w:val="14"/>
                <w:szCs w:val="14"/>
                <w:lang w:eastAsia="sk-SK"/>
              </w:rPr>
            </w:pPr>
            <w:r w:rsidRPr="00F72547">
              <w:rPr>
                <w:rFonts w:ascii="Times New Roman" w:hAnsi="Times New Roman" w:cs="Times New Roman"/>
                <w:color w:val="000000"/>
                <w:sz w:val="14"/>
                <w:szCs w:val="14"/>
                <w:lang w:eastAsia="sk-SK"/>
              </w:rPr>
              <w:t xml:space="preserve">14 966 705   </w:t>
            </w:r>
          </w:p>
        </w:tc>
        <w:tc>
          <w:tcPr>
            <w:tcW w:w="466" w:type="pct"/>
            <w:tcBorders>
              <w:top w:val="nil"/>
              <w:left w:val="nil"/>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color w:val="000000"/>
                <w:sz w:val="14"/>
                <w:szCs w:val="14"/>
                <w:lang w:eastAsia="sk-SK"/>
              </w:rPr>
            </w:pPr>
            <w:r w:rsidRPr="00F72547">
              <w:rPr>
                <w:rFonts w:ascii="Times New Roman" w:hAnsi="Times New Roman" w:cs="Times New Roman"/>
                <w:color w:val="000000"/>
                <w:sz w:val="14"/>
                <w:szCs w:val="14"/>
                <w:lang w:eastAsia="sk-SK"/>
              </w:rPr>
              <w:t xml:space="preserve"> 22 826 000  </w:t>
            </w:r>
          </w:p>
        </w:tc>
        <w:tc>
          <w:tcPr>
            <w:tcW w:w="466" w:type="pct"/>
            <w:tcBorders>
              <w:top w:val="nil"/>
              <w:left w:val="nil"/>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color w:val="000000"/>
                <w:sz w:val="14"/>
                <w:szCs w:val="14"/>
                <w:lang w:eastAsia="sk-SK"/>
              </w:rPr>
            </w:pPr>
            <w:r w:rsidRPr="00F72547">
              <w:rPr>
                <w:rFonts w:ascii="Times New Roman" w:hAnsi="Times New Roman" w:cs="Times New Roman"/>
                <w:color w:val="000000"/>
                <w:sz w:val="14"/>
                <w:szCs w:val="14"/>
                <w:lang w:eastAsia="sk-SK"/>
              </w:rPr>
              <w:t>20 000 000</w:t>
            </w:r>
          </w:p>
        </w:tc>
        <w:tc>
          <w:tcPr>
            <w:tcW w:w="466" w:type="pct"/>
            <w:tcBorders>
              <w:top w:val="nil"/>
              <w:left w:val="nil"/>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color w:val="000000"/>
                <w:sz w:val="14"/>
                <w:szCs w:val="14"/>
                <w:lang w:eastAsia="sk-SK"/>
              </w:rPr>
            </w:pPr>
            <w:r w:rsidRPr="00F72547">
              <w:rPr>
                <w:rFonts w:ascii="Times New Roman" w:hAnsi="Times New Roman" w:cs="Times New Roman"/>
                <w:color w:val="000000"/>
                <w:sz w:val="14"/>
                <w:szCs w:val="14"/>
                <w:lang w:eastAsia="sk-SK"/>
              </w:rPr>
              <w:t xml:space="preserve">20 000 000   </w:t>
            </w:r>
          </w:p>
        </w:tc>
        <w:tc>
          <w:tcPr>
            <w:tcW w:w="467" w:type="pct"/>
            <w:tcBorders>
              <w:top w:val="nil"/>
              <w:left w:val="nil"/>
              <w:bottom w:val="single" w:sz="4" w:space="0" w:color="auto"/>
              <w:right w:val="single" w:sz="4" w:space="0" w:color="auto"/>
            </w:tcBorders>
            <w:noWrap/>
            <w:textDirection w:val="lrTb"/>
            <w:vAlign w:val="center"/>
            <w:hideMark/>
          </w:tcPr>
          <w:p w:rsidR="009D2A34" w:rsidRPr="00F72547" w:rsidP="006338E5">
            <w:pPr>
              <w:bidi w:val="0"/>
              <w:rPr>
                <w:rFonts w:ascii="Times New Roman" w:hAnsi="Times New Roman" w:cs="Times New Roman"/>
                <w:color w:val="000000"/>
                <w:sz w:val="14"/>
                <w:szCs w:val="14"/>
                <w:lang w:eastAsia="sk-SK"/>
              </w:rPr>
            </w:pPr>
            <w:r w:rsidRPr="00F72547">
              <w:rPr>
                <w:rFonts w:ascii="Times New Roman" w:hAnsi="Times New Roman" w:cs="Times New Roman"/>
                <w:color w:val="000000"/>
                <w:sz w:val="14"/>
                <w:szCs w:val="14"/>
                <w:lang w:eastAsia="sk-SK"/>
              </w:rPr>
              <w:t xml:space="preserve">20 000 000   </w:t>
            </w:r>
          </w:p>
        </w:tc>
      </w:tr>
    </w:tbl>
    <w:p w:rsidR="009D2A34" w:rsidRPr="00F72547" w:rsidP="009D2A34">
      <w:pPr>
        <w:bidi w:val="0"/>
        <w:jc w:val="both"/>
        <w:rPr>
          <w:rFonts w:ascii="Times New Roman" w:hAnsi="Times New Roman" w:cs="Times New Roman"/>
          <w:sz w:val="14"/>
          <w:szCs w:val="14"/>
        </w:rPr>
      </w:pPr>
      <w:r w:rsidRPr="00F72547">
        <w:rPr>
          <w:rFonts w:ascii="Times New Roman" w:hAnsi="Times New Roman" w:cs="Times New Roman"/>
          <w:sz w:val="14"/>
          <w:szCs w:val="14"/>
        </w:rPr>
        <w:t>Poznámka: Údaje za roky 2013 až 2015 predpoklad.</w:t>
      </w:r>
    </w:p>
    <w:p w:rsidR="009D2A34" w:rsidRPr="00F72547" w:rsidP="009D2A34">
      <w:pPr>
        <w:bidi w:val="0"/>
        <w:jc w:val="both"/>
        <w:rPr>
          <w:rFonts w:ascii="Times New Roman" w:hAnsi="Times New Roman" w:cs="Times New Roman"/>
          <w:b/>
        </w:rPr>
      </w:pPr>
    </w:p>
    <w:p w:rsidR="009D2A34" w:rsidRPr="00F72547" w:rsidP="009D2A34">
      <w:pPr>
        <w:bidi w:val="0"/>
        <w:jc w:val="both"/>
        <w:rPr>
          <w:rFonts w:ascii="Times New Roman" w:hAnsi="Times New Roman" w:cs="Times New Roman"/>
          <w:b/>
        </w:rPr>
      </w:pPr>
      <w:r w:rsidRPr="00F72547">
        <w:rPr>
          <w:rFonts w:ascii="Times New Roman" w:hAnsi="Times New Roman" w:cs="Times New Roman"/>
          <w:b/>
        </w:rPr>
        <w:t>Ochrana verejného poriadku a bezpečnosti</w:t>
      </w:r>
    </w:p>
    <w:p w:rsidR="009D2A34" w:rsidRPr="00F72547" w:rsidP="009D2A34">
      <w:pPr>
        <w:bidi w:val="0"/>
        <w:jc w:val="both"/>
        <w:rPr>
          <w:rFonts w:ascii="Times New Roman" w:hAnsi="Times New Roman" w:cs="Times New Roman"/>
          <w:b/>
          <w:highlight w:val="yellow"/>
        </w:rPr>
      </w:pPr>
    </w:p>
    <w:tbl>
      <w:tblPr>
        <w:tblStyle w:val="TableNormal"/>
        <w:tblW w:w="92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410"/>
        <w:gridCol w:w="978"/>
        <w:gridCol w:w="979"/>
        <w:gridCol w:w="979"/>
        <w:gridCol w:w="979"/>
        <w:gridCol w:w="979"/>
        <w:gridCol w:w="979"/>
        <w:gridCol w:w="979"/>
      </w:tblGrid>
      <w:tr>
        <w:tblPrEx>
          <w:tblW w:w="92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rPr>
                <w:rFonts w:ascii="Times New Roman" w:hAnsi="Times New Roman" w:cs="Times New Roman"/>
                <w:b/>
                <w:sz w:val="14"/>
                <w:szCs w:val="14"/>
              </w:rPr>
            </w:pPr>
            <w:r w:rsidRPr="00F72547">
              <w:rPr>
                <w:rFonts w:ascii="Times New Roman" w:hAnsi="Times New Roman" w:cs="Times New Roman"/>
                <w:b/>
                <w:sz w:val="14"/>
                <w:szCs w:val="14"/>
              </w:rPr>
              <w:t> v eurách</w:t>
            </w:r>
          </w:p>
        </w:tc>
        <w:tc>
          <w:tcPr>
            <w:tcW w:w="978"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2010 S</w:t>
            </w:r>
          </w:p>
        </w:tc>
        <w:tc>
          <w:tcPr>
            <w:tcW w:w="97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2011 S</w:t>
            </w:r>
          </w:p>
        </w:tc>
        <w:tc>
          <w:tcPr>
            <w:tcW w:w="97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2012 R</w:t>
            </w:r>
          </w:p>
        </w:tc>
        <w:tc>
          <w:tcPr>
            <w:tcW w:w="979"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2012 OS</w:t>
            </w:r>
          </w:p>
        </w:tc>
        <w:tc>
          <w:tcPr>
            <w:tcW w:w="97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2013 N</w:t>
            </w:r>
          </w:p>
        </w:tc>
        <w:tc>
          <w:tcPr>
            <w:tcW w:w="979"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2014 N</w:t>
            </w:r>
          </w:p>
        </w:tc>
        <w:tc>
          <w:tcPr>
            <w:tcW w:w="97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2015 N</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D2A34" w:rsidRPr="00F72547" w:rsidP="006338E5">
            <w:pPr>
              <w:bidi w:val="0"/>
              <w:rPr>
                <w:rFonts w:ascii="Times New Roman" w:hAnsi="Times New Roman" w:cs="Times New Roman"/>
                <w:b/>
                <w:bCs/>
                <w:sz w:val="14"/>
                <w:szCs w:val="14"/>
              </w:rPr>
            </w:pPr>
            <w:r w:rsidRPr="00F72547">
              <w:rPr>
                <w:rFonts w:ascii="Times New Roman" w:hAnsi="Times New Roman" w:cs="Times New Roman"/>
                <w:b/>
                <w:bCs/>
                <w:sz w:val="14"/>
                <w:szCs w:val="14"/>
              </w:rPr>
              <w:t>Ochrana verejného poriadku a bezpečnosti</w:t>
            </w:r>
          </w:p>
        </w:tc>
        <w:tc>
          <w:tcPr>
            <w:tcW w:w="97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sz w:val="14"/>
                <w:szCs w:val="14"/>
                <w:highlight w:val="yellow"/>
              </w:rPr>
            </w:pPr>
            <w:r w:rsidRPr="00F72547">
              <w:rPr>
                <w:rFonts w:ascii="Times New Roman" w:hAnsi="Times New Roman" w:cs="Times New Roman"/>
                <w:b/>
                <w:sz w:val="14"/>
                <w:szCs w:val="14"/>
              </w:rPr>
              <w:t>715 023 853</w:t>
            </w:r>
          </w:p>
        </w:tc>
        <w:tc>
          <w:tcPr>
            <w:tcW w:w="97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sz w:val="14"/>
                <w:szCs w:val="14"/>
                <w:highlight w:val="yellow"/>
              </w:rPr>
            </w:pPr>
            <w:r w:rsidRPr="00F72547">
              <w:rPr>
                <w:rFonts w:ascii="Times New Roman" w:hAnsi="Times New Roman" w:cs="Times New Roman"/>
                <w:b/>
                <w:sz w:val="14"/>
                <w:szCs w:val="14"/>
              </w:rPr>
              <w:t>704 430 925</w:t>
            </w:r>
          </w:p>
        </w:tc>
        <w:tc>
          <w:tcPr>
            <w:tcW w:w="97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rPr>
              <w:t>752 874 084</w:t>
            </w:r>
          </w:p>
        </w:tc>
        <w:tc>
          <w:tcPr>
            <w:tcW w:w="97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rPr>
              <w:t>745 754 081</w:t>
            </w:r>
          </w:p>
        </w:tc>
        <w:tc>
          <w:tcPr>
            <w:tcW w:w="97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rPr>
              <w:t>751 326 229</w:t>
            </w:r>
          </w:p>
        </w:tc>
        <w:tc>
          <w:tcPr>
            <w:tcW w:w="97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rPr>
              <w:t>740 404 161</w:t>
            </w:r>
          </w:p>
        </w:tc>
        <w:tc>
          <w:tcPr>
            <w:tcW w:w="979"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rPr>
              <w:t>738 112 579</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z toho:</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highlight w:val="yellow"/>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highlight w:val="yellow"/>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Riadiaca a kontrolná činnosť MV SR</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37 434 847</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36 040 381</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39 342 078</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40 074 377</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40 492 052</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38 077 057</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38 124 019</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b/>
                <w:sz w:val="14"/>
                <w:szCs w:val="14"/>
              </w:rPr>
            </w:pPr>
            <w:r w:rsidRPr="00F72547">
              <w:rPr>
                <w:rFonts w:ascii="Times New Roman" w:hAnsi="Times New Roman" w:cs="Times New Roman"/>
                <w:b/>
                <w:sz w:val="14"/>
                <w:szCs w:val="14"/>
              </w:rPr>
              <w:t>Polícia:</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highlight w:val="yellow"/>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Prezídium Policajného zboru</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19 388 085</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20 406 092</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19 799 848</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21 119 644</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22 340 070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20 080 406</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20 080 406</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Boj s organizovaným zločinom</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33 122 606</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38 082 655</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30 763 102</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35 214 148</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33 650 020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32 453 720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32 453 720</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Ochrana verejného poriadku</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407 888 576</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409 595 479</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397 115 398</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401 512 354</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397 227 940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400 977 698</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400 977 698</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Ochrana štátnej hranice</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46 521 632</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44 971 169</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53 026 887</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48 618 046</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35 994 382</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35 994 382</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35 994 382</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Centrálna podpora činnosti MV SR</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93 265 883</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107 930 567</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136 936 823</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119 486 382</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121 730 993</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118 454 423</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117 874 395</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Azylová politika</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3 150 685</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3 114 108</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2 515 191</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2 766 805</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2 850 912</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2 850 912</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2 850 912</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Starostlivosť o ľudské zdroje</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28 141 159</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23 560 051</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50 824 135</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52 725 267</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60 057 083</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66 324 983</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66 324 983</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Projekty Európskej únie</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1 917 739</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917 433</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2 676 807</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2 447 033</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1 299 097</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2 370 572</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875 030</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Ochrana a preprava určených osôb</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19 966 245</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highlight w:val="yellow"/>
              </w:rPr>
            </w:pPr>
            <w:r w:rsidRPr="00F72547">
              <w:rPr>
                <w:rFonts w:ascii="Times New Roman" w:hAnsi="Times New Roman" w:cs="Times New Roman"/>
                <w:sz w:val="14"/>
                <w:szCs w:val="14"/>
              </w:rPr>
              <w:t>19 648 200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19 621 515</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20 027 164</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19 396 819</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19 396 819</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19 396 819</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 xml:space="preserve">Bezpečnosť dopravy </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24 226 396</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Boj proti obchodovaniu s ľuďmi</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252 300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252 300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270 000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270 000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Prevencia kriminality</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1 394 000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1 532 955</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1 394 000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1 394 000</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Ochrana Schengenskeho priestoru</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12 864 775</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137 760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137 760</w:t>
            </w:r>
          </w:p>
        </w:tc>
      </w:tr>
      <w:tr>
        <w:tblPrEx>
          <w:tblW w:w="9262" w:type="dxa"/>
          <w:tblInd w:w="-72" w:type="dxa"/>
          <w:tblLayout w:type="fixed"/>
          <w:tblCellMar>
            <w:left w:w="70" w:type="dxa"/>
            <w:right w:w="70" w:type="dxa"/>
          </w:tblCellMar>
        </w:tblPrEx>
        <w:trPr>
          <w:trHeight w:val="261"/>
        </w:trPr>
        <w:tc>
          <w:tcPr>
            <w:tcW w:w="241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Úrad splnomocnenca vlády SR</w:t>
            </w:r>
          </w:p>
        </w:tc>
        <w:tc>
          <w:tcPr>
            <w:tcW w:w="978"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1 619 131</w:t>
            </w:r>
          </w:p>
        </w:tc>
        <w:tc>
          <w:tcPr>
            <w:tcW w:w="979"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1 621 429</w:t>
            </w:r>
          </w:p>
        </w:tc>
        <w:tc>
          <w:tcPr>
            <w:tcW w:w="979"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1 628 455</w:t>
            </w:r>
          </w:p>
        </w:tc>
      </w:tr>
    </w:tbl>
    <w:p w:rsidR="009D2A34" w:rsidRPr="00F72547" w:rsidP="009D2A34">
      <w:pPr>
        <w:bidi w:val="0"/>
        <w:jc w:val="both"/>
        <w:rPr>
          <w:rFonts w:ascii="Times New Roman" w:hAnsi="Times New Roman" w:cs="Times New Roman"/>
          <w:highlight w:val="yellow"/>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V rámci uvedeného programu rozpočtové výdavky na rok 2013 oproti schválenému rozpočtu roka 2012 klesajú o 1,54 mil. eur, čo predstavuje 0,21% pokles.</w:t>
      </w:r>
    </w:p>
    <w:p w:rsidR="009D2A34" w:rsidRPr="00F72547" w:rsidP="009D2A34">
      <w:pPr>
        <w:bidi w:val="0"/>
        <w:jc w:val="both"/>
        <w:rPr>
          <w:rFonts w:ascii="Times New Roman" w:hAnsi="Times New Roman" w:cs="Times New Roman"/>
          <w:highlight w:val="yellow"/>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Rozpočtované prostriedky slúžia na základné úlohy na úseku poriadkovej polície, justičnej a kriminálnej polície, dopravnej polície, inšpekčnej služby PZ, Kriminalisticko-expertízneho ústavu PZ, cudzineckej a hraničnej polície, špecializovaných útvarov polície a Migračného úradu Ministerstva vnútra SR. Ďalej sú tu rozpočtované výdavky na výučbu základného policajného vzdelania, prípravu nižších policajných dôstojníkov a špecializovaného vzdelania pre priamy výkon policajnej služby. Túto prípravu zabezpečujú stredné odborné školy PZ. Vyšší stupeň prípravy policajtov a bezpečnostných služieb a ďalšie vzdelávanie, vrátane vedeckého poznania a výchovy zabezpečuje Akadémia PZ.</w:t>
      </w:r>
    </w:p>
    <w:p w:rsidR="009D2A34" w:rsidRPr="00F72547" w:rsidP="009D2A34">
      <w:pPr>
        <w:bidi w:val="0"/>
        <w:jc w:val="both"/>
        <w:rPr>
          <w:rFonts w:ascii="Times New Roman" w:hAnsi="Times New Roman" w:cs="Times New Roman"/>
          <w:b/>
          <w:highlight w:val="yellow"/>
        </w:rPr>
      </w:pPr>
    </w:p>
    <w:p w:rsidR="009D2A34" w:rsidP="00515262">
      <w:pPr>
        <w:bidi w:val="0"/>
        <w:ind w:firstLine="708"/>
        <w:jc w:val="both"/>
        <w:rPr>
          <w:rFonts w:ascii="Times New Roman" w:hAnsi="Times New Roman" w:cs="Times New Roman"/>
        </w:rPr>
      </w:pPr>
      <w:r w:rsidRPr="000746AC">
        <w:rPr>
          <w:rFonts w:ascii="Times New Roman" w:hAnsi="Times New Roman" w:cs="Times New Roman"/>
        </w:rPr>
        <w:t>Slovenská republika bude v najbližších dvoch rokoch predmetom hodnotenia zabezpečenia plnenia Schengenského aquis. V tejto súvislosti je potrebné  plnohodnotne zabezpečiť všetky požadované opatrenia v zmysle aktualizovaného znenia Schengenského akčného plánu SR, a nadväzne tiež plnenie rozhodujúcich úloh  vládou SR schváleného Národného plánu riadenia ochrany hraníc SR na roky 2011 až 2014. Okrem toho je potrebné realizovať aj pokračovanie  pripravenosti SR na pripojenie do informačného systému SIS II v požadovaných termínoch a rozsahu. Rok 2013 by mal preto  viesť k  stabilizovaniu potrebnej údržby a obnovy i ďalšieho dopĺňania  technických prostriedkov potrebných na  ochranu schengenskej hranice.</w:t>
      </w:r>
    </w:p>
    <w:p w:rsidR="009D2A34"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Riadiaca a kontrolná činnosť MV SR zahŕňa činnosti, služby a dodávky súvisiace s úlohami centrálneho riadenia, koordinácie, usmerňovania a výkonu, ktoré sú plnené aj v prospech iných programov ministerstva vnútra.</w:t>
      </w:r>
    </w:p>
    <w:p w:rsidR="009D2A34" w:rsidRPr="00F72547" w:rsidP="009D2A34">
      <w:pPr>
        <w:bidi w:val="0"/>
        <w:jc w:val="both"/>
        <w:rPr>
          <w:rFonts w:ascii="Times New Roman" w:hAnsi="Times New Roman" w:cs="Times New Roman"/>
        </w:rPr>
      </w:pPr>
    </w:p>
    <w:tbl>
      <w:tblPr>
        <w:tblStyle w:val="TableNormal"/>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567"/>
        <w:gridCol w:w="931"/>
        <w:gridCol w:w="931"/>
        <w:gridCol w:w="932"/>
        <w:gridCol w:w="931"/>
        <w:gridCol w:w="932"/>
        <w:gridCol w:w="931"/>
        <w:gridCol w:w="932"/>
      </w:tblGrid>
      <w:tr>
        <w:tblPrEx>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56"/>
        </w:trPr>
        <w:tc>
          <w:tcPr>
            <w:tcW w:w="25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9E6F9C" w:rsidP="006338E5">
            <w:pPr>
              <w:bidi w:val="0"/>
              <w:rPr>
                <w:rFonts w:ascii="Times New Roman" w:hAnsi="Times New Roman" w:cs="Times New Roman"/>
                <w:b/>
                <w:sz w:val="14"/>
                <w:szCs w:val="14"/>
              </w:rPr>
            </w:pPr>
            <w:r w:rsidRPr="00F72547">
              <w:rPr>
                <w:rFonts w:ascii="Times New Roman" w:hAnsi="Times New Roman" w:cs="Times New Roman"/>
                <w:b/>
                <w:sz w:val="14"/>
                <w:szCs w:val="14"/>
              </w:rPr>
              <w:br w:type="page"/>
              <w:t> </w:t>
            </w:r>
            <w:r w:rsidRPr="009E6F9C">
              <w:rPr>
                <w:rFonts w:ascii="Times New Roman" w:hAnsi="Times New Roman" w:cs="Times New Roman"/>
                <w:b/>
                <w:sz w:val="14"/>
                <w:szCs w:val="14"/>
              </w:rPr>
              <w:t>v eurách</w:t>
            </w:r>
          </w:p>
        </w:tc>
        <w:tc>
          <w:tcPr>
            <w:tcW w:w="93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9E6F9C" w:rsidP="006338E5">
            <w:pPr>
              <w:bidi w:val="0"/>
              <w:jc w:val="center"/>
              <w:rPr>
                <w:rFonts w:ascii="Times New Roman" w:hAnsi="Times New Roman" w:cs="Times New Roman"/>
                <w:b/>
                <w:sz w:val="14"/>
                <w:szCs w:val="14"/>
              </w:rPr>
            </w:pPr>
            <w:r w:rsidRPr="009E6F9C">
              <w:rPr>
                <w:rFonts w:ascii="Times New Roman" w:hAnsi="Times New Roman" w:cs="Times New Roman"/>
                <w:b/>
                <w:sz w:val="14"/>
                <w:szCs w:val="14"/>
              </w:rPr>
              <w:t>2010 S</w:t>
            </w:r>
          </w:p>
        </w:tc>
        <w:tc>
          <w:tcPr>
            <w:tcW w:w="93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9E6F9C" w:rsidP="006338E5">
            <w:pPr>
              <w:bidi w:val="0"/>
              <w:jc w:val="center"/>
              <w:rPr>
                <w:rFonts w:ascii="Times New Roman" w:hAnsi="Times New Roman" w:cs="Times New Roman"/>
                <w:b/>
                <w:sz w:val="14"/>
                <w:szCs w:val="14"/>
              </w:rPr>
            </w:pPr>
            <w:r w:rsidRPr="009E6F9C">
              <w:rPr>
                <w:rFonts w:ascii="Times New Roman" w:hAnsi="Times New Roman" w:cs="Times New Roman"/>
                <w:b/>
                <w:sz w:val="14"/>
                <w:szCs w:val="14"/>
              </w:rPr>
              <w:t>2011 S</w:t>
            </w:r>
          </w:p>
        </w:tc>
        <w:tc>
          <w:tcPr>
            <w:tcW w:w="93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9E6F9C" w:rsidP="006338E5">
            <w:pPr>
              <w:bidi w:val="0"/>
              <w:jc w:val="center"/>
              <w:rPr>
                <w:rFonts w:ascii="Times New Roman" w:hAnsi="Times New Roman" w:cs="Times New Roman"/>
                <w:b/>
                <w:sz w:val="14"/>
                <w:szCs w:val="14"/>
              </w:rPr>
            </w:pPr>
            <w:r w:rsidRPr="009E6F9C">
              <w:rPr>
                <w:rFonts w:ascii="Times New Roman" w:hAnsi="Times New Roman" w:cs="Times New Roman"/>
                <w:b/>
                <w:sz w:val="14"/>
                <w:szCs w:val="14"/>
              </w:rPr>
              <w:t>2012 R</w:t>
            </w:r>
          </w:p>
        </w:tc>
        <w:tc>
          <w:tcPr>
            <w:tcW w:w="93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9E6F9C" w:rsidP="006338E5">
            <w:pPr>
              <w:bidi w:val="0"/>
              <w:jc w:val="center"/>
              <w:rPr>
                <w:rFonts w:ascii="Times New Roman" w:hAnsi="Times New Roman" w:cs="Times New Roman"/>
                <w:b/>
                <w:sz w:val="14"/>
                <w:szCs w:val="14"/>
              </w:rPr>
            </w:pPr>
            <w:r w:rsidRPr="009E6F9C">
              <w:rPr>
                <w:rFonts w:ascii="Times New Roman" w:hAnsi="Times New Roman" w:cs="Times New Roman"/>
                <w:b/>
                <w:sz w:val="14"/>
                <w:szCs w:val="14"/>
              </w:rPr>
              <w:t>2012 OS</w:t>
            </w:r>
          </w:p>
        </w:tc>
        <w:tc>
          <w:tcPr>
            <w:tcW w:w="93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9E6F9C" w:rsidP="006338E5">
            <w:pPr>
              <w:bidi w:val="0"/>
              <w:jc w:val="center"/>
              <w:rPr>
                <w:rFonts w:ascii="Times New Roman" w:hAnsi="Times New Roman" w:cs="Times New Roman"/>
                <w:b/>
                <w:sz w:val="14"/>
                <w:szCs w:val="14"/>
              </w:rPr>
            </w:pPr>
            <w:r w:rsidRPr="009E6F9C">
              <w:rPr>
                <w:rFonts w:ascii="Times New Roman" w:hAnsi="Times New Roman" w:cs="Times New Roman"/>
                <w:b/>
                <w:sz w:val="14"/>
                <w:szCs w:val="14"/>
              </w:rPr>
              <w:t>2013 N</w:t>
            </w:r>
          </w:p>
        </w:tc>
        <w:tc>
          <w:tcPr>
            <w:tcW w:w="93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9E6F9C" w:rsidP="006338E5">
            <w:pPr>
              <w:bidi w:val="0"/>
              <w:jc w:val="center"/>
              <w:rPr>
                <w:rFonts w:ascii="Times New Roman" w:hAnsi="Times New Roman" w:cs="Times New Roman"/>
                <w:b/>
                <w:sz w:val="14"/>
                <w:szCs w:val="14"/>
              </w:rPr>
            </w:pPr>
            <w:r w:rsidRPr="009E6F9C">
              <w:rPr>
                <w:rFonts w:ascii="Times New Roman" w:hAnsi="Times New Roman" w:cs="Times New Roman"/>
                <w:b/>
                <w:sz w:val="14"/>
                <w:szCs w:val="14"/>
              </w:rPr>
              <w:t>2014 N</w:t>
            </w:r>
          </w:p>
        </w:tc>
        <w:tc>
          <w:tcPr>
            <w:tcW w:w="93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9E6F9C" w:rsidP="006338E5">
            <w:pPr>
              <w:bidi w:val="0"/>
              <w:jc w:val="center"/>
              <w:rPr>
                <w:rFonts w:ascii="Times New Roman" w:hAnsi="Times New Roman" w:cs="Times New Roman"/>
                <w:b/>
                <w:sz w:val="14"/>
                <w:szCs w:val="14"/>
              </w:rPr>
            </w:pPr>
            <w:r w:rsidRPr="009E6F9C">
              <w:rPr>
                <w:rFonts w:ascii="Times New Roman" w:hAnsi="Times New Roman" w:cs="Times New Roman"/>
                <w:b/>
                <w:sz w:val="14"/>
                <w:szCs w:val="14"/>
              </w:rPr>
              <w:t>2015 N</w:t>
            </w:r>
          </w:p>
        </w:tc>
      </w:tr>
      <w:tr>
        <w:tblPrEx>
          <w:tblW w:w="0" w:type="auto"/>
          <w:tblInd w:w="55" w:type="dxa"/>
          <w:tblLayout w:type="fixed"/>
          <w:tblCellMar>
            <w:left w:w="70" w:type="dxa"/>
            <w:right w:w="70" w:type="dxa"/>
          </w:tblCellMar>
        </w:tblPrEx>
        <w:trPr>
          <w:trHeight w:val="256"/>
        </w:trPr>
        <w:tc>
          <w:tcPr>
            <w:tcW w:w="25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D2A34" w:rsidRPr="009E6F9C" w:rsidP="006338E5">
            <w:pPr>
              <w:bidi w:val="0"/>
              <w:rPr>
                <w:rFonts w:ascii="Times New Roman" w:hAnsi="Times New Roman" w:cs="Times New Roman"/>
                <w:b/>
                <w:bCs/>
                <w:sz w:val="14"/>
                <w:szCs w:val="14"/>
              </w:rPr>
            </w:pPr>
            <w:r w:rsidRPr="009E6F9C">
              <w:rPr>
                <w:rFonts w:ascii="Times New Roman" w:hAnsi="Times New Roman" w:cs="Times New Roman"/>
                <w:b/>
                <w:bCs/>
                <w:sz w:val="14"/>
                <w:szCs w:val="14"/>
              </w:rPr>
              <w:t>Spolu</w:t>
            </w:r>
          </w:p>
        </w:tc>
        <w:tc>
          <w:tcPr>
            <w:tcW w:w="93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9E6F9C" w:rsidP="006338E5">
            <w:pPr>
              <w:bidi w:val="0"/>
              <w:jc w:val="right"/>
              <w:rPr>
                <w:rFonts w:ascii="Times New Roman" w:hAnsi="Times New Roman" w:cs="Times New Roman"/>
                <w:b/>
                <w:sz w:val="14"/>
                <w:szCs w:val="14"/>
              </w:rPr>
            </w:pPr>
            <w:r w:rsidR="009E6F9C">
              <w:rPr>
                <w:rFonts w:ascii="Times New Roman" w:hAnsi="Times New Roman" w:cs="Times New Roman"/>
                <w:b/>
                <w:sz w:val="14"/>
                <w:szCs w:val="14"/>
              </w:rPr>
              <w:t>37 434 847</w:t>
            </w:r>
          </w:p>
        </w:tc>
        <w:tc>
          <w:tcPr>
            <w:tcW w:w="93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9E6F9C" w:rsidP="006338E5">
            <w:pPr>
              <w:bidi w:val="0"/>
              <w:jc w:val="right"/>
              <w:rPr>
                <w:rFonts w:ascii="Times New Roman" w:hAnsi="Times New Roman" w:cs="Times New Roman"/>
                <w:b/>
                <w:sz w:val="14"/>
                <w:szCs w:val="14"/>
              </w:rPr>
            </w:pPr>
            <w:r w:rsidR="009E6F9C">
              <w:rPr>
                <w:rFonts w:ascii="Times New Roman" w:hAnsi="Times New Roman" w:cs="Times New Roman"/>
                <w:b/>
                <w:sz w:val="14"/>
                <w:szCs w:val="14"/>
              </w:rPr>
              <w:t>36 040 381</w:t>
            </w:r>
          </w:p>
        </w:tc>
        <w:tc>
          <w:tcPr>
            <w:tcW w:w="93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9E6F9C" w:rsidP="006338E5">
            <w:pPr>
              <w:autoSpaceDE w:val="0"/>
              <w:autoSpaceDN w:val="0"/>
              <w:bidi w:val="0"/>
              <w:adjustRightInd w:val="0"/>
              <w:jc w:val="right"/>
              <w:rPr>
                <w:rFonts w:ascii="Times New Roman" w:hAnsi="Times New Roman" w:cs="Times New Roman"/>
                <w:b/>
                <w:sz w:val="14"/>
                <w:szCs w:val="14"/>
              </w:rPr>
            </w:pPr>
            <w:r w:rsidRPr="009E6F9C">
              <w:rPr>
                <w:rFonts w:ascii="Times New Roman" w:hAnsi="Times New Roman" w:cs="Times New Roman"/>
                <w:b/>
                <w:sz w:val="14"/>
                <w:szCs w:val="14"/>
              </w:rPr>
              <w:t>39 342 078</w:t>
            </w:r>
          </w:p>
        </w:tc>
        <w:tc>
          <w:tcPr>
            <w:tcW w:w="93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9E6F9C" w:rsidP="006338E5">
            <w:pPr>
              <w:bidi w:val="0"/>
              <w:jc w:val="right"/>
              <w:rPr>
                <w:rFonts w:ascii="Times New Roman" w:hAnsi="Times New Roman" w:cs="Times New Roman"/>
                <w:b/>
                <w:sz w:val="14"/>
                <w:szCs w:val="14"/>
              </w:rPr>
            </w:pPr>
            <w:r w:rsidRPr="009E6F9C">
              <w:rPr>
                <w:rFonts w:ascii="Times New Roman" w:hAnsi="Times New Roman" w:cs="Times New Roman"/>
                <w:b/>
                <w:sz w:val="14"/>
                <w:szCs w:val="14"/>
              </w:rPr>
              <w:t>40 074 377</w:t>
            </w:r>
          </w:p>
        </w:tc>
        <w:tc>
          <w:tcPr>
            <w:tcW w:w="93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9E6F9C" w:rsidP="009E6F9C">
            <w:pPr>
              <w:autoSpaceDE w:val="0"/>
              <w:autoSpaceDN w:val="0"/>
              <w:bidi w:val="0"/>
              <w:adjustRightInd w:val="0"/>
              <w:jc w:val="right"/>
              <w:rPr>
                <w:rFonts w:ascii="Times New Roman" w:hAnsi="Times New Roman" w:cs="Times New Roman"/>
                <w:b/>
                <w:sz w:val="14"/>
                <w:szCs w:val="14"/>
              </w:rPr>
            </w:pPr>
            <w:r w:rsidRPr="009E6F9C">
              <w:rPr>
                <w:rFonts w:ascii="Times New Roman" w:hAnsi="Times New Roman" w:cs="Times New Roman"/>
                <w:b/>
                <w:sz w:val="14"/>
                <w:szCs w:val="14"/>
              </w:rPr>
              <w:t>40 4</w:t>
            </w:r>
            <w:r w:rsidR="009E6F9C">
              <w:rPr>
                <w:rFonts w:ascii="Times New Roman" w:hAnsi="Times New Roman" w:cs="Times New Roman"/>
                <w:b/>
                <w:sz w:val="14"/>
                <w:szCs w:val="14"/>
              </w:rPr>
              <w:t>92</w:t>
            </w:r>
            <w:r w:rsidRPr="009E6F9C">
              <w:rPr>
                <w:rFonts w:ascii="Times New Roman" w:hAnsi="Times New Roman" w:cs="Times New Roman"/>
                <w:b/>
                <w:sz w:val="14"/>
                <w:szCs w:val="14"/>
              </w:rPr>
              <w:t xml:space="preserve"> 0</w:t>
            </w:r>
            <w:r w:rsidR="009E6F9C">
              <w:rPr>
                <w:rFonts w:ascii="Times New Roman" w:hAnsi="Times New Roman" w:cs="Times New Roman"/>
                <w:b/>
                <w:sz w:val="14"/>
                <w:szCs w:val="14"/>
              </w:rPr>
              <w:t>52</w:t>
            </w:r>
          </w:p>
        </w:tc>
        <w:tc>
          <w:tcPr>
            <w:tcW w:w="93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9E6F9C" w:rsidP="009E6F9C">
            <w:pPr>
              <w:autoSpaceDE w:val="0"/>
              <w:autoSpaceDN w:val="0"/>
              <w:bidi w:val="0"/>
              <w:adjustRightInd w:val="0"/>
              <w:jc w:val="right"/>
              <w:rPr>
                <w:rFonts w:ascii="Times New Roman" w:hAnsi="Times New Roman" w:cs="Times New Roman"/>
                <w:b/>
                <w:sz w:val="14"/>
                <w:szCs w:val="14"/>
              </w:rPr>
            </w:pPr>
            <w:r w:rsidRPr="009E6F9C">
              <w:rPr>
                <w:rFonts w:ascii="Times New Roman" w:hAnsi="Times New Roman" w:cs="Times New Roman"/>
                <w:b/>
                <w:sz w:val="14"/>
                <w:szCs w:val="14"/>
              </w:rPr>
              <w:t>38 0</w:t>
            </w:r>
            <w:r w:rsidR="009E6F9C">
              <w:rPr>
                <w:rFonts w:ascii="Times New Roman" w:hAnsi="Times New Roman" w:cs="Times New Roman"/>
                <w:b/>
                <w:sz w:val="14"/>
                <w:szCs w:val="14"/>
              </w:rPr>
              <w:t>77</w:t>
            </w:r>
            <w:r w:rsidRPr="009E6F9C">
              <w:rPr>
                <w:rFonts w:ascii="Times New Roman" w:hAnsi="Times New Roman" w:cs="Times New Roman"/>
                <w:b/>
                <w:sz w:val="14"/>
                <w:szCs w:val="14"/>
              </w:rPr>
              <w:t xml:space="preserve"> </w:t>
            </w:r>
            <w:r w:rsidR="009E6F9C">
              <w:rPr>
                <w:rFonts w:ascii="Times New Roman" w:hAnsi="Times New Roman" w:cs="Times New Roman"/>
                <w:b/>
                <w:sz w:val="14"/>
                <w:szCs w:val="14"/>
              </w:rPr>
              <w:t>057</w:t>
            </w:r>
          </w:p>
        </w:tc>
        <w:tc>
          <w:tcPr>
            <w:tcW w:w="93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9E6F9C" w:rsidP="009E6F9C">
            <w:pPr>
              <w:autoSpaceDE w:val="0"/>
              <w:autoSpaceDN w:val="0"/>
              <w:bidi w:val="0"/>
              <w:adjustRightInd w:val="0"/>
              <w:jc w:val="right"/>
              <w:rPr>
                <w:rFonts w:ascii="Times New Roman" w:hAnsi="Times New Roman" w:cs="Times New Roman"/>
                <w:b/>
                <w:sz w:val="14"/>
                <w:szCs w:val="14"/>
              </w:rPr>
            </w:pPr>
            <w:r w:rsidRPr="009E6F9C">
              <w:rPr>
                <w:rFonts w:ascii="Times New Roman" w:hAnsi="Times New Roman" w:cs="Times New Roman"/>
                <w:b/>
                <w:sz w:val="14"/>
                <w:szCs w:val="14"/>
              </w:rPr>
              <w:t>38 1</w:t>
            </w:r>
            <w:r w:rsidR="009E6F9C">
              <w:rPr>
                <w:rFonts w:ascii="Times New Roman" w:hAnsi="Times New Roman" w:cs="Times New Roman"/>
                <w:b/>
                <w:sz w:val="14"/>
                <w:szCs w:val="14"/>
              </w:rPr>
              <w:t>24</w:t>
            </w:r>
            <w:r w:rsidRPr="009E6F9C">
              <w:rPr>
                <w:rFonts w:ascii="Times New Roman" w:hAnsi="Times New Roman" w:cs="Times New Roman"/>
                <w:b/>
                <w:sz w:val="14"/>
                <w:szCs w:val="14"/>
              </w:rPr>
              <w:t xml:space="preserve"> </w:t>
            </w:r>
            <w:r w:rsidR="009E6F9C">
              <w:rPr>
                <w:rFonts w:ascii="Times New Roman" w:hAnsi="Times New Roman" w:cs="Times New Roman"/>
                <w:b/>
                <w:sz w:val="14"/>
                <w:szCs w:val="14"/>
              </w:rPr>
              <w:t>019</w:t>
            </w:r>
          </w:p>
        </w:tc>
      </w:tr>
      <w:tr>
        <w:tblPrEx>
          <w:tblW w:w="0" w:type="auto"/>
          <w:tblInd w:w="55" w:type="dxa"/>
          <w:tblLayout w:type="fixed"/>
          <w:tblCellMar>
            <w:left w:w="70" w:type="dxa"/>
            <w:right w:w="70" w:type="dxa"/>
          </w:tblCellMar>
        </w:tblPrEx>
        <w:trPr>
          <w:trHeight w:val="256"/>
        </w:trPr>
        <w:tc>
          <w:tcPr>
            <w:tcW w:w="2567"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9E6F9C" w:rsidP="006338E5">
            <w:pPr>
              <w:bidi w:val="0"/>
              <w:rPr>
                <w:rFonts w:ascii="Times New Roman" w:hAnsi="Times New Roman" w:cs="Times New Roman"/>
                <w:sz w:val="14"/>
                <w:szCs w:val="14"/>
              </w:rPr>
            </w:pPr>
            <w:r w:rsidRPr="009E6F9C">
              <w:rPr>
                <w:rFonts w:ascii="Times New Roman" w:hAnsi="Times New Roman" w:cs="Times New Roman"/>
                <w:sz w:val="14"/>
                <w:szCs w:val="14"/>
              </w:rPr>
              <w:t>Úrad MV SR (RO)</w:t>
            </w:r>
          </w:p>
        </w:tc>
        <w:tc>
          <w:tcPr>
            <w:tcW w:w="931" w:type="dxa"/>
            <w:tcBorders>
              <w:top w:val="single" w:sz="4" w:space="0" w:color="auto"/>
              <w:left w:val="single" w:sz="4" w:space="0" w:color="auto"/>
              <w:bottom w:val="single" w:sz="4" w:space="0" w:color="auto"/>
              <w:right w:val="single" w:sz="4" w:space="0" w:color="auto"/>
            </w:tcBorders>
            <w:textDirection w:val="lrTb"/>
            <w:vAlign w:val="center"/>
          </w:tcPr>
          <w:p w:rsidR="009D2A34" w:rsidRPr="009E6F9C" w:rsidP="009E6F9C">
            <w:pPr>
              <w:bidi w:val="0"/>
              <w:jc w:val="right"/>
              <w:rPr>
                <w:rFonts w:ascii="Times New Roman" w:hAnsi="Times New Roman" w:cs="Times New Roman"/>
                <w:sz w:val="14"/>
                <w:szCs w:val="14"/>
              </w:rPr>
            </w:pPr>
            <w:r w:rsidRPr="009E6F9C">
              <w:rPr>
                <w:rFonts w:ascii="Times New Roman" w:hAnsi="Times New Roman" w:cs="Times New Roman"/>
                <w:sz w:val="14"/>
                <w:szCs w:val="14"/>
              </w:rPr>
              <w:t>3</w:t>
            </w:r>
            <w:r w:rsidR="009E6F9C">
              <w:rPr>
                <w:rFonts w:ascii="Times New Roman" w:hAnsi="Times New Roman" w:cs="Times New Roman"/>
                <w:sz w:val="14"/>
                <w:szCs w:val="14"/>
              </w:rPr>
              <w:t>6</w:t>
            </w:r>
            <w:r w:rsidRPr="009E6F9C">
              <w:rPr>
                <w:rFonts w:ascii="Times New Roman" w:hAnsi="Times New Roman" w:cs="Times New Roman"/>
                <w:sz w:val="14"/>
                <w:szCs w:val="14"/>
              </w:rPr>
              <w:t> </w:t>
            </w:r>
            <w:r w:rsidR="009E6F9C">
              <w:rPr>
                <w:rFonts w:ascii="Times New Roman" w:hAnsi="Times New Roman" w:cs="Times New Roman"/>
                <w:sz w:val="14"/>
                <w:szCs w:val="14"/>
              </w:rPr>
              <w:t>962</w:t>
            </w:r>
            <w:r w:rsidRPr="009E6F9C">
              <w:rPr>
                <w:rFonts w:ascii="Times New Roman" w:hAnsi="Times New Roman" w:cs="Times New Roman"/>
                <w:sz w:val="14"/>
                <w:szCs w:val="14"/>
              </w:rPr>
              <w:t xml:space="preserve"> </w:t>
            </w:r>
            <w:r w:rsidR="009E6F9C">
              <w:rPr>
                <w:rFonts w:ascii="Times New Roman" w:hAnsi="Times New Roman" w:cs="Times New Roman"/>
                <w:sz w:val="14"/>
                <w:szCs w:val="14"/>
              </w:rPr>
              <w:t>511</w:t>
            </w:r>
          </w:p>
        </w:tc>
        <w:tc>
          <w:tcPr>
            <w:tcW w:w="931"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9E6F9C" w:rsidP="009E6F9C">
            <w:pPr>
              <w:bidi w:val="0"/>
              <w:jc w:val="right"/>
              <w:rPr>
                <w:rFonts w:ascii="Times New Roman" w:hAnsi="Times New Roman" w:cs="Times New Roman"/>
                <w:sz w:val="14"/>
                <w:szCs w:val="14"/>
              </w:rPr>
            </w:pPr>
            <w:r w:rsidRPr="009E6F9C">
              <w:rPr>
                <w:rFonts w:ascii="Times New Roman" w:hAnsi="Times New Roman" w:cs="Times New Roman"/>
                <w:sz w:val="14"/>
                <w:szCs w:val="14"/>
              </w:rPr>
              <w:t>3</w:t>
            </w:r>
            <w:r w:rsidR="009E6F9C">
              <w:rPr>
                <w:rFonts w:ascii="Times New Roman" w:hAnsi="Times New Roman" w:cs="Times New Roman"/>
                <w:sz w:val="14"/>
                <w:szCs w:val="14"/>
              </w:rPr>
              <w:t>5</w:t>
            </w:r>
            <w:r w:rsidRPr="009E6F9C">
              <w:rPr>
                <w:rFonts w:ascii="Times New Roman" w:hAnsi="Times New Roman" w:cs="Times New Roman"/>
                <w:sz w:val="14"/>
                <w:szCs w:val="14"/>
              </w:rPr>
              <w:t> 6</w:t>
            </w:r>
            <w:r w:rsidR="009E6F9C">
              <w:rPr>
                <w:rFonts w:ascii="Times New Roman" w:hAnsi="Times New Roman" w:cs="Times New Roman"/>
                <w:sz w:val="14"/>
                <w:szCs w:val="14"/>
              </w:rPr>
              <w:t>40</w:t>
            </w:r>
            <w:r w:rsidRPr="009E6F9C">
              <w:rPr>
                <w:rFonts w:ascii="Times New Roman" w:hAnsi="Times New Roman" w:cs="Times New Roman"/>
                <w:sz w:val="14"/>
                <w:szCs w:val="14"/>
              </w:rPr>
              <w:t xml:space="preserve"> </w:t>
            </w:r>
            <w:r w:rsidR="009E6F9C">
              <w:rPr>
                <w:rFonts w:ascii="Times New Roman" w:hAnsi="Times New Roman" w:cs="Times New Roman"/>
                <w:sz w:val="14"/>
                <w:szCs w:val="14"/>
              </w:rPr>
              <w:t>91</w:t>
            </w:r>
            <w:r w:rsidRPr="009E6F9C">
              <w:rPr>
                <w:rFonts w:ascii="Times New Roman" w:hAnsi="Times New Roman" w:cs="Times New Roman"/>
                <w:sz w:val="14"/>
                <w:szCs w:val="14"/>
              </w:rPr>
              <w:t>7</w:t>
            </w:r>
          </w:p>
        </w:tc>
        <w:tc>
          <w:tcPr>
            <w:tcW w:w="93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9E6F9C" w:rsidP="006338E5">
            <w:pPr>
              <w:autoSpaceDE w:val="0"/>
              <w:autoSpaceDN w:val="0"/>
              <w:bidi w:val="0"/>
              <w:adjustRightInd w:val="0"/>
              <w:jc w:val="right"/>
              <w:rPr>
                <w:rFonts w:ascii="Times New Roman" w:hAnsi="Times New Roman" w:cs="Times New Roman"/>
                <w:sz w:val="14"/>
                <w:szCs w:val="14"/>
              </w:rPr>
            </w:pPr>
            <w:r w:rsidRPr="009E6F9C">
              <w:rPr>
                <w:rFonts w:ascii="Times New Roman" w:hAnsi="Times New Roman" w:cs="Times New Roman"/>
                <w:sz w:val="14"/>
                <w:szCs w:val="14"/>
              </w:rPr>
              <w:t>39 026 735</w:t>
            </w:r>
          </w:p>
        </w:tc>
        <w:tc>
          <w:tcPr>
            <w:tcW w:w="931" w:type="dxa"/>
            <w:tcBorders>
              <w:top w:val="single" w:sz="4" w:space="0" w:color="auto"/>
              <w:left w:val="single" w:sz="4" w:space="0" w:color="auto"/>
              <w:bottom w:val="single" w:sz="4" w:space="0" w:color="auto"/>
              <w:right w:val="single" w:sz="4" w:space="0" w:color="auto"/>
            </w:tcBorders>
            <w:textDirection w:val="lrTb"/>
            <w:vAlign w:val="center"/>
          </w:tcPr>
          <w:p w:rsidR="009D2A34" w:rsidRPr="009E6F9C" w:rsidP="006338E5">
            <w:pPr>
              <w:autoSpaceDE w:val="0"/>
              <w:autoSpaceDN w:val="0"/>
              <w:bidi w:val="0"/>
              <w:adjustRightInd w:val="0"/>
              <w:jc w:val="right"/>
              <w:rPr>
                <w:rFonts w:ascii="Times New Roman" w:hAnsi="Times New Roman" w:cs="Times New Roman"/>
                <w:sz w:val="14"/>
                <w:szCs w:val="14"/>
              </w:rPr>
            </w:pPr>
            <w:r w:rsidRPr="009E6F9C">
              <w:rPr>
                <w:rFonts w:ascii="Times New Roman" w:hAnsi="Times New Roman" w:cs="Times New Roman"/>
                <w:sz w:val="14"/>
                <w:szCs w:val="14"/>
              </w:rPr>
              <w:t>39 759 034</w:t>
            </w:r>
          </w:p>
        </w:tc>
        <w:tc>
          <w:tcPr>
            <w:tcW w:w="93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9E6F9C" w:rsidP="009E6F9C">
            <w:pPr>
              <w:autoSpaceDE w:val="0"/>
              <w:autoSpaceDN w:val="0"/>
              <w:bidi w:val="0"/>
              <w:adjustRightInd w:val="0"/>
              <w:jc w:val="right"/>
              <w:rPr>
                <w:rFonts w:ascii="Times New Roman" w:hAnsi="Times New Roman" w:cs="Times New Roman"/>
                <w:sz w:val="14"/>
                <w:szCs w:val="14"/>
              </w:rPr>
            </w:pPr>
            <w:r w:rsidRPr="009E6F9C">
              <w:rPr>
                <w:rFonts w:ascii="Times New Roman" w:hAnsi="Times New Roman" w:cs="Times New Roman"/>
                <w:sz w:val="14"/>
                <w:szCs w:val="14"/>
              </w:rPr>
              <w:t>40 17</w:t>
            </w:r>
            <w:r w:rsidR="009E6F9C">
              <w:rPr>
                <w:rFonts w:ascii="Times New Roman" w:hAnsi="Times New Roman" w:cs="Times New Roman"/>
                <w:sz w:val="14"/>
                <w:szCs w:val="14"/>
              </w:rPr>
              <w:t>6</w:t>
            </w:r>
            <w:r w:rsidRPr="009E6F9C">
              <w:rPr>
                <w:rFonts w:ascii="Times New Roman" w:hAnsi="Times New Roman" w:cs="Times New Roman"/>
                <w:sz w:val="14"/>
                <w:szCs w:val="14"/>
              </w:rPr>
              <w:t xml:space="preserve"> 7</w:t>
            </w:r>
            <w:r w:rsidR="009E6F9C">
              <w:rPr>
                <w:rFonts w:ascii="Times New Roman" w:hAnsi="Times New Roman" w:cs="Times New Roman"/>
                <w:sz w:val="14"/>
                <w:szCs w:val="14"/>
              </w:rPr>
              <w:t>09</w:t>
            </w:r>
          </w:p>
        </w:tc>
        <w:tc>
          <w:tcPr>
            <w:tcW w:w="931" w:type="dxa"/>
            <w:tcBorders>
              <w:top w:val="single" w:sz="4" w:space="0" w:color="auto"/>
              <w:left w:val="single" w:sz="4" w:space="0" w:color="auto"/>
              <w:bottom w:val="single" w:sz="4" w:space="0" w:color="auto"/>
              <w:right w:val="single" w:sz="4" w:space="0" w:color="auto"/>
            </w:tcBorders>
            <w:textDirection w:val="lrTb"/>
            <w:vAlign w:val="center"/>
          </w:tcPr>
          <w:p w:rsidR="009D2A34" w:rsidRPr="009E6F9C" w:rsidP="009E6F9C">
            <w:pPr>
              <w:autoSpaceDE w:val="0"/>
              <w:autoSpaceDN w:val="0"/>
              <w:bidi w:val="0"/>
              <w:adjustRightInd w:val="0"/>
              <w:jc w:val="right"/>
              <w:rPr>
                <w:rFonts w:ascii="Times New Roman" w:hAnsi="Times New Roman" w:cs="Times New Roman"/>
                <w:sz w:val="14"/>
                <w:szCs w:val="14"/>
              </w:rPr>
            </w:pPr>
            <w:r w:rsidRPr="009E6F9C">
              <w:rPr>
                <w:rFonts w:ascii="Times New Roman" w:hAnsi="Times New Roman" w:cs="Times New Roman"/>
                <w:sz w:val="14"/>
                <w:szCs w:val="14"/>
              </w:rPr>
              <w:t>37 7</w:t>
            </w:r>
            <w:r w:rsidR="009E6F9C">
              <w:rPr>
                <w:rFonts w:ascii="Times New Roman" w:hAnsi="Times New Roman" w:cs="Times New Roman"/>
                <w:sz w:val="14"/>
                <w:szCs w:val="14"/>
              </w:rPr>
              <w:t>61</w:t>
            </w:r>
            <w:r w:rsidRPr="009E6F9C">
              <w:rPr>
                <w:rFonts w:ascii="Times New Roman" w:hAnsi="Times New Roman" w:cs="Times New Roman"/>
                <w:sz w:val="14"/>
                <w:szCs w:val="14"/>
              </w:rPr>
              <w:t xml:space="preserve"> </w:t>
            </w:r>
            <w:r w:rsidR="009E6F9C">
              <w:rPr>
                <w:rFonts w:ascii="Times New Roman" w:hAnsi="Times New Roman" w:cs="Times New Roman"/>
                <w:sz w:val="14"/>
                <w:szCs w:val="14"/>
              </w:rPr>
              <w:t>714</w:t>
            </w:r>
          </w:p>
        </w:tc>
        <w:tc>
          <w:tcPr>
            <w:tcW w:w="93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9E6F9C" w:rsidP="009E6F9C">
            <w:pPr>
              <w:autoSpaceDE w:val="0"/>
              <w:autoSpaceDN w:val="0"/>
              <w:bidi w:val="0"/>
              <w:adjustRightInd w:val="0"/>
              <w:jc w:val="right"/>
              <w:rPr>
                <w:rFonts w:ascii="Times New Roman" w:hAnsi="Times New Roman" w:cs="Times New Roman"/>
                <w:sz w:val="14"/>
                <w:szCs w:val="14"/>
              </w:rPr>
            </w:pPr>
            <w:r w:rsidRPr="009E6F9C">
              <w:rPr>
                <w:rFonts w:ascii="Times New Roman" w:hAnsi="Times New Roman" w:cs="Times New Roman"/>
                <w:sz w:val="14"/>
                <w:szCs w:val="14"/>
              </w:rPr>
              <w:t>37 80</w:t>
            </w:r>
            <w:r w:rsidR="009E6F9C">
              <w:rPr>
                <w:rFonts w:ascii="Times New Roman" w:hAnsi="Times New Roman" w:cs="Times New Roman"/>
                <w:sz w:val="14"/>
                <w:szCs w:val="14"/>
              </w:rPr>
              <w:t>8</w:t>
            </w:r>
            <w:r w:rsidRPr="009E6F9C">
              <w:rPr>
                <w:rFonts w:ascii="Times New Roman" w:hAnsi="Times New Roman" w:cs="Times New Roman"/>
                <w:sz w:val="14"/>
                <w:szCs w:val="14"/>
              </w:rPr>
              <w:t xml:space="preserve"> </w:t>
            </w:r>
            <w:r w:rsidR="009E6F9C">
              <w:rPr>
                <w:rFonts w:ascii="Times New Roman" w:hAnsi="Times New Roman" w:cs="Times New Roman"/>
                <w:sz w:val="14"/>
                <w:szCs w:val="14"/>
              </w:rPr>
              <w:t>676</w:t>
            </w:r>
          </w:p>
        </w:tc>
      </w:tr>
      <w:tr>
        <w:tblPrEx>
          <w:tblW w:w="0" w:type="auto"/>
          <w:tblInd w:w="55" w:type="dxa"/>
          <w:tblLayout w:type="fixed"/>
          <w:tblCellMar>
            <w:left w:w="70" w:type="dxa"/>
            <w:right w:w="70" w:type="dxa"/>
          </w:tblCellMar>
        </w:tblPrEx>
        <w:trPr>
          <w:trHeight w:val="256"/>
        </w:trPr>
        <w:tc>
          <w:tcPr>
            <w:tcW w:w="2567"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9E6F9C" w:rsidP="006338E5">
            <w:pPr>
              <w:bidi w:val="0"/>
              <w:rPr>
                <w:rFonts w:ascii="Times New Roman" w:hAnsi="Times New Roman" w:cs="Times New Roman"/>
                <w:sz w:val="14"/>
                <w:szCs w:val="14"/>
              </w:rPr>
            </w:pPr>
            <w:r w:rsidRPr="009E6F9C">
              <w:rPr>
                <w:rFonts w:ascii="Times New Roman" w:hAnsi="Times New Roman" w:cs="Times New Roman"/>
                <w:sz w:val="14"/>
                <w:szCs w:val="14"/>
              </w:rPr>
              <w:t>Inštitút pre verejnú správu (PO)</w:t>
            </w:r>
          </w:p>
        </w:tc>
        <w:tc>
          <w:tcPr>
            <w:tcW w:w="931" w:type="dxa"/>
            <w:tcBorders>
              <w:top w:val="single" w:sz="4" w:space="0" w:color="auto"/>
              <w:left w:val="single" w:sz="4" w:space="0" w:color="auto"/>
              <w:bottom w:val="single" w:sz="4" w:space="0" w:color="auto"/>
              <w:right w:val="single" w:sz="4" w:space="0" w:color="auto"/>
            </w:tcBorders>
            <w:textDirection w:val="lrTb"/>
            <w:vAlign w:val="center"/>
          </w:tcPr>
          <w:p w:rsidR="009D2A34" w:rsidRPr="009E6F9C" w:rsidP="006338E5">
            <w:pPr>
              <w:bidi w:val="0"/>
              <w:jc w:val="right"/>
              <w:rPr>
                <w:rFonts w:ascii="Times New Roman" w:hAnsi="Times New Roman" w:cs="Times New Roman"/>
                <w:sz w:val="14"/>
                <w:szCs w:val="14"/>
              </w:rPr>
            </w:pPr>
            <w:r w:rsidRPr="009E6F9C">
              <w:rPr>
                <w:rFonts w:ascii="Times New Roman" w:hAnsi="Times New Roman" w:cs="Times New Roman"/>
                <w:sz w:val="14"/>
                <w:szCs w:val="14"/>
              </w:rPr>
              <w:t>472 336</w:t>
            </w:r>
          </w:p>
        </w:tc>
        <w:tc>
          <w:tcPr>
            <w:tcW w:w="931" w:type="dxa"/>
            <w:tcBorders>
              <w:top w:val="single" w:sz="4" w:space="0" w:color="auto"/>
              <w:left w:val="single" w:sz="4" w:space="0" w:color="auto"/>
              <w:bottom w:val="single" w:sz="4" w:space="0" w:color="auto"/>
              <w:right w:val="single" w:sz="4" w:space="0" w:color="auto"/>
            </w:tcBorders>
            <w:textDirection w:val="lrTb"/>
            <w:vAlign w:val="center"/>
          </w:tcPr>
          <w:p w:rsidR="009D2A34" w:rsidRPr="009E6F9C" w:rsidP="009E6F9C">
            <w:pPr>
              <w:bidi w:val="0"/>
              <w:jc w:val="right"/>
              <w:rPr>
                <w:rFonts w:ascii="Times New Roman" w:hAnsi="Times New Roman" w:cs="Times New Roman"/>
                <w:sz w:val="14"/>
                <w:szCs w:val="14"/>
              </w:rPr>
            </w:pPr>
            <w:r w:rsidRPr="009E6F9C">
              <w:rPr>
                <w:rFonts w:ascii="Times New Roman" w:hAnsi="Times New Roman" w:cs="Times New Roman"/>
                <w:sz w:val="14"/>
                <w:szCs w:val="14"/>
              </w:rPr>
              <w:t>3</w:t>
            </w:r>
            <w:r w:rsidR="009E6F9C">
              <w:rPr>
                <w:rFonts w:ascii="Times New Roman" w:hAnsi="Times New Roman" w:cs="Times New Roman"/>
                <w:sz w:val="14"/>
                <w:szCs w:val="14"/>
              </w:rPr>
              <w:t>99</w:t>
            </w:r>
            <w:r w:rsidRPr="009E6F9C">
              <w:rPr>
                <w:rFonts w:ascii="Times New Roman" w:hAnsi="Times New Roman" w:cs="Times New Roman"/>
                <w:sz w:val="14"/>
                <w:szCs w:val="14"/>
              </w:rPr>
              <w:t xml:space="preserve"> 4</w:t>
            </w:r>
            <w:r w:rsidR="009E6F9C">
              <w:rPr>
                <w:rFonts w:ascii="Times New Roman" w:hAnsi="Times New Roman" w:cs="Times New Roman"/>
                <w:sz w:val="14"/>
                <w:szCs w:val="14"/>
              </w:rPr>
              <w:t>64</w:t>
            </w:r>
          </w:p>
        </w:tc>
        <w:tc>
          <w:tcPr>
            <w:tcW w:w="932" w:type="dxa"/>
            <w:tcBorders>
              <w:top w:val="single" w:sz="4" w:space="0" w:color="auto"/>
              <w:left w:val="single" w:sz="4" w:space="0" w:color="auto"/>
              <w:bottom w:val="single" w:sz="4" w:space="0" w:color="auto"/>
              <w:right w:val="single" w:sz="4" w:space="0" w:color="auto"/>
            </w:tcBorders>
            <w:textDirection w:val="lrTb"/>
            <w:vAlign w:val="center"/>
          </w:tcPr>
          <w:p w:rsidR="009D2A34" w:rsidRPr="009E6F9C" w:rsidP="006338E5">
            <w:pPr>
              <w:autoSpaceDE w:val="0"/>
              <w:autoSpaceDN w:val="0"/>
              <w:bidi w:val="0"/>
              <w:adjustRightInd w:val="0"/>
              <w:jc w:val="right"/>
              <w:rPr>
                <w:rFonts w:ascii="Times New Roman" w:hAnsi="Times New Roman" w:cs="Times New Roman"/>
                <w:sz w:val="14"/>
                <w:szCs w:val="14"/>
              </w:rPr>
            </w:pPr>
            <w:r w:rsidRPr="009E6F9C">
              <w:rPr>
                <w:rFonts w:ascii="Times New Roman" w:hAnsi="Times New Roman" w:cs="Times New Roman"/>
                <w:sz w:val="14"/>
                <w:szCs w:val="14"/>
              </w:rPr>
              <w:t>315 343</w:t>
            </w:r>
          </w:p>
        </w:tc>
        <w:tc>
          <w:tcPr>
            <w:tcW w:w="931" w:type="dxa"/>
            <w:tcBorders>
              <w:top w:val="single" w:sz="4" w:space="0" w:color="auto"/>
              <w:left w:val="single" w:sz="4" w:space="0" w:color="auto"/>
              <w:bottom w:val="single" w:sz="4" w:space="0" w:color="auto"/>
              <w:right w:val="single" w:sz="4" w:space="0" w:color="auto"/>
            </w:tcBorders>
            <w:textDirection w:val="lrTb"/>
            <w:vAlign w:val="center"/>
          </w:tcPr>
          <w:p w:rsidR="009D2A34" w:rsidRPr="009E6F9C" w:rsidP="006338E5">
            <w:pPr>
              <w:autoSpaceDE w:val="0"/>
              <w:autoSpaceDN w:val="0"/>
              <w:bidi w:val="0"/>
              <w:adjustRightInd w:val="0"/>
              <w:jc w:val="right"/>
              <w:rPr>
                <w:rFonts w:ascii="Times New Roman" w:hAnsi="Times New Roman" w:cs="Times New Roman"/>
                <w:sz w:val="14"/>
                <w:szCs w:val="14"/>
              </w:rPr>
            </w:pPr>
            <w:r w:rsidRPr="009E6F9C">
              <w:rPr>
                <w:rFonts w:ascii="Times New Roman" w:hAnsi="Times New Roman" w:cs="Times New Roman"/>
                <w:sz w:val="14"/>
                <w:szCs w:val="14"/>
              </w:rPr>
              <w:t>315 343</w:t>
            </w:r>
          </w:p>
        </w:tc>
        <w:tc>
          <w:tcPr>
            <w:tcW w:w="932" w:type="dxa"/>
            <w:tcBorders>
              <w:top w:val="single" w:sz="4" w:space="0" w:color="auto"/>
              <w:left w:val="single" w:sz="4" w:space="0" w:color="auto"/>
              <w:bottom w:val="single" w:sz="4" w:space="0" w:color="auto"/>
              <w:right w:val="single" w:sz="4" w:space="0" w:color="auto"/>
            </w:tcBorders>
            <w:textDirection w:val="lrTb"/>
            <w:vAlign w:val="center"/>
          </w:tcPr>
          <w:p w:rsidR="009D2A34" w:rsidRPr="009E6F9C" w:rsidP="006338E5">
            <w:pPr>
              <w:autoSpaceDE w:val="0"/>
              <w:autoSpaceDN w:val="0"/>
              <w:bidi w:val="0"/>
              <w:adjustRightInd w:val="0"/>
              <w:jc w:val="right"/>
              <w:rPr>
                <w:rFonts w:ascii="Times New Roman" w:hAnsi="Times New Roman" w:cs="Times New Roman"/>
                <w:sz w:val="14"/>
                <w:szCs w:val="14"/>
              </w:rPr>
            </w:pPr>
            <w:r w:rsidRPr="009E6F9C">
              <w:rPr>
                <w:rFonts w:ascii="Times New Roman" w:hAnsi="Times New Roman" w:cs="Times New Roman"/>
                <w:sz w:val="14"/>
                <w:szCs w:val="14"/>
              </w:rPr>
              <w:t>315 343</w:t>
            </w:r>
          </w:p>
        </w:tc>
        <w:tc>
          <w:tcPr>
            <w:tcW w:w="931" w:type="dxa"/>
            <w:tcBorders>
              <w:top w:val="single" w:sz="4" w:space="0" w:color="auto"/>
              <w:left w:val="single" w:sz="4" w:space="0" w:color="auto"/>
              <w:bottom w:val="single" w:sz="4" w:space="0" w:color="auto"/>
              <w:right w:val="single" w:sz="4" w:space="0" w:color="auto"/>
            </w:tcBorders>
            <w:textDirection w:val="lrTb"/>
            <w:vAlign w:val="center"/>
          </w:tcPr>
          <w:p w:rsidR="009D2A34" w:rsidRPr="009E6F9C" w:rsidP="006338E5">
            <w:pPr>
              <w:autoSpaceDE w:val="0"/>
              <w:autoSpaceDN w:val="0"/>
              <w:bidi w:val="0"/>
              <w:adjustRightInd w:val="0"/>
              <w:jc w:val="right"/>
              <w:rPr>
                <w:rFonts w:ascii="Times New Roman" w:hAnsi="Times New Roman" w:cs="Times New Roman"/>
                <w:sz w:val="14"/>
                <w:szCs w:val="14"/>
              </w:rPr>
            </w:pPr>
            <w:r w:rsidRPr="009E6F9C">
              <w:rPr>
                <w:rFonts w:ascii="Times New Roman" w:hAnsi="Times New Roman" w:cs="Times New Roman"/>
                <w:sz w:val="14"/>
                <w:szCs w:val="14"/>
              </w:rPr>
              <w:t>315 343</w:t>
            </w:r>
          </w:p>
        </w:tc>
        <w:tc>
          <w:tcPr>
            <w:tcW w:w="93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9E6F9C">
              <w:rPr>
                <w:rFonts w:ascii="Times New Roman" w:hAnsi="Times New Roman" w:cs="Times New Roman"/>
                <w:sz w:val="14"/>
                <w:szCs w:val="14"/>
              </w:rPr>
              <w:t>315 343</w:t>
            </w:r>
          </w:p>
        </w:tc>
      </w:tr>
    </w:tbl>
    <w:p w:rsidR="009D2A34" w:rsidRPr="00F72547"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 xml:space="preserve">Na osobitný účet sa rozpočtujú na rok 2013 výdavky v sume 35,6 mil. eur, čo je oproti schválenému rozpočtu roku 2012 nárast o 7,58 mil. eur. Od 1. </w:t>
      </w:r>
      <w:r>
        <w:rPr>
          <w:rFonts w:ascii="Times New Roman" w:hAnsi="Times New Roman" w:cs="Times New Roman"/>
        </w:rPr>
        <w:t>januára</w:t>
      </w:r>
      <w:r w:rsidRPr="00F72547">
        <w:rPr>
          <w:rFonts w:ascii="Times New Roman" w:hAnsi="Times New Roman" w:cs="Times New Roman"/>
        </w:rPr>
        <w:t xml:space="preserve"> 2008 patria do sociálneho zabezpečenia policajtov a vojakov v súlade so zákonom č. 328/2002 Z. z. o sociálnom zabezpečení policajtov a vojakov aj príslušníci Hasičského záchranného zboru a tiež príslušníci Horskej záchrannej služby. </w:t>
      </w:r>
    </w:p>
    <w:p w:rsidR="009D2A34" w:rsidRPr="00F72547" w:rsidP="009D2A34">
      <w:pPr>
        <w:bidi w:val="0"/>
        <w:jc w:val="both"/>
        <w:rPr>
          <w:rFonts w:ascii="Times New Roman" w:hAnsi="Times New Roman" w:cs="Times New Roman"/>
          <w:highlight w:val="yellow"/>
        </w:rPr>
      </w:pPr>
    </w:p>
    <w:tbl>
      <w:tblPr>
        <w:tblStyle w:val="TableNormal"/>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2129"/>
        <w:gridCol w:w="993"/>
        <w:gridCol w:w="993"/>
        <w:gridCol w:w="992"/>
        <w:gridCol w:w="992"/>
        <w:gridCol w:w="992"/>
        <w:gridCol w:w="992"/>
        <w:gridCol w:w="989"/>
      </w:tblGrid>
      <w:tr>
        <w:tblPrEx>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58"/>
        </w:trPr>
        <w:tc>
          <w:tcPr>
            <w:tcW w:w="1173"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rPr>
                <w:rFonts w:ascii="Times New Roman" w:hAnsi="Times New Roman" w:cs="Times New Roman"/>
                <w:b/>
                <w:bCs/>
                <w:sz w:val="14"/>
                <w:szCs w:val="14"/>
              </w:rPr>
            </w:pPr>
            <w:r w:rsidRPr="00F72547">
              <w:rPr>
                <w:rFonts w:ascii="Times New Roman" w:hAnsi="Times New Roman" w:cs="Times New Roman"/>
                <w:b/>
                <w:bCs/>
                <w:sz w:val="14"/>
                <w:szCs w:val="14"/>
              </w:rPr>
              <w:t>v eurách</w:t>
            </w:r>
          </w:p>
        </w:tc>
        <w:tc>
          <w:tcPr>
            <w:tcW w:w="547"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2010 S</w:t>
            </w:r>
          </w:p>
        </w:tc>
        <w:tc>
          <w:tcPr>
            <w:tcW w:w="547"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2011 S</w:t>
            </w:r>
          </w:p>
        </w:tc>
        <w:tc>
          <w:tcPr>
            <w:tcW w:w="547"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2012 R</w:t>
            </w:r>
          </w:p>
        </w:tc>
        <w:tc>
          <w:tcPr>
            <w:tcW w:w="547"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2012 OS</w:t>
            </w:r>
          </w:p>
        </w:tc>
        <w:tc>
          <w:tcPr>
            <w:tcW w:w="547"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2013 N</w:t>
            </w:r>
          </w:p>
        </w:tc>
        <w:tc>
          <w:tcPr>
            <w:tcW w:w="547"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2014 N</w:t>
            </w:r>
          </w:p>
        </w:tc>
        <w:tc>
          <w:tcPr>
            <w:tcW w:w="545"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2015 N</w:t>
            </w:r>
          </w:p>
        </w:tc>
      </w:tr>
      <w:tr>
        <w:tblPrEx>
          <w:tblW w:w="4924" w:type="pct"/>
          <w:tblInd w:w="70" w:type="dxa"/>
          <w:tblCellMar>
            <w:left w:w="70" w:type="dxa"/>
            <w:right w:w="70" w:type="dxa"/>
          </w:tblCellMar>
        </w:tblPrEx>
        <w:trPr>
          <w:trHeight w:val="258"/>
        </w:trPr>
        <w:tc>
          <w:tcPr>
            <w:tcW w:w="1173"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rPr>
                <w:rFonts w:ascii="Times New Roman" w:hAnsi="Times New Roman" w:cs="Times New Roman"/>
                <w:b/>
                <w:sz w:val="14"/>
                <w:szCs w:val="14"/>
              </w:rPr>
            </w:pPr>
            <w:r w:rsidRPr="00F72547">
              <w:rPr>
                <w:rFonts w:ascii="Times New Roman" w:hAnsi="Times New Roman" w:cs="Times New Roman"/>
                <w:b/>
                <w:sz w:val="14"/>
                <w:szCs w:val="14"/>
              </w:rPr>
              <w:t>osobitný účet, z toho:</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215 526</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6 146 100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28 108 600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27 843 100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35 698 500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43 416 400</w:t>
            </w:r>
          </w:p>
        </w:tc>
        <w:tc>
          <w:tcPr>
            <w:tcW w:w="545"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43 416 400</w:t>
            </w:r>
          </w:p>
        </w:tc>
      </w:tr>
      <w:tr>
        <w:tblPrEx>
          <w:tblW w:w="4924" w:type="pct"/>
          <w:tblInd w:w="70" w:type="dxa"/>
          <w:tblCellMar>
            <w:left w:w="70" w:type="dxa"/>
            <w:right w:w="70" w:type="dxa"/>
          </w:tblCellMar>
        </w:tblPrEx>
        <w:trPr>
          <w:trHeight w:val="258"/>
        </w:trPr>
        <w:tc>
          <w:tcPr>
            <w:tcW w:w="1173"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 xml:space="preserve">     úrad soc. zabezpečenia*</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215 526</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265 500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265 500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545"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r>
      <w:tr>
        <w:tblPrEx>
          <w:tblW w:w="4924" w:type="pct"/>
          <w:tblInd w:w="70" w:type="dxa"/>
          <w:tblCellMar>
            <w:left w:w="70" w:type="dxa"/>
            <w:right w:w="70" w:type="dxa"/>
          </w:tblCellMar>
        </w:tblPrEx>
        <w:trPr>
          <w:trHeight w:val="258"/>
        </w:trPr>
        <w:tc>
          <w:tcPr>
            <w:tcW w:w="1173"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 xml:space="preserve">     transfer na osobitný účet</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5 880 600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27 843 100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27 843 100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35 698 500</w:t>
            </w:r>
          </w:p>
        </w:tc>
        <w:tc>
          <w:tcPr>
            <w:tcW w:w="547" w:type="pct"/>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43 416 400</w:t>
            </w:r>
          </w:p>
        </w:tc>
        <w:tc>
          <w:tcPr>
            <w:tcW w:w="545"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43 416 400</w:t>
            </w:r>
          </w:p>
        </w:tc>
      </w:tr>
    </w:tbl>
    <w:p w:rsidR="009D2A34" w:rsidRPr="00F72547" w:rsidP="009D2A34">
      <w:pPr>
        <w:bidi w:val="0"/>
        <w:jc w:val="both"/>
        <w:rPr>
          <w:rFonts w:ascii="Times New Roman" w:hAnsi="Times New Roman" w:cs="Times New Roman"/>
          <w:bCs/>
          <w:sz w:val="14"/>
          <w:szCs w:val="14"/>
        </w:rPr>
      </w:pPr>
      <w:r w:rsidRPr="00F72547">
        <w:rPr>
          <w:rFonts w:ascii="Times New Roman" w:hAnsi="Times New Roman" w:cs="Times New Roman"/>
          <w:bCs/>
          <w:sz w:val="14"/>
          <w:szCs w:val="14"/>
        </w:rPr>
        <w:t>* rozpočtuje sa v časti riadiaca a kontrolná činnosť</w:t>
      </w:r>
    </w:p>
    <w:p w:rsidR="009D2A34" w:rsidRPr="00F72547" w:rsidP="009D2A34">
      <w:pPr>
        <w:bidi w:val="0"/>
        <w:jc w:val="both"/>
        <w:rPr>
          <w:rFonts w:ascii="Times New Roman" w:hAnsi="Times New Roman" w:cs="Times New Roman"/>
          <w:b/>
          <w:bCs/>
        </w:rPr>
      </w:pPr>
    </w:p>
    <w:p w:rsidR="009D2A34" w:rsidRPr="00F72547" w:rsidP="009D2A34">
      <w:pPr>
        <w:bidi w:val="0"/>
        <w:jc w:val="both"/>
        <w:rPr>
          <w:rFonts w:ascii="Times New Roman" w:hAnsi="Times New Roman" w:cs="Times New Roman"/>
          <w:b/>
          <w:bCs/>
        </w:rPr>
      </w:pPr>
      <w:r w:rsidRPr="00F72547">
        <w:rPr>
          <w:rFonts w:ascii="Times New Roman" w:hAnsi="Times New Roman" w:cs="Times New Roman"/>
          <w:b/>
          <w:bCs/>
        </w:rPr>
        <w:t>Verejná správa</w:t>
      </w:r>
    </w:p>
    <w:p w:rsidR="009D2A34" w:rsidRPr="00F72547" w:rsidP="009D2A34">
      <w:pPr>
        <w:bidi w:val="0"/>
        <w:jc w:val="both"/>
        <w:rPr>
          <w:rFonts w:ascii="Times New Roman" w:hAnsi="Times New Roman" w:cs="Times New Roman"/>
          <w:b/>
          <w:bCs/>
          <w:highlight w:val="yellow"/>
        </w:rPr>
      </w:pP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268"/>
        <w:gridCol w:w="972"/>
        <w:gridCol w:w="972"/>
        <w:gridCol w:w="972"/>
        <w:gridCol w:w="972"/>
        <w:gridCol w:w="972"/>
        <w:gridCol w:w="972"/>
        <w:gridCol w:w="972"/>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rPr>
                <w:rFonts w:ascii="Times New Roman" w:hAnsi="Times New Roman" w:cs="Times New Roman"/>
                <w:b/>
                <w:bCs/>
                <w:sz w:val="14"/>
                <w:szCs w:val="14"/>
              </w:rPr>
            </w:pPr>
            <w:r w:rsidRPr="00F72547">
              <w:rPr>
                <w:rFonts w:ascii="Times New Roman" w:hAnsi="Times New Roman" w:cs="Times New Roman"/>
                <w:b/>
                <w:bCs/>
                <w:sz w:val="14"/>
                <w:szCs w:val="14"/>
              </w:rPr>
              <w:t> v eurách</w:t>
            </w:r>
          </w:p>
        </w:tc>
        <w:tc>
          <w:tcPr>
            <w:tcW w:w="97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2010 S</w:t>
            </w:r>
          </w:p>
        </w:tc>
        <w:tc>
          <w:tcPr>
            <w:tcW w:w="97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2011 S</w:t>
            </w:r>
          </w:p>
        </w:tc>
        <w:tc>
          <w:tcPr>
            <w:tcW w:w="97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2012 R</w:t>
            </w:r>
          </w:p>
        </w:tc>
        <w:tc>
          <w:tcPr>
            <w:tcW w:w="97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2012 OS</w:t>
            </w:r>
          </w:p>
        </w:tc>
        <w:tc>
          <w:tcPr>
            <w:tcW w:w="97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2013 N</w:t>
            </w:r>
          </w:p>
        </w:tc>
        <w:tc>
          <w:tcPr>
            <w:tcW w:w="97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2014 N</w:t>
            </w:r>
          </w:p>
        </w:tc>
        <w:tc>
          <w:tcPr>
            <w:tcW w:w="97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bCs/>
                <w:sz w:val="14"/>
                <w:szCs w:val="14"/>
              </w:rPr>
            </w:pPr>
            <w:r w:rsidRPr="00F72547">
              <w:rPr>
                <w:rFonts w:ascii="Times New Roman" w:hAnsi="Times New Roman" w:cs="Times New Roman"/>
                <w:b/>
                <w:bCs/>
                <w:sz w:val="14"/>
                <w:szCs w:val="14"/>
              </w:rPr>
              <w:t>2015 N</w:t>
            </w:r>
          </w:p>
        </w:tc>
      </w:tr>
      <w:tr>
        <w:tblPrEx>
          <w:tblW w:w="9072" w:type="dxa"/>
          <w:tblInd w:w="70" w:type="dxa"/>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D2A34" w:rsidRPr="00F72547" w:rsidP="006338E5">
            <w:pPr>
              <w:bidi w:val="0"/>
              <w:rPr>
                <w:rFonts w:ascii="Times New Roman" w:hAnsi="Times New Roman" w:cs="Times New Roman"/>
                <w:b/>
                <w:bCs/>
                <w:sz w:val="14"/>
                <w:szCs w:val="14"/>
              </w:rPr>
            </w:pPr>
            <w:r w:rsidRPr="00F72547">
              <w:rPr>
                <w:rFonts w:ascii="Times New Roman" w:hAnsi="Times New Roman" w:cs="Times New Roman"/>
                <w:b/>
                <w:bCs/>
                <w:sz w:val="14"/>
                <w:szCs w:val="14"/>
              </w:rPr>
              <w:t>Verejná správa</w:t>
            </w:r>
          </w:p>
        </w:tc>
        <w:tc>
          <w:tcPr>
            <w:tcW w:w="97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bCs/>
                <w:sz w:val="14"/>
                <w:szCs w:val="14"/>
              </w:rPr>
            </w:pPr>
            <w:r w:rsidRPr="00F72547">
              <w:rPr>
                <w:rFonts w:ascii="Times New Roman" w:hAnsi="Times New Roman" w:cs="Times New Roman"/>
                <w:b/>
                <w:bCs/>
                <w:sz w:val="14"/>
                <w:szCs w:val="14"/>
              </w:rPr>
              <w:t>102 144 321</w:t>
            </w:r>
          </w:p>
        </w:tc>
        <w:tc>
          <w:tcPr>
            <w:tcW w:w="97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bCs/>
                <w:sz w:val="14"/>
                <w:szCs w:val="14"/>
                <w:highlight w:val="yellow"/>
              </w:rPr>
            </w:pPr>
            <w:r w:rsidRPr="00F72547">
              <w:rPr>
                <w:rFonts w:ascii="Times New Roman" w:hAnsi="Times New Roman" w:cs="Times New Roman"/>
                <w:b/>
                <w:bCs/>
                <w:sz w:val="14"/>
                <w:szCs w:val="14"/>
              </w:rPr>
              <w:t>90 180 440</w:t>
            </w:r>
          </w:p>
        </w:tc>
        <w:tc>
          <w:tcPr>
            <w:tcW w:w="97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62 746 201</w:t>
            </w:r>
          </w:p>
        </w:tc>
        <w:tc>
          <w:tcPr>
            <w:tcW w:w="97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65 640 641</w:t>
            </w:r>
          </w:p>
        </w:tc>
        <w:tc>
          <w:tcPr>
            <w:tcW w:w="97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62 094 449</w:t>
            </w:r>
          </w:p>
        </w:tc>
        <w:tc>
          <w:tcPr>
            <w:tcW w:w="97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79 162 357</w:t>
            </w:r>
          </w:p>
        </w:tc>
        <w:tc>
          <w:tcPr>
            <w:tcW w:w="97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53 577 466</w:t>
            </w:r>
          </w:p>
        </w:tc>
      </w:tr>
      <w:tr>
        <w:tblPrEx>
          <w:tblW w:w="9072" w:type="dxa"/>
          <w:tblInd w:w="70" w:type="dxa"/>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Riadenie a výkon obvodných úradov</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73 277 968</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82 713 795</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47 069 824</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47 715 491</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46 186 001</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46 219 670</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46 219 670</w:t>
            </w:r>
          </w:p>
        </w:tc>
      </w:tr>
      <w:tr>
        <w:tblPrEx>
          <w:tblW w:w="9072" w:type="dxa"/>
          <w:tblInd w:w="70" w:type="dxa"/>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Archívnictvo</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7 379 440</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7 371 150</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6 595 168</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7 618 935</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6 803 160</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6 493 229</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6 493 229</w:t>
            </w:r>
          </w:p>
        </w:tc>
      </w:tr>
      <w:tr>
        <w:tblPrEx>
          <w:tblW w:w="9072" w:type="dxa"/>
          <w:tblInd w:w="70" w:type="dxa"/>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Voľby</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18 344 800</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95 495</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9 081 209</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10 306 215</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9 105 288</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26 449 458</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864 567</w:t>
            </w:r>
          </w:p>
        </w:tc>
      </w:tr>
      <w:tr>
        <w:tblPrEx>
          <w:tblW w:w="9072" w:type="dxa"/>
          <w:tblInd w:w="70" w:type="dxa"/>
          <w:tblLayout w:type="fixed"/>
          <w:tblCellMar>
            <w:left w:w="70" w:type="dxa"/>
            <w:right w:w="70" w:type="dxa"/>
          </w:tblCellMar>
        </w:tblPrEx>
        <w:trPr>
          <w:trHeight w:val="263"/>
        </w:trPr>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Územný rozvoj</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3 142 113</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7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r>
    </w:tbl>
    <w:p w:rsidR="009D2A34" w:rsidRPr="00F72547" w:rsidP="009D2A34">
      <w:pPr>
        <w:bidi w:val="0"/>
        <w:jc w:val="both"/>
        <w:rPr>
          <w:rFonts w:ascii="Times New Roman" w:hAnsi="Times New Roman" w:cs="Times New Roman"/>
          <w:highlight w:val="yellow"/>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Na verejnú správu v pôsobnosti MV SR sa na rok 2013 rozpočtujú výdavky v sume 62,1 mil. eur, čo oproti schválenému rozpočtu roka 2012 znamená pokles o 652 tis. eur, t. j. 1,04 %.</w:t>
      </w:r>
    </w:p>
    <w:p w:rsidR="009D2A34" w:rsidRPr="00F72547" w:rsidP="009D2A34">
      <w:pPr>
        <w:bidi w:val="0"/>
        <w:jc w:val="both"/>
        <w:rPr>
          <w:rFonts w:ascii="Times New Roman" w:hAnsi="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 xml:space="preserve">V rámci uvedeného programu je potrebné pre objektivizáciu vylúčiť v oboch rokoch výdavky na voľby. V tom prípade osobné výdavky klesajú medziročne o 3,21 % </w:t>
        <w:br/>
        <w:t>(1,11 mil. eur). Výdavky na tovary a služby medziročne rastú o 0,57 %. Výdavky na bežné transfery zostali na úrovni predchádzajúceho roka. Kapitálové výdavky sa na rok 2013 rozpočtujú v sume 380 tis. eur, v roku 2012 sa nerozpočtovali.</w:t>
      </w:r>
    </w:p>
    <w:p w:rsidR="009D2A34" w:rsidRPr="00F72547"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highlight w:val="yellow"/>
        </w:rPr>
      </w:pPr>
      <w:r w:rsidRPr="00F72547">
        <w:rPr>
          <w:rFonts w:ascii="Times New Roman" w:hAnsi="Times New Roman" w:cs="Times New Roman"/>
        </w:rPr>
        <w:t>Rozpočtované výdavky na rok 2013 určené na riadenie a výkon obvodných úradov rastú oproti schválenému rozpočtu roka 2012 o 208 tis. eur, čo je 3,15% nárast. Obvodné úrady plnia najmä úlohy v oblasti všeobecnej vnútornej správy, živnostenského podnikania a civilnej ochrany a krízového manažmentu. V rámci všeobecnej vnútornej správy sa plnia úlohy na úseku priestupkov, matrík, na úseku územného a správneho usporiadania, štátnych symbolov, verejných zbierok a sčítania obyvateľov, na úseku volieb a referenda, na úseku hlásenia pobytu občanov a registra obyvateľov, na úseku registrácie, na úseku vydávania osobitných označení vozidiel a preukazov osobitných označení vozidiel a na úseku štátneho občianstva.</w:t>
      </w:r>
    </w:p>
    <w:p w:rsidR="009D2A34" w:rsidRPr="00F72547" w:rsidP="009D2A34">
      <w:pPr>
        <w:bidi w:val="0"/>
        <w:jc w:val="both"/>
        <w:rPr>
          <w:rFonts w:ascii="Times New Roman" w:hAnsi="Times New Roman" w:cs="Times New Roman"/>
          <w:highlight w:val="yellow"/>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Na prenesený výkon štátnej správy sa rozpočtujú výdavky na úseku matrík v sume 5,84 mil. eur a na úseku hlásenia pobytu občanov a registra obyvateľov v sume 1,80 mil. eur. Výdavky na prenesený výkon štátnej správy sa v roku 2013 rozpočtujú v sume 7,64 mil. eur, čo predstavuje úroveň roka 2012.</w:t>
      </w:r>
    </w:p>
    <w:p w:rsidR="009D2A34" w:rsidRPr="00F72547" w:rsidP="009D2A34">
      <w:pPr>
        <w:bidi w:val="0"/>
        <w:jc w:val="both"/>
        <w:rPr>
          <w:rFonts w:ascii="Times New Roman" w:hAnsi="Times New Roman" w:cs="Times New Roman"/>
          <w:highlight w:val="yellow"/>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 xml:space="preserve">Na plnenie úloh štátnej správy </w:t>
      </w:r>
      <w:r w:rsidRPr="00F72547">
        <w:rPr>
          <w:rFonts w:ascii="Times New Roman" w:hAnsi="Times New Roman" w:cs="Times New Roman"/>
          <w:bCs/>
        </w:rPr>
        <w:t>na úseku archívov a registratúr</w:t>
      </w:r>
      <w:r w:rsidRPr="00F72547">
        <w:rPr>
          <w:rFonts w:ascii="Times New Roman" w:hAnsi="Times New Roman" w:cs="Times New Roman"/>
        </w:rPr>
        <w:t xml:space="preserve"> sú v pôsobnosti rezortu vnútra zriadené 2 štátne ústredné archívy a 8 štátnych archívov s územnou regionálnou pôsobnosťou, ktoré zabezpečujú starostlivosť o archívne dokumenty, ich odborné a vedecké spracovanie a sprístupnenie, ako aj využívanie na vedecké a iné účely.</w:t>
      </w:r>
    </w:p>
    <w:p w:rsidR="009D2A34" w:rsidRPr="00F72547" w:rsidP="009D2A34">
      <w:pPr>
        <w:bidi w:val="0"/>
        <w:jc w:val="both"/>
        <w:rPr>
          <w:rFonts w:ascii="Times New Roman" w:hAnsi="Times New Roman" w:cs="Times New Roman"/>
        </w:rPr>
      </w:pP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142"/>
        <w:gridCol w:w="992"/>
        <w:gridCol w:w="992"/>
        <w:gridCol w:w="992"/>
        <w:gridCol w:w="992"/>
        <w:gridCol w:w="992"/>
        <w:gridCol w:w="992"/>
        <w:gridCol w:w="993"/>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rPr>
                <w:rFonts w:ascii="Times New Roman" w:hAnsi="Times New Roman" w:cs="Times New Roman"/>
                <w:b/>
                <w:sz w:val="14"/>
                <w:szCs w:val="14"/>
              </w:rPr>
            </w:pPr>
            <w:r w:rsidRPr="00F72547">
              <w:rPr>
                <w:rFonts w:ascii="Times New Roman" w:hAnsi="Times New Roman" w:cs="Times New Roman"/>
                <w:b/>
                <w:sz w:val="14"/>
                <w:szCs w:val="14"/>
              </w:rPr>
              <w:br w:type="page"/>
              <w:t> v eurách</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2010 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2011 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2012 R</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2012 OS</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2013 N</w:t>
            </w:r>
          </w:p>
        </w:tc>
        <w:tc>
          <w:tcPr>
            <w:tcW w:w="99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2014 N</w:t>
            </w:r>
          </w:p>
        </w:tc>
        <w:tc>
          <w:tcPr>
            <w:tcW w:w="99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2015 N</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D2A34" w:rsidRPr="00F72547" w:rsidP="006338E5">
            <w:pPr>
              <w:bidi w:val="0"/>
              <w:rPr>
                <w:rFonts w:ascii="Times New Roman" w:hAnsi="Times New Roman" w:cs="Times New Roman"/>
                <w:b/>
                <w:bCs/>
                <w:sz w:val="14"/>
                <w:szCs w:val="14"/>
              </w:rPr>
            </w:pPr>
            <w:r w:rsidRPr="00F72547">
              <w:rPr>
                <w:rFonts w:ascii="Times New Roman" w:hAnsi="Times New Roman" w:cs="Times New Roman"/>
                <w:b/>
                <w:bCs/>
                <w:sz w:val="14"/>
                <w:szCs w:val="14"/>
              </w:rPr>
              <w:t>Spolu</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18 344 800</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95 495</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9 081 209</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10 306 215</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9 105 288</w:t>
            </w:r>
          </w:p>
        </w:tc>
        <w:tc>
          <w:tcPr>
            <w:tcW w:w="99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26 449 458</w:t>
            </w:r>
          </w:p>
        </w:tc>
        <w:tc>
          <w:tcPr>
            <w:tcW w:w="993"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864 567</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color w:val="000000"/>
                <w:sz w:val="14"/>
                <w:szCs w:val="14"/>
              </w:rPr>
              <w:t>VÚC</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8 624 592</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345 220</w:t>
            </w:r>
          </w:p>
        </w:tc>
        <w:tc>
          <w:tcPr>
            <w:tcW w:w="993"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color w:val="000000"/>
                <w:sz w:val="14"/>
                <w:szCs w:val="14"/>
              </w:rPr>
            </w:pPr>
            <w:r w:rsidRPr="00F72547">
              <w:rPr>
                <w:rFonts w:ascii="Times New Roman" w:hAnsi="Times New Roman" w:cs="Times New Roman"/>
                <w:color w:val="000000"/>
                <w:sz w:val="14"/>
                <w:szCs w:val="14"/>
              </w:rPr>
              <w:t>Nové voľby - samospráva kraje</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232 350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16 597</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240 348</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249 831</w:t>
            </w:r>
          </w:p>
        </w:tc>
        <w:tc>
          <w:tcPr>
            <w:tcW w:w="993"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259 674</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color w:val="000000"/>
                <w:sz w:val="14"/>
                <w:szCs w:val="14"/>
              </w:rPr>
            </w:pPr>
            <w:r w:rsidRPr="00F72547">
              <w:rPr>
                <w:rFonts w:ascii="Times New Roman" w:hAnsi="Times New Roman" w:cs="Times New Roman"/>
                <w:color w:val="000000"/>
                <w:sz w:val="14"/>
                <w:szCs w:val="14"/>
              </w:rPr>
              <w:t>Voľby prezidenta</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9 741 129</w:t>
            </w:r>
          </w:p>
        </w:tc>
        <w:tc>
          <w:tcPr>
            <w:tcW w:w="993"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color w:val="000000"/>
                <w:sz w:val="14"/>
                <w:szCs w:val="14"/>
              </w:rPr>
            </w:pPr>
            <w:r w:rsidRPr="00F72547">
              <w:rPr>
                <w:rFonts w:ascii="Times New Roman" w:hAnsi="Times New Roman" w:cs="Times New Roman"/>
                <w:color w:val="000000"/>
                <w:sz w:val="14"/>
                <w:szCs w:val="14"/>
              </w:rPr>
              <w:t>Európsky parlament</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7 691 194</w:t>
            </w:r>
          </w:p>
        </w:tc>
        <w:tc>
          <w:tcPr>
            <w:tcW w:w="993"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color w:val="000000"/>
                <w:sz w:val="14"/>
                <w:szCs w:val="14"/>
              </w:rPr>
            </w:pPr>
            <w:r w:rsidRPr="00F72547">
              <w:rPr>
                <w:rFonts w:ascii="Times New Roman" w:hAnsi="Times New Roman" w:cs="Times New Roman"/>
                <w:color w:val="000000"/>
                <w:sz w:val="14"/>
                <w:szCs w:val="14"/>
              </w:rPr>
              <w:t>Obce</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6 022 829</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8 172 253</w:t>
            </w:r>
          </w:p>
        </w:tc>
        <w:tc>
          <w:tcPr>
            <w:tcW w:w="993"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345 220</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color w:val="000000"/>
                <w:sz w:val="14"/>
                <w:szCs w:val="14"/>
              </w:rPr>
            </w:pPr>
            <w:r w:rsidRPr="00F72547">
              <w:rPr>
                <w:rFonts w:ascii="Times New Roman" w:hAnsi="Times New Roman" w:cs="Times New Roman"/>
                <w:color w:val="000000"/>
                <w:sz w:val="14"/>
                <w:szCs w:val="14"/>
              </w:rPr>
              <w:t>Nové voľby - samospráva obce</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53 392</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95 494</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232 350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71 578</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240 348</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249 831</w:t>
            </w:r>
          </w:p>
        </w:tc>
        <w:tc>
          <w:tcPr>
            <w:tcW w:w="993"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259 673</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color w:val="000000"/>
                <w:sz w:val="14"/>
                <w:szCs w:val="14"/>
              </w:rPr>
            </w:pPr>
            <w:r w:rsidRPr="00F72547">
              <w:rPr>
                <w:rFonts w:ascii="Times New Roman" w:hAnsi="Times New Roman" w:cs="Times New Roman"/>
                <w:color w:val="000000"/>
                <w:sz w:val="14"/>
                <w:szCs w:val="14"/>
              </w:rPr>
              <w:t>NR SR</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8 525 018</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8 616 509</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10 218 040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3"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r>
      <w:tr>
        <w:tblPrEx>
          <w:tblW w:w="9087" w:type="dxa"/>
          <w:tblInd w:w="55" w:type="dxa"/>
          <w:tblLayout w:type="fixed"/>
          <w:tblCellMar>
            <w:left w:w="70" w:type="dxa"/>
            <w:right w:w="70" w:type="dxa"/>
          </w:tblCellMar>
        </w:tblPrEx>
        <w:trPr>
          <w:trHeight w:val="241"/>
        </w:trPr>
        <w:tc>
          <w:tcPr>
            <w:tcW w:w="214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color w:val="000000"/>
                <w:sz w:val="14"/>
                <w:szCs w:val="14"/>
              </w:rPr>
            </w:pPr>
            <w:r w:rsidRPr="00F72547">
              <w:rPr>
                <w:rFonts w:ascii="Times New Roman" w:hAnsi="Times New Roman" w:cs="Times New Roman"/>
                <w:color w:val="000000"/>
                <w:sz w:val="14"/>
                <w:szCs w:val="14"/>
              </w:rPr>
              <w:t>Referendum</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3 743 562</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93"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r>
    </w:tbl>
    <w:p w:rsidR="009D2A34" w:rsidRPr="00F72547" w:rsidP="009D2A34">
      <w:pPr>
        <w:bidi w:val="0"/>
        <w:jc w:val="both"/>
        <w:rPr>
          <w:rFonts w:ascii="Times New Roman" w:hAnsi="Times New Roman" w:cs="Times New Roman"/>
          <w:highlight w:val="yellow"/>
        </w:rPr>
      </w:pPr>
    </w:p>
    <w:p w:rsidR="009D2A34" w:rsidRPr="00F72547" w:rsidP="00515262">
      <w:pPr>
        <w:bidi w:val="0"/>
        <w:ind w:firstLine="708"/>
        <w:jc w:val="both"/>
        <w:rPr>
          <w:rFonts w:ascii="Times New Roman" w:hAnsi="Times New Roman" w:cs="Times New Roman"/>
          <w:highlight w:val="yellow"/>
        </w:rPr>
      </w:pPr>
      <w:r w:rsidRPr="00F72547">
        <w:rPr>
          <w:rFonts w:ascii="Times New Roman" w:hAnsi="Times New Roman" w:cs="Times New Roman"/>
        </w:rPr>
        <w:t>Na voľby do orgánov samosprávnych krajov sa v roku 2013 rozpočtujú výdavky v sume 8,62 tis. eur a na doplňujúce voľby do orgánov samosprávy obcí a krajov sa rozpočtujú výdavky v sume 480 tis. eur. V roku 2014 sa uskutočnia voľby do orgánov samospráv obcí, voľby do Európskeho parlamentu a voľby prezidenta, v roku 2015 sa rozpočtujú výdavky na doplňujúce voľby. Na bežné výdavky sa rozpočtuje suma 9,11 mil. eur a na kapitálové výdavky sa prostriedky nerozpočtujú.</w:t>
      </w:r>
    </w:p>
    <w:p w:rsidR="009D2A34" w:rsidRPr="00F72547" w:rsidP="009D2A34">
      <w:pPr>
        <w:bidi w:val="0"/>
        <w:jc w:val="both"/>
        <w:rPr>
          <w:rFonts w:ascii="Times New Roman" w:hAnsi="Times New Roman" w:cs="Times New Roman"/>
          <w:b/>
          <w:bCs/>
          <w:highlight w:val="yellow"/>
        </w:rPr>
      </w:pPr>
    </w:p>
    <w:p w:rsidR="009D2A34" w:rsidRPr="00F72547" w:rsidP="009D2A34">
      <w:pPr>
        <w:bidi w:val="0"/>
        <w:jc w:val="both"/>
        <w:rPr>
          <w:rFonts w:ascii="Times New Roman" w:hAnsi="Times New Roman" w:cs="Times New Roman"/>
          <w:b/>
          <w:bCs/>
        </w:rPr>
      </w:pPr>
      <w:r w:rsidRPr="00F72547">
        <w:rPr>
          <w:rFonts w:ascii="Times New Roman" w:hAnsi="Times New Roman" w:cs="Times New Roman"/>
          <w:b/>
          <w:bCs/>
        </w:rPr>
        <w:t>Administratívne a iné činnosti</w:t>
      </w:r>
    </w:p>
    <w:p w:rsidR="009D2A34" w:rsidRPr="00F72547" w:rsidP="009D2A34">
      <w:pPr>
        <w:bidi w:val="0"/>
        <w:jc w:val="both"/>
        <w:rPr>
          <w:rFonts w:ascii="Times New Roman" w:hAnsi="Times New Roman" w:cs="Times New Roman"/>
          <w:b/>
        </w:rPr>
      </w:pPr>
    </w:p>
    <w:p w:rsidR="009D2A34" w:rsidP="00515262">
      <w:pPr>
        <w:bidi w:val="0"/>
        <w:ind w:firstLine="708"/>
        <w:jc w:val="both"/>
        <w:rPr>
          <w:rFonts w:ascii="Times New Roman" w:hAnsi="Times New Roman" w:cs="Times New Roman"/>
        </w:rPr>
      </w:pPr>
      <w:r w:rsidRPr="00F72547">
        <w:rPr>
          <w:rFonts w:ascii="Times New Roman" w:hAnsi="Times New Roman" w:cs="Times New Roman"/>
        </w:rPr>
        <w:t>V danej oblasti sú rozpočtované výdavky na medzirezortné programy. Medziročne dochádza k poklesu rozpočtovaných výdavkov o sumu 14,6 tis. eur, čo predstavuje 3,91 %.</w:t>
      </w:r>
    </w:p>
    <w:p w:rsidR="00D83F50" w:rsidP="00515262">
      <w:pPr>
        <w:bidi w:val="0"/>
        <w:ind w:firstLine="708"/>
        <w:jc w:val="both"/>
        <w:rPr>
          <w:rFonts w:ascii="Times New Roman" w:hAnsi="Times New Roman" w:cs="Times New Roman"/>
        </w:rPr>
      </w:pPr>
    </w:p>
    <w:p w:rsidR="00D83F50" w:rsidP="00515262">
      <w:pPr>
        <w:bidi w:val="0"/>
        <w:ind w:firstLine="708"/>
        <w:jc w:val="both"/>
        <w:rPr>
          <w:rFonts w:ascii="Times New Roman" w:hAnsi="Times New Roman" w:cs="Times New Roman"/>
        </w:rPr>
      </w:pPr>
    </w:p>
    <w:p w:rsidR="009D2A34" w:rsidRPr="00F72547" w:rsidP="009D2A34">
      <w:pPr>
        <w:bidi w:val="0"/>
        <w:jc w:val="both"/>
        <w:rPr>
          <w:rFonts w:ascii="Times New Roman" w:hAnsi="Times New Roman" w:cs="Times New Roman"/>
          <w:highlight w:val="yellow"/>
        </w:rPr>
      </w:pP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425"/>
        <w:gridCol w:w="951"/>
        <w:gridCol w:w="952"/>
        <w:gridCol w:w="952"/>
        <w:gridCol w:w="951"/>
        <w:gridCol w:w="952"/>
        <w:gridCol w:w="952"/>
        <w:gridCol w:w="952"/>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rPr>
                <w:rFonts w:ascii="Times New Roman" w:hAnsi="Times New Roman" w:cs="Times New Roman"/>
                <w:b/>
                <w:sz w:val="14"/>
                <w:szCs w:val="14"/>
              </w:rPr>
            </w:pPr>
            <w:r w:rsidRPr="00F72547">
              <w:rPr>
                <w:rFonts w:ascii="Times New Roman" w:hAnsi="Times New Roman" w:cs="Times New Roman"/>
                <w:b/>
                <w:sz w:val="14"/>
                <w:szCs w:val="14"/>
              </w:rPr>
              <w:br w:type="page"/>
              <w:t> v eurách</w:t>
            </w:r>
          </w:p>
        </w:tc>
        <w:tc>
          <w:tcPr>
            <w:tcW w:w="95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2010 S</w:t>
            </w:r>
          </w:p>
        </w:tc>
        <w:tc>
          <w:tcPr>
            <w:tcW w:w="95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2011 S</w:t>
            </w:r>
          </w:p>
        </w:tc>
        <w:tc>
          <w:tcPr>
            <w:tcW w:w="95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2012 R</w:t>
            </w:r>
          </w:p>
        </w:tc>
        <w:tc>
          <w:tcPr>
            <w:tcW w:w="95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2012 OS</w:t>
            </w:r>
          </w:p>
        </w:tc>
        <w:tc>
          <w:tcPr>
            <w:tcW w:w="95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2013 N</w:t>
            </w:r>
          </w:p>
        </w:tc>
        <w:tc>
          <w:tcPr>
            <w:tcW w:w="952"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2014 N</w:t>
            </w:r>
          </w:p>
        </w:tc>
        <w:tc>
          <w:tcPr>
            <w:tcW w:w="95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F72547" w:rsidP="006338E5">
            <w:pPr>
              <w:bidi w:val="0"/>
              <w:jc w:val="center"/>
              <w:rPr>
                <w:rFonts w:ascii="Times New Roman" w:hAnsi="Times New Roman" w:cs="Times New Roman"/>
                <w:b/>
                <w:sz w:val="14"/>
                <w:szCs w:val="14"/>
              </w:rPr>
            </w:pPr>
            <w:r w:rsidRPr="00F72547">
              <w:rPr>
                <w:rFonts w:ascii="Times New Roman" w:hAnsi="Times New Roman" w:cs="Times New Roman"/>
                <w:b/>
                <w:sz w:val="14"/>
                <w:szCs w:val="14"/>
              </w:rPr>
              <w:t>2015 N</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9D2A34" w:rsidRPr="00F72547" w:rsidP="006338E5">
            <w:pPr>
              <w:bidi w:val="0"/>
              <w:rPr>
                <w:rFonts w:ascii="Times New Roman" w:hAnsi="Times New Roman" w:cs="Times New Roman"/>
                <w:b/>
                <w:bCs/>
                <w:sz w:val="14"/>
                <w:szCs w:val="14"/>
              </w:rPr>
            </w:pPr>
            <w:r w:rsidRPr="00F72547">
              <w:rPr>
                <w:rFonts w:ascii="Times New Roman" w:hAnsi="Times New Roman" w:cs="Times New Roman"/>
                <w:b/>
                <w:bCs/>
                <w:sz w:val="14"/>
                <w:szCs w:val="14"/>
              </w:rPr>
              <w:t>Ostatné činnosti</w:t>
            </w:r>
          </w:p>
        </w:tc>
        <w:tc>
          <w:tcPr>
            <w:tcW w:w="95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374 260</w:t>
            </w:r>
          </w:p>
        </w:tc>
        <w:tc>
          <w:tcPr>
            <w:tcW w:w="95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bidi w:val="0"/>
              <w:jc w:val="right"/>
              <w:rPr>
                <w:rFonts w:ascii="Times New Roman" w:hAnsi="Times New Roman" w:cs="Times New Roman"/>
                <w:b/>
                <w:sz w:val="14"/>
                <w:szCs w:val="14"/>
              </w:rPr>
            </w:pPr>
            <w:r w:rsidRPr="00F72547">
              <w:rPr>
                <w:rFonts w:ascii="Times New Roman" w:hAnsi="Times New Roman" w:cs="Times New Roman"/>
                <w:b/>
                <w:sz w:val="14"/>
                <w:szCs w:val="14"/>
              </w:rPr>
              <w:t>6 945 197</w:t>
            </w:r>
          </w:p>
        </w:tc>
        <w:tc>
          <w:tcPr>
            <w:tcW w:w="95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376 201</w:t>
            </w:r>
          </w:p>
        </w:tc>
        <w:tc>
          <w:tcPr>
            <w:tcW w:w="95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376 201</w:t>
            </w:r>
          </w:p>
        </w:tc>
        <w:tc>
          <w:tcPr>
            <w:tcW w:w="95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361 537</w:t>
            </w:r>
          </w:p>
        </w:tc>
        <w:tc>
          <w:tcPr>
            <w:tcW w:w="95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361 537</w:t>
            </w:r>
          </w:p>
        </w:tc>
        <w:tc>
          <w:tcPr>
            <w:tcW w:w="95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9D2A34" w:rsidRPr="00F72547" w:rsidP="006338E5">
            <w:pPr>
              <w:autoSpaceDE w:val="0"/>
              <w:autoSpaceDN w:val="0"/>
              <w:bidi w:val="0"/>
              <w:adjustRightInd w:val="0"/>
              <w:jc w:val="right"/>
              <w:rPr>
                <w:rFonts w:ascii="Times New Roman" w:hAnsi="Times New Roman" w:cs="Times New Roman"/>
                <w:b/>
                <w:sz w:val="14"/>
                <w:szCs w:val="14"/>
              </w:rPr>
            </w:pPr>
            <w:r w:rsidRPr="00F72547">
              <w:rPr>
                <w:rFonts w:ascii="Times New Roman" w:hAnsi="Times New Roman" w:cs="Times New Roman"/>
                <w:b/>
                <w:sz w:val="14"/>
                <w:szCs w:val="14"/>
              </w:rPr>
              <w:t>361 537</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Civilné núdzové plánovanie</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18 576</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9 302</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7 500</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 xml:space="preserve">7 500 </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6 750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6 750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6 750</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Oficiálna humanitárna pomoc do zahraničia</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77 358</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64 963</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55 000</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55 000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49 500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49 500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49 500</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Hospodárska mobilizácia</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57 875</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51 792</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48 485</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48 485</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46 837</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46 837</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46 837</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Príspevky do medzinárodných organizácií</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220 452</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232 933</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238 200</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238 200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238 200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238 200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238 200</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Protidrogová politika</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4 516</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4 516</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r>
      <w:tr>
        <w:tblPrEx>
          <w:tblW w:w="9087" w:type="dxa"/>
          <w:tblInd w:w="55" w:type="dxa"/>
          <w:tblLayout w:type="fixed"/>
          <w:tblCellMar>
            <w:left w:w="70" w:type="dxa"/>
            <w:right w:w="70" w:type="dxa"/>
          </w:tblCellMar>
        </w:tblPrEx>
        <w:trPr>
          <w:trHeight w:val="266"/>
        </w:trPr>
        <w:tc>
          <w:tcPr>
            <w:tcW w:w="2425"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Ochrana kritickej infraštruktúry</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9 802</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7 500</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7 500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6 750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6 750</w:t>
            </w:r>
          </w:p>
        </w:tc>
        <w:tc>
          <w:tcPr>
            <w:tcW w:w="952"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6 750</w:t>
            </w:r>
          </w:p>
        </w:tc>
      </w:tr>
      <w:tr>
        <w:tblPrEx>
          <w:tblW w:w="9087" w:type="dxa"/>
          <w:tblInd w:w="55" w:type="dxa"/>
          <w:tblLayout w:type="fixed"/>
          <w:tblCellMar>
            <w:left w:w="70" w:type="dxa"/>
            <w:right w:w="70" w:type="dxa"/>
          </w:tblCellMar>
        </w:tblPrEx>
        <w:trPr>
          <w:trHeight w:val="295"/>
        </w:trPr>
        <w:tc>
          <w:tcPr>
            <w:tcW w:w="2425"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Ďalší rozvoj ochrany obyvateľov SR proti chemickým zbraniam</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15 000</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15 000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13 500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13 500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13 500</w:t>
            </w:r>
          </w:p>
        </w:tc>
      </w:tr>
      <w:tr>
        <w:tblPrEx>
          <w:tblW w:w="9087" w:type="dxa"/>
          <w:tblInd w:w="55" w:type="dxa"/>
          <w:tblLayout w:type="fixed"/>
          <w:tblCellMar>
            <w:left w:w="70" w:type="dxa"/>
            <w:right w:w="70" w:type="dxa"/>
          </w:tblCellMar>
        </w:tblPrEx>
        <w:trPr>
          <w:trHeight w:val="295"/>
        </w:trPr>
        <w:tc>
          <w:tcPr>
            <w:tcW w:w="2425"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F72547" w:rsidP="006338E5">
            <w:pPr>
              <w:bidi w:val="0"/>
              <w:rPr>
                <w:rFonts w:ascii="Times New Roman" w:hAnsi="Times New Roman" w:cs="Times New Roman"/>
                <w:sz w:val="14"/>
                <w:szCs w:val="14"/>
              </w:rPr>
            </w:pPr>
            <w:r w:rsidRPr="00F72547">
              <w:rPr>
                <w:rFonts w:ascii="Times New Roman" w:hAnsi="Times New Roman" w:cs="Times New Roman"/>
                <w:sz w:val="14"/>
                <w:szCs w:val="14"/>
              </w:rPr>
              <w:t>Elektronizácia VS a rozvoj elektronických služieb</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6 576 405</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1"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bidi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c>
          <w:tcPr>
            <w:tcW w:w="952" w:type="dxa"/>
            <w:tcBorders>
              <w:top w:val="single" w:sz="4" w:space="0" w:color="auto"/>
              <w:left w:val="single" w:sz="4" w:space="0" w:color="auto"/>
              <w:bottom w:val="single" w:sz="4" w:space="0" w:color="auto"/>
              <w:right w:val="single" w:sz="4" w:space="0" w:color="auto"/>
            </w:tcBorders>
            <w:textDirection w:val="lrTb"/>
            <w:vAlign w:val="center"/>
          </w:tcPr>
          <w:p w:rsidR="009D2A34" w:rsidRPr="00F72547" w:rsidP="006338E5">
            <w:pPr>
              <w:autoSpaceDE w:val="0"/>
              <w:autoSpaceDN w:val="0"/>
              <w:bidi w:val="0"/>
              <w:adjustRightInd w:val="0"/>
              <w:jc w:val="right"/>
              <w:rPr>
                <w:rFonts w:ascii="Times New Roman" w:hAnsi="Times New Roman" w:cs="Times New Roman"/>
                <w:sz w:val="14"/>
                <w:szCs w:val="14"/>
              </w:rPr>
            </w:pPr>
            <w:r w:rsidRPr="00F72547">
              <w:rPr>
                <w:rFonts w:ascii="Times New Roman" w:hAnsi="Times New Roman" w:cs="Times New Roman"/>
                <w:sz w:val="14"/>
                <w:szCs w:val="14"/>
              </w:rPr>
              <w:t>0</w:t>
            </w:r>
          </w:p>
        </w:tc>
      </w:tr>
    </w:tbl>
    <w:p w:rsidR="009D2A34" w:rsidRPr="00F72547" w:rsidP="009D2A34">
      <w:pPr>
        <w:bidi w:val="0"/>
        <w:jc w:val="both"/>
        <w:rPr>
          <w:rFonts w:ascii="Times New Roman" w:hAnsi="Times New Roman" w:cs="Times New Roman"/>
          <w:highlight w:val="yellow"/>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Ministerstvo vnútra SR je gestorom troch medzirezortných programov, ktorými sú Civilné núdzové plánovanie, Ochrana kritickej infraštruktúry a Ďalší rozvoj ochrany obyvateľov SR proti chemickým zbraniam.</w:t>
      </w:r>
    </w:p>
    <w:p w:rsidR="009D2A34" w:rsidRPr="00F72547"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Medzirezortný program Civilné núdzové plánovanie je systém komplexného zabezpečenia zdrojov, síl a prostriedkov nevyhnutných na zvládnutie nevojenských krízových javov a civilnú podporu ozbrojených síl a vojenských operácií. Zabezpečuje prípravu a koordináciu opatrení  uskutočňovaných orgánmi verejnej moci na zaistenie vnútorného poriadku v štáte,  ochrany obyvateľstva, hospodárstva štátu, kultúrnych hodnôt a trvalej funkčnosti štátnej správy počas krízových situácií.</w:t>
      </w:r>
    </w:p>
    <w:p w:rsidR="009D2A34" w:rsidRPr="00F72547"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 xml:space="preserve">Medzirezortný program Oficiálna rozvojová pomoc je zameraný na pomoc Slovenska rozvojovým krajinám.  </w:t>
      </w:r>
    </w:p>
    <w:p w:rsidR="009D2A34" w:rsidRPr="00F72547"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Medzirezortný program Hospodárska mobilizácia je zameraný na vytváranie predpokladov na zabezpečenie potrieb nevyhnutných na prežitie obyvateľstva a na zabezpečenie činnosti ozbrojených síl, ozbrojených bezpečnostných zborov a ostatných zložiek počas krízovej situácie.</w:t>
      </w:r>
    </w:p>
    <w:p w:rsidR="009D2A34" w:rsidRPr="00F72547" w:rsidP="009D2A34">
      <w:pPr>
        <w:bidi w:val="0"/>
        <w:jc w:val="both"/>
        <w:rPr>
          <w:rFonts w:ascii="Times New Roman" w:hAnsi="Times New Roman" w:cs="Times New Roman"/>
        </w:rPr>
      </w:pPr>
    </w:p>
    <w:p w:rsidR="009D2A34" w:rsidRPr="00F72547" w:rsidP="00515262">
      <w:pPr>
        <w:bidi w:val="0"/>
        <w:ind w:firstLine="708"/>
        <w:jc w:val="both"/>
      </w:pPr>
      <w:r w:rsidRPr="00F72547">
        <w:rPr>
          <w:rFonts w:ascii="Times New Roman" w:hAnsi="Times New Roman" w:cs="Times New Roman"/>
        </w:rPr>
        <w:t>Príspevky do medzinárodných organizácií sa rozpočtujú v sume 213 tis. eur na Interpol a v sume 25 tis. eur na ION – Medzinárodná organizácia pre migráciu.</w:t>
      </w:r>
    </w:p>
    <w:p w:rsidR="009D2A34" w:rsidRPr="00F72547"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 xml:space="preserve">Od roku 2009 bol schválený nový spôsob financovania protidrogovej politiky vytvorením medzirezortného programu Protidrogová politika ako súčasť štátneho rozpočtu s gestorstvom Úradu vlády SR a s účastníkmi programu, ktorými sú jednotlivé ministerstvá. </w:t>
      </w:r>
    </w:p>
    <w:p w:rsidR="009D2A34" w:rsidRPr="00F72547"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Medzirezortný program Ochrana kritickej infraštruktúry je v súlade so zákonom č. 45/2011 Z. z. o kritickej infraštruktúre zameraný na organizáciu a pôsobnosť orgánov štátnej správy na úseku kritickej infraštruktúry. Súčasťou kritickej infraštruktúry je aj obranná infraštruktúra.</w:t>
      </w:r>
    </w:p>
    <w:p w:rsidR="009D2A34" w:rsidRPr="00F72547" w:rsidP="009D2A34">
      <w:pPr>
        <w:bidi w:val="0"/>
        <w:jc w:val="both"/>
        <w:rPr>
          <w:rFonts w:ascii="Times New Roman" w:hAnsi="Times New Roman" w:cs="Times New Roman"/>
        </w:rPr>
      </w:pPr>
    </w:p>
    <w:p w:rsidR="009D2A34" w:rsidRPr="00F72547" w:rsidP="00515262">
      <w:pPr>
        <w:bidi w:val="0"/>
        <w:ind w:firstLine="708"/>
        <w:jc w:val="both"/>
        <w:rPr>
          <w:rFonts w:ascii="Times New Roman" w:hAnsi="Times New Roman" w:cs="Times New Roman"/>
        </w:rPr>
      </w:pPr>
      <w:r w:rsidRPr="00F72547">
        <w:rPr>
          <w:rFonts w:ascii="Times New Roman" w:hAnsi="Times New Roman" w:cs="Times New Roman"/>
        </w:rPr>
        <w:t>Ďalší rozvoj ochrany obyvateľov Slovenskej republiky proti chemickým zbraniam je medzirezortný program v gescii Ministerstva vnútra SR od roku 2004. Je zameraný na úlohy v oblasti prevencie, detekcie, výstražného systému a monitorovania, individuálnej a kolektívnej ochrany, vykonania zásahu pri použití chemických zbraní a medzinárodnej spolupráce.</w:t>
      </w:r>
    </w:p>
    <w:p w:rsidR="009D2A34" w:rsidRPr="00F72547" w:rsidP="009D2A34">
      <w:pPr>
        <w:bidi w:val="0"/>
        <w:rPr>
          <w:rFonts w:ascii="Times New Roman" w:hAnsi="Times New Roman" w:cs="Times New Roman"/>
          <w:b/>
          <w:bCs/>
          <w:highlight w:val="yellow"/>
        </w:rPr>
      </w:pPr>
    </w:p>
    <w:p w:rsidR="009D2A34" w:rsidP="009D2A34">
      <w:pPr>
        <w:bidi w:val="0"/>
        <w:jc w:val="both"/>
        <w:rPr>
          <w:rFonts w:ascii="Times New Roman" w:hAnsi="Times New Roman" w:cs="Times New Roman"/>
          <w:b/>
          <w:bCs/>
        </w:rPr>
      </w:pPr>
    </w:p>
    <w:p w:rsidR="00515262" w:rsidP="009D2A34">
      <w:pPr>
        <w:bidi w:val="0"/>
        <w:jc w:val="both"/>
        <w:rPr>
          <w:rFonts w:ascii="Times New Roman" w:hAnsi="Times New Roman" w:cs="Times New Roman"/>
          <w:b/>
          <w:bCs/>
        </w:rPr>
      </w:pPr>
    </w:p>
    <w:p w:rsidR="009D2A34" w:rsidRPr="007D5F10" w:rsidP="009D2A34">
      <w:pPr>
        <w:pBdr>
          <w:bottom w:val="single" w:sz="4" w:space="1" w:color="000000"/>
        </w:pBdr>
        <w:bidi w:val="0"/>
        <w:jc w:val="both"/>
        <w:rPr>
          <w:rFonts w:ascii="Times New Roman" w:hAnsi="Times New Roman" w:cs="Times New Roman"/>
          <w:lang w:eastAsia="sk-SK"/>
        </w:rPr>
      </w:pPr>
      <w:r w:rsidRPr="007D5F10">
        <w:rPr>
          <w:rFonts w:ascii="Times New Roman" w:hAnsi="Times New Roman" w:cs="Times New Roman"/>
          <w:b/>
          <w:bCs/>
          <w:lang w:eastAsia="sk-SK"/>
        </w:rPr>
        <w:t>Ministerstvo obrany SR</w:t>
      </w:r>
    </w:p>
    <w:p w:rsidR="009D2A34" w:rsidRPr="007D5F10" w:rsidP="009D2A34">
      <w:pPr>
        <w:bidi w:val="0"/>
        <w:jc w:val="both"/>
        <w:rPr>
          <w:rFonts w:ascii="Times New Roman" w:hAnsi="Times New Roman" w:cs="Times New Roman"/>
          <w:lang w:eastAsia="sk-SK"/>
        </w:rPr>
      </w:pPr>
      <w:r w:rsidRPr="007D5F10">
        <w:rPr>
          <w:rFonts w:ascii="Times New Roman" w:hAnsi="Times New Roman" w:cs="Times New Roman"/>
          <w:lang w:eastAsia="sk-SK"/>
        </w:rPr>
        <w:t> </w:t>
      </w:r>
    </w:p>
    <w:p w:rsidR="009D2A34" w:rsidRPr="007D5F10" w:rsidP="009D2A34">
      <w:pPr>
        <w:bidi w:val="0"/>
        <w:jc w:val="both"/>
        <w:rPr>
          <w:rFonts w:ascii="Times New Roman" w:hAnsi="Times New Roman" w:cs="Times New Roman"/>
          <w:b/>
          <w:bCs/>
          <w:lang w:eastAsia="sk-SK"/>
        </w:rPr>
      </w:pPr>
      <w:r w:rsidRPr="007D5F10">
        <w:rPr>
          <w:rFonts w:ascii="Times New Roman" w:hAnsi="Times New Roman" w:cs="Times New Roman"/>
          <w:b/>
          <w:bCs/>
          <w:lang w:eastAsia="sk-SK"/>
        </w:rPr>
        <w:t>Obranné výdavky</w:t>
      </w:r>
    </w:p>
    <w:p w:rsidR="009D2A34" w:rsidRPr="007D5F10" w:rsidP="009D2A34">
      <w:pPr>
        <w:bidi w:val="0"/>
        <w:jc w:val="both"/>
        <w:rPr>
          <w:rFonts w:ascii="Times New Roman" w:hAnsi="Times New Roman" w:cs="Times New Roman"/>
          <w:b/>
          <w:bCs/>
          <w:lang w:eastAsia="sk-SK"/>
        </w:rPr>
      </w:pPr>
    </w:p>
    <w:p w:rsidR="009D2A34" w:rsidRPr="007D5F10" w:rsidP="009D2A34">
      <w:pPr>
        <w:bidi w:val="0"/>
        <w:ind w:firstLine="708"/>
        <w:jc w:val="both"/>
        <w:rPr>
          <w:rFonts w:ascii="Times New Roman" w:hAnsi="Times New Roman" w:cs="Times New Roman"/>
        </w:rPr>
      </w:pPr>
      <w:r w:rsidRPr="007D5F10">
        <w:rPr>
          <w:rFonts w:ascii="Times New Roman" w:hAnsi="Times New Roman" w:cs="Times New Roman"/>
        </w:rPr>
        <w:t>Celkové obranné výdavky sú na rok 201</w:t>
      </w:r>
      <w:r w:rsidRPr="007D5F10">
        <w:rPr>
          <w:rFonts w:ascii="Times New Roman" w:hAnsi="Times New Roman" w:cs="Times New Roman"/>
          <w:lang w:val="en-US"/>
        </w:rPr>
        <w:t>3</w:t>
      </w:r>
      <w:r w:rsidRPr="007D5F10">
        <w:rPr>
          <w:rFonts w:ascii="Times New Roman" w:hAnsi="Times New Roman" w:cs="Times New Roman"/>
        </w:rPr>
        <w:t xml:space="preserve"> rozpočtované vo výške 1,01 % HDP, vrátane výdavkov ostatných rozpočtových kapitol v rámci medzirezortných programov Podpora obrany, Hospodárska mobilizácia a Vysielanie civilných expertov do aktivít krízového manažmentu mimo územia SR. </w:t>
      </w:r>
    </w:p>
    <w:p w:rsidR="009D2A34" w:rsidRPr="007E0D85" w:rsidP="009D2A34">
      <w:pPr>
        <w:bidi w:val="0"/>
        <w:ind w:firstLine="708"/>
        <w:jc w:val="both"/>
        <w:rPr>
          <w:rFonts w:ascii="Times New Roman" w:hAnsi="Times New Roman" w:cs="Times New Roman"/>
          <w:highlight w:val="yellow"/>
        </w:rPr>
      </w:pPr>
    </w:p>
    <w:tbl>
      <w:tblPr>
        <w:tblStyle w:val="TableNormal"/>
        <w:tblW w:w="9227" w:type="dxa"/>
        <w:tblInd w:w="57" w:type="dxa"/>
        <w:tblLayout w:type="fixed"/>
        <w:tblCellMar>
          <w:left w:w="70" w:type="dxa"/>
          <w:right w:w="70" w:type="dxa"/>
        </w:tblCellMar>
        <w:tblLook w:val="04A0"/>
      </w:tblPr>
      <w:tblGrid>
        <w:gridCol w:w="2990"/>
        <w:gridCol w:w="891"/>
        <w:gridCol w:w="891"/>
        <w:gridCol w:w="891"/>
        <w:gridCol w:w="891"/>
        <w:gridCol w:w="891"/>
        <w:gridCol w:w="891"/>
        <w:gridCol w:w="891"/>
      </w:tblGrid>
      <w:tr>
        <w:tblPrEx>
          <w:tblW w:w="9227" w:type="dxa"/>
          <w:tblInd w:w="57" w:type="dxa"/>
          <w:tblLayout w:type="fixed"/>
          <w:tblCellMar>
            <w:left w:w="70" w:type="dxa"/>
            <w:right w:w="70" w:type="dxa"/>
          </w:tblCellMar>
          <w:tblLook w:val="04A0"/>
        </w:tblPrEx>
        <w:trPr>
          <w:trHeight w:val="261"/>
        </w:trPr>
        <w:tc>
          <w:tcPr>
            <w:tcW w:w="2990"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D06553" w:rsidP="006338E5">
            <w:pPr>
              <w:bidi w:val="0"/>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v eurách</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D06553" w:rsidP="006338E5">
            <w:pPr>
              <w:bidi w:val="0"/>
              <w:jc w:val="center"/>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2010 S</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D06553" w:rsidP="006338E5">
            <w:pPr>
              <w:bidi w:val="0"/>
              <w:jc w:val="center"/>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2011 S</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D06553" w:rsidP="006338E5">
            <w:pPr>
              <w:bidi w:val="0"/>
              <w:jc w:val="center"/>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2012 R</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D06553" w:rsidP="006338E5">
            <w:pPr>
              <w:bidi w:val="0"/>
              <w:jc w:val="center"/>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2012 OS</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D06553" w:rsidP="006338E5">
            <w:pPr>
              <w:bidi w:val="0"/>
              <w:jc w:val="center"/>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2013 N</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D06553" w:rsidP="006338E5">
            <w:pPr>
              <w:bidi w:val="0"/>
              <w:jc w:val="center"/>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2014 N</w:t>
            </w:r>
          </w:p>
        </w:tc>
        <w:tc>
          <w:tcPr>
            <w:tcW w:w="89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D06553" w:rsidP="006338E5">
            <w:pPr>
              <w:bidi w:val="0"/>
              <w:jc w:val="center"/>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2015 N</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9D2A34" w:rsidRPr="00D06553" w:rsidP="006338E5">
            <w:pPr>
              <w:bidi w:val="0"/>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Obranné výdavky celkom</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865 994 913</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773 725 128</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810 638 524</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816 485 564</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758 954 534</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795 901 845</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841 866 605</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9D2A34" w:rsidRPr="00D06553" w:rsidP="006338E5">
            <w:pPr>
              <w:bidi w:val="0"/>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Podiel na HDP v %</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1,32%</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1,12%</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lang w:eastAsia="sk-SK"/>
              </w:rPr>
            </w:pPr>
            <w:r w:rsidRPr="00D06553">
              <w:rPr>
                <w:rFonts w:ascii="Times New Roman" w:hAnsi="Times New Roman" w:cs="Times New Roman"/>
                <w:b/>
                <w:bCs/>
                <w:color w:val="000000"/>
                <w:sz w:val="14"/>
                <w:szCs w:val="14"/>
                <w:lang w:eastAsia="sk-SK"/>
              </w:rPr>
              <w:t>1,13%</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rPr>
            </w:pPr>
            <w:r w:rsidRPr="00D06553">
              <w:rPr>
                <w:rFonts w:ascii="Times New Roman" w:hAnsi="Times New Roman" w:cs="Times New Roman"/>
                <w:b/>
                <w:bCs/>
                <w:color w:val="000000"/>
                <w:sz w:val="14"/>
                <w:szCs w:val="14"/>
              </w:rPr>
              <w:t>1,14%</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rPr>
            </w:pPr>
            <w:r w:rsidRPr="00D06553">
              <w:rPr>
                <w:rFonts w:ascii="Times New Roman" w:hAnsi="Times New Roman" w:cs="Times New Roman"/>
                <w:b/>
                <w:bCs/>
                <w:color w:val="000000"/>
                <w:sz w:val="14"/>
                <w:szCs w:val="14"/>
              </w:rPr>
              <w:t>1,01%</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rPr>
            </w:pPr>
            <w:r w:rsidRPr="00D06553">
              <w:rPr>
                <w:rFonts w:ascii="Times New Roman" w:hAnsi="Times New Roman" w:cs="Times New Roman"/>
                <w:b/>
                <w:bCs/>
                <w:color w:val="000000"/>
                <w:sz w:val="14"/>
                <w:szCs w:val="14"/>
              </w:rPr>
              <w:t>1,00%</w:t>
            </w:r>
          </w:p>
        </w:tc>
        <w:tc>
          <w:tcPr>
            <w:tcW w:w="891" w:type="dxa"/>
            <w:tcBorders>
              <w:top w:val="nil"/>
              <w:left w:val="nil"/>
              <w:bottom w:val="single" w:sz="4" w:space="0" w:color="auto"/>
              <w:right w:val="single" w:sz="4" w:space="0" w:color="auto"/>
            </w:tcBorders>
            <w:shd w:val="clear" w:color="000000" w:fill="BFBFBF"/>
            <w:textDirection w:val="lrTb"/>
            <w:vAlign w:val="center"/>
            <w:hideMark/>
          </w:tcPr>
          <w:p w:rsidR="009D2A34" w:rsidRPr="00D06553" w:rsidP="006338E5">
            <w:pPr>
              <w:bidi w:val="0"/>
              <w:jc w:val="right"/>
              <w:rPr>
                <w:rFonts w:ascii="Times New Roman" w:hAnsi="Times New Roman" w:cs="Times New Roman"/>
                <w:b/>
                <w:bCs/>
                <w:color w:val="000000"/>
                <w:sz w:val="14"/>
                <w:szCs w:val="14"/>
              </w:rPr>
            </w:pPr>
            <w:r w:rsidRPr="00D06553">
              <w:rPr>
                <w:rFonts w:ascii="Times New Roman" w:hAnsi="Times New Roman" w:cs="Times New Roman"/>
                <w:b/>
                <w:bCs/>
                <w:color w:val="000000"/>
                <w:sz w:val="14"/>
                <w:szCs w:val="14"/>
              </w:rPr>
              <w:t>1,00%</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textDirection w:val="lrTb"/>
            <w:vAlign w:val="center"/>
            <w:hideMark/>
          </w:tcPr>
          <w:p w:rsidR="009D2A34" w:rsidRPr="00D06553" w:rsidP="006338E5">
            <w:pPr>
              <w:bidi w:val="0"/>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Ministerstvo obrany SR</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853 342 974</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762 941 417</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798 328 933</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804 175 973</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748 445 344</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784 461 037</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830 803 145</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textDirection w:val="lrTb"/>
            <w:vAlign w:val="center"/>
            <w:hideMark/>
          </w:tcPr>
          <w:p w:rsidR="009D2A34" w:rsidRPr="00D06553" w:rsidP="006338E5">
            <w:pPr>
              <w:bidi w:val="0"/>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Podpora obrany</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5 754 835</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3 543 763</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4 085 297</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4 085 297</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3 183 744</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4 148 224</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4 117 876</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textDirection w:val="lrTb"/>
            <w:vAlign w:val="center"/>
            <w:hideMark/>
          </w:tcPr>
          <w:p w:rsidR="009D2A34" w:rsidRPr="00D06553" w:rsidP="006338E5">
            <w:pPr>
              <w:bidi w:val="0"/>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Hospodárska mobilizácia</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6 897 104</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7 239 948</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8 224 294</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8 224 294</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7 287 446</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7 254 584</w:t>
            </w:r>
          </w:p>
        </w:tc>
        <w:tc>
          <w:tcPr>
            <w:tcW w:w="891" w:type="dxa"/>
            <w:tcBorders>
              <w:top w:val="nil"/>
              <w:left w:val="nil"/>
              <w:bottom w:val="single" w:sz="4" w:space="0" w:color="auto"/>
              <w:right w:val="single" w:sz="4" w:space="0" w:color="auto"/>
            </w:tcBorders>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6 907 584</w:t>
            </w:r>
          </w:p>
        </w:tc>
      </w:tr>
      <w:tr>
        <w:tblPrEx>
          <w:tblW w:w="9227" w:type="dxa"/>
          <w:tblInd w:w="57" w:type="dxa"/>
          <w:tblLayout w:type="fixed"/>
          <w:tblCellMar>
            <w:left w:w="70" w:type="dxa"/>
            <w:right w:w="70" w:type="dxa"/>
          </w:tblCellMar>
          <w:tblLook w:val="04A0"/>
        </w:tblPrEx>
        <w:trPr>
          <w:trHeight w:val="261"/>
        </w:trPr>
        <w:tc>
          <w:tcPr>
            <w:tcW w:w="2990" w:type="dxa"/>
            <w:tcBorders>
              <w:top w:val="nil"/>
              <w:left w:val="single" w:sz="4" w:space="0" w:color="auto"/>
              <w:bottom w:val="single" w:sz="4" w:space="0" w:color="auto"/>
              <w:right w:val="single" w:sz="4" w:space="0" w:color="auto"/>
            </w:tcBorders>
            <w:noWrap/>
            <w:textDirection w:val="lrTb"/>
            <w:vAlign w:val="center"/>
            <w:hideMark/>
          </w:tcPr>
          <w:p w:rsidR="009D2A34" w:rsidRPr="00D06553" w:rsidP="006338E5">
            <w:pPr>
              <w:bidi w:val="0"/>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Vysielanie civil. expertov do aktivít KM mimo SR</w:t>
            </w:r>
          </w:p>
        </w:tc>
        <w:tc>
          <w:tcPr>
            <w:tcW w:w="891" w:type="dxa"/>
            <w:tcBorders>
              <w:top w:val="nil"/>
              <w:left w:val="nil"/>
              <w:bottom w:val="single" w:sz="4" w:space="0" w:color="auto"/>
              <w:right w:val="single" w:sz="4" w:space="0" w:color="auto"/>
            </w:tcBorders>
            <w:noWrap/>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0</w:t>
            </w:r>
          </w:p>
        </w:tc>
        <w:tc>
          <w:tcPr>
            <w:tcW w:w="891" w:type="dxa"/>
            <w:tcBorders>
              <w:top w:val="nil"/>
              <w:left w:val="nil"/>
              <w:bottom w:val="single" w:sz="4" w:space="0" w:color="auto"/>
              <w:right w:val="single" w:sz="4" w:space="0" w:color="auto"/>
            </w:tcBorders>
            <w:noWrap/>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0</w:t>
            </w:r>
          </w:p>
        </w:tc>
        <w:tc>
          <w:tcPr>
            <w:tcW w:w="891" w:type="dxa"/>
            <w:tcBorders>
              <w:top w:val="nil"/>
              <w:left w:val="nil"/>
              <w:bottom w:val="single" w:sz="4" w:space="0" w:color="auto"/>
              <w:right w:val="single" w:sz="4" w:space="0" w:color="auto"/>
            </w:tcBorders>
            <w:noWrap/>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0</w:t>
            </w:r>
          </w:p>
        </w:tc>
        <w:tc>
          <w:tcPr>
            <w:tcW w:w="891" w:type="dxa"/>
            <w:tcBorders>
              <w:top w:val="nil"/>
              <w:left w:val="nil"/>
              <w:bottom w:val="single" w:sz="4" w:space="0" w:color="auto"/>
              <w:right w:val="single" w:sz="4" w:space="0" w:color="auto"/>
            </w:tcBorders>
            <w:noWrap/>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0</w:t>
            </w:r>
          </w:p>
        </w:tc>
        <w:tc>
          <w:tcPr>
            <w:tcW w:w="891" w:type="dxa"/>
            <w:tcBorders>
              <w:top w:val="nil"/>
              <w:left w:val="nil"/>
              <w:bottom w:val="single" w:sz="4" w:space="0" w:color="auto"/>
              <w:right w:val="single" w:sz="4" w:space="0" w:color="auto"/>
            </w:tcBorders>
            <w:noWrap/>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38 000</w:t>
            </w:r>
          </w:p>
        </w:tc>
        <w:tc>
          <w:tcPr>
            <w:tcW w:w="891" w:type="dxa"/>
            <w:tcBorders>
              <w:top w:val="nil"/>
              <w:left w:val="nil"/>
              <w:bottom w:val="single" w:sz="4" w:space="0" w:color="auto"/>
              <w:right w:val="single" w:sz="4" w:space="0" w:color="auto"/>
            </w:tcBorders>
            <w:noWrap/>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38 000</w:t>
            </w:r>
          </w:p>
        </w:tc>
        <w:tc>
          <w:tcPr>
            <w:tcW w:w="891" w:type="dxa"/>
            <w:tcBorders>
              <w:top w:val="nil"/>
              <w:left w:val="nil"/>
              <w:bottom w:val="single" w:sz="4" w:space="0" w:color="auto"/>
              <w:right w:val="single" w:sz="4" w:space="0" w:color="auto"/>
            </w:tcBorders>
            <w:noWrap/>
            <w:textDirection w:val="lrTb"/>
            <w:vAlign w:val="center"/>
            <w:hideMark/>
          </w:tcPr>
          <w:p w:rsidR="009D2A34" w:rsidRPr="00D06553" w:rsidP="006338E5">
            <w:pPr>
              <w:bidi w:val="0"/>
              <w:jc w:val="right"/>
              <w:rPr>
                <w:rFonts w:ascii="Times New Roman" w:hAnsi="Times New Roman" w:cs="Times New Roman"/>
                <w:color w:val="000000"/>
                <w:sz w:val="14"/>
                <w:szCs w:val="14"/>
                <w:lang w:eastAsia="sk-SK"/>
              </w:rPr>
            </w:pPr>
            <w:r w:rsidRPr="00D06553">
              <w:rPr>
                <w:rFonts w:ascii="Times New Roman" w:hAnsi="Times New Roman" w:cs="Times New Roman"/>
                <w:color w:val="000000"/>
                <w:sz w:val="14"/>
                <w:szCs w:val="14"/>
                <w:lang w:eastAsia="sk-SK"/>
              </w:rPr>
              <w:t>38 000</w:t>
            </w:r>
          </w:p>
        </w:tc>
      </w:tr>
    </w:tbl>
    <w:p w:rsidR="009D2A34" w:rsidP="009D2A34">
      <w:pPr>
        <w:bidi w:val="0"/>
        <w:jc w:val="both"/>
        <w:rPr>
          <w:rFonts w:ascii="Times New Roman" w:hAnsi="Times New Roman" w:cs="Times New Roman"/>
          <w:b/>
          <w:bCs/>
          <w:lang w:eastAsia="sk-SK"/>
        </w:rPr>
      </w:pPr>
    </w:p>
    <w:p w:rsidR="009D2A34" w:rsidRPr="00987180" w:rsidP="009D2A34">
      <w:pPr>
        <w:bidi w:val="0"/>
        <w:jc w:val="both"/>
        <w:rPr>
          <w:rFonts w:ascii="Times New Roman" w:hAnsi="Times New Roman" w:cs="Times New Roman"/>
          <w:b/>
          <w:bCs/>
          <w:lang w:eastAsia="sk-SK"/>
        </w:rPr>
      </w:pPr>
      <w:r w:rsidRPr="00987180">
        <w:rPr>
          <w:rFonts w:ascii="Times New Roman" w:hAnsi="Times New Roman" w:cs="Times New Roman"/>
          <w:b/>
          <w:bCs/>
          <w:lang w:eastAsia="sk-SK"/>
        </w:rPr>
        <w:t>Ministerstvo obrany SR</w:t>
      </w:r>
    </w:p>
    <w:p w:rsidR="009D2A34" w:rsidRPr="00987180" w:rsidP="009D2A34">
      <w:pPr>
        <w:bidi w:val="0"/>
        <w:jc w:val="both"/>
        <w:rPr>
          <w:rFonts w:ascii="Times New Roman" w:hAnsi="Times New Roman" w:cs="Times New Roman"/>
          <w:b/>
          <w:bCs/>
          <w:lang w:eastAsia="sk-SK"/>
        </w:rPr>
      </w:pPr>
    </w:p>
    <w:tbl>
      <w:tblPr>
        <w:tblStyle w:val="TableNormal"/>
        <w:tblW w:w="9227" w:type="dxa"/>
        <w:tblInd w:w="57" w:type="dxa"/>
        <w:tblLayout w:type="fixed"/>
        <w:tblCellMar>
          <w:left w:w="70" w:type="dxa"/>
          <w:right w:w="70" w:type="dxa"/>
        </w:tblCellMar>
        <w:tblLook w:val="04A0"/>
      </w:tblPr>
      <w:tblGrid>
        <w:gridCol w:w="2140"/>
        <w:gridCol w:w="1012"/>
        <w:gridCol w:w="1012"/>
        <w:gridCol w:w="1013"/>
        <w:gridCol w:w="1012"/>
        <w:gridCol w:w="1013"/>
        <w:gridCol w:w="1012"/>
        <w:gridCol w:w="1013"/>
      </w:tblGrid>
      <w:tr>
        <w:tblPrEx>
          <w:tblW w:w="9227" w:type="dxa"/>
          <w:tblInd w:w="57" w:type="dxa"/>
          <w:tblLayout w:type="fixed"/>
          <w:tblCellMar>
            <w:left w:w="70" w:type="dxa"/>
            <w:right w:w="70" w:type="dxa"/>
          </w:tblCellMar>
          <w:tblLook w:val="04A0"/>
        </w:tblPrEx>
        <w:trPr>
          <w:trHeight w:val="261"/>
        </w:trPr>
        <w:tc>
          <w:tcPr>
            <w:tcW w:w="2140"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987180" w:rsidP="006338E5">
            <w:pPr>
              <w:bidi w:val="0"/>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v eurách</w:t>
            </w:r>
          </w:p>
        </w:tc>
        <w:tc>
          <w:tcPr>
            <w:tcW w:w="101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2010 S</w:t>
            </w:r>
          </w:p>
        </w:tc>
        <w:tc>
          <w:tcPr>
            <w:tcW w:w="101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2011 S</w:t>
            </w:r>
          </w:p>
        </w:tc>
        <w:tc>
          <w:tcPr>
            <w:tcW w:w="1013"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2012 R</w:t>
            </w:r>
          </w:p>
        </w:tc>
        <w:tc>
          <w:tcPr>
            <w:tcW w:w="101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2012 OS</w:t>
            </w:r>
          </w:p>
        </w:tc>
        <w:tc>
          <w:tcPr>
            <w:tcW w:w="1013"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2013 N</w:t>
            </w:r>
          </w:p>
        </w:tc>
        <w:tc>
          <w:tcPr>
            <w:tcW w:w="101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2014 N</w:t>
            </w:r>
          </w:p>
        </w:tc>
        <w:tc>
          <w:tcPr>
            <w:tcW w:w="1013"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2015 N</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9D2A34" w:rsidRPr="00987180" w:rsidP="006338E5">
            <w:pPr>
              <w:bidi w:val="0"/>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Zdroje príslušnej kapitoly</w:t>
            </w:r>
          </w:p>
        </w:tc>
        <w:tc>
          <w:tcPr>
            <w:tcW w:w="1012"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853 342 974</w:t>
            </w:r>
          </w:p>
        </w:tc>
        <w:tc>
          <w:tcPr>
            <w:tcW w:w="1012"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762 941 417</w:t>
            </w:r>
          </w:p>
        </w:tc>
        <w:tc>
          <w:tcPr>
            <w:tcW w:w="1013"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798 328 933</w:t>
            </w:r>
          </w:p>
        </w:tc>
        <w:tc>
          <w:tcPr>
            <w:tcW w:w="1012"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804 175 973</w:t>
            </w:r>
          </w:p>
        </w:tc>
        <w:tc>
          <w:tcPr>
            <w:tcW w:w="1013"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748 445 344</w:t>
            </w:r>
          </w:p>
        </w:tc>
        <w:tc>
          <w:tcPr>
            <w:tcW w:w="1012"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784 461 037</w:t>
            </w:r>
          </w:p>
        </w:tc>
        <w:tc>
          <w:tcPr>
            <w:tcW w:w="1013"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830 803 145</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987180" w:rsidP="006338E5">
            <w:pPr>
              <w:bidi w:val="0"/>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 xml:space="preserve">rozpočtové zdroje kapitoly </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847 802 066</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760 352 495</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798 328 933</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799 095 514</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748 445 344</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784 461 037</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830 803 145</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987180" w:rsidP="006338E5">
            <w:pPr>
              <w:bidi w:val="0"/>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 xml:space="preserve">    v tom: bežné výdavky  600</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825 240 740</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757 163 501</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796 782 130</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796 638 750</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747 407 344</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783 706 037</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826 816 145</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987180" w:rsidP="006338E5">
            <w:pPr>
              <w:bidi w:val="0"/>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 xml:space="preserve">                       610 mzdy</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270 895 259</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264 193 943</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271 821 459</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271 821 459</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269 377 207</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269 447 570</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269 542 721</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987180" w:rsidP="006338E5">
            <w:pPr>
              <w:bidi w:val="0"/>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 xml:space="preserve">                       620 odvody</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86 712 837</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88 359 324</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91 206 967</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91 356 967</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89 820 038</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89 851 761</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89 849 267</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987180" w:rsidP="006338E5">
            <w:pPr>
              <w:bidi w:val="0"/>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 xml:space="preserve">                       630 tovary a služby</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306 872 267</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244 886 921</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265 081 346</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245 062 129</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213 115 591</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238 522 505</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269 667 509</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987180" w:rsidP="006338E5">
            <w:pPr>
              <w:bidi w:val="0"/>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 xml:space="preserve">                        640 bežné transfery</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160 760 377</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159 723 313</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168 672 358</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188 398 195</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175 094 508</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185 884 201</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197 756 648</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987180" w:rsidP="006338E5">
            <w:pPr>
              <w:bidi w:val="0"/>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 xml:space="preserve">                kapitálové výdavky 700</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22 561 326</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3 188 993</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1 546 803</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2 456 765</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1 038 000</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755 000</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3 987 000</w:t>
            </w:r>
          </w:p>
        </w:tc>
      </w:tr>
      <w:tr>
        <w:tblPrEx>
          <w:tblW w:w="9227"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987180" w:rsidP="006338E5">
            <w:pPr>
              <w:bidi w:val="0"/>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presun z minulých rokov</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5 540 908</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2 588 923</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 0</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5 080 459</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 0</w:t>
            </w:r>
          </w:p>
        </w:tc>
        <w:tc>
          <w:tcPr>
            <w:tcW w:w="1012"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 0</w:t>
            </w:r>
          </w:p>
        </w:tc>
        <w:tc>
          <w:tcPr>
            <w:tcW w:w="1013"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b/>
                <w:color w:val="000000"/>
                <w:sz w:val="14"/>
                <w:szCs w:val="14"/>
                <w:lang w:eastAsia="sk-SK"/>
              </w:rPr>
            </w:pPr>
            <w:r w:rsidRPr="00987180">
              <w:rPr>
                <w:rFonts w:ascii="Times New Roman" w:hAnsi="Times New Roman" w:cs="Times New Roman"/>
                <w:b/>
                <w:color w:val="000000"/>
                <w:sz w:val="14"/>
                <w:szCs w:val="14"/>
                <w:lang w:eastAsia="sk-SK"/>
              </w:rPr>
              <w:t> 0</w:t>
            </w:r>
          </w:p>
        </w:tc>
      </w:tr>
    </w:tbl>
    <w:p w:rsidR="009D2A34" w:rsidRPr="007E0D85" w:rsidP="009D2A34">
      <w:pPr>
        <w:bidi w:val="0"/>
        <w:jc w:val="both"/>
        <w:rPr>
          <w:rFonts w:ascii="Times New Roman" w:hAnsi="Times New Roman" w:cs="Times New Roman"/>
          <w:highlight w:val="yellow"/>
          <w:lang w:eastAsia="sk-SK"/>
        </w:rPr>
      </w:pPr>
    </w:p>
    <w:p w:rsidR="009D2A34" w:rsidRPr="00C860E5" w:rsidP="009D2A34">
      <w:pPr>
        <w:bidi w:val="0"/>
        <w:ind w:firstLine="708"/>
        <w:jc w:val="both"/>
        <w:rPr>
          <w:rFonts w:ascii="Times New Roman" w:hAnsi="Times New Roman" w:cs="Times New Roman"/>
        </w:rPr>
      </w:pPr>
      <w:r w:rsidRPr="00C860E5">
        <w:rPr>
          <w:rFonts w:ascii="Times New Roman" w:hAnsi="Times New Roman" w:cs="Times New Roman"/>
          <w:lang w:eastAsia="sk-SK"/>
        </w:rPr>
        <w:t> </w:t>
      </w:r>
      <w:r w:rsidRPr="00C860E5">
        <w:rPr>
          <w:rFonts w:ascii="Times New Roman" w:hAnsi="Times New Roman" w:cs="Times New Roman"/>
        </w:rPr>
        <w:t xml:space="preserve">Objem zdrojov kapitoly na rok 2013 predstavuje 748 mil. </w:t>
      </w:r>
      <w:r w:rsidRPr="00C860E5">
        <w:rPr>
          <w:rFonts w:ascii="Times New Roman" w:hAnsi="Times New Roman" w:cs="Times New Roman"/>
          <w:color w:val="000000"/>
        </w:rPr>
        <w:t xml:space="preserve">eur, čo predstavuje </w:t>
      </w:r>
      <w:r w:rsidRPr="00C860E5">
        <w:rPr>
          <w:rFonts w:ascii="Times New Roman" w:hAnsi="Times New Roman" w:cs="Times New Roman"/>
        </w:rPr>
        <w:t xml:space="preserve">medziročný pokles o sumu 49,9 mil. eur (zníženie o 6,25 %). </w:t>
      </w:r>
    </w:p>
    <w:p w:rsidR="009D2A34" w:rsidRPr="007E0D85" w:rsidP="009D2A34">
      <w:pPr>
        <w:bidi w:val="0"/>
        <w:jc w:val="both"/>
        <w:rPr>
          <w:rFonts w:ascii="Arial Narrow" w:hAnsi="Arial Narrow"/>
          <w:sz w:val="22"/>
          <w:szCs w:val="22"/>
          <w:highlight w:val="yellow"/>
        </w:rPr>
      </w:pPr>
    </w:p>
    <w:p w:rsidR="009D2A34" w:rsidRPr="00C860E5" w:rsidP="009D2A34">
      <w:pPr>
        <w:shd w:val="clear" w:color="auto" w:fill="FFFFFF"/>
        <w:bidi w:val="0"/>
        <w:ind w:firstLine="708"/>
        <w:jc w:val="both"/>
        <w:rPr>
          <w:rFonts w:ascii="Times New Roman" w:hAnsi="Times New Roman" w:cs="Times New Roman"/>
        </w:rPr>
      </w:pPr>
      <w:r w:rsidRPr="00C860E5">
        <w:rPr>
          <w:rFonts w:ascii="Times New Roman" w:hAnsi="Times New Roman" w:cs="Times New Roman"/>
        </w:rPr>
        <w:t xml:space="preserve">Osobné výdavky na rok 2013 sa rozpočtujú v sume 359 mil. eur, čo predstavuje oproti schválenému rozpočtu roku 2012 zníženie o sumu 3,83 mil. eur (1,06 %). </w:t>
      </w:r>
    </w:p>
    <w:p w:rsidR="009D2A34" w:rsidRPr="007E0D85" w:rsidP="009D2A34">
      <w:pPr>
        <w:shd w:val="clear" w:color="auto" w:fill="FFFFFF"/>
        <w:bidi w:val="0"/>
        <w:ind w:firstLine="708"/>
        <w:jc w:val="both"/>
        <w:rPr>
          <w:rFonts w:ascii="Times New Roman" w:hAnsi="Times New Roman" w:cs="Times New Roman"/>
          <w:highlight w:val="yellow"/>
        </w:rPr>
      </w:pPr>
    </w:p>
    <w:p w:rsidR="009D2A34" w:rsidRPr="00C860E5" w:rsidP="009D2A34">
      <w:pPr>
        <w:bidi w:val="0"/>
        <w:ind w:firstLine="708"/>
        <w:jc w:val="both"/>
        <w:rPr>
          <w:rFonts w:ascii="Times New Roman" w:hAnsi="Times New Roman" w:cs="Times New Roman"/>
        </w:rPr>
      </w:pPr>
      <w:r w:rsidRPr="00C860E5">
        <w:rPr>
          <w:rFonts w:ascii="Times New Roman" w:hAnsi="Times New Roman" w:cs="Times New Roman"/>
        </w:rPr>
        <w:t xml:space="preserve">Tovary a služby na rok 2013 sa rozpočtujú v sume 213 mil. eur,  čo predstavuje oproti schválenému rozpočtu roku 2012 pokles o sumu 52,0 mil. eur (19,6 %). </w:t>
      </w:r>
    </w:p>
    <w:p w:rsidR="009D2A34" w:rsidRPr="007E0D85" w:rsidP="009D2A34">
      <w:pPr>
        <w:bidi w:val="0"/>
        <w:jc w:val="both"/>
        <w:rPr>
          <w:rFonts w:ascii="Times New Roman" w:hAnsi="Times New Roman" w:cs="Times New Roman"/>
          <w:highlight w:val="yellow"/>
        </w:rPr>
      </w:pPr>
    </w:p>
    <w:p w:rsidR="009D2A34" w:rsidRPr="00C860E5" w:rsidP="009D2A34">
      <w:pPr>
        <w:bidi w:val="0"/>
        <w:ind w:firstLine="708"/>
        <w:jc w:val="both"/>
        <w:rPr>
          <w:rFonts w:ascii="Times New Roman" w:hAnsi="Times New Roman" w:cs="Times New Roman"/>
        </w:rPr>
      </w:pPr>
      <w:r w:rsidRPr="00C860E5">
        <w:rPr>
          <w:rFonts w:ascii="Times New Roman" w:hAnsi="Times New Roman" w:cs="Times New Roman"/>
        </w:rPr>
        <w:t xml:space="preserve">Bežné transfery na rok 2013 sa rozpočtujú v sume 175 mil. eur, čo predstavuje oproti schválenému rozpočtu roku 2012 nárast o sumu 6,42 mil. eur (3,81 %). </w:t>
      </w:r>
    </w:p>
    <w:p w:rsidR="009D2A34" w:rsidRPr="007E0D85" w:rsidP="009D2A34">
      <w:pPr>
        <w:bidi w:val="0"/>
        <w:jc w:val="both"/>
        <w:rPr>
          <w:rFonts w:ascii="Times New Roman" w:hAnsi="Times New Roman" w:cs="Times New Roman"/>
          <w:highlight w:val="yellow"/>
        </w:rPr>
      </w:pPr>
    </w:p>
    <w:p w:rsidR="009D2A34" w:rsidRPr="00C860E5" w:rsidP="009D2A34">
      <w:pPr>
        <w:bidi w:val="0"/>
        <w:ind w:firstLine="708"/>
        <w:jc w:val="both"/>
        <w:rPr>
          <w:rFonts w:ascii="Times New Roman" w:hAnsi="Times New Roman" w:cs="Times New Roman"/>
        </w:rPr>
      </w:pPr>
      <w:r w:rsidRPr="00C860E5">
        <w:rPr>
          <w:rFonts w:ascii="Times New Roman" w:hAnsi="Times New Roman" w:cs="Times New Roman"/>
        </w:rPr>
        <w:t xml:space="preserve">Kapitálové výdavky na rok 2013 sa rozpočtujú v sume 1,04 mil. eur, čo predstavuje oproti schválenému rozpočtu roku 2012 pokles o sumu 509 tis. eur (32,9 %). </w:t>
      </w:r>
    </w:p>
    <w:p w:rsidR="009D2A34" w:rsidRPr="00C860E5" w:rsidP="009D2A34">
      <w:pPr>
        <w:bidi w:val="0"/>
        <w:ind w:firstLine="708"/>
        <w:jc w:val="both"/>
        <w:rPr>
          <w:rFonts w:ascii="Times New Roman" w:hAnsi="Times New Roman" w:cs="Times New Roman"/>
        </w:rPr>
      </w:pPr>
    </w:p>
    <w:p w:rsidR="009D2A34" w:rsidRPr="00C860E5" w:rsidP="009D2A34">
      <w:pPr>
        <w:bidi w:val="0"/>
        <w:ind w:firstLine="708"/>
        <w:jc w:val="both"/>
        <w:rPr>
          <w:rFonts w:ascii="Times New Roman" w:hAnsi="Times New Roman" w:cs="Times New Roman"/>
          <w:lang w:eastAsia="sk-SK"/>
        </w:rPr>
      </w:pPr>
      <w:r w:rsidRPr="00C860E5">
        <w:rPr>
          <w:rFonts w:ascii="Times New Roman" w:hAnsi="Times New Roman" w:cs="Times New Roman"/>
          <w:lang w:eastAsia="sk-SK"/>
        </w:rPr>
        <w:t>Rozpočet ministerstva obrany sa skladá z nasledovných oblastí.</w:t>
      </w:r>
    </w:p>
    <w:p w:rsidR="009D2A34" w:rsidRPr="007E0D85" w:rsidP="009D2A34">
      <w:pPr>
        <w:bidi w:val="0"/>
        <w:jc w:val="both"/>
        <w:rPr>
          <w:rFonts w:ascii="Times New Roman" w:hAnsi="Times New Roman" w:cs="Times New Roman"/>
          <w:highlight w:val="yellow"/>
          <w:lang w:eastAsia="sk-SK"/>
        </w:rPr>
      </w:pPr>
    </w:p>
    <w:p w:rsidR="009D2A34" w:rsidRPr="007E0D85" w:rsidP="009D2A34">
      <w:pPr>
        <w:bidi w:val="0"/>
        <w:jc w:val="both"/>
        <w:rPr>
          <w:rFonts w:ascii="Times New Roman" w:hAnsi="Times New Roman" w:cs="Times New Roman"/>
          <w:highlight w:val="yellow"/>
          <w:lang w:eastAsia="sk-SK"/>
        </w:rPr>
      </w:pPr>
    </w:p>
    <w:p w:rsidR="009D2A34" w:rsidRPr="007E0D85" w:rsidP="009D2A34">
      <w:pPr>
        <w:bidi w:val="0"/>
        <w:jc w:val="both"/>
        <w:rPr>
          <w:rFonts w:ascii="Times New Roman" w:hAnsi="Times New Roman" w:cs="Times New Roman"/>
          <w:highlight w:val="yellow"/>
          <w:lang w:eastAsia="sk-SK"/>
        </w:rPr>
      </w:pPr>
    </w:p>
    <w:p w:rsidR="009D2A34" w:rsidRPr="00987180" w:rsidP="009D2A34">
      <w:pPr>
        <w:bidi w:val="0"/>
        <w:jc w:val="both"/>
        <w:rPr>
          <w:rFonts w:ascii="Times New Roman" w:hAnsi="Times New Roman" w:cs="Times New Roman"/>
          <w:lang w:eastAsia="sk-SK"/>
        </w:rPr>
      </w:pPr>
    </w:p>
    <w:tbl>
      <w:tblPr>
        <w:tblStyle w:val="TableNormal"/>
        <w:tblW w:w="9156" w:type="dxa"/>
        <w:tblInd w:w="56" w:type="dxa"/>
        <w:tblLayout w:type="fixed"/>
        <w:tblCellMar>
          <w:left w:w="70" w:type="dxa"/>
          <w:right w:w="70" w:type="dxa"/>
        </w:tblCellMar>
        <w:tblLook w:val="04A0"/>
      </w:tblPr>
      <w:tblGrid>
        <w:gridCol w:w="3275"/>
        <w:gridCol w:w="840"/>
        <w:gridCol w:w="840"/>
        <w:gridCol w:w="840"/>
        <w:gridCol w:w="840"/>
        <w:gridCol w:w="840"/>
        <w:gridCol w:w="840"/>
        <w:gridCol w:w="841"/>
      </w:tblGrid>
      <w:tr>
        <w:tblPrEx>
          <w:tblW w:w="9156" w:type="dxa"/>
          <w:tblInd w:w="56" w:type="dxa"/>
          <w:tblLayout w:type="fixed"/>
          <w:tblCellMar>
            <w:left w:w="70" w:type="dxa"/>
            <w:right w:w="70" w:type="dxa"/>
          </w:tblCellMar>
          <w:tblLook w:val="04A0"/>
        </w:tblPrEx>
        <w:trPr>
          <w:trHeight w:val="261"/>
        </w:trPr>
        <w:tc>
          <w:tcPr>
            <w:tcW w:w="3275"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987180" w:rsidP="006338E5">
            <w:pPr>
              <w:bidi w:val="0"/>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v eurách</w:t>
            </w:r>
          </w:p>
        </w:tc>
        <w:tc>
          <w:tcPr>
            <w:tcW w:w="84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2010 S</w:t>
            </w:r>
          </w:p>
        </w:tc>
        <w:tc>
          <w:tcPr>
            <w:tcW w:w="84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2011 S</w:t>
            </w:r>
          </w:p>
        </w:tc>
        <w:tc>
          <w:tcPr>
            <w:tcW w:w="84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2012 R</w:t>
            </w:r>
          </w:p>
        </w:tc>
        <w:tc>
          <w:tcPr>
            <w:tcW w:w="84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2012 OS</w:t>
            </w:r>
          </w:p>
        </w:tc>
        <w:tc>
          <w:tcPr>
            <w:tcW w:w="84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2013 N</w:t>
            </w:r>
          </w:p>
        </w:tc>
        <w:tc>
          <w:tcPr>
            <w:tcW w:w="84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2014 N</w:t>
            </w:r>
          </w:p>
        </w:tc>
        <w:tc>
          <w:tcPr>
            <w:tcW w:w="84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987180" w:rsidP="006338E5">
            <w:pPr>
              <w:bidi w:val="0"/>
              <w:jc w:val="center"/>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2015 N</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9D2A34" w:rsidRPr="00987180" w:rsidP="006338E5">
            <w:pPr>
              <w:bidi w:val="0"/>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Ministerstvo obrany SR</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853 342 974</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762 941 417</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798 328 933</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804 175 973</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748 445 344</w:t>
            </w:r>
          </w:p>
        </w:tc>
        <w:tc>
          <w:tcPr>
            <w:tcW w:w="840"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784 461 037</w:t>
            </w:r>
          </w:p>
        </w:tc>
        <w:tc>
          <w:tcPr>
            <w:tcW w:w="841" w:type="dxa"/>
            <w:tcBorders>
              <w:top w:val="nil"/>
              <w:left w:val="nil"/>
              <w:bottom w:val="single" w:sz="4" w:space="0" w:color="auto"/>
              <w:right w:val="single" w:sz="4" w:space="0" w:color="auto"/>
            </w:tcBorders>
            <w:shd w:val="clear" w:color="000000" w:fill="BFBFBF"/>
            <w:noWrap/>
            <w:textDirection w:val="lrTb"/>
            <w:vAlign w:val="center"/>
            <w:hideMark/>
          </w:tcPr>
          <w:p w:rsidR="009D2A34" w:rsidRPr="00987180" w:rsidP="006338E5">
            <w:pPr>
              <w:bidi w:val="0"/>
              <w:jc w:val="right"/>
              <w:rPr>
                <w:rFonts w:ascii="Times New Roman" w:hAnsi="Times New Roman" w:cs="Times New Roman"/>
                <w:b/>
                <w:bCs/>
                <w:color w:val="000000"/>
                <w:sz w:val="14"/>
                <w:szCs w:val="14"/>
                <w:lang w:eastAsia="sk-SK"/>
              </w:rPr>
            </w:pPr>
            <w:r w:rsidRPr="00987180">
              <w:rPr>
                <w:rFonts w:ascii="Times New Roman" w:hAnsi="Times New Roman" w:cs="Times New Roman"/>
                <w:b/>
                <w:bCs/>
                <w:color w:val="000000"/>
                <w:sz w:val="14"/>
                <w:szCs w:val="14"/>
                <w:lang w:eastAsia="sk-SK"/>
              </w:rPr>
              <w:t>830 803 145</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textDirection w:val="lrTb"/>
            <w:vAlign w:val="center"/>
            <w:hideMark/>
          </w:tcPr>
          <w:p w:rsidR="009D2A34" w:rsidRPr="00987180" w:rsidP="006338E5">
            <w:pPr>
              <w:bidi w:val="0"/>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Rozvoj obrany</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126 714 732</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64 526 233</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61 978 606</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58 827 621</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58 149 289</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66 837 770</w:t>
            </w:r>
          </w:p>
        </w:tc>
        <w:tc>
          <w:tcPr>
            <w:tcW w:w="841"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98 593 046</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textDirection w:val="lrTb"/>
            <w:vAlign w:val="center"/>
            <w:hideMark/>
          </w:tcPr>
          <w:p w:rsidR="009D2A34" w:rsidRPr="00987180" w:rsidP="006338E5">
            <w:pPr>
              <w:bidi w:val="0"/>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Obrana</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726 022 922</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696 777 032</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734 418 052</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743 416 077</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688 845 325</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716 321 267</w:t>
            </w:r>
          </w:p>
        </w:tc>
        <w:tc>
          <w:tcPr>
            <w:tcW w:w="841"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730 908 099</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textDirection w:val="lrTb"/>
            <w:vAlign w:val="center"/>
            <w:hideMark/>
          </w:tcPr>
          <w:p w:rsidR="009D2A34" w:rsidRPr="00987180" w:rsidP="006338E5">
            <w:pPr>
              <w:bidi w:val="0"/>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Podpora obrany (MO SR)</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72 395</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536 360</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830 275</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830 275</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248 730</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100 000</w:t>
            </w:r>
          </w:p>
        </w:tc>
        <w:tc>
          <w:tcPr>
            <w:tcW w:w="841"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100 000</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textDirection w:val="lrTb"/>
            <w:vAlign w:val="center"/>
            <w:hideMark/>
          </w:tcPr>
          <w:p w:rsidR="009D2A34" w:rsidRPr="00987180" w:rsidP="006338E5">
            <w:pPr>
              <w:bidi w:val="0"/>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Hospodárska mobilizácia (MO SR)</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532 925</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1 101 792</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1 102 000</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1 102 000</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1 102 000</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1 102 000</w:t>
            </w:r>
          </w:p>
        </w:tc>
        <w:tc>
          <w:tcPr>
            <w:tcW w:w="841"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1 102 000</w:t>
            </w:r>
          </w:p>
        </w:tc>
      </w:tr>
      <w:tr>
        <w:tblPrEx>
          <w:tblW w:w="9156" w:type="dxa"/>
          <w:tblInd w:w="56" w:type="dxa"/>
          <w:tblLayout w:type="fixed"/>
          <w:tblCellMar>
            <w:left w:w="70" w:type="dxa"/>
            <w:right w:w="70" w:type="dxa"/>
          </w:tblCellMar>
          <w:tblLook w:val="04A0"/>
        </w:tblPrEx>
        <w:trPr>
          <w:trHeight w:val="261"/>
        </w:trPr>
        <w:tc>
          <w:tcPr>
            <w:tcW w:w="3275" w:type="dxa"/>
            <w:tcBorders>
              <w:top w:val="nil"/>
              <w:left w:val="single" w:sz="4" w:space="0" w:color="auto"/>
              <w:bottom w:val="single" w:sz="4" w:space="0" w:color="auto"/>
              <w:right w:val="single" w:sz="4" w:space="0" w:color="auto"/>
            </w:tcBorders>
            <w:noWrap/>
            <w:textDirection w:val="lrTb"/>
            <w:vAlign w:val="center"/>
            <w:hideMark/>
          </w:tcPr>
          <w:p w:rsidR="009D2A34" w:rsidRPr="00987180" w:rsidP="006338E5">
            <w:pPr>
              <w:bidi w:val="0"/>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 xml:space="preserve">Vys. civil. expertov do aktivít KM mimo SR (MO SR) </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0</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0</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0</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0</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100 000</w:t>
            </w:r>
          </w:p>
        </w:tc>
        <w:tc>
          <w:tcPr>
            <w:tcW w:w="840"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100 000</w:t>
            </w:r>
          </w:p>
        </w:tc>
        <w:tc>
          <w:tcPr>
            <w:tcW w:w="841" w:type="dxa"/>
            <w:tcBorders>
              <w:top w:val="nil"/>
              <w:left w:val="nil"/>
              <w:bottom w:val="single" w:sz="4" w:space="0" w:color="auto"/>
              <w:right w:val="single" w:sz="4" w:space="0" w:color="auto"/>
            </w:tcBorders>
            <w:noWrap/>
            <w:textDirection w:val="lrTb"/>
            <w:vAlign w:val="center"/>
            <w:hideMark/>
          </w:tcPr>
          <w:p w:rsidR="009D2A34" w:rsidRPr="00987180" w:rsidP="006338E5">
            <w:pPr>
              <w:bidi w:val="0"/>
              <w:jc w:val="right"/>
              <w:rPr>
                <w:rFonts w:ascii="Times New Roman" w:hAnsi="Times New Roman" w:cs="Times New Roman"/>
                <w:color w:val="000000"/>
                <w:sz w:val="14"/>
                <w:szCs w:val="14"/>
                <w:lang w:eastAsia="sk-SK"/>
              </w:rPr>
            </w:pPr>
            <w:r w:rsidRPr="00987180">
              <w:rPr>
                <w:rFonts w:ascii="Times New Roman" w:hAnsi="Times New Roman" w:cs="Times New Roman"/>
                <w:color w:val="000000"/>
                <w:sz w:val="14"/>
                <w:szCs w:val="14"/>
                <w:lang w:eastAsia="sk-SK"/>
              </w:rPr>
              <w:t>100 000</w:t>
            </w:r>
          </w:p>
        </w:tc>
      </w:tr>
    </w:tbl>
    <w:p w:rsidR="009D2A34" w:rsidRPr="007E0D85" w:rsidP="009D2A34">
      <w:pPr>
        <w:bidi w:val="0"/>
        <w:jc w:val="both"/>
        <w:rPr>
          <w:rFonts w:ascii="Times New Roman" w:hAnsi="Times New Roman" w:cs="Times New Roman"/>
          <w:iCs/>
          <w:highlight w:val="yellow"/>
          <w:lang w:eastAsia="sk-SK"/>
        </w:rPr>
      </w:pPr>
    </w:p>
    <w:p w:rsidR="009D2A34" w:rsidRPr="002B09EF" w:rsidP="009D2A34">
      <w:pPr>
        <w:bidi w:val="0"/>
        <w:jc w:val="both"/>
        <w:rPr>
          <w:rFonts w:ascii="Times New Roman" w:hAnsi="Times New Roman" w:cs="Times New Roman"/>
          <w:lang w:eastAsia="sk-SK"/>
        </w:rPr>
      </w:pPr>
      <w:r w:rsidRPr="002B09EF">
        <w:rPr>
          <w:rFonts w:ascii="Times New Roman" w:hAnsi="Times New Roman" w:cs="Times New Roman"/>
          <w:i/>
          <w:iCs/>
          <w:u w:val="single"/>
          <w:lang w:eastAsia="sk-SK"/>
        </w:rPr>
        <w:t>Rozvoj obrany</w:t>
      </w:r>
    </w:p>
    <w:p w:rsidR="009D2A34" w:rsidRPr="002B09EF" w:rsidP="009D2A34">
      <w:pPr>
        <w:bidi w:val="0"/>
        <w:jc w:val="both"/>
        <w:rPr>
          <w:rFonts w:ascii="Times New Roman" w:hAnsi="Times New Roman" w:cs="Times New Roman"/>
          <w:i/>
          <w:iCs/>
          <w:lang w:eastAsia="sk-SK"/>
        </w:rPr>
      </w:pPr>
      <w:r w:rsidRPr="002B09EF">
        <w:rPr>
          <w:rFonts w:ascii="Times New Roman" w:hAnsi="Times New Roman" w:cs="Times New Roman"/>
          <w:i/>
          <w:iCs/>
          <w:lang w:eastAsia="sk-SK"/>
        </w:rPr>
        <w:t> </w:t>
      </w:r>
    </w:p>
    <w:tbl>
      <w:tblPr>
        <w:tblStyle w:val="TableNormal"/>
        <w:tblW w:w="9086" w:type="dxa"/>
        <w:tblInd w:w="56" w:type="dxa"/>
        <w:tblLayout w:type="fixed"/>
        <w:tblCellMar>
          <w:left w:w="70" w:type="dxa"/>
          <w:right w:w="70" w:type="dxa"/>
        </w:tblCellMar>
        <w:tblLook w:val="04A0"/>
      </w:tblPr>
      <w:tblGrid>
        <w:gridCol w:w="2220"/>
        <w:gridCol w:w="980"/>
        <w:gridCol w:w="981"/>
        <w:gridCol w:w="981"/>
        <w:gridCol w:w="981"/>
        <w:gridCol w:w="981"/>
        <w:gridCol w:w="981"/>
        <w:gridCol w:w="981"/>
      </w:tblGrid>
      <w:tr>
        <w:tblPrEx>
          <w:tblW w:w="9086" w:type="dxa"/>
          <w:tblInd w:w="56" w:type="dxa"/>
          <w:tblLayout w:type="fixed"/>
          <w:tblCellMar>
            <w:left w:w="70" w:type="dxa"/>
            <w:right w:w="70" w:type="dxa"/>
          </w:tblCellMar>
          <w:tblLook w:val="04A0"/>
        </w:tblPrEx>
        <w:trPr>
          <w:trHeight w:val="261"/>
        </w:trPr>
        <w:tc>
          <w:tcPr>
            <w:tcW w:w="222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2B09EF" w:rsidP="006338E5">
            <w:pPr>
              <w:bidi w:val="0"/>
              <w:rPr>
                <w:rFonts w:ascii="Times New Roman" w:hAnsi="Times New Roman" w:cs="Times New Roman"/>
                <w:b/>
                <w:bCs/>
                <w:color w:val="000000"/>
                <w:sz w:val="14"/>
                <w:szCs w:val="14"/>
                <w:lang w:eastAsia="sk-SK"/>
              </w:rPr>
            </w:pPr>
            <w:r w:rsidRPr="002B09EF">
              <w:rPr>
                <w:rFonts w:ascii="Times New Roman" w:hAnsi="Times New Roman" w:cs="Times New Roman"/>
                <w:b/>
                <w:bCs/>
                <w:color w:val="000000"/>
                <w:sz w:val="14"/>
                <w:szCs w:val="14"/>
                <w:lang w:eastAsia="sk-SK"/>
              </w:rPr>
              <w:t>v eurách</w:t>
            </w:r>
          </w:p>
        </w:tc>
        <w:tc>
          <w:tcPr>
            <w:tcW w:w="98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2010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2011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2012 R</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2012 OS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2013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2014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2015 N</w:t>
            </w:r>
          </w:p>
        </w:tc>
      </w:tr>
      <w:tr>
        <w:tblPrEx>
          <w:tblW w:w="9086" w:type="dxa"/>
          <w:tblInd w:w="56"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9D2A34" w:rsidRPr="002B09EF" w:rsidP="006338E5">
            <w:pPr>
              <w:bidi w:val="0"/>
              <w:rPr>
                <w:rFonts w:ascii="Times New Roman" w:hAnsi="Times New Roman" w:cs="Times New Roman"/>
                <w:b/>
                <w:bCs/>
                <w:color w:val="000000"/>
                <w:sz w:val="14"/>
                <w:szCs w:val="14"/>
                <w:lang w:eastAsia="sk-SK"/>
              </w:rPr>
            </w:pPr>
            <w:r w:rsidRPr="002B09EF">
              <w:rPr>
                <w:rFonts w:ascii="Times New Roman" w:hAnsi="Times New Roman" w:cs="Times New Roman"/>
                <w:b/>
                <w:bCs/>
                <w:color w:val="000000"/>
                <w:sz w:val="14"/>
                <w:szCs w:val="14"/>
                <w:lang w:eastAsia="sk-SK"/>
              </w:rPr>
              <w:t>Rozvoj obrany</w:t>
            </w:r>
          </w:p>
        </w:tc>
        <w:tc>
          <w:tcPr>
            <w:tcW w:w="980"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126 714 732</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64 526 233</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61 978 606</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b/>
                <w:bCs/>
                <w:sz w:val="14"/>
                <w:szCs w:val="14"/>
              </w:rPr>
            </w:pPr>
            <w:r w:rsidRPr="002B09EF">
              <w:rPr>
                <w:rFonts w:ascii="Times New Roman" w:hAnsi="Times New Roman" w:cs="Times New Roman"/>
                <w:b/>
                <w:bCs/>
                <w:sz w:val="14"/>
                <w:szCs w:val="14"/>
                <w:lang w:eastAsia="sk-SK"/>
              </w:rPr>
              <w:t>58 827 621</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58 149 289</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66 837 770</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98 593 046</w:t>
            </w:r>
          </w:p>
        </w:tc>
      </w:tr>
      <w:tr>
        <w:tblPrEx>
          <w:tblW w:w="9086" w:type="dxa"/>
          <w:tblInd w:w="56"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2B09EF" w:rsidP="006338E5">
            <w:pPr>
              <w:bidi w:val="0"/>
              <w:rPr>
                <w:rFonts w:ascii="Times New Roman" w:hAnsi="Times New Roman" w:cs="Times New Roman"/>
                <w:color w:val="000000"/>
                <w:sz w:val="14"/>
                <w:szCs w:val="14"/>
                <w:lang w:eastAsia="sk-SK"/>
              </w:rPr>
            </w:pPr>
            <w:r w:rsidRPr="002B09EF">
              <w:rPr>
                <w:rFonts w:ascii="Times New Roman" w:hAnsi="Times New Roman" w:cs="Times New Roman"/>
                <w:color w:val="000000"/>
                <w:sz w:val="14"/>
                <w:szCs w:val="14"/>
                <w:lang w:eastAsia="sk-SK"/>
              </w:rPr>
              <w:t>Rozvoj infraštruktúry</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33 121 404</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7 192 691</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4 658 000</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5 479 521</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4 406 000</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8 939 000</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12 346 140</w:t>
            </w:r>
          </w:p>
        </w:tc>
      </w:tr>
      <w:tr>
        <w:tblPrEx>
          <w:tblW w:w="9086" w:type="dxa"/>
          <w:tblInd w:w="56"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2B09EF" w:rsidP="006338E5">
            <w:pPr>
              <w:bidi w:val="0"/>
              <w:rPr>
                <w:rFonts w:ascii="Times New Roman" w:hAnsi="Times New Roman" w:cs="Times New Roman"/>
                <w:color w:val="000000"/>
                <w:sz w:val="14"/>
                <w:szCs w:val="14"/>
                <w:lang w:eastAsia="sk-SK"/>
              </w:rPr>
            </w:pPr>
            <w:r w:rsidRPr="002B09EF">
              <w:rPr>
                <w:rFonts w:ascii="Times New Roman" w:hAnsi="Times New Roman" w:cs="Times New Roman"/>
                <w:color w:val="000000"/>
                <w:sz w:val="14"/>
                <w:szCs w:val="14"/>
                <w:lang w:eastAsia="sk-SK"/>
              </w:rPr>
              <w:t>Rozvoj výzbroje, techniky a mat.</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52 345 406</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17 576 146</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17 535 257</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17 948 215</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31 403 398</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36 926 088</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61 000 799</w:t>
            </w:r>
          </w:p>
        </w:tc>
      </w:tr>
      <w:tr>
        <w:tblPrEx>
          <w:tblW w:w="9086" w:type="dxa"/>
          <w:tblInd w:w="56"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2B09EF" w:rsidP="006338E5">
            <w:pPr>
              <w:bidi w:val="0"/>
              <w:rPr>
                <w:rFonts w:ascii="Times New Roman" w:hAnsi="Times New Roman" w:cs="Times New Roman"/>
                <w:color w:val="000000"/>
                <w:sz w:val="14"/>
                <w:szCs w:val="14"/>
                <w:lang w:eastAsia="sk-SK"/>
              </w:rPr>
            </w:pPr>
            <w:r w:rsidRPr="002B09EF">
              <w:rPr>
                <w:rFonts w:ascii="Times New Roman" w:hAnsi="Times New Roman" w:cs="Times New Roman"/>
                <w:color w:val="000000"/>
                <w:sz w:val="14"/>
                <w:szCs w:val="14"/>
                <w:lang w:eastAsia="sk-SK"/>
              </w:rPr>
              <w:t>Rozvoj kom. a inf. systémov</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41 247 922</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39 757 396</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39 785 349</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35 399 885</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22 339 891</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20 972 682</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25 246 107</w:t>
            </w:r>
          </w:p>
        </w:tc>
      </w:tr>
    </w:tbl>
    <w:p w:rsidR="009D2A34" w:rsidRPr="007E0D85" w:rsidP="009D2A34">
      <w:pPr>
        <w:bidi w:val="0"/>
        <w:jc w:val="both"/>
        <w:rPr>
          <w:rFonts w:ascii="Times New Roman" w:hAnsi="Times New Roman" w:cs="Times New Roman"/>
          <w:highlight w:val="yellow"/>
          <w:lang w:eastAsia="sk-SK"/>
        </w:rPr>
      </w:pPr>
    </w:p>
    <w:p w:rsidR="009D2A34" w:rsidRPr="00C860E5" w:rsidP="009D2A34">
      <w:pPr>
        <w:bidi w:val="0"/>
        <w:ind w:firstLine="708"/>
        <w:jc w:val="both"/>
        <w:rPr>
          <w:rFonts w:ascii="Times New Roman" w:hAnsi="Times New Roman" w:cs="Times New Roman"/>
        </w:rPr>
      </w:pPr>
      <w:r w:rsidRPr="00C860E5">
        <w:rPr>
          <w:rFonts w:ascii="Times New Roman" w:hAnsi="Times New Roman" w:cs="Times New Roman"/>
        </w:rPr>
        <w:t xml:space="preserve">V rámci rozvoja obrany sú na rok 2013 vyčlenené prostriedky na rozvojové aktivity rezortu, a to najmä na realizáciu budovania komunikačných a informačných systémov, nákupu automobilovej techniky a modernizácie leteckej techniky. Ide hlavne o výdavky na výzbroj, techniku a špeciálny materiál. </w:t>
      </w:r>
    </w:p>
    <w:p w:rsidR="009D2A34" w:rsidRPr="007E0D85" w:rsidP="009D2A34">
      <w:pPr>
        <w:bidi w:val="0"/>
        <w:jc w:val="both"/>
        <w:rPr>
          <w:rFonts w:ascii="Times New Roman" w:hAnsi="Times New Roman" w:cs="Times New Roman"/>
          <w:highlight w:val="yellow"/>
        </w:rPr>
      </w:pPr>
    </w:p>
    <w:p w:rsidR="009D2A34" w:rsidRPr="00065F93" w:rsidP="009D2A34">
      <w:pPr>
        <w:bidi w:val="0"/>
        <w:ind w:firstLine="708"/>
        <w:jc w:val="both"/>
        <w:rPr>
          <w:rFonts w:ascii="Times New Roman" w:hAnsi="Times New Roman" w:cs="Times New Roman"/>
        </w:rPr>
      </w:pPr>
      <w:r w:rsidRPr="00065F93">
        <w:rPr>
          <w:rFonts w:ascii="Times New Roman" w:hAnsi="Times New Roman" w:cs="Times New Roman"/>
        </w:rPr>
        <w:t xml:space="preserve">Pokles výdavkov v roku 2013 oproti schválenému rozpočtu roka 2012 predstavuje 3,83 mil. eur, čo je zníženie o 6,18 %. Najväčší pokles zaznamenáva oblasť rozvoja komunikačných a informačných systémov.  </w:t>
      </w:r>
    </w:p>
    <w:p w:rsidR="009D2A34" w:rsidRPr="00065F93" w:rsidP="009D2A34">
      <w:pPr>
        <w:bidi w:val="0"/>
        <w:jc w:val="both"/>
        <w:rPr>
          <w:rFonts w:ascii="Times New Roman" w:hAnsi="Times New Roman" w:cs="Times New Roman"/>
          <w:lang w:eastAsia="sk-SK"/>
        </w:rPr>
      </w:pPr>
      <w:r w:rsidRPr="00065F93">
        <w:rPr>
          <w:rFonts w:ascii="Times New Roman" w:hAnsi="Times New Roman" w:cs="Times New Roman"/>
          <w:i/>
          <w:iCs/>
          <w:lang w:eastAsia="sk-SK"/>
        </w:rPr>
        <w:t> </w:t>
      </w:r>
    </w:p>
    <w:p w:rsidR="009D2A34" w:rsidRPr="002B09EF" w:rsidP="009D2A34">
      <w:pPr>
        <w:bidi w:val="0"/>
        <w:jc w:val="both"/>
        <w:rPr>
          <w:rFonts w:ascii="Times New Roman" w:hAnsi="Times New Roman" w:cs="Times New Roman"/>
          <w:lang w:eastAsia="sk-SK"/>
        </w:rPr>
      </w:pPr>
      <w:r w:rsidRPr="002B09EF">
        <w:rPr>
          <w:rFonts w:ascii="Times New Roman" w:hAnsi="Times New Roman" w:cs="Times New Roman"/>
          <w:i/>
          <w:iCs/>
          <w:u w:val="single"/>
          <w:lang w:eastAsia="sk-SK"/>
        </w:rPr>
        <w:t>Obrana</w:t>
      </w:r>
    </w:p>
    <w:p w:rsidR="009D2A34" w:rsidRPr="002B09EF" w:rsidP="009D2A34">
      <w:pPr>
        <w:bidi w:val="0"/>
        <w:jc w:val="both"/>
        <w:rPr>
          <w:rFonts w:ascii="Times New Roman" w:hAnsi="Times New Roman" w:cs="Times New Roman"/>
          <w:lang w:eastAsia="sk-SK"/>
        </w:rPr>
      </w:pPr>
      <w:r w:rsidRPr="002B09EF">
        <w:rPr>
          <w:rFonts w:ascii="Times New Roman" w:hAnsi="Times New Roman" w:cs="Times New Roman"/>
          <w:lang w:eastAsia="sk-SK"/>
        </w:rPr>
        <w:t> </w:t>
      </w:r>
    </w:p>
    <w:tbl>
      <w:tblPr>
        <w:tblStyle w:val="TableNormal"/>
        <w:tblW w:w="9085" w:type="dxa"/>
        <w:tblInd w:w="57" w:type="dxa"/>
        <w:tblLayout w:type="fixed"/>
        <w:tblCellMar>
          <w:left w:w="70" w:type="dxa"/>
          <w:right w:w="70" w:type="dxa"/>
        </w:tblCellMar>
        <w:tblLook w:val="04A0"/>
      </w:tblPr>
      <w:tblGrid>
        <w:gridCol w:w="2220"/>
        <w:gridCol w:w="980"/>
        <w:gridCol w:w="981"/>
        <w:gridCol w:w="981"/>
        <w:gridCol w:w="980"/>
        <w:gridCol w:w="981"/>
        <w:gridCol w:w="981"/>
        <w:gridCol w:w="981"/>
      </w:tblGrid>
      <w:tr>
        <w:tblPrEx>
          <w:tblW w:w="9085" w:type="dxa"/>
          <w:tblInd w:w="57" w:type="dxa"/>
          <w:tblLayout w:type="fixed"/>
          <w:tblCellMar>
            <w:left w:w="70" w:type="dxa"/>
            <w:right w:w="70" w:type="dxa"/>
          </w:tblCellMar>
          <w:tblLook w:val="04A0"/>
        </w:tblPrEx>
        <w:trPr>
          <w:trHeight w:val="261"/>
        </w:trPr>
        <w:tc>
          <w:tcPr>
            <w:tcW w:w="222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2B09EF" w:rsidP="006338E5">
            <w:pPr>
              <w:bidi w:val="0"/>
              <w:rPr>
                <w:rFonts w:ascii="Times New Roman" w:hAnsi="Times New Roman" w:cs="Times New Roman"/>
                <w:b/>
                <w:bCs/>
                <w:color w:val="000000"/>
                <w:sz w:val="14"/>
                <w:szCs w:val="14"/>
                <w:lang w:eastAsia="sk-SK"/>
              </w:rPr>
            </w:pPr>
            <w:r w:rsidRPr="002B09EF">
              <w:rPr>
                <w:rFonts w:ascii="Times New Roman" w:hAnsi="Times New Roman" w:cs="Times New Roman"/>
                <w:b/>
                <w:bCs/>
                <w:color w:val="000000"/>
                <w:sz w:val="14"/>
                <w:szCs w:val="14"/>
                <w:lang w:eastAsia="sk-SK"/>
              </w:rPr>
              <w:t>v eurách</w:t>
            </w:r>
          </w:p>
        </w:tc>
        <w:tc>
          <w:tcPr>
            <w:tcW w:w="98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2010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2011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2012 R</w:t>
            </w:r>
          </w:p>
        </w:tc>
        <w:tc>
          <w:tcPr>
            <w:tcW w:w="98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2012 OS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2013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2014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2B09EF" w:rsidP="006338E5">
            <w:pPr>
              <w:bidi w:val="0"/>
              <w:jc w:val="center"/>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2015 N</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shd w:val="clear" w:color="000000" w:fill="C0C0C0"/>
            <w:textDirection w:val="lrTb"/>
            <w:vAlign w:val="center"/>
            <w:hideMark/>
          </w:tcPr>
          <w:p w:rsidR="009D2A34" w:rsidRPr="002B09EF" w:rsidP="006338E5">
            <w:pPr>
              <w:bidi w:val="0"/>
              <w:rPr>
                <w:rFonts w:ascii="Times New Roman" w:hAnsi="Times New Roman" w:cs="Times New Roman"/>
                <w:b/>
                <w:bCs/>
                <w:color w:val="000000"/>
                <w:sz w:val="14"/>
                <w:szCs w:val="14"/>
                <w:lang w:eastAsia="sk-SK"/>
              </w:rPr>
            </w:pPr>
            <w:r w:rsidRPr="002B09EF">
              <w:rPr>
                <w:rFonts w:ascii="Times New Roman" w:hAnsi="Times New Roman" w:cs="Times New Roman"/>
                <w:b/>
                <w:bCs/>
                <w:color w:val="000000"/>
                <w:sz w:val="14"/>
                <w:szCs w:val="14"/>
                <w:lang w:eastAsia="sk-SK"/>
              </w:rPr>
              <w:t>Obrana</w:t>
            </w:r>
          </w:p>
        </w:tc>
        <w:tc>
          <w:tcPr>
            <w:tcW w:w="980"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726 022 922</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696 777 032</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734 418 052</w:t>
            </w:r>
          </w:p>
        </w:tc>
        <w:tc>
          <w:tcPr>
            <w:tcW w:w="980"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b/>
                <w:bCs/>
                <w:sz w:val="14"/>
                <w:szCs w:val="14"/>
              </w:rPr>
            </w:pPr>
            <w:r w:rsidRPr="002B09EF">
              <w:rPr>
                <w:rFonts w:ascii="Times New Roman" w:hAnsi="Times New Roman" w:cs="Times New Roman"/>
                <w:b/>
                <w:bCs/>
                <w:sz w:val="14"/>
                <w:szCs w:val="14"/>
                <w:lang w:eastAsia="sk-SK"/>
              </w:rPr>
              <w:t>743 416 077</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688 845 325</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716 321 267</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730 908 099</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2B09EF" w:rsidP="006338E5">
            <w:pPr>
              <w:bidi w:val="0"/>
              <w:rPr>
                <w:rFonts w:ascii="Times New Roman" w:hAnsi="Times New Roman" w:cs="Times New Roman"/>
                <w:b/>
                <w:bCs/>
                <w:color w:val="000000"/>
                <w:sz w:val="14"/>
                <w:szCs w:val="14"/>
                <w:lang w:eastAsia="sk-SK"/>
              </w:rPr>
            </w:pPr>
            <w:r w:rsidRPr="002B09EF">
              <w:rPr>
                <w:rFonts w:ascii="Times New Roman" w:hAnsi="Times New Roman" w:cs="Times New Roman"/>
                <w:b/>
                <w:bCs/>
                <w:color w:val="000000"/>
                <w:sz w:val="14"/>
                <w:szCs w:val="14"/>
                <w:lang w:eastAsia="sk-SK"/>
              </w:rPr>
              <w:t>Riadenie a podpora obrany</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191 178 828</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167 347 978</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191 807 127</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190 386 287</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162 951 389</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164 082 177</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164 913 724</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2B09EF" w:rsidP="006338E5">
            <w:pPr>
              <w:bidi w:val="0"/>
              <w:rPr>
                <w:rFonts w:ascii="Times New Roman" w:hAnsi="Times New Roman" w:cs="Times New Roman"/>
                <w:color w:val="000000"/>
                <w:sz w:val="14"/>
                <w:szCs w:val="14"/>
                <w:lang w:eastAsia="sk-SK"/>
              </w:rPr>
            </w:pPr>
            <w:r w:rsidRPr="002B09EF">
              <w:rPr>
                <w:rFonts w:ascii="Times New Roman" w:hAnsi="Times New Roman" w:cs="Times New Roman"/>
                <w:color w:val="000000"/>
                <w:sz w:val="14"/>
                <w:szCs w:val="14"/>
                <w:lang w:eastAsia="sk-SK"/>
              </w:rPr>
              <w:t xml:space="preserve">Príspevok na bývanie </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3 401 200</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3 358 524</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3 759 370</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3 554 484</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3 577 604</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3 580 283</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3 580 283</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2B09EF" w:rsidP="006338E5">
            <w:pPr>
              <w:bidi w:val="0"/>
              <w:rPr>
                <w:rFonts w:ascii="Times New Roman" w:hAnsi="Times New Roman" w:cs="Times New Roman"/>
                <w:color w:val="000000"/>
                <w:sz w:val="14"/>
                <w:szCs w:val="14"/>
                <w:lang w:eastAsia="sk-SK"/>
              </w:rPr>
            </w:pPr>
            <w:r w:rsidRPr="002B09EF">
              <w:rPr>
                <w:rFonts w:ascii="Times New Roman" w:hAnsi="Times New Roman" w:cs="Times New Roman"/>
                <w:color w:val="000000"/>
                <w:sz w:val="14"/>
                <w:szCs w:val="14"/>
                <w:lang w:eastAsia="sk-SK"/>
              </w:rPr>
              <w:t>Ost. riadenie a podpora obrany</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187 777 628</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163 989 455</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188 047 757</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186 831 803</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159 373 785</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160 501 894</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161 333 441</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2B09EF" w:rsidP="006338E5">
            <w:pPr>
              <w:bidi w:val="0"/>
              <w:rPr>
                <w:rFonts w:ascii="Times New Roman" w:hAnsi="Times New Roman" w:cs="Times New Roman"/>
                <w:b/>
                <w:bCs/>
                <w:color w:val="000000"/>
                <w:sz w:val="14"/>
                <w:szCs w:val="14"/>
                <w:lang w:eastAsia="sk-SK"/>
              </w:rPr>
            </w:pPr>
            <w:r w:rsidRPr="002B09EF">
              <w:rPr>
                <w:rFonts w:ascii="Times New Roman" w:hAnsi="Times New Roman" w:cs="Times New Roman"/>
                <w:b/>
                <w:bCs/>
                <w:color w:val="000000"/>
                <w:sz w:val="14"/>
                <w:szCs w:val="14"/>
                <w:lang w:eastAsia="sk-SK"/>
              </w:rPr>
              <w:t>Velenie a zaručovanie obrany</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534 844 094</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529 429 054</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542 610 925</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b/>
                <w:bCs/>
                <w:sz w:val="14"/>
                <w:szCs w:val="14"/>
              </w:rPr>
            </w:pPr>
            <w:r w:rsidRPr="002B09EF">
              <w:rPr>
                <w:rFonts w:ascii="Times New Roman" w:hAnsi="Times New Roman" w:cs="Times New Roman"/>
                <w:b/>
                <w:bCs/>
                <w:sz w:val="14"/>
                <w:szCs w:val="14"/>
                <w:lang w:eastAsia="sk-SK"/>
              </w:rPr>
              <w:t>553 029 790</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525 893 936</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552 239 090</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b/>
                <w:bCs/>
                <w:sz w:val="14"/>
                <w:szCs w:val="14"/>
                <w:lang w:eastAsia="sk-SK"/>
              </w:rPr>
            </w:pPr>
            <w:r w:rsidRPr="002B09EF">
              <w:rPr>
                <w:rFonts w:ascii="Times New Roman" w:hAnsi="Times New Roman" w:cs="Times New Roman"/>
                <w:b/>
                <w:bCs/>
                <w:sz w:val="14"/>
                <w:szCs w:val="14"/>
                <w:lang w:eastAsia="sk-SK"/>
              </w:rPr>
              <w:t>565 994 375</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2B09EF" w:rsidP="006338E5">
            <w:pPr>
              <w:bidi w:val="0"/>
              <w:rPr>
                <w:rFonts w:ascii="Times New Roman" w:hAnsi="Times New Roman" w:cs="Times New Roman"/>
                <w:color w:val="000000"/>
                <w:sz w:val="14"/>
                <w:szCs w:val="14"/>
                <w:lang w:eastAsia="sk-SK"/>
              </w:rPr>
            </w:pPr>
            <w:r w:rsidRPr="002B09EF">
              <w:rPr>
                <w:rFonts w:ascii="Times New Roman" w:hAnsi="Times New Roman" w:cs="Times New Roman"/>
                <w:color w:val="000000"/>
                <w:sz w:val="14"/>
                <w:szCs w:val="14"/>
                <w:lang w:eastAsia="sk-SK"/>
              </w:rPr>
              <w:t xml:space="preserve">Transfer na osobitný účet </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93 372 572</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102 356 000</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98 867 410</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117 628 200</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115 734 466</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125 375 838</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137 253 212</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2B09EF" w:rsidP="006338E5">
            <w:pPr>
              <w:bidi w:val="0"/>
              <w:rPr>
                <w:rFonts w:ascii="Times New Roman" w:hAnsi="Times New Roman" w:cs="Times New Roman"/>
                <w:color w:val="000000"/>
                <w:sz w:val="14"/>
                <w:szCs w:val="14"/>
                <w:lang w:eastAsia="sk-SK"/>
              </w:rPr>
            </w:pPr>
            <w:r w:rsidRPr="002B09EF">
              <w:rPr>
                <w:rFonts w:ascii="Times New Roman" w:hAnsi="Times New Roman" w:cs="Times New Roman"/>
                <w:color w:val="000000"/>
                <w:sz w:val="14"/>
                <w:szCs w:val="14"/>
                <w:lang w:eastAsia="sk-SK"/>
              </w:rPr>
              <w:t xml:space="preserve">Príspevok na bývanie </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35 504 312</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34 607 274</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35 879 871</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35 403 244</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35 734 132</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35 755 492</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35 813 073</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2B09EF" w:rsidP="006338E5">
            <w:pPr>
              <w:bidi w:val="0"/>
              <w:rPr>
                <w:rFonts w:ascii="Times New Roman" w:hAnsi="Times New Roman" w:cs="Times New Roman"/>
                <w:color w:val="000000"/>
                <w:sz w:val="14"/>
                <w:szCs w:val="14"/>
                <w:lang w:eastAsia="sk-SK"/>
              </w:rPr>
            </w:pPr>
            <w:r w:rsidRPr="002B09EF">
              <w:rPr>
                <w:rFonts w:ascii="Times New Roman" w:hAnsi="Times New Roman" w:cs="Times New Roman"/>
                <w:color w:val="000000"/>
                <w:sz w:val="14"/>
                <w:szCs w:val="14"/>
                <w:lang w:eastAsia="sk-SK"/>
              </w:rPr>
              <w:t>Operácie mimo územia štátu</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45 019 951</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43 745 195</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49 977 388</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47 476 923</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40 445 049</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40 154 211</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40 170 191</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2B09EF" w:rsidP="006338E5">
            <w:pPr>
              <w:bidi w:val="0"/>
              <w:rPr>
                <w:rFonts w:ascii="Times New Roman" w:hAnsi="Times New Roman" w:cs="Times New Roman"/>
                <w:color w:val="000000"/>
                <w:sz w:val="14"/>
                <w:szCs w:val="14"/>
                <w:lang w:eastAsia="sk-SK"/>
              </w:rPr>
            </w:pPr>
            <w:r w:rsidRPr="002B09EF">
              <w:rPr>
                <w:rFonts w:ascii="Times New Roman" w:hAnsi="Times New Roman" w:cs="Times New Roman"/>
                <w:color w:val="000000"/>
                <w:sz w:val="14"/>
                <w:szCs w:val="14"/>
                <w:lang w:eastAsia="sk-SK"/>
              </w:rPr>
              <w:t>Ost. velenie a zaručovanie obrany</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360 947 259</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348 720 585</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357 886 256</w:t>
            </w:r>
          </w:p>
        </w:tc>
        <w:tc>
          <w:tcPr>
            <w:tcW w:w="980"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352 521 423</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333 980 289</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350 953 549</w:t>
            </w:r>
          </w:p>
        </w:tc>
        <w:tc>
          <w:tcPr>
            <w:tcW w:w="981" w:type="dxa"/>
            <w:tcBorders>
              <w:top w:val="nil"/>
              <w:left w:val="nil"/>
              <w:bottom w:val="single" w:sz="4" w:space="0" w:color="auto"/>
              <w:right w:val="single" w:sz="4" w:space="0" w:color="auto"/>
            </w:tcBorders>
            <w:textDirection w:val="lrTb"/>
            <w:vAlign w:val="center"/>
            <w:hideMark/>
          </w:tcPr>
          <w:p w:rsidR="009D2A34" w:rsidRPr="002B09EF" w:rsidP="006338E5">
            <w:pPr>
              <w:bidi w:val="0"/>
              <w:jc w:val="right"/>
              <w:rPr>
                <w:rFonts w:ascii="Times New Roman" w:hAnsi="Times New Roman" w:cs="Times New Roman"/>
                <w:sz w:val="14"/>
                <w:szCs w:val="14"/>
                <w:lang w:eastAsia="sk-SK"/>
              </w:rPr>
            </w:pPr>
            <w:r w:rsidRPr="002B09EF">
              <w:rPr>
                <w:rFonts w:ascii="Times New Roman" w:hAnsi="Times New Roman" w:cs="Times New Roman"/>
                <w:sz w:val="14"/>
                <w:szCs w:val="14"/>
                <w:lang w:eastAsia="sk-SK"/>
              </w:rPr>
              <w:t>352 757 899</w:t>
            </w:r>
          </w:p>
        </w:tc>
      </w:tr>
    </w:tbl>
    <w:p w:rsidR="009D2A34" w:rsidRPr="007E0D85" w:rsidP="009D2A34">
      <w:pPr>
        <w:bidi w:val="0"/>
        <w:ind w:firstLine="708"/>
        <w:jc w:val="both"/>
        <w:rPr>
          <w:rFonts w:ascii="Times New Roman" w:hAnsi="Times New Roman" w:cs="Times New Roman"/>
          <w:highlight w:val="yellow"/>
        </w:rPr>
      </w:pPr>
    </w:p>
    <w:p w:rsidR="009D2A34" w:rsidRPr="006F15F0" w:rsidP="009D2A34">
      <w:pPr>
        <w:bidi w:val="0"/>
        <w:ind w:firstLine="708"/>
        <w:jc w:val="both"/>
        <w:rPr>
          <w:rFonts w:ascii="Times New Roman" w:hAnsi="Times New Roman" w:cs="Times New Roman"/>
        </w:rPr>
      </w:pPr>
      <w:r w:rsidRPr="006F15F0">
        <w:rPr>
          <w:rFonts w:ascii="Times New Roman" w:hAnsi="Times New Roman" w:cs="Times New Roman"/>
        </w:rPr>
        <w:t xml:space="preserve">V rámci programu Obrana sa rozpočtuje bežná prevádzka rezortu, a to najmä riadenie, velenie a podpora obrany, vzdelávanie v rámci Akadémie ozbrojených síl M. R. Štefánika v Liptovskom Mikuláši, správa majetku ako aj operácie medzinárodného krízového manažmentu. Rozpočtujú sa tu výdavky na vojenskú políciu, činnosť Vojenského spravodajstva, Vojenského archívu v Trnave,  Úradu hlavného lekára, Úradu špeciálneho zdravotníctva a výcviku Lešť, výdavky na územné vojenské správy, Vojenského technického a skúšobného ústavu Záhorie, Vojenského úradu sociálneho zabezpečenia, úlohy Ordinariátu Ozbrojených síl, Vojenského historického ústavu, Úradu pre obrannú štandardizáciu a Vojenského športového centra Dukla Banská Bystrica. </w:t>
      </w:r>
    </w:p>
    <w:p w:rsidR="009D2A34" w:rsidRPr="007E0D85" w:rsidP="009D2A34">
      <w:pPr>
        <w:bidi w:val="0"/>
        <w:jc w:val="both"/>
        <w:rPr>
          <w:rFonts w:ascii="Times New Roman" w:hAnsi="Times New Roman" w:cs="Times New Roman"/>
          <w:highlight w:val="yellow"/>
        </w:rPr>
      </w:pPr>
    </w:p>
    <w:p w:rsidR="009D2A34" w:rsidRPr="006F15F0" w:rsidP="009D2A34">
      <w:pPr>
        <w:bidi w:val="0"/>
        <w:ind w:firstLine="708"/>
        <w:jc w:val="both"/>
        <w:rPr>
          <w:rFonts w:ascii="Times New Roman" w:hAnsi="Times New Roman" w:cs="Times New Roman"/>
        </w:rPr>
      </w:pPr>
      <w:r w:rsidRPr="006F15F0">
        <w:rPr>
          <w:rFonts w:ascii="Times New Roman" w:hAnsi="Times New Roman" w:cs="Times New Roman"/>
        </w:rPr>
        <w:t xml:space="preserve">Systém sociálneho zabezpečenia definovaný v zákone č. 328/2002 Z. z. o sociálnom zabezpečení policajtov a vojakov je pri súčasných existujúcich parametroch vysoko deficitný. Vzhľadom na úroveň sociálnych benefitov a vývoj počtu prispievateľov a prijímateľov v rámci systému sociálneho zabezpečenia sa tak každoročne odčerpáva zo štátneho rozpočtu významná suma zdrojov, ktorá tak znižuje disponibilné zdroje rezortu. Prostriedky určené na osobitný účet v roku 2013 sú rozpočtované v sume 116 mil. eur. Výška uvedených prostriedkov je tak približne na úrovni očakávanej potreby rezortu na rok 2012. </w:t>
      </w:r>
    </w:p>
    <w:p w:rsidR="009D2A34" w:rsidRPr="007E0D85" w:rsidP="009D2A34">
      <w:pPr>
        <w:bidi w:val="0"/>
        <w:jc w:val="both"/>
        <w:rPr>
          <w:rFonts w:ascii="Times New Roman" w:hAnsi="Times New Roman" w:cs="Times New Roman"/>
          <w:highlight w:val="yellow"/>
        </w:rPr>
      </w:pPr>
    </w:p>
    <w:p w:rsidR="009D2A34" w:rsidRPr="00232A8A" w:rsidP="009D2A34">
      <w:pPr>
        <w:bidi w:val="0"/>
        <w:ind w:firstLine="708"/>
        <w:jc w:val="both"/>
        <w:rPr>
          <w:rFonts w:ascii="Times New Roman" w:hAnsi="Times New Roman" w:cs="Times New Roman"/>
        </w:rPr>
      </w:pPr>
      <w:r w:rsidRPr="00232A8A">
        <w:rPr>
          <w:rFonts w:ascii="Times New Roman" w:hAnsi="Times New Roman" w:cs="Times New Roman"/>
        </w:rPr>
        <w:t xml:space="preserve">Mandatórnou dávkou poskytovanou vojakom je aj príspevok na bývanie, ktorý sa vypláca v zmysle  zákona č. 346/2005 Z. z. o štátnej službe profesionálnych vojakov ozbrojených síl Slovenskej republiky. Výška príspevku na bývanie ostala v roku 2013 približne na úrovni schváleného rozpočtu roku 2012 a rozpočtuje sa vo výške 39,3 mil. eur. </w:t>
      </w:r>
    </w:p>
    <w:p w:rsidR="009D2A34" w:rsidRPr="00232A8A" w:rsidP="009D2A34">
      <w:pPr>
        <w:bidi w:val="0"/>
        <w:jc w:val="both"/>
        <w:rPr>
          <w:rFonts w:ascii="Times New Roman" w:hAnsi="Times New Roman" w:cs="Times New Roman"/>
          <w:lang w:eastAsia="sk-SK"/>
        </w:rPr>
      </w:pPr>
      <w:r w:rsidRPr="00232A8A">
        <w:rPr>
          <w:rFonts w:ascii="Times New Roman" w:hAnsi="Times New Roman" w:cs="Times New Roman"/>
          <w:lang w:eastAsia="sk-SK"/>
        </w:rPr>
        <w:t> </w:t>
      </w:r>
    </w:p>
    <w:tbl>
      <w:tblPr>
        <w:tblStyle w:val="TableNormal"/>
        <w:tblW w:w="9085" w:type="dxa"/>
        <w:tblInd w:w="57" w:type="dxa"/>
        <w:tblLayout w:type="fixed"/>
        <w:tblCellMar>
          <w:left w:w="70" w:type="dxa"/>
          <w:right w:w="70" w:type="dxa"/>
        </w:tblCellMar>
        <w:tblLook w:val="04A0"/>
      </w:tblPr>
      <w:tblGrid>
        <w:gridCol w:w="2220"/>
        <w:gridCol w:w="980"/>
        <w:gridCol w:w="981"/>
        <w:gridCol w:w="981"/>
        <w:gridCol w:w="980"/>
        <w:gridCol w:w="981"/>
        <w:gridCol w:w="981"/>
        <w:gridCol w:w="981"/>
      </w:tblGrid>
      <w:tr>
        <w:tblPrEx>
          <w:tblW w:w="9085" w:type="dxa"/>
          <w:tblInd w:w="57" w:type="dxa"/>
          <w:tblLayout w:type="fixed"/>
          <w:tblCellMar>
            <w:left w:w="70" w:type="dxa"/>
            <w:right w:w="70" w:type="dxa"/>
          </w:tblCellMar>
          <w:tblLook w:val="04A0"/>
        </w:tblPrEx>
        <w:trPr>
          <w:trHeight w:val="261"/>
        </w:trPr>
        <w:tc>
          <w:tcPr>
            <w:tcW w:w="222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F863F7" w:rsidP="006338E5">
            <w:pPr>
              <w:bidi w:val="0"/>
              <w:rPr>
                <w:rFonts w:ascii="Times New Roman" w:hAnsi="Times New Roman" w:cs="Times New Roman"/>
                <w:b/>
                <w:bCs/>
                <w:color w:val="000000"/>
                <w:sz w:val="14"/>
                <w:szCs w:val="14"/>
                <w:lang w:eastAsia="sk-SK"/>
              </w:rPr>
            </w:pPr>
            <w:r w:rsidRPr="00F863F7">
              <w:rPr>
                <w:rFonts w:ascii="Times New Roman" w:hAnsi="Times New Roman" w:cs="Times New Roman"/>
                <w:b/>
                <w:bCs/>
                <w:color w:val="000000"/>
                <w:sz w:val="14"/>
                <w:szCs w:val="14"/>
                <w:lang w:eastAsia="sk-SK"/>
              </w:rPr>
              <w:t>v eurách</w:t>
            </w:r>
          </w:p>
        </w:tc>
        <w:tc>
          <w:tcPr>
            <w:tcW w:w="98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F863F7" w:rsidP="006338E5">
            <w:pPr>
              <w:bidi w:val="0"/>
              <w:jc w:val="center"/>
              <w:rPr>
                <w:rFonts w:ascii="Times New Roman" w:hAnsi="Times New Roman" w:cs="Times New Roman"/>
                <w:b/>
                <w:bCs/>
                <w:sz w:val="14"/>
                <w:szCs w:val="14"/>
                <w:lang w:eastAsia="sk-SK"/>
              </w:rPr>
            </w:pPr>
            <w:r w:rsidRPr="00F863F7">
              <w:rPr>
                <w:rFonts w:ascii="Times New Roman" w:hAnsi="Times New Roman" w:cs="Times New Roman"/>
                <w:b/>
                <w:bCs/>
                <w:sz w:val="14"/>
                <w:szCs w:val="14"/>
                <w:lang w:eastAsia="sk-SK"/>
              </w:rPr>
              <w:t>2010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F863F7" w:rsidP="006338E5">
            <w:pPr>
              <w:bidi w:val="0"/>
              <w:jc w:val="center"/>
              <w:rPr>
                <w:rFonts w:ascii="Times New Roman" w:hAnsi="Times New Roman" w:cs="Times New Roman"/>
                <w:b/>
                <w:bCs/>
                <w:sz w:val="14"/>
                <w:szCs w:val="14"/>
                <w:lang w:eastAsia="sk-SK"/>
              </w:rPr>
            </w:pPr>
            <w:r w:rsidRPr="00F863F7">
              <w:rPr>
                <w:rFonts w:ascii="Times New Roman" w:hAnsi="Times New Roman" w:cs="Times New Roman"/>
                <w:b/>
                <w:bCs/>
                <w:sz w:val="14"/>
                <w:szCs w:val="14"/>
                <w:lang w:eastAsia="sk-SK"/>
              </w:rPr>
              <w:t>2011 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F863F7" w:rsidP="006338E5">
            <w:pPr>
              <w:bidi w:val="0"/>
              <w:jc w:val="center"/>
              <w:rPr>
                <w:rFonts w:ascii="Times New Roman" w:hAnsi="Times New Roman" w:cs="Times New Roman"/>
                <w:b/>
                <w:bCs/>
                <w:sz w:val="14"/>
                <w:szCs w:val="14"/>
                <w:lang w:eastAsia="sk-SK"/>
              </w:rPr>
            </w:pPr>
            <w:r w:rsidRPr="00F863F7">
              <w:rPr>
                <w:rFonts w:ascii="Times New Roman" w:hAnsi="Times New Roman" w:cs="Times New Roman"/>
                <w:b/>
                <w:bCs/>
                <w:sz w:val="14"/>
                <w:szCs w:val="14"/>
                <w:lang w:eastAsia="sk-SK"/>
              </w:rPr>
              <w:t>2012 R</w:t>
            </w:r>
          </w:p>
        </w:tc>
        <w:tc>
          <w:tcPr>
            <w:tcW w:w="980"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F863F7" w:rsidP="006338E5">
            <w:pPr>
              <w:bidi w:val="0"/>
              <w:jc w:val="center"/>
              <w:rPr>
                <w:rFonts w:ascii="Times New Roman" w:hAnsi="Times New Roman" w:cs="Times New Roman"/>
                <w:b/>
                <w:bCs/>
                <w:sz w:val="14"/>
                <w:szCs w:val="14"/>
                <w:lang w:eastAsia="sk-SK"/>
              </w:rPr>
            </w:pPr>
            <w:r w:rsidRPr="00F863F7">
              <w:rPr>
                <w:rFonts w:ascii="Times New Roman" w:hAnsi="Times New Roman" w:cs="Times New Roman"/>
                <w:b/>
                <w:bCs/>
                <w:sz w:val="14"/>
                <w:szCs w:val="14"/>
                <w:lang w:eastAsia="sk-SK"/>
              </w:rPr>
              <w:t>2012 OS</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F863F7" w:rsidP="006338E5">
            <w:pPr>
              <w:bidi w:val="0"/>
              <w:jc w:val="center"/>
              <w:rPr>
                <w:rFonts w:ascii="Times New Roman" w:hAnsi="Times New Roman" w:cs="Times New Roman"/>
                <w:b/>
                <w:bCs/>
                <w:sz w:val="14"/>
                <w:szCs w:val="14"/>
                <w:lang w:eastAsia="sk-SK"/>
              </w:rPr>
            </w:pPr>
            <w:r w:rsidRPr="00F863F7">
              <w:rPr>
                <w:rFonts w:ascii="Times New Roman" w:hAnsi="Times New Roman" w:cs="Times New Roman"/>
                <w:b/>
                <w:bCs/>
                <w:sz w:val="14"/>
                <w:szCs w:val="14"/>
                <w:lang w:eastAsia="sk-SK"/>
              </w:rPr>
              <w:t>2013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F863F7" w:rsidP="006338E5">
            <w:pPr>
              <w:bidi w:val="0"/>
              <w:jc w:val="center"/>
              <w:rPr>
                <w:rFonts w:ascii="Times New Roman" w:hAnsi="Times New Roman" w:cs="Times New Roman"/>
                <w:b/>
                <w:bCs/>
                <w:sz w:val="14"/>
                <w:szCs w:val="14"/>
                <w:lang w:eastAsia="sk-SK"/>
              </w:rPr>
            </w:pPr>
            <w:r w:rsidRPr="00F863F7">
              <w:rPr>
                <w:rFonts w:ascii="Times New Roman" w:hAnsi="Times New Roman" w:cs="Times New Roman"/>
                <w:b/>
                <w:bCs/>
                <w:sz w:val="14"/>
                <w:szCs w:val="14"/>
                <w:lang w:eastAsia="sk-SK"/>
              </w:rPr>
              <w:t>2014 N</w:t>
            </w:r>
          </w:p>
        </w:tc>
        <w:tc>
          <w:tcPr>
            <w:tcW w:w="98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F863F7" w:rsidP="006338E5">
            <w:pPr>
              <w:bidi w:val="0"/>
              <w:jc w:val="center"/>
              <w:rPr>
                <w:rFonts w:ascii="Times New Roman" w:hAnsi="Times New Roman" w:cs="Times New Roman"/>
                <w:b/>
                <w:bCs/>
                <w:sz w:val="14"/>
                <w:szCs w:val="14"/>
                <w:lang w:eastAsia="sk-SK"/>
              </w:rPr>
            </w:pPr>
            <w:r w:rsidRPr="00F863F7">
              <w:rPr>
                <w:rFonts w:ascii="Times New Roman" w:hAnsi="Times New Roman" w:cs="Times New Roman"/>
                <w:b/>
                <w:bCs/>
                <w:sz w:val="14"/>
                <w:szCs w:val="14"/>
                <w:lang w:eastAsia="sk-SK"/>
              </w:rPr>
              <w:t>2015 N</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9D2A34" w:rsidRPr="00F863F7" w:rsidP="006338E5">
            <w:pPr>
              <w:bidi w:val="0"/>
              <w:rPr>
                <w:rFonts w:ascii="Times New Roman" w:hAnsi="Times New Roman" w:cs="Times New Roman"/>
                <w:b/>
                <w:bCs/>
                <w:color w:val="000000"/>
                <w:sz w:val="14"/>
                <w:szCs w:val="14"/>
                <w:lang w:eastAsia="sk-SK"/>
              </w:rPr>
            </w:pPr>
            <w:r w:rsidRPr="00F863F7">
              <w:rPr>
                <w:rFonts w:ascii="Times New Roman" w:hAnsi="Times New Roman" w:cs="Times New Roman"/>
                <w:b/>
                <w:bCs/>
                <w:color w:val="000000"/>
                <w:sz w:val="14"/>
                <w:szCs w:val="14"/>
                <w:lang w:eastAsia="sk-SK"/>
              </w:rPr>
              <w:t>Operácie mimo územia štátu</w:t>
            </w:r>
          </w:p>
        </w:tc>
        <w:tc>
          <w:tcPr>
            <w:tcW w:w="980" w:type="dxa"/>
            <w:tcBorders>
              <w:top w:val="nil"/>
              <w:left w:val="nil"/>
              <w:bottom w:val="single" w:sz="4" w:space="0" w:color="auto"/>
              <w:right w:val="single" w:sz="4" w:space="0" w:color="auto"/>
            </w:tcBorders>
            <w:shd w:val="clear" w:color="000000" w:fill="BFBFBF"/>
            <w:textDirection w:val="lrTb"/>
            <w:vAlign w:val="center"/>
            <w:hideMark/>
          </w:tcPr>
          <w:p w:rsidR="009D2A34" w:rsidRPr="00F863F7" w:rsidP="006338E5">
            <w:pPr>
              <w:bidi w:val="0"/>
              <w:jc w:val="right"/>
              <w:rPr>
                <w:rFonts w:ascii="Times New Roman" w:hAnsi="Times New Roman" w:cs="Times New Roman"/>
                <w:b/>
                <w:bCs/>
                <w:color w:val="000000"/>
                <w:sz w:val="14"/>
                <w:szCs w:val="14"/>
                <w:lang w:eastAsia="sk-SK"/>
              </w:rPr>
            </w:pPr>
            <w:r w:rsidRPr="00F863F7">
              <w:rPr>
                <w:rFonts w:ascii="Times New Roman" w:hAnsi="Times New Roman" w:cs="Times New Roman"/>
                <w:b/>
                <w:bCs/>
                <w:color w:val="000000"/>
                <w:sz w:val="14"/>
                <w:szCs w:val="14"/>
                <w:lang w:eastAsia="sk-SK"/>
              </w:rPr>
              <w:t>45 019 950</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F863F7" w:rsidP="006338E5">
            <w:pPr>
              <w:bidi w:val="0"/>
              <w:jc w:val="right"/>
              <w:rPr>
                <w:rFonts w:ascii="Times New Roman" w:hAnsi="Times New Roman" w:cs="Times New Roman"/>
                <w:b/>
                <w:bCs/>
                <w:color w:val="000000"/>
                <w:sz w:val="14"/>
                <w:szCs w:val="14"/>
                <w:lang w:eastAsia="sk-SK"/>
              </w:rPr>
            </w:pPr>
            <w:r w:rsidRPr="00F863F7">
              <w:rPr>
                <w:rFonts w:ascii="Times New Roman" w:hAnsi="Times New Roman" w:cs="Times New Roman"/>
                <w:b/>
                <w:bCs/>
                <w:color w:val="000000"/>
                <w:sz w:val="14"/>
                <w:szCs w:val="14"/>
                <w:lang w:eastAsia="sk-SK"/>
              </w:rPr>
              <w:t>43 745 195</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F863F7" w:rsidP="006338E5">
            <w:pPr>
              <w:bidi w:val="0"/>
              <w:jc w:val="right"/>
              <w:rPr>
                <w:rFonts w:ascii="Times New Roman" w:hAnsi="Times New Roman" w:cs="Times New Roman"/>
                <w:b/>
                <w:bCs/>
                <w:color w:val="000000"/>
                <w:sz w:val="14"/>
                <w:szCs w:val="14"/>
                <w:lang w:eastAsia="sk-SK"/>
              </w:rPr>
            </w:pPr>
            <w:r w:rsidRPr="00F863F7">
              <w:rPr>
                <w:rFonts w:ascii="Times New Roman" w:hAnsi="Times New Roman" w:cs="Times New Roman"/>
                <w:b/>
                <w:bCs/>
                <w:color w:val="000000"/>
                <w:sz w:val="14"/>
                <w:szCs w:val="14"/>
                <w:lang w:eastAsia="sk-SK"/>
              </w:rPr>
              <w:t>49 977 388</w:t>
            </w:r>
          </w:p>
        </w:tc>
        <w:tc>
          <w:tcPr>
            <w:tcW w:w="980" w:type="dxa"/>
            <w:tcBorders>
              <w:top w:val="nil"/>
              <w:left w:val="nil"/>
              <w:bottom w:val="single" w:sz="4" w:space="0" w:color="auto"/>
              <w:right w:val="single" w:sz="4" w:space="0" w:color="auto"/>
            </w:tcBorders>
            <w:shd w:val="clear" w:color="000000" w:fill="BFBFBF"/>
            <w:textDirection w:val="lrTb"/>
            <w:vAlign w:val="center"/>
            <w:hideMark/>
          </w:tcPr>
          <w:p w:rsidR="009D2A34" w:rsidRPr="00F863F7" w:rsidP="006338E5">
            <w:pPr>
              <w:bidi w:val="0"/>
              <w:jc w:val="right"/>
              <w:rPr>
                <w:rFonts w:ascii="Times New Roman" w:hAnsi="Times New Roman" w:cs="Times New Roman"/>
                <w:b/>
                <w:bCs/>
                <w:color w:val="000000"/>
                <w:sz w:val="14"/>
                <w:szCs w:val="14"/>
                <w:lang w:eastAsia="sk-SK"/>
              </w:rPr>
            </w:pPr>
            <w:r w:rsidRPr="00F863F7">
              <w:rPr>
                <w:rFonts w:ascii="Times New Roman" w:hAnsi="Times New Roman" w:cs="Times New Roman"/>
                <w:b/>
                <w:bCs/>
                <w:color w:val="000000"/>
                <w:sz w:val="14"/>
                <w:szCs w:val="14"/>
                <w:lang w:eastAsia="sk-SK"/>
              </w:rPr>
              <w:t>47 476 923</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F863F7" w:rsidP="006338E5">
            <w:pPr>
              <w:bidi w:val="0"/>
              <w:jc w:val="right"/>
              <w:rPr>
                <w:rFonts w:ascii="Times New Roman" w:hAnsi="Times New Roman" w:cs="Times New Roman"/>
                <w:b/>
                <w:bCs/>
                <w:color w:val="000000"/>
                <w:sz w:val="14"/>
                <w:szCs w:val="14"/>
                <w:lang w:eastAsia="sk-SK"/>
              </w:rPr>
            </w:pPr>
            <w:r w:rsidRPr="00F863F7">
              <w:rPr>
                <w:rFonts w:ascii="Times New Roman" w:hAnsi="Times New Roman" w:cs="Times New Roman"/>
                <w:b/>
                <w:bCs/>
                <w:color w:val="000000"/>
                <w:sz w:val="14"/>
                <w:szCs w:val="14"/>
                <w:lang w:eastAsia="sk-SK"/>
              </w:rPr>
              <w:t>40 445 049</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F863F7" w:rsidP="006338E5">
            <w:pPr>
              <w:bidi w:val="0"/>
              <w:jc w:val="right"/>
              <w:rPr>
                <w:rFonts w:ascii="Times New Roman" w:hAnsi="Times New Roman" w:cs="Times New Roman"/>
                <w:b/>
                <w:bCs/>
                <w:color w:val="000000"/>
                <w:sz w:val="14"/>
                <w:szCs w:val="14"/>
                <w:lang w:eastAsia="sk-SK"/>
              </w:rPr>
            </w:pPr>
            <w:r w:rsidRPr="00F863F7">
              <w:rPr>
                <w:rFonts w:ascii="Times New Roman" w:hAnsi="Times New Roman" w:cs="Times New Roman"/>
                <w:b/>
                <w:bCs/>
                <w:color w:val="000000"/>
                <w:sz w:val="14"/>
                <w:szCs w:val="14"/>
                <w:lang w:eastAsia="sk-SK"/>
              </w:rPr>
              <w:t>40 154 211</w:t>
            </w:r>
          </w:p>
        </w:tc>
        <w:tc>
          <w:tcPr>
            <w:tcW w:w="981" w:type="dxa"/>
            <w:tcBorders>
              <w:top w:val="nil"/>
              <w:left w:val="nil"/>
              <w:bottom w:val="single" w:sz="4" w:space="0" w:color="auto"/>
              <w:right w:val="single" w:sz="4" w:space="0" w:color="auto"/>
            </w:tcBorders>
            <w:shd w:val="clear" w:color="000000" w:fill="BFBFBF"/>
            <w:textDirection w:val="lrTb"/>
            <w:vAlign w:val="center"/>
            <w:hideMark/>
          </w:tcPr>
          <w:p w:rsidR="009D2A34" w:rsidRPr="00F863F7" w:rsidP="006338E5">
            <w:pPr>
              <w:bidi w:val="0"/>
              <w:jc w:val="right"/>
              <w:rPr>
                <w:rFonts w:ascii="Times New Roman" w:hAnsi="Times New Roman" w:cs="Times New Roman"/>
                <w:b/>
                <w:bCs/>
                <w:color w:val="000000"/>
                <w:sz w:val="14"/>
                <w:szCs w:val="14"/>
                <w:lang w:eastAsia="sk-SK"/>
              </w:rPr>
            </w:pPr>
            <w:r w:rsidRPr="00F863F7">
              <w:rPr>
                <w:rFonts w:ascii="Times New Roman" w:hAnsi="Times New Roman" w:cs="Times New Roman"/>
                <w:b/>
                <w:bCs/>
                <w:color w:val="000000"/>
                <w:sz w:val="14"/>
                <w:szCs w:val="14"/>
                <w:lang w:eastAsia="sk-SK"/>
              </w:rPr>
              <w:t>40 170 191</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F863F7" w:rsidP="006338E5">
            <w:pPr>
              <w:bidi w:val="0"/>
              <w:rPr>
                <w:rFonts w:ascii="Times New Roman" w:hAnsi="Times New Roman" w:cs="Times New Roman"/>
                <w:color w:val="000000"/>
                <w:sz w:val="14"/>
                <w:szCs w:val="14"/>
                <w:lang w:eastAsia="sk-SK"/>
              </w:rPr>
            </w:pPr>
            <w:r w:rsidRPr="00F863F7">
              <w:rPr>
                <w:rFonts w:ascii="Times New Roman" w:hAnsi="Times New Roman" w:cs="Times New Roman"/>
                <w:color w:val="000000"/>
                <w:sz w:val="14"/>
                <w:szCs w:val="14"/>
                <w:lang w:eastAsia="sk-SK"/>
              </w:rPr>
              <w:t>Osobné výdavky</w:t>
            </w:r>
          </w:p>
        </w:tc>
        <w:tc>
          <w:tcPr>
            <w:tcW w:w="980"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22 217 812 </w:t>
            </w:r>
          </w:p>
        </w:tc>
        <w:tc>
          <w:tcPr>
            <w:tcW w:w="981"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21 688 166 </w:t>
            </w:r>
          </w:p>
        </w:tc>
        <w:tc>
          <w:tcPr>
            <w:tcW w:w="981"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22 680 925 </w:t>
            </w:r>
          </w:p>
        </w:tc>
        <w:tc>
          <w:tcPr>
            <w:tcW w:w="980"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20 480 460 </w:t>
            </w:r>
          </w:p>
        </w:tc>
        <w:tc>
          <w:tcPr>
            <w:tcW w:w="981"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22 311 180 </w:t>
            </w:r>
          </w:p>
        </w:tc>
        <w:tc>
          <w:tcPr>
            <w:tcW w:w="981" w:type="dxa"/>
            <w:tcBorders>
              <w:top w:val="nil"/>
              <w:left w:val="nil"/>
              <w:bottom w:val="single" w:sz="4" w:space="0" w:color="auto"/>
              <w:right w:val="single" w:sz="4" w:space="0" w:color="auto"/>
            </w:tcBorders>
            <w:noWrap/>
            <w:textDirection w:val="lrTb"/>
            <w:vAlign w:val="center"/>
            <w:hideMark/>
          </w:tcPr>
          <w:p w:rsidR="009D2A34" w:rsidRPr="00F863F7" w:rsidP="006338E5">
            <w:pPr>
              <w:bidi w:val="0"/>
              <w:jc w:val="right"/>
              <w:rPr>
                <w:rFonts w:ascii="Times New Roman" w:hAnsi="Times New Roman" w:cs="Times New Roman"/>
                <w:color w:val="000000"/>
                <w:sz w:val="14"/>
                <w:szCs w:val="14"/>
                <w:lang w:eastAsia="sk-SK"/>
              </w:rPr>
            </w:pPr>
            <w:r w:rsidRPr="00F863F7">
              <w:rPr>
                <w:rFonts w:ascii="Times New Roman" w:hAnsi="Times New Roman" w:cs="Times New Roman"/>
                <w:color w:val="000000"/>
                <w:sz w:val="14"/>
                <w:szCs w:val="14"/>
                <w:lang w:eastAsia="sk-SK"/>
              </w:rPr>
              <w:t>22 311 180</w:t>
            </w:r>
          </w:p>
        </w:tc>
        <w:tc>
          <w:tcPr>
            <w:tcW w:w="981" w:type="dxa"/>
            <w:tcBorders>
              <w:top w:val="nil"/>
              <w:left w:val="nil"/>
              <w:bottom w:val="single" w:sz="4" w:space="0" w:color="auto"/>
              <w:right w:val="single" w:sz="4" w:space="0" w:color="auto"/>
            </w:tcBorders>
            <w:noWrap/>
            <w:textDirection w:val="lrTb"/>
            <w:vAlign w:val="center"/>
            <w:hideMark/>
          </w:tcPr>
          <w:p w:rsidR="009D2A34" w:rsidRPr="00F863F7" w:rsidP="006338E5">
            <w:pPr>
              <w:bidi w:val="0"/>
              <w:jc w:val="right"/>
              <w:rPr>
                <w:rFonts w:ascii="Times New Roman" w:hAnsi="Times New Roman" w:cs="Times New Roman"/>
                <w:color w:val="000000"/>
                <w:sz w:val="14"/>
                <w:szCs w:val="14"/>
                <w:lang w:eastAsia="sk-SK"/>
              </w:rPr>
            </w:pPr>
            <w:r w:rsidRPr="00F863F7">
              <w:rPr>
                <w:rFonts w:ascii="Times New Roman" w:hAnsi="Times New Roman" w:cs="Times New Roman"/>
                <w:color w:val="000000"/>
                <w:sz w:val="14"/>
                <w:szCs w:val="14"/>
                <w:lang w:eastAsia="sk-SK"/>
              </w:rPr>
              <w:t>22 311 180</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F863F7" w:rsidP="006338E5">
            <w:pPr>
              <w:bidi w:val="0"/>
              <w:rPr>
                <w:rFonts w:ascii="Times New Roman" w:hAnsi="Times New Roman" w:cs="Times New Roman"/>
                <w:color w:val="000000"/>
                <w:sz w:val="14"/>
                <w:szCs w:val="14"/>
                <w:lang w:eastAsia="sk-SK"/>
              </w:rPr>
            </w:pPr>
            <w:r w:rsidRPr="00F863F7">
              <w:rPr>
                <w:rFonts w:ascii="Times New Roman" w:hAnsi="Times New Roman" w:cs="Times New Roman"/>
                <w:color w:val="000000"/>
                <w:sz w:val="14"/>
                <w:szCs w:val="14"/>
                <w:lang w:eastAsia="sk-SK"/>
              </w:rPr>
              <w:t>Tovary a služby</w:t>
            </w:r>
          </w:p>
        </w:tc>
        <w:tc>
          <w:tcPr>
            <w:tcW w:w="980"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20 966 071 </w:t>
            </w:r>
          </w:p>
        </w:tc>
        <w:tc>
          <w:tcPr>
            <w:tcW w:w="981"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20 218 401 </w:t>
            </w:r>
          </w:p>
        </w:tc>
        <w:tc>
          <w:tcPr>
            <w:tcW w:w="981"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27 296 463 </w:t>
            </w:r>
          </w:p>
        </w:tc>
        <w:tc>
          <w:tcPr>
            <w:tcW w:w="980"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25 162 799 </w:t>
            </w:r>
          </w:p>
        </w:tc>
        <w:tc>
          <w:tcPr>
            <w:tcW w:w="981"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16 408 869 </w:t>
            </w:r>
          </w:p>
        </w:tc>
        <w:tc>
          <w:tcPr>
            <w:tcW w:w="981" w:type="dxa"/>
            <w:tcBorders>
              <w:top w:val="nil"/>
              <w:left w:val="nil"/>
              <w:bottom w:val="single" w:sz="4" w:space="0" w:color="auto"/>
              <w:right w:val="single" w:sz="4" w:space="0" w:color="auto"/>
            </w:tcBorders>
            <w:noWrap/>
            <w:textDirection w:val="lrTb"/>
            <w:vAlign w:val="center"/>
            <w:hideMark/>
          </w:tcPr>
          <w:p w:rsidR="009D2A34" w:rsidRPr="00F863F7" w:rsidP="006338E5">
            <w:pPr>
              <w:bidi w:val="0"/>
              <w:jc w:val="right"/>
              <w:rPr>
                <w:rFonts w:ascii="Times New Roman" w:hAnsi="Times New Roman" w:cs="Times New Roman"/>
                <w:color w:val="000000"/>
                <w:sz w:val="14"/>
                <w:szCs w:val="14"/>
                <w:lang w:eastAsia="sk-SK"/>
              </w:rPr>
            </w:pPr>
            <w:r w:rsidRPr="00F863F7">
              <w:rPr>
                <w:rFonts w:ascii="Times New Roman" w:hAnsi="Times New Roman" w:cs="Times New Roman"/>
                <w:color w:val="000000"/>
                <w:sz w:val="14"/>
                <w:szCs w:val="14"/>
                <w:lang w:eastAsia="sk-SK"/>
              </w:rPr>
              <w:t>16 118 031</w:t>
            </w:r>
          </w:p>
        </w:tc>
        <w:tc>
          <w:tcPr>
            <w:tcW w:w="981" w:type="dxa"/>
            <w:tcBorders>
              <w:top w:val="nil"/>
              <w:left w:val="nil"/>
              <w:bottom w:val="single" w:sz="4" w:space="0" w:color="auto"/>
              <w:right w:val="single" w:sz="4" w:space="0" w:color="auto"/>
            </w:tcBorders>
            <w:noWrap/>
            <w:textDirection w:val="lrTb"/>
            <w:vAlign w:val="center"/>
            <w:hideMark/>
          </w:tcPr>
          <w:p w:rsidR="009D2A34" w:rsidRPr="00F863F7" w:rsidP="006338E5">
            <w:pPr>
              <w:bidi w:val="0"/>
              <w:jc w:val="right"/>
              <w:rPr>
                <w:rFonts w:ascii="Times New Roman" w:hAnsi="Times New Roman" w:cs="Times New Roman"/>
                <w:color w:val="000000"/>
                <w:sz w:val="14"/>
                <w:szCs w:val="14"/>
                <w:lang w:eastAsia="sk-SK"/>
              </w:rPr>
            </w:pPr>
            <w:r w:rsidRPr="00F863F7">
              <w:rPr>
                <w:rFonts w:ascii="Times New Roman" w:hAnsi="Times New Roman" w:cs="Times New Roman"/>
                <w:color w:val="000000"/>
                <w:sz w:val="14"/>
                <w:szCs w:val="14"/>
                <w:lang w:eastAsia="sk-SK"/>
              </w:rPr>
              <w:t>16 134 011</w:t>
            </w:r>
          </w:p>
        </w:tc>
      </w:tr>
      <w:tr>
        <w:tblPrEx>
          <w:tblW w:w="9085" w:type="dxa"/>
          <w:tblInd w:w="57" w:type="dxa"/>
          <w:tblLayout w:type="fixed"/>
          <w:tblCellMar>
            <w:left w:w="70" w:type="dxa"/>
            <w:right w:w="70" w:type="dxa"/>
          </w:tblCellMar>
          <w:tblLook w:val="04A0"/>
        </w:tblPrEx>
        <w:trPr>
          <w:trHeight w:val="261"/>
        </w:trPr>
        <w:tc>
          <w:tcPr>
            <w:tcW w:w="2220" w:type="dxa"/>
            <w:tcBorders>
              <w:top w:val="nil"/>
              <w:left w:val="single" w:sz="4" w:space="0" w:color="auto"/>
              <w:bottom w:val="single" w:sz="4" w:space="0" w:color="auto"/>
              <w:right w:val="single" w:sz="4" w:space="0" w:color="auto"/>
            </w:tcBorders>
            <w:textDirection w:val="lrTb"/>
            <w:vAlign w:val="center"/>
            <w:hideMark/>
          </w:tcPr>
          <w:p w:rsidR="009D2A34" w:rsidRPr="00F863F7" w:rsidP="006338E5">
            <w:pPr>
              <w:bidi w:val="0"/>
              <w:rPr>
                <w:rFonts w:ascii="Times New Roman" w:hAnsi="Times New Roman" w:cs="Times New Roman"/>
                <w:color w:val="000000"/>
                <w:sz w:val="14"/>
                <w:szCs w:val="14"/>
                <w:lang w:eastAsia="sk-SK"/>
              </w:rPr>
            </w:pPr>
            <w:r w:rsidRPr="00F863F7">
              <w:rPr>
                <w:rFonts w:ascii="Times New Roman" w:hAnsi="Times New Roman" w:cs="Times New Roman"/>
                <w:color w:val="000000"/>
                <w:sz w:val="14"/>
                <w:szCs w:val="14"/>
                <w:lang w:eastAsia="sk-SK"/>
              </w:rPr>
              <w:t>Transfery</w:t>
            </w:r>
          </w:p>
        </w:tc>
        <w:tc>
          <w:tcPr>
            <w:tcW w:w="980"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1 836 067 </w:t>
            </w:r>
          </w:p>
        </w:tc>
        <w:tc>
          <w:tcPr>
            <w:tcW w:w="981"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1 838 629 </w:t>
            </w:r>
          </w:p>
        </w:tc>
        <w:tc>
          <w:tcPr>
            <w:tcW w:w="981"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0 </w:t>
            </w:r>
          </w:p>
        </w:tc>
        <w:tc>
          <w:tcPr>
            <w:tcW w:w="980"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1 833 664 </w:t>
            </w:r>
          </w:p>
        </w:tc>
        <w:tc>
          <w:tcPr>
            <w:tcW w:w="981" w:type="dxa"/>
            <w:tcBorders>
              <w:top w:val="nil"/>
              <w:left w:val="nil"/>
              <w:bottom w:val="single" w:sz="4" w:space="0" w:color="auto"/>
              <w:right w:val="single" w:sz="4" w:space="0" w:color="auto"/>
            </w:tcBorders>
            <w:textDirection w:val="lrTb"/>
            <w:vAlign w:val="center"/>
            <w:hideMark/>
          </w:tcPr>
          <w:p w:rsidR="009D2A34" w:rsidRPr="00F863F7" w:rsidP="006338E5">
            <w:pPr>
              <w:bidi w:val="0"/>
              <w:jc w:val="right"/>
              <w:rPr>
                <w:rFonts w:ascii="Times New Roman" w:hAnsi="Times New Roman" w:cs="Times New Roman"/>
                <w:sz w:val="14"/>
                <w:szCs w:val="14"/>
                <w:lang w:eastAsia="sk-SK"/>
              </w:rPr>
            </w:pPr>
            <w:r w:rsidRPr="00F863F7">
              <w:rPr>
                <w:rFonts w:ascii="Times New Roman" w:hAnsi="Times New Roman" w:cs="Times New Roman"/>
                <w:sz w:val="14"/>
                <w:szCs w:val="14"/>
                <w:lang w:eastAsia="sk-SK"/>
              </w:rPr>
              <w:t xml:space="preserve">1 725 000 </w:t>
            </w:r>
          </w:p>
        </w:tc>
        <w:tc>
          <w:tcPr>
            <w:tcW w:w="981" w:type="dxa"/>
            <w:tcBorders>
              <w:top w:val="nil"/>
              <w:left w:val="nil"/>
              <w:bottom w:val="single" w:sz="4" w:space="0" w:color="auto"/>
              <w:right w:val="single" w:sz="4" w:space="0" w:color="auto"/>
            </w:tcBorders>
            <w:noWrap/>
            <w:textDirection w:val="lrTb"/>
            <w:vAlign w:val="center"/>
            <w:hideMark/>
          </w:tcPr>
          <w:p w:rsidR="009D2A34" w:rsidRPr="00F863F7" w:rsidP="006338E5">
            <w:pPr>
              <w:bidi w:val="0"/>
              <w:jc w:val="right"/>
              <w:rPr>
                <w:rFonts w:ascii="Times New Roman" w:hAnsi="Times New Roman" w:cs="Times New Roman"/>
                <w:color w:val="000000"/>
                <w:sz w:val="14"/>
                <w:szCs w:val="14"/>
                <w:lang w:eastAsia="sk-SK"/>
              </w:rPr>
            </w:pPr>
            <w:r w:rsidRPr="00F863F7">
              <w:rPr>
                <w:rFonts w:ascii="Times New Roman" w:hAnsi="Times New Roman" w:cs="Times New Roman"/>
                <w:color w:val="000000"/>
                <w:sz w:val="14"/>
                <w:szCs w:val="14"/>
                <w:lang w:eastAsia="sk-SK"/>
              </w:rPr>
              <w:t>1 725 000</w:t>
            </w:r>
          </w:p>
        </w:tc>
        <w:tc>
          <w:tcPr>
            <w:tcW w:w="981" w:type="dxa"/>
            <w:tcBorders>
              <w:top w:val="nil"/>
              <w:left w:val="nil"/>
              <w:bottom w:val="single" w:sz="4" w:space="0" w:color="auto"/>
              <w:right w:val="single" w:sz="4" w:space="0" w:color="auto"/>
            </w:tcBorders>
            <w:noWrap/>
            <w:textDirection w:val="lrTb"/>
            <w:vAlign w:val="center"/>
            <w:hideMark/>
          </w:tcPr>
          <w:p w:rsidR="009D2A34" w:rsidRPr="00F863F7" w:rsidP="006338E5">
            <w:pPr>
              <w:bidi w:val="0"/>
              <w:jc w:val="right"/>
              <w:rPr>
                <w:rFonts w:ascii="Times New Roman" w:hAnsi="Times New Roman" w:cs="Times New Roman"/>
                <w:color w:val="000000"/>
                <w:sz w:val="14"/>
                <w:szCs w:val="14"/>
                <w:lang w:eastAsia="sk-SK"/>
              </w:rPr>
            </w:pPr>
            <w:r w:rsidRPr="00F863F7">
              <w:rPr>
                <w:rFonts w:ascii="Times New Roman" w:hAnsi="Times New Roman" w:cs="Times New Roman"/>
                <w:color w:val="000000"/>
                <w:sz w:val="14"/>
                <w:szCs w:val="14"/>
                <w:lang w:eastAsia="sk-SK"/>
              </w:rPr>
              <w:t>1 725 000</w:t>
            </w:r>
          </w:p>
        </w:tc>
      </w:tr>
    </w:tbl>
    <w:p w:rsidR="009D2A34" w:rsidRPr="007E0D85" w:rsidP="009D2A34">
      <w:pPr>
        <w:bidi w:val="0"/>
        <w:jc w:val="both"/>
        <w:rPr>
          <w:rFonts w:ascii="Times New Roman" w:hAnsi="Times New Roman" w:cs="Times New Roman"/>
          <w:highlight w:val="yellow"/>
          <w:lang w:eastAsia="sk-SK"/>
        </w:rPr>
      </w:pPr>
    </w:p>
    <w:p w:rsidR="009D2A34" w:rsidRPr="00232A8A" w:rsidP="009D2A34">
      <w:pPr>
        <w:bidi w:val="0"/>
        <w:ind w:firstLine="567"/>
        <w:jc w:val="both"/>
        <w:rPr>
          <w:rFonts w:ascii="Times New Roman" w:hAnsi="Times New Roman" w:cs="Times New Roman"/>
        </w:rPr>
      </w:pPr>
      <w:r w:rsidRPr="00232A8A">
        <w:rPr>
          <w:rFonts w:ascii="Times New Roman" w:hAnsi="Times New Roman" w:cs="Times New Roman"/>
        </w:rPr>
        <w:t xml:space="preserve">V oblasti operácií mimo územia štátu došlo v roku 2013 oproti schválenému rozpočtu roku 2012 k poklesu o 9,53 mil. eur (19,1 %). Tento pokles je najvýraznejší vo výdavkoch na tovary a služby o 39,9 %. K júnu 2012 pôsobilo v rámci operácií mimo územia štátu 551 vojakov, čo predstavuje medziročný pokles o 19 profesionálnych vojakov. Slovenskí vojaci pôsobia v nasledovných misiách: </w:t>
      </w:r>
    </w:p>
    <w:p w:rsidR="009D2A34" w:rsidRPr="00232A8A" w:rsidP="009D2A34">
      <w:pPr>
        <w:bidi w:val="0"/>
        <w:ind w:firstLine="567"/>
        <w:rPr>
          <w:rFonts w:ascii="Times New Roman" w:hAnsi="Times New Roman" w:cs="Times New Roman"/>
        </w:rPr>
      </w:pPr>
      <w:r w:rsidRPr="00232A8A">
        <w:rPr>
          <w:rFonts w:ascii="Times New Roman" w:hAnsi="Times New Roman" w:cs="Times New Roman"/>
        </w:rPr>
        <w:t>Operácie OSN: UNFICYP Cyprus - 159 osôb, UNTSO Sýria - 2 osoby</w:t>
      </w:r>
    </w:p>
    <w:p w:rsidR="009D2A34" w:rsidRPr="00232A8A" w:rsidP="009D2A34">
      <w:pPr>
        <w:bidi w:val="0"/>
        <w:ind w:firstLine="567"/>
        <w:rPr>
          <w:rFonts w:ascii="Times New Roman" w:hAnsi="Times New Roman" w:cs="Times New Roman"/>
        </w:rPr>
      </w:pPr>
      <w:r w:rsidRPr="00232A8A">
        <w:rPr>
          <w:rFonts w:ascii="Times New Roman" w:hAnsi="Times New Roman" w:cs="Times New Roman"/>
        </w:rPr>
        <w:t>Operácie EÚ: Althea Bosna - 45 osôb, Pozorovateľská misia EUMM - 1 osoba</w:t>
      </w:r>
    </w:p>
    <w:p w:rsidR="009D2A34" w:rsidRPr="00232A8A" w:rsidP="009D2A34">
      <w:pPr>
        <w:bidi w:val="0"/>
        <w:ind w:firstLine="567"/>
        <w:rPr>
          <w:rFonts w:ascii="Times New Roman" w:hAnsi="Times New Roman" w:cs="Times New Roman"/>
        </w:rPr>
      </w:pPr>
      <w:r w:rsidRPr="00232A8A">
        <w:rPr>
          <w:rFonts w:ascii="Times New Roman" w:hAnsi="Times New Roman" w:cs="Times New Roman"/>
        </w:rPr>
        <w:t>Operácie NATO: ISAF Afganistan - 343 osôb, NATO HQ Sarajevo - 1 osoba</w:t>
      </w:r>
    </w:p>
    <w:p w:rsidR="009D2A34" w:rsidRPr="00232A8A" w:rsidP="009D2A34">
      <w:pPr>
        <w:bidi w:val="0"/>
        <w:ind w:firstLine="567"/>
        <w:jc w:val="both"/>
        <w:rPr>
          <w:rFonts w:ascii="Times New Roman" w:hAnsi="Times New Roman" w:cs="Times New Roman"/>
          <w:lang w:eastAsia="sk-SK"/>
        </w:rPr>
      </w:pPr>
      <w:r w:rsidRPr="00232A8A">
        <w:rPr>
          <w:rFonts w:ascii="Times New Roman" w:hAnsi="Times New Roman" w:cs="Times New Roman"/>
        </w:rPr>
        <w:t>SPOLU: 551 vojakov k 30. júnu 2012</w:t>
      </w:r>
    </w:p>
    <w:p w:rsidR="009D2A34" w:rsidRPr="007E0D85" w:rsidP="009D2A34">
      <w:pPr>
        <w:bidi w:val="0"/>
        <w:jc w:val="both"/>
        <w:rPr>
          <w:rFonts w:ascii="Arial" w:hAnsi="Arial" w:cs="Arial"/>
          <w:sz w:val="19"/>
          <w:szCs w:val="19"/>
          <w:highlight w:val="yellow"/>
          <w:lang w:eastAsia="sk-SK"/>
        </w:rPr>
      </w:pPr>
    </w:p>
    <w:p w:rsidR="009D2A34" w:rsidRPr="00232A8A" w:rsidP="009D2A34">
      <w:pPr>
        <w:bidi w:val="0"/>
        <w:ind w:firstLine="708"/>
        <w:jc w:val="both"/>
        <w:rPr>
          <w:rFonts w:ascii="Times New Roman" w:hAnsi="Times New Roman" w:cs="Times New Roman"/>
        </w:rPr>
      </w:pPr>
      <w:r w:rsidRPr="00232A8A">
        <w:rPr>
          <w:rFonts w:ascii="Times New Roman" w:hAnsi="Times New Roman" w:cs="Times New Roman"/>
        </w:rPr>
        <w:t xml:space="preserve">V súlade s výnosom MO SR o poskytovaní dotácií v pôsobnosti MO SR sú na rok 2013 plánované prostriedky na dotácie pre Vojenské lesy a majetky š. p. Pliešovce vo výške 319 tis. eur, z toho 309 tis. eur na lesníctvo a 10,5 tis. eur na poľnohospodárstvo.  </w:t>
      </w:r>
    </w:p>
    <w:p w:rsidR="009D2A34" w:rsidRPr="007E0D85" w:rsidP="009D2A34">
      <w:pPr>
        <w:bidi w:val="0"/>
        <w:jc w:val="both"/>
        <w:rPr>
          <w:highlight w:val="yellow"/>
        </w:rPr>
      </w:pPr>
    </w:p>
    <w:p w:rsidR="009D2A34" w:rsidRPr="00EA7D89" w:rsidP="009D2A34">
      <w:pPr>
        <w:pBdr>
          <w:bottom w:val="single" w:sz="4" w:space="1" w:color="auto"/>
        </w:pBdr>
        <w:bidi w:val="0"/>
        <w:jc w:val="both"/>
        <w:rPr>
          <w:rFonts w:ascii="Times New Roman" w:hAnsi="Times New Roman" w:cs="Times New Roman"/>
          <w:b/>
          <w:bCs/>
        </w:rPr>
      </w:pPr>
      <w:r w:rsidRPr="00712CCA">
        <w:rPr>
          <w:rFonts w:ascii="Times New Roman" w:hAnsi="Times New Roman" w:cs="Times New Roman"/>
          <w:b/>
          <w:bCs/>
        </w:rPr>
        <w:t>Ministerstvo financií SR</w:t>
      </w:r>
      <w:r w:rsidRPr="00EA7D89">
        <w:rPr>
          <w:rFonts w:ascii="Times New Roman" w:hAnsi="Times New Roman" w:cs="Times New Roman"/>
          <w:b/>
          <w:bCs/>
        </w:rPr>
        <w:t xml:space="preserve"> </w:t>
      </w:r>
    </w:p>
    <w:p w:rsidR="009D2A34" w:rsidRPr="00EA7D89" w:rsidP="009D2A34">
      <w:pPr>
        <w:bidi w:val="0"/>
        <w:rPr>
          <w:rFonts w:ascii="Times New Roman" w:hAnsi="Times New Roman" w:cs="Times New Roman"/>
        </w:rPr>
      </w:pPr>
    </w:p>
    <w:tbl>
      <w:tblPr>
        <w:tblStyle w:val="TableNormal"/>
        <w:tblW w:w="4962" w:type="pct"/>
        <w:tblInd w:w="70" w:type="dxa"/>
        <w:tblCellMar>
          <w:left w:w="70" w:type="dxa"/>
          <w:right w:w="70" w:type="dxa"/>
        </w:tblCellMar>
        <w:tblLook w:val="04A0"/>
      </w:tblPr>
      <w:tblGrid>
        <w:gridCol w:w="2756"/>
        <w:gridCol w:w="915"/>
        <w:gridCol w:w="914"/>
        <w:gridCol w:w="914"/>
        <w:gridCol w:w="914"/>
        <w:gridCol w:w="914"/>
        <w:gridCol w:w="914"/>
        <w:gridCol w:w="901"/>
      </w:tblGrid>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A7D89" w:rsidP="006338E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2010 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2011 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R</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OS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2013 N</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2014 N</w:t>
            </w:r>
          </w:p>
        </w:tc>
        <w:tc>
          <w:tcPr>
            <w:tcW w:w="493"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2015 N</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EA7D89" w:rsidP="006338E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Zdroje príslušnej kapitoly</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391 937 199</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353 551 244</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517 380 439</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509 256 485</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661 550 986</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434 002 343</w:t>
            </w:r>
          </w:p>
        </w:tc>
        <w:tc>
          <w:tcPr>
            <w:tcW w:w="493" w:type="pct"/>
            <w:tcBorders>
              <w:top w:val="nil"/>
              <w:left w:val="nil"/>
              <w:bottom w:val="single" w:sz="4" w:space="0" w:color="auto"/>
              <w:right w:val="single" w:sz="4" w:space="0" w:color="auto"/>
            </w:tcBorders>
            <w:shd w:val="clear" w:color="000000" w:fill="C0C0C0"/>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427 380 115</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rozpočtové zdroje kapitoly</w:t>
            </w:r>
          </w:p>
        </w:tc>
        <w:tc>
          <w:tcPr>
            <w:tcW w:w="500"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362 819 069</w:t>
            </w:r>
          </w:p>
        </w:tc>
        <w:tc>
          <w:tcPr>
            <w:tcW w:w="500"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327 737 995</w:t>
            </w:r>
          </w:p>
        </w:tc>
        <w:tc>
          <w:tcPr>
            <w:tcW w:w="500"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297 368 686</w:t>
            </w:r>
          </w:p>
        </w:tc>
        <w:tc>
          <w:tcPr>
            <w:tcW w:w="500"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311 464 224</w:t>
            </w:r>
          </w:p>
        </w:tc>
        <w:tc>
          <w:tcPr>
            <w:tcW w:w="500"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287 933 504</w:t>
            </w:r>
          </w:p>
        </w:tc>
        <w:tc>
          <w:tcPr>
            <w:tcW w:w="500"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282 431 854</w:t>
            </w:r>
          </w:p>
        </w:tc>
        <w:tc>
          <w:tcPr>
            <w:tcW w:w="493"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280 559 587</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color w:val="000000"/>
                <w:sz w:val="14"/>
                <w:szCs w:val="14"/>
              </w:rPr>
            </w:pPr>
            <w:r w:rsidRPr="00EA7D89">
              <w:rPr>
                <w:rFonts w:ascii="Times New Roman" w:hAnsi="Times New Roman" w:cs="Times New Roman"/>
                <w:color w:val="000000"/>
                <w:sz w:val="14"/>
                <w:szCs w:val="14"/>
              </w:rPr>
              <w:t xml:space="preserve">    v tom: bežné výdavky  600</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335 051 786</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292 855 155</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278 488 936</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283 275 845</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268 246 754</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263 070 298</w:t>
            </w:r>
          </w:p>
        </w:tc>
        <w:tc>
          <w:tcPr>
            <w:tcW w:w="493"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261 179 837</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ind w:firstLine="840" w:firstLineChars="600"/>
              <w:rPr>
                <w:rFonts w:ascii="Times New Roman" w:hAnsi="Times New Roman" w:cs="Times New Roman"/>
                <w:color w:val="000000"/>
                <w:sz w:val="14"/>
                <w:szCs w:val="14"/>
              </w:rPr>
            </w:pPr>
            <w:r w:rsidRPr="00EA7D89">
              <w:rPr>
                <w:rFonts w:ascii="Times New Roman" w:hAnsi="Times New Roman" w:cs="Times New Roman"/>
                <w:color w:val="000000"/>
                <w:sz w:val="14"/>
                <w:szCs w:val="14"/>
              </w:rPr>
              <w:t>610 mzdy</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128 460 830</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118 666 147</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116 115 540</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119 600 237</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115 843 074</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115 846 726</w:t>
            </w:r>
          </w:p>
        </w:tc>
        <w:tc>
          <w:tcPr>
            <w:tcW w:w="493"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115 861 362</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ind w:firstLine="840" w:firstLineChars="600"/>
              <w:rPr>
                <w:rFonts w:ascii="Times New Roman" w:hAnsi="Times New Roman" w:cs="Times New Roman"/>
                <w:color w:val="000000"/>
                <w:sz w:val="14"/>
                <w:szCs w:val="14"/>
              </w:rPr>
            </w:pPr>
            <w:r w:rsidRPr="00EA7D89">
              <w:rPr>
                <w:rFonts w:ascii="Times New Roman" w:hAnsi="Times New Roman" w:cs="Times New Roman"/>
                <w:color w:val="000000"/>
                <w:sz w:val="14"/>
                <w:szCs w:val="14"/>
              </w:rPr>
              <w:t>620 odvody</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43 557 598</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40 663 612</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39 890 276</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41 091 748</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41 132 247</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41 133 494</w:t>
            </w:r>
          </w:p>
        </w:tc>
        <w:tc>
          <w:tcPr>
            <w:tcW w:w="493"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41 138 600</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ind w:firstLine="840" w:firstLineChars="600"/>
              <w:rPr>
                <w:rFonts w:ascii="Times New Roman" w:hAnsi="Times New Roman" w:cs="Times New Roman"/>
                <w:color w:val="000000"/>
                <w:sz w:val="14"/>
                <w:szCs w:val="14"/>
              </w:rPr>
            </w:pPr>
            <w:r w:rsidRPr="00EA7D89">
              <w:rPr>
                <w:rFonts w:ascii="Times New Roman" w:hAnsi="Times New Roman" w:cs="Times New Roman"/>
                <w:color w:val="000000"/>
                <w:sz w:val="14"/>
                <w:szCs w:val="14"/>
              </w:rPr>
              <w:t>630 tovary a služby</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159 888 672</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126 930 307</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119 685 285</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119 783 025</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108 207 478</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103 449 219</w:t>
            </w:r>
          </w:p>
        </w:tc>
        <w:tc>
          <w:tcPr>
            <w:tcW w:w="493"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101 591 949</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ind w:firstLine="840" w:firstLineChars="600"/>
              <w:rPr>
                <w:rFonts w:ascii="Times New Roman" w:hAnsi="Times New Roman" w:cs="Times New Roman"/>
                <w:color w:val="000000"/>
                <w:sz w:val="14"/>
                <w:szCs w:val="14"/>
              </w:rPr>
            </w:pPr>
            <w:r w:rsidRPr="00EA7D89">
              <w:rPr>
                <w:rFonts w:ascii="Times New Roman" w:hAnsi="Times New Roman" w:cs="Times New Roman"/>
                <w:color w:val="000000"/>
                <w:sz w:val="14"/>
                <w:szCs w:val="14"/>
              </w:rPr>
              <w:t>640 bežné transfery</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3 144 686</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6 595 088</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2 797 835</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2 800 835</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3 063 955</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2 640 859</w:t>
            </w:r>
          </w:p>
        </w:tc>
        <w:tc>
          <w:tcPr>
            <w:tcW w:w="493"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2 587 926</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ind w:firstLine="420" w:firstLineChars="300"/>
              <w:rPr>
                <w:rFonts w:ascii="Times New Roman" w:hAnsi="Times New Roman" w:cs="Times New Roman"/>
                <w:color w:val="000000"/>
                <w:sz w:val="14"/>
                <w:szCs w:val="14"/>
              </w:rPr>
            </w:pPr>
            <w:r w:rsidRPr="00EA7D89">
              <w:rPr>
                <w:rFonts w:ascii="Times New Roman" w:hAnsi="Times New Roman" w:cs="Times New Roman"/>
                <w:color w:val="000000"/>
                <w:sz w:val="14"/>
                <w:szCs w:val="14"/>
              </w:rPr>
              <w:t xml:space="preserve">  kapitálové výdavky 700</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27 767 283</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34 882 840</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18 879 750</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28 188 379</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19 686 750</w:t>
            </w:r>
          </w:p>
        </w:tc>
        <w:tc>
          <w:tcPr>
            <w:tcW w:w="500"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19 361 556</w:t>
            </w:r>
          </w:p>
        </w:tc>
        <w:tc>
          <w:tcPr>
            <w:tcW w:w="493"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19 379 750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 xml:space="preserve">zdroje EÚ vrátane spolufinancovania: </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1 231 804</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5 302 667</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220 011 753</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101 023 750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373 617 482</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151 570 489</w:t>
            </w:r>
          </w:p>
        </w:tc>
        <w:tc>
          <w:tcPr>
            <w:tcW w:w="493"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146 820 528</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color w:val="000000"/>
                <w:sz w:val="14"/>
                <w:szCs w:val="14"/>
                <w:lang w:eastAsia="sk-SK"/>
              </w:rPr>
            </w:pPr>
            <w:r w:rsidR="00891249">
              <w:rPr>
                <w:rFonts w:ascii="Times New Roman" w:hAnsi="Times New Roman" w:cs="Times New Roman"/>
                <w:color w:val="000000"/>
                <w:sz w:val="14"/>
                <w:szCs w:val="14"/>
                <w:lang w:eastAsia="sk-SK"/>
              </w:rPr>
              <w:t xml:space="preserve">                EÚ</w:t>
            </w:r>
            <w:r w:rsidRPr="00EA7D89">
              <w:rPr>
                <w:rFonts w:ascii="Times New Roman" w:hAnsi="Times New Roman" w:cs="Times New Roman"/>
                <w:color w:val="000000"/>
                <w:sz w:val="14"/>
                <w:szCs w:val="14"/>
                <w:lang w:eastAsia="sk-SK"/>
              </w:rPr>
              <w:t xml:space="preserve"> prostriedky</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1 045 364</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4 406 795</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167 452 252</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86 774 442</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295 492 987</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119 269 269</w:t>
            </w:r>
          </w:p>
        </w:tc>
        <w:tc>
          <w:tcPr>
            <w:tcW w:w="493"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113 689 880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color w:val="000000"/>
                <w:sz w:val="14"/>
                <w:szCs w:val="14"/>
                <w:lang w:eastAsia="sk-SK"/>
              </w:rPr>
            </w:pPr>
            <w:r w:rsidRPr="00EA7D89">
              <w:rPr>
                <w:rFonts w:ascii="Times New Roman" w:hAnsi="Times New Roman" w:cs="Times New Roman"/>
                <w:color w:val="000000"/>
                <w:sz w:val="14"/>
                <w:szCs w:val="14"/>
                <w:lang w:eastAsia="sk-SK"/>
              </w:rPr>
              <w:t xml:space="preserve">                spolufinancovanie zo ŠR</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186 440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895 872</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52 559 501</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14 249 308</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78 124 495</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32 301 220</w:t>
            </w:r>
          </w:p>
        </w:tc>
        <w:tc>
          <w:tcPr>
            <w:tcW w:w="493"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33 130 648</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b/>
                <w:bCs/>
                <w:sz w:val="14"/>
                <w:szCs w:val="16"/>
                <w:lang w:eastAsia="sk-SK"/>
              </w:rPr>
            </w:pPr>
            <w:r w:rsidRPr="00EA7D89">
              <w:rPr>
                <w:rFonts w:ascii="Times New Roman" w:hAnsi="Times New Roman" w:cs="Times New Roman"/>
                <w:b/>
                <w:bCs/>
                <w:sz w:val="14"/>
                <w:szCs w:val="16"/>
                <w:lang w:eastAsia="sk-SK"/>
              </w:rPr>
              <w:t>presun z minulých rokov §</w:t>
            </w:r>
            <w:r w:rsidR="00891249">
              <w:rPr>
                <w:rFonts w:ascii="Times New Roman" w:hAnsi="Times New Roman" w:cs="Times New Roman"/>
                <w:b/>
                <w:bCs/>
                <w:sz w:val="14"/>
                <w:szCs w:val="16"/>
                <w:lang w:eastAsia="sk-SK"/>
              </w:rPr>
              <w:t xml:space="preserve"> </w:t>
            </w:r>
            <w:r w:rsidRPr="00EA7D89">
              <w:rPr>
                <w:rFonts w:ascii="Times New Roman" w:hAnsi="Times New Roman" w:cs="Times New Roman"/>
                <w:b/>
                <w:bCs/>
                <w:sz w:val="14"/>
                <w:szCs w:val="16"/>
                <w:lang w:eastAsia="sk-SK"/>
              </w:rPr>
              <w:t>8</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27 886 326</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20 510 582</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96 768 511</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0</w:t>
            </w:r>
          </w:p>
        </w:tc>
        <w:tc>
          <w:tcPr>
            <w:tcW w:w="493"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b/>
                <w:color w:val="000000"/>
                <w:sz w:val="14"/>
                <w:szCs w:val="14"/>
              </w:rPr>
            </w:pPr>
            <w:r w:rsidRPr="00EA7D89">
              <w:rPr>
                <w:rFonts w:ascii="Times New Roman" w:hAnsi="Times New Roman" w:cs="Times New Roman"/>
                <w:b/>
                <w:color w:val="000000"/>
                <w:sz w:val="14"/>
                <w:szCs w:val="14"/>
              </w:rPr>
              <w:t>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color w:val="000000"/>
                <w:sz w:val="14"/>
                <w:szCs w:val="14"/>
                <w:lang w:eastAsia="sk-SK"/>
              </w:rPr>
            </w:pPr>
            <w:r w:rsidRPr="00EA7D89">
              <w:rPr>
                <w:rFonts w:ascii="Times New Roman" w:hAnsi="Times New Roman" w:cs="Times New Roman"/>
                <w:color w:val="000000"/>
                <w:sz w:val="14"/>
                <w:szCs w:val="14"/>
                <w:lang w:eastAsia="sk-SK"/>
              </w:rPr>
              <w:t xml:space="preserve">    z toho: štátny rozpočet</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21 322 401</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16 214 906</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29 048 438</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c>
          <w:tcPr>
            <w:tcW w:w="493"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color w:val="000000"/>
                <w:sz w:val="14"/>
                <w:szCs w:val="14"/>
                <w:lang w:eastAsia="sk-SK"/>
              </w:rPr>
            </w:pPr>
            <w:r w:rsidR="00891249">
              <w:rPr>
                <w:rFonts w:ascii="Times New Roman" w:hAnsi="Times New Roman" w:cs="Times New Roman"/>
                <w:color w:val="000000"/>
                <w:sz w:val="14"/>
                <w:szCs w:val="14"/>
                <w:lang w:eastAsia="sk-SK"/>
              </w:rPr>
              <w:t xml:space="preserve">                EÚ</w:t>
            </w:r>
            <w:r w:rsidRPr="00EA7D89">
              <w:rPr>
                <w:rFonts w:ascii="Times New Roman" w:hAnsi="Times New Roman" w:cs="Times New Roman"/>
                <w:color w:val="000000"/>
                <w:sz w:val="14"/>
                <w:szCs w:val="14"/>
                <w:lang w:eastAsia="sk-SK"/>
              </w:rPr>
              <w:t xml:space="preserve"> prostriedky</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5 606 302</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3 331 261</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51 779 174</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c>
          <w:tcPr>
            <w:tcW w:w="493"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r>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color w:val="000000"/>
                <w:sz w:val="14"/>
                <w:szCs w:val="14"/>
                <w:lang w:eastAsia="sk-SK"/>
              </w:rPr>
            </w:pPr>
            <w:r w:rsidRPr="00EA7D89">
              <w:rPr>
                <w:rFonts w:ascii="Times New Roman" w:hAnsi="Times New Roman" w:cs="Times New Roman"/>
                <w:color w:val="000000"/>
                <w:sz w:val="14"/>
                <w:szCs w:val="14"/>
                <w:lang w:eastAsia="sk-SK"/>
              </w:rPr>
              <w:t xml:space="preserve">                spolufinancovanie zo ŠR</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957 623</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964 416</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15 940 900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c>
          <w:tcPr>
            <w:tcW w:w="493"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0</w:t>
            </w:r>
          </w:p>
        </w:tc>
      </w:tr>
    </w:tbl>
    <w:p w:rsidR="009D2A34" w:rsidRPr="00EA7D89" w:rsidP="009D2A34">
      <w:pPr>
        <w:bidi w:val="0"/>
        <w:rPr>
          <w:rFonts w:ascii="Times New Roman" w:hAnsi="Times New Roman" w:cs="Times New Roman"/>
        </w:rPr>
      </w:pPr>
    </w:p>
    <w:p w:rsidR="00712CCA" w:rsidP="00712CCA">
      <w:pPr>
        <w:bidi w:val="0"/>
        <w:ind w:firstLine="708"/>
        <w:jc w:val="both"/>
        <w:rPr>
          <w:rFonts w:ascii="Times New Roman" w:hAnsi="Times New Roman" w:cs="Times New Roman"/>
        </w:rPr>
      </w:pPr>
      <w:r>
        <w:rPr>
          <w:rFonts w:ascii="Times New Roman" w:hAnsi="Times New Roman" w:cs="Times New Roman"/>
        </w:rPr>
        <w:t xml:space="preserve">Celkové výdavky kapitoly sa v roku 2013 rozpočtujú vo výške 662 mil. eur, v tom zdroje EÚ vo výške 295 mil. eur, príslušné spolufinancovanie v sume 78,1 mil. eur a výdavky štátneho rozpočtu vo výške 288 mil. eur. V porovnaní so schváleným rozpočtom na rok 2012 klesajú rozpočtované zdroje kapitoly zo štátneho rozpočtu o 9,44 mil. eur, čo predstavuje pokles o 3,17 %.  </w:t>
      </w:r>
    </w:p>
    <w:p w:rsidR="009D2A34" w:rsidRPr="00EA7D89" w:rsidP="009D2A34">
      <w:pPr>
        <w:bidi w:val="0"/>
        <w:jc w:val="both"/>
        <w:rPr>
          <w:rFonts w:ascii="Times New Roman" w:hAnsi="Times New Roman" w:cs="Times New Roman"/>
          <w:lang w:eastAsia="sk-SK"/>
        </w:rPr>
      </w:pPr>
      <w:r w:rsidRPr="00EA7D89">
        <w:rPr>
          <w:rFonts w:ascii="Times New Roman" w:hAnsi="Times New Roman" w:cs="Times New Roman"/>
          <w:lang w:eastAsia="sk-SK"/>
        </w:rPr>
        <w:t> </w:t>
      </w: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 xml:space="preserve">Rozpočet osobných výdavkov v roku 2013, v celkovej výške 157 mil. eur, rastie v porovnaní so schváleným rozpočtom na rok 2012 o 970 tis. eur, čo predstavuje rast o 0,6 %. Tento rast je spôsobený medziročným rastom výdavkov na odvody o 1,24 mil. eur. </w:t>
      </w:r>
    </w:p>
    <w:p w:rsidR="009D2A34" w:rsidRPr="00EA7D89" w:rsidP="009D2A34">
      <w:pPr>
        <w:bidi w:val="0"/>
        <w:jc w:val="both"/>
        <w:rPr>
          <w:rFonts w:ascii="Times New Roman" w:hAnsi="Times New Roman" w:cs="Times New Roman"/>
          <w:lang w:eastAsia="sk-SK"/>
        </w:rPr>
      </w:pPr>
      <w:r w:rsidRPr="00EA7D89">
        <w:rPr>
          <w:rFonts w:ascii="Times New Roman" w:hAnsi="Times New Roman" w:cs="Times New Roman"/>
          <w:lang w:eastAsia="sk-SK"/>
        </w:rPr>
        <w:t> </w:t>
      </w: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Výdavky na tovary a služby sa v roku 2013 rozpočtujú vo výške 108 mil. eur. V porovnaní so schváleným rozpočtom na rok 2012 výdavky klesajú o 11,5 mil. eur, čo predstavuje pokles o 9,6 %. Pokles výdavkov je spôsobený celoplošnými úspornými opatreniami a zvýšením výdavkov na odvody na úkor výdavkov na tovary a služby.</w:t>
      </w: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 </w:t>
      </w: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Na bežné transfery sa v roku 2013 rozpočtuje 3,1 mil. eur, v porovnaní so schváleným rozpočtom na rok 2012 o 266 tis. eur viac, čo predstavuje rast o 9,5</w:t>
      </w:r>
      <w:r w:rsidR="00891249">
        <w:rPr>
          <w:rFonts w:ascii="Times New Roman" w:hAnsi="Times New Roman" w:cs="Times New Roman"/>
          <w:lang w:eastAsia="sk-SK"/>
        </w:rPr>
        <w:t xml:space="preserve"> </w:t>
      </w:r>
      <w:r w:rsidRPr="00EA7D89">
        <w:rPr>
          <w:rFonts w:ascii="Times New Roman" w:hAnsi="Times New Roman" w:cs="Times New Roman"/>
          <w:lang w:eastAsia="sk-SK"/>
        </w:rPr>
        <w:t>%.</w:t>
      </w: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 </w:t>
      </w: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Kapitálové výdavky sú rozpočtované vo výške 19,7 mil. eur, v porovnaní so schváleným rozpočtom na rok 2012 o 807 tis. eur viac, čo predstavuje rast o 4,3</w:t>
      </w:r>
      <w:r w:rsidR="00891249">
        <w:rPr>
          <w:rFonts w:ascii="Times New Roman" w:hAnsi="Times New Roman" w:cs="Times New Roman"/>
          <w:lang w:eastAsia="sk-SK"/>
        </w:rPr>
        <w:t xml:space="preserve"> </w:t>
      </w:r>
      <w:r w:rsidRPr="00EA7D89">
        <w:rPr>
          <w:rFonts w:ascii="Times New Roman" w:hAnsi="Times New Roman" w:cs="Times New Roman"/>
          <w:lang w:eastAsia="sk-SK"/>
        </w:rPr>
        <w:t>%.</w:t>
      </w:r>
    </w:p>
    <w:p w:rsidR="009D2A34" w:rsidRPr="00EA7D89" w:rsidP="009D2A34">
      <w:pPr>
        <w:bidi w:val="0"/>
        <w:ind w:firstLine="708"/>
        <w:jc w:val="both"/>
        <w:rPr>
          <w:rFonts w:ascii="Times New Roman" w:hAnsi="Times New Roman" w:cs="Times New Roman"/>
          <w:lang w:eastAsia="sk-SK"/>
        </w:rPr>
      </w:pP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Výdavky kapitoly MF SR sú smerované do nasledujúcich oblastí.</w:t>
      </w:r>
    </w:p>
    <w:p w:rsidR="009D2A34" w:rsidRPr="00EA7D89" w:rsidP="009D2A34">
      <w:pPr>
        <w:bidi w:val="0"/>
        <w:rPr>
          <w:rFonts w:ascii="Times New Roman" w:hAnsi="Times New Roman" w:cs="Times New Roman"/>
        </w:rPr>
      </w:pPr>
    </w:p>
    <w:tbl>
      <w:tblPr>
        <w:tblStyle w:val="TableNormal"/>
        <w:tblW w:w="5000" w:type="pct"/>
        <w:tblCellMar>
          <w:left w:w="70" w:type="dxa"/>
          <w:right w:w="70" w:type="dxa"/>
        </w:tblCellMar>
        <w:tblLook w:val="04A0"/>
      </w:tblPr>
      <w:tblGrid>
        <w:gridCol w:w="2818"/>
        <w:gridCol w:w="914"/>
        <w:gridCol w:w="914"/>
        <w:gridCol w:w="914"/>
        <w:gridCol w:w="914"/>
        <w:gridCol w:w="914"/>
        <w:gridCol w:w="914"/>
        <w:gridCol w:w="910"/>
      </w:tblGrid>
      <w:tr>
        <w:tblPrEx>
          <w:tblW w:w="5000" w:type="pct"/>
          <w:tblCellMar>
            <w:left w:w="70" w:type="dxa"/>
            <w:right w:w="70" w:type="dxa"/>
          </w:tblCellMar>
          <w:tblLook w:val="04A0"/>
        </w:tblPrEx>
        <w:trPr>
          <w:trHeight w:val="297"/>
        </w:trPr>
        <w:tc>
          <w:tcPr>
            <w:tcW w:w="153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A7D89" w:rsidP="006338E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2010 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2011 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R</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OS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2013 N</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2014 N</w:t>
            </w:r>
          </w:p>
        </w:tc>
        <w:tc>
          <w:tcPr>
            <w:tcW w:w="49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9D2A34" w:rsidRPr="00EA7D89" w:rsidP="006338E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Výdavky MF SR celkom</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391 937 199</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353 551 244</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517 380 439</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509 256 485</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661 550 986</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434 002 343</w:t>
            </w:r>
          </w:p>
        </w:tc>
        <w:tc>
          <w:tcPr>
            <w:tcW w:w="494"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427 380 115</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color w:val="000000"/>
                <w:sz w:val="14"/>
                <w:szCs w:val="14"/>
              </w:rPr>
            </w:pPr>
            <w:r w:rsidRPr="00EA7D89">
              <w:rPr>
                <w:rFonts w:ascii="Times New Roman" w:hAnsi="Times New Roman" w:cs="Times New Roman"/>
                <w:color w:val="000000"/>
                <w:sz w:val="14"/>
                <w:szCs w:val="14"/>
              </w:rPr>
              <w:t>Výdavky na finančnú správu</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214 607 329</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232 722 932</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190 438 452</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215 266 631</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185 740 422</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185 740 422</w:t>
            </w:r>
          </w:p>
        </w:tc>
        <w:tc>
          <w:tcPr>
            <w:tcW w:w="49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185 740 422</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Výdavky na Informatizáciu spoločnosti</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33 250 609</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20 454 857</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223 850 770</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179 502 505</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379 096 297</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158 457 813</w:t>
            </w:r>
          </w:p>
        </w:tc>
        <w:tc>
          <w:tcPr>
            <w:tcW w:w="49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152 128 809</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Nadrezortné informačné systémy riadenia VF</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63 176 251</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51 046 026</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53 692 742</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54 223 625</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47 419 185</w:t>
            </w:r>
          </w:p>
        </w:tc>
        <w:tc>
          <w:tcPr>
            <w:tcW w:w="496"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47 092 185</w:t>
            </w:r>
          </w:p>
        </w:tc>
        <w:tc>
          <w:tcPr>
            <w:tcW w:w="49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color w:val="000000"/>
                <w:sz w:val="14"/>
                <w:szCs w:val="14"/>
              </w:rPr>
            </w:pPr>
            <w:r w:rsidRPr="00EA7D89">
              <w:rPr>
                <w:rFonts w:ascii="Times New Roman" w:hAnsi="Times New Roman" w:cs="Times New Roman"/>
                <w:color w:val="000000"/>
                <w:sz w:val="14"/>
                <w:szCs w:val="14"/>
              </w:rPr>
              <w:t>47 098 185</w:t>
            </w:r>
          </w:p>
        </w:tc>
      </w:tr>
      <w:tr>
        <w:tblPrEx>
          <w:tblW w:w="5000" w:type="pct"/>
          <w:tblCellMar>
            <w:left w:w="70" w:type="dxa"/>
            <w:right w:w="70" w:type="dxa"/>
          </w:tblCellMar>
          <w:tblLook w:val="04A0"/>
        </w:tblPrEx>
        <w:trPr>
          <w:trHeight w:val="297"/>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Inštitucionálna podpora a kontrola</w:t>
            </w:r>
          </w:p>
        </w:tc>
        <w:tc>
          <w:tcPr>
            <w:tcW w:w="496"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80 903 010</w:t>
            </w:r>
          </w:p>
        </w:tc>
        <w:tc>
          <w:tcPr>
            <w:tcW w:w="496"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49 327 429</w:t>
            </w:r>
          </w:p>
        </w:tc>
        <w:tc>
          <w:tcPr>
            <w:tcW w:w="496"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49 398 475</w:t>
            </w:r>
          </w:p>
        </w:tc>
        <w:tc>
          <w:tcPr>
            <w:tcW w:w="496"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60 263 723</w:t>
            </w:r>
          </w:p>
        </w:tc>
        <w:tc>
          <w:tcPr>
            <w:tcW w:w="496"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49 295 082</w:t>
            </w:r>
          </w:p>
        </w:tc>
        <w:tc>
          <w:tcPr>
            <w:tcW w:w="496"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42 711 923</w:t>
            </w:r>
          </w:p>
        </w:tc>
        <w:tc>
          <w:tcPr>
            <w:tcW w:w="494"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42 412 699</w:t>
            </w:r>
          </w:p>
        </w:tc>
      </w:tr>
    </w:tbl>
    <w:p w:rsidR="009D2A34" w:rsidRPr="00EA7D89" w:rsidP="009D2A34">
      <w:pPr>
        <w:bidi w:val="0"/>
        <w:rPr>
          <w:rFonts w:ascii="Times New Roman" w:hAnsi="Times New Roman" w:cs="Times New Roman"/>
        </w:rPr>
      </w:pPr>
    </w:p>
    <w:p w:rsidR="009D2A34" w:rsidRPr="00EA7D89" w:rsidP="009D2A34">
      <w:pPr>
        <w:bidi w:val="0"/>
        <w:jc w:val="both"/>
        <w:rPr>
          <w:rFonts w:ascii="Times New Roman" w:hAnsi="Times New Roman" w:cs="Times New Roman"/>
          <w:b/>
        </w:rPr>
      </w:pPr>
      <w:r w:rsidRPr="00EA7D89">
        <w:rPr>
          <w:rFonts w:ascii="Times New Roman" w:hAnsi="Times New Roman" w:cs="Times New Roman"/>
          <w:b/>
        </w:rPr>
        <w:t>Výber daní a cla finančnou správou</w:t>
      </w:r>
    </w:p>
    <w:p w:rsidR="009D2A34" w:rsidRPr="00EA7D89" w:rsidP="009D2A34">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534"/>
        <w:gridCol w:w="955"/>
        <w:gridCol w:w="954"/>
        <w:gridCol w:w="954"/>
        <w:gridCol w:w="954"/>
        <w:gridCol w:w="954"/>
        <w:gridCol w:w="954"/>
        <w:gridCol w:w="953"/>
      </w:tblGrid>
      <w:tr>
        <w:tblPrEx>
          <w:tblW w:w="5000" w:type="pct"/>
          <w:tblCellMar>
            <w:left w:w="70" w:type="dxa"/>
            <w:right w:w="70" w:type="dxa"/>
          </w:tblCellMar>
          <w:tblLook w:val="04A0"/>
        </w:tblPrEx>
        <w:trPr>
          <w:trHeight w:val="255"/>
        </w:trPr>
        <w:tc>
          <w:tcPr>
            <w:tcW w:w="137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A7D89" w:rsidP="006338E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2010 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2011 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R</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OS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2013 N</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2014 N</w:t>
            </w:r>
          </w:p>
        </w:tc>
        <w:tc>
          <w:tcPr>
            <w:tcW w:w="51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9D2A34" w:rsidRPr="00EA7D89" w:rsidP="006338E5">
            <w:pPr>
              <w:bidi w:val="0"/>
              <w:rPr>
                <w:rFonts w:ascii="Times New Roman" w:hAnsi="Times New Roman" w:cs="Times New Roman"/>
                <w:b/>
                <w:bCs/>
                <w:sz w:val="14"/>
                <w:szCs w:val="14"/>
              </w:rPr>
            </w:pPr>
            <w:r w:rsidRPr="00EA7D89">
              <w:rPr>
                <w:rFonts w:ascii="Times New Roman" w:hAnsi="Times New Roman" w:cs="Times New Roman"/>
                <w:b/>
                <w:bCs/>
                <w:sz w:val="14"/>
                <w:szCs w:val="14"/>
              </w:rPr>
              <w:t>Výdavky na finančnú správu, z toho:</w:t>
            </w:r>
          </w:p>
        </w:tc>
        <w:tc>
          <w:tcPr>
            <w:tcW w:w="518"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214 607 329</w:t>
            </w:r>
          </w:p>
        </w:tc>
        <w:tc>
          <w:tcPr>
            <w:tcW w:w="518"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232 722 932</w:t>
            </w:r>
          </w:p>
        </w:tc>
        <w:tc>
          <w:tcPr>
            <w:tcW w:w="518"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190 438 452</w:t>
            </w:r>
          </w:p>
        </w:tc>
        <w:tc>
          <w:tcPr>
            <w:tcW w:w="518"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215 266 631</w:t>
            </w:r>
          </w:p>
        </w:tc>
        <w:tc>
          <w:tcPr>
            <w:tcW w:w="518"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185 740 422</w:t>
            </w:r>
          </w:p>
        </w:tc>
        <w:tc>
          <w:tcPr>
            <w:tcW w:w="518"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185 740 422</w:t>
            </w:r>
          </w:p>
        </w:tc>
        <w:tc>
          <w:tcPr>
            <w:tcW w:w="517"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185 740 422</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bežné výdavky</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199 294 642</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190 420 124</w:t>
            </w:r>
          </w:p>
        </w:tc>
        <w:tc>
          <w:tcPr>
            <w:tcW w:w="518" w:type="pct"/>
            <w:tcBorders>
              <w:top w:val="nil"/>
              <w:left w:val="nil"/>
              <w:bottom w:val="nil"/>
              <w:right w:val="nil"/>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182 298 227</w:t>
            </w:r>
          </w:p>
        </w:tc>
        <w:tc>
          <w:tcPr>
            <w:tcW w:w="518"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184 727 327</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177 600 197</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177 600 197</w:t>
            </w:r>
          </w:p>
        </w:tc>
        <w:tc>
          <w:tcPr>
            <w:tcW w:w="517"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177 600 197</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kapitálové výdavky</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6 226 486</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2 867 115</w:t>
            </w:r>
          </w:p>
        </w:tc>
        <w:tc>
          <w:tcPr>
            <w:tcW w:w="518" w:type="pct"/>
            <w:tcBorders>
              <w:top w:val="single" w:sz="4" w:space="0" w:color="auto"/>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4 140 225</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4 140 225</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8 140 225</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8 140 225</w:t>
            </w:r>
          </w:p>
        </w:tc>
        <w:tc>
          <w:tcPr>
            <w:tcW w:w="517"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8 140 225</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 xml:space="preserve">presun z minulých rokov </w:t>
            </w:r>
          </w:p>
        </w:tc>
        <w:tc>
          <w:tcPr>
            <w:tcW w:w="518"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4 989 132</w:t>
            </w:r>
          </w:p>
        </w:tc>
        <w:tc>
          <w:tcPr>
            <w:tcW w:w="518"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6 042 801</w:t>
            </w:r>
          </w:p>
        </w:tc>
        <w:tc>
          <w:tcPr>
            <w:tcW w:w="518"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0 </w:t>
            </w:r>
          </w:p>
        </w:tc>
        <w:tc>
          <w:tcPr>
            <w:tcW w:w="518"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4 995 786</w:t>
            </w:r>
          </w:p>
        </w:tc>
        <w:tc>
          <w:tcPr>
            <w:tcW w:w="518"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18"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0 </w:t>
            </w:r>
          </w:p>
        </w:tc>
        <w:tc>
          <w:tcPr>
            <w:tcW w:w="517"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0 </w:t>
            </w:r>
          </w:p>
        </w:tc>
      </w:tr>
      <w:tr>
        <w:tblPrEx>
          <w:tblW w:w="5000" w:type="pct"/>
          <w:tblCellMar>
            <w:left w:w="70" w:type="dxa"/>
            <w:right w:w="70" w:type="dxa"/>
          </w:tblCellMar>
          <w:tblLook w:val="04A0"/>
        </w:tblPrEx>
        <w:trPr>
          <w:trHeight w:val="255"/>
        </w:trPr>
        <w:tc>
          <w:tcPr>
            <w:tcW w:w="1375"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UNITAS</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4 097 069</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33 392 893</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4 000 000</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21 403 294</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18"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17"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bl>
    <w:p w:rsidR="009D2A34" w:rsidRPr="00EA7D89" w:rsidP="009D2A34">
      <w:pPr>
        <w:bidi w:val="0"/>
        <w:jc w:val="both"/>
        <w:rPr>
          <w:rFonts w:ascii="Times New Roman" w:hAnsi="Times New Roman" w:cs="Times New Roman"/>
        </w:rPr>
      </w:pPr>
    </w:p>
    <w:p w:rsidR="009D2A34" w:rsidRPr="00EA7D89" w:rsidP="009D2A34">
      <w:pPr>
        <w:bidi w:val="0"/>
        <w:ind w:firstLine="708"/>
        <w:jc w:val="both"/>
        <w:rPr>
          <w:rFonts w:ascii="Times New Roman" w:hAnsi="Times New Roman" w:cs="Times New Roman"/>
        </w:rPr>
      </w:pPr>
      <w:r w:rsidRPr="00EA7D89">
        <w:rPr>
          <w:rFonts w:ascii="Times New Roman" w:hAnsi="Times New Roman" w:cs="Times New Roman"/>
        </w:rPr>
        <w:t>Celkové výdavky na danú oblasť sú v roku 2013 rozpočtované vo výške 185 mil. eur, čo predstavuje pokles v porovnaní so schváleným rozpočtom na rok 2012 o 2,5 %. Výber daní</w:t>
      </w:r>
      <w:r w:rsidRPr="00EA7D89">
        <w:rPr>
          <w:rFonts w:ascii="Times New Roman" w:hAnsi="Times New Roman" w:cs="Times New Roman"/>
          <w:bCs/>
        </w:rPr>
        <w:t xml:space="preserve"> a ciel od roku 2012 </w:t>
      </w:r>
      <w:r w:rsidRPr="00EA7D89">
        <w:rPr>
          <w:rFonts w:ascii="Times New Roman" w:hAnsi="Times New Roman" w:cs="Times New Roman"/>
        </w:rPr>
        <w:t xml:space="preserve">gestoruje Finančná správa SR. </w:t>
      </w:r>
    </w:p>
    <w:p w:rsidR="009D2A34" w:rsidRPr="00EA7D89" w:rsidP="009D2A34">
      <w:pPr>
        <w:bidi w:val="0"/>
        <w:ind w:firstLine="708"/>
        <w:jc w:val="both"/>
        <w:rPr>
          <w:rFonts w:ascii="Times New Roman" w:hAnsi="Times New Roman" w:cs="Times New Roman"/>
        </w:rPr>
      </w:pPr>
    </w:p>
    <w:p w:rsidR="009D2A34" w:rsidRPr="00EA7D89" w:rsidP="009D2A34">
      <w:pPr>
        <w:bidi w:val="0"/>
        <w:ind w:firstLine="708"/>
        <w:jc w:val="both"/>
        <w:rPr>
          <w:rFonts w:ascii="Times New Roman" w:hAnsi="Times New Roman" w:cs="Times New Roman"/>
          <w:iCs/>
        </w:rPr>
      </w:pPr>
      <w:r w:rsidRPr="00EA7D89">
        <w:rPr>
          <w:rFonts w:ascii="Times New Roman" w:hAnsi="Times New Roman" w:cs="Times New Roman"/>
        </w:rPr>
        <w:t xml:space="preserve">V tejto oblasti boli do roku 2012 rozpočtované aj výdavky štátneho rozpočtu na UNITAS – reformu daňovej a colnej správy, </w:t>
      </w:r>
      <w:r w:rsidRPr="00EA7D89">
        <w:rPr>
          <w:rFonts w:ascii="Times New Roman" w:hAnsi="Times New Roman" w:cs="Times New Roman"/>
          <w:iCs/>
        </w:rPr>
        <w:t xml:space="preserve">ktorej cieľom je vybudovanie efektívnej a zákaznícky orientovanej daňovej a colnej správy schopnej prevziať v budúcnosti úlohu zjednoteného výberu daní, ciel a odvodov, zjednodušenie procesov spojených s daňovými a odvodovými povinnosťami pre subjekty s cieľom zníženia byrokracie, a to pri uplatnení smerovania k elektronickej verejnej správe. </w:t>
      </w:r>
    </w:p>
    <w:p w:rsidR="009D2A34" w:rsidRPr="00EA7D89" w:rsidP="009D2A34">
      <w:pPr>
        <w:bidi w:val="0"/>
        <w:ind w:firstLine="708"/>
        <w:jc w:val="both"/>
        <w:rPr>
          <w:rFonts w:ascii="Times New Roman" w:hAnsi="Times New Roman" w:cs="Times New Roman"/>
          <w:iCs/>
        </w:rPr>
      </w:pPr>
    </w:p>
    <w:p w:rsidR="009D2A34" w:rsidRPr="00EA7D89" w:rsidP="009D2A34">
      <w:pPr>
        <w:bidi w:val="0"/>
        <w:ind w:firstLine="708"/>
        <w:jc w:val="both"/>
        <w:rPr>
          <w:rFonts w:ascii="Times New Roman" w:hAnsi="Times New Roman" w:cs="Times New Roman"/>
          <w:iCs/>
        </w:rPr>
      </w:pPr>
      <w:r w:rsidRPr="00EA7D89">
        <w:rPr>
          <w:rFonts w:ascii="Times New Roman" w:hAnsi="Times New Roman" w:cs="Times New Roman"/>
          <w:iCs/>
        </w:rPr>
        <w:t>Reforma daňovej a colnej správy UNITAS zostáva naďalej prioritou vlády a v rokoch 2013 až 2015 sa predpokladá jej financovanie zo zdrojov EÚ prostredníctvom Operačného programu Informatizácia spoločnosti. V prípade, že by nebolo možné realizovať reformu cez uvedený operačný program, bude nevyhnutné vyčleniť na financovanie reformy dodatočné zdroje zo štátneho rozpočtu.</w:t>
      </w:r>
    </w:p>
    <w:p w:rsidR="009D2A34" w:rsidRPr="00EA7D89" w:rsidP="009D2A34">
      <w:pPr>
        <w:bidi w:val="0"/>
        <w:ind w:firstLine="708"/>
        <w:jc w:val="both"/>
        <w:rPr>
          <w:rFonts w:ascii="Times New Roman" w:hAnsi="Times New Roman" w:cs="Times New Roman"/>
        </w:rPr>
      </w:pPr>
    </w:p>
    <w:p w:rsidR="009D2A34" w:rsidRPr="00EA7D89" w:rsidP="009D2A34">
      <w:pPr>
        <w:bidi w:val="0"/>
        <w:jc w:val="both"/>
        <w:rPr>
          <w:rFonts w:ascii="Times New Roman" w:hAnsi="Times New Roman" w:cs="Times New Roman"/>
          <w:b/>
        </w:rPr>
      </w:pPr>
      <w:r w:rsidRPr="00EA7D89">
        <w:rPr>
          <w:rFonts w:ascii="Times New Roman" w:hAnsi="Times New Roman" w:cs="Times New Roman"/>
          <w:b/>
        </w:rPr>
        <w:t>Výdavky na informatizáciu spoločnosti</w:t>
      </w:r>
    </w:p>
    <w:p w:rsidR="009D2A34" w:rsidRPr="00EA7D89" w:rsidP="009D2A34">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626"/>
        <w:gridCol w:w="942"/>
        <w:gridCol w:w="942"/>
        <w:gridCol w:w="941"/>
        <w:gridCol w:w="941"/>
        <w:gridCol w:w="941"/>
        <w:gridCol w:w="941"/>
        <w:gridCol w:w="938"/>
      </w:tblGrid>
      <w:tr>
        <w:tblPrEx>
          <w:tblW w:w="5000" w:type="pct"/>
          <w:tblCellMar>
            <w:left w:w="70" w:type="dxa"/>
            <w:right w:w="70" w:type="dxa"/>
          </w:tblCellMar>
          <w:tblLook w:val="04A0"/>
        </w:tblPrEx>
        <w:trPr>
          <w:trHeight w:val="255"/>
        </w:trPr>
        <w:tc>
          <w:tcPr>
            <w:tcW w:w="142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A7D89" w:rsidP="006338E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2010 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2011 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R</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OS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2013 N</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2014 N</w:t>
            </w:r>
          </w:p>
        </w:tc>
        <w:tc>
          <w:tcPr>
            <w:tcW w:w="50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9D2A34" w:rsidRPr="00EA7D89" w:rsidP="001F2A86">
            <w:pPr>
              <w:bidi w:val="0"/>
              <w:rPr>
                <w:rFonts w:ascii="Times New Roman" w:hAnsi="Times New Roman" w:cs="Times New Roman"/>
                <w:b/>
                <w:bCs/>
                <w:sz w:val="14"/>
                <w:szCs w:val="14"/>
              </w:rPr>
            </w:pPr>
            <w:r w:rsidRPr="00EA7D89">
              <w:rPr>
                <w:rFonts w:ascii="Times New Roman" w:hAnsi="Times New Roman" w:cs="Times New Roman"/>
                <w:b/>
                <w:bCs/>
                <w:sz w:val="14"/>
                <w:szCs w:val="14"/>
              </w:rPr>
              <w:t xml:space="preserve">Výdavky na </w:t>
            </w:r>
            <w:r w:rsidR="001F2A86">
              <w:rPr>
                <w:rFonts w:ascii="Times New Roman" w:hAnsi="Times New Roman" w:cs="Times New Roman"/>
                <w:b/>
                <w:bCs/>
                <w:sz w:val="14"/>
                <w:szCs w:val="14"/>
              </w:rPr>
              <w:t>i</w:t>
            </w:r>
            <w:r w:rsidRPr="00EA7D89">
              <w:rPr>
                <w:rFonts w:ascii="Times New Roman" w:hAnsi="Times New Roman" w:cs="Times New Roman"/>
                <w:b/>
                <w:bCs/>
                <w:sz w:val="14"/>
                <w:szCs w:val="14"/>
              </w:rPr>
              <w:t>nformatizáciu spol., z toho:</w:t>
            </w:r>
          </w:p>
        </w:tc>
        <w:tc>
          <w:tcPr>
            <w:tcW w:w="51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33 250 609</w:t>
            </w:r>
          </w:p>
        </w:tc>
        <w:tc>
          <w:tcPr>
            <w:tcW w:w="51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20 454 857</w:t>
            </w:r>
          </w:p>
        </w:tc>
        <w:tc>
          <w:tcPr>
            <w:tcW w:w="51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223 850 770</w:t>
            </w:r>
          </w:p>
        </w:tc>
        <w:tc>
          <w:tcPr>
            <w:tcW w:w="51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179 502 505</w:t>
            </w:r>
          </w:p>
        </w:tc>
        <w:tc>
          <w:tcPr>
            <w:tcW w:w="51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379 096 297</w:t>
            </w:r>
          </w:p>
        </w:tc>
        <w:tc>
          <w:tcPr>
            <w:tcW w:w="51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158 457 813</w:t>
            </w:r>
          </w:p>
        </w:tc>
        <w:tc>
          <w:tcPr>
            <w:tcW w:w="509"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152 128 809</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prostriedky ŠR na bežnú činnosť</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715 288</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2 605 742</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3 754 000</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2 140 252</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5 478 815</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6 887 324</w:t>
            </w:r>
          </w:p>
        </w:tc>
        <w:tc>
          <w:tcPr>
            <w:tcW w:w="509"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5 308 281</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prostriedky ŠR na licencie na Microsoft</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25 486 918</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9 614 482</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26 794 034</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9"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prostriedky EÚ</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38 004</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3 172 006</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167 452 252</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86 771 097</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295 492 987</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119 269 269</w:t>
            </w:r>
          </w:p>
        </w:tc>
        <w:tc>
          <w:tcPr>
            <w:tcW w:w="509"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113 689 880</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spolufinancovanie zo ŠR</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8 670</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677 968</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52 559 501</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14 248 193</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78 124 495</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32 301 220</w:t>
            </w:r>
          </w:p>
        </w:tc>
        <w:tc>
          <w:tcPr>
            <w:tcW w:w="509"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33 130 648</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presun z minulých rokov</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6 916 712</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4 299 641</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49 463 913</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9"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25"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 xml:space="preserve">transfer od UDZS </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85 017</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9"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bl>
    <w:p w:rsidR="009D2A34" w:rsidRPr="00EA7D89" w:rsidP="009D2A34">
      <w:pPr>
        <w:bidi w:val="0"/>
        <w:jc w:val="both"/>
        <w:rPr>
          <w:rFonts w:ascii="Times New Roman" w:hAnsi="Times New Roman" w:cs="Times New Roman"/>
          <w:b/>
        </w:rPr>
      </w:pP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 xml:space="preserve">Významnú položku v rozpočte MF SR predstavujú prostriedky rozpočtované na informatizáciu spoločnosti. Celkové výdavky na túto oblasť sú rozpočtované vo výške 379 mil. eur a v porovnaní so schváleným rozpočtom na rok 2012 rastú o 69,4 % najmä v dôsledku rastu zdrojov z rozpočtu EÚ a príslušného spolufinancovania. </w:t>
      </w:r>
    </w:p>
    <w:p w:rsidR="009D2A34" w:rsidRPr="00EA7D89" w:rsidP="009D2A34">
      <w:pPr>
        <w:bidi w:val="0"/>
        <w:spacing w:before="120"/>
        <w:ind w:firstLine="709"/>
        <w:jc w:val="both"/>
        <w:rPr>
          <w:rFonts w:ascii="Times New Roman" w:hAnsi="Times New Roman" w:cs="Times New Roman"/>
          <w:lang w:eastAsia="sk-SK"/>
        </w:rPr>
      </w:pPr>
      <w:r w:rsidRPr="00EA7D89">
        <w:rPr>
          <w:rFonts w:ascii="Times New Roman" w:hAnsi="Times New Roman" w:cs="Times New Roman"/>
          <w:lang w:eastAsia="sk-SK"/>
        </w:rPr>
        <w:t>Prostriedky z domácic</w:t>
      </w:r>
      <w:r>
        <w:rPr>
          <w:rFonts w:ascii="Times New Roman" w:hAnsi="Times New Roman" w:cs="Times New Roman"/>
          <w:lang w:eastAsia="sk-SK"/>
        </w:rPr>
        <w:t>h zdrojov vo výške 5,5 mil. eur</w:t>
      </w:r>
      <w:r w:rsidRPr="00EA7D89">
        <w:rPr>
          <w:rFonts w:ascii="Times New Roman" w:hAnsi="Times New Roman" w:cs="Times New Roman"/>
          <w:lang w:eastAsia="sk-SK"/>
        </w:rPr>
        <w:t xml:space="preserve"> sa rozpočtujú na krytie výdavkov na úlohy v tejto oblasti (výdavky na informačnú bezpečnosť AP, poradenskú činnosť, analýzy, softvér). Výdavky na Multilicenčnú zmluvu s Microsoft sú rozpočtované v kapitole Všeobecná pokladničná správa vo výške 16 mil. eur. V priebehu roka 2013 bude z týchto prostriedkov do rozpočtu ministerstva financií presunutá suma, ktorá bude potrebná na zaplatenie skutočných výdavkov na licencie za jednotlivé kapitoly štátneho rozpočtu.</w:t>
      </w:r>
    </w:p>
    <w:p w:rsidR="009D2A34" w:rsidRPr="00EA7D89" w:rsidP="009D2A34">
      <w:pPr>
        <w:bidi w:val="0"/>
        <w:spacing w:before="120"/>
        <w:ind w:firstLine="709"/>
        <w:jc w:val="both"/>
        <w:rPr>
          <w:rFonts w:ascii="Times New Roman" w:hAnsi="Times New Roman" w:cs="Times New Roman"/>
          <w:lang w:eastAsia="sk-SK"/>
        </w:rPr>
      </w:pPr>
      <w:r w:rsidRPr="00EA7D89">
        <w:rPr>
          <w:rFonts w:ascii="Times New Roman" w:hAnsi="Times New Roman" w:cs="Times New Roman"/>
          <w:lang w:eastAsia="sk-SK"/>
        </w:rPr>
        <w:t>Spolufinancovanie k európskym zdrojom v tejto oblasti je rozpočtované vrátane prostriedkov pro rata.</w:t>
      </w:r>
    </w:p>
    <w:p w:rsidR="009D2A34" w:rsidRPr="00EA7D89" w:rsidP="009D2A34">
      <w:pPr>
        <w:pStyle w:val="NormalWeb"/>
        <w:bidi w:val="0"/>
        <w:spacing w:before="0" w:beforeAutospacing="0" w:after="0" w:afterAutospacing="0"/>
        <w:jc w:val="both"/>
        <w:rPr>
          <w:rFonts w:ascii="Times New Roman" w:hAnsi="Times New Roman"/>
        </w:rPr>
      </w:pPr>
      <w:r w:rsidRPr="00EA7D89">
        <w:rPr>
          <w:rFonts w:ascii="Times New Roman" w:hAnsi="Times New Roman"/>
        </w:rPr>
        <w:t xml:space="preserve"> </w:t>
      </w:r>
    </w:p>
    <w:p w:rsidR="009D2A34" w:rsidRPr="00EA7D89" w:rsidP="009D2A34">
      <w:pPr>
        <w:pStyle w:val="NormalWeb"/>
        <w:bidi w:val="0"/>
        <w:spacing w:before="0" w:beforeAutospacing="0" w:after="0" w:afterAutospacing="0"/>
        <w:jc w:val="both"/>
        <w:rPr>
          <w:rFonts w:ascii="Times New Roman" w:hAnsi="Times New Roman"/>
          <w:b/>
        </w:rPr>
      </w:pPr>
      <w:r w:rsidRPr="00EA7D89">
        <w:rPr>
          <w:rFonts w:ascii="Times New Roman" w:hAnsi="Times New Roman"/>
          <w:b/>
        </w:rPr>
        <w:t>Nadrezortné informačné systémy riadenia verejných financií</w:t>
      </w:r>
    </w:p>
    <w:p w:rsidR="009D2A34" w:rsidRPr="00EA7D89" w:rsidP="009D2A34">
      <w:pPr>
        <w:pStyle w:val="NormalWeb"/>
        <w:bidi w:val="0"/>
        <w:spacing w:before="0" w:beforeAutospacing="0" w:after="0" w:afterAutospacing="0"/>
        <w:jc w:val="both"/>
        <w:rPr>
          <w:rFonts w:ascii="Times New Roman" w:hAnsi="Times New Roman"/>
        </w:rPr>
      </w:pPr>
    </w:p>
    <w:tbl>
      <w:tblPr>
        <w:tblStyle w:val="TableNormal"/>
        <w:tblW w:w="5000" w:type="pct"/>
        <w:tblCellMar>
          <w:left w:w="70" w:type="dxa"/>
          <w:right w:w="70" w:type="dxa"/>
        </w:tblCellMar>
        <w:tblLook w:val="04A0"/>
      </w:tblPr>
      <w:tblGrid>
        <w:gridCol w:w="2878"/>
        <w:gridCol w:w="904"/>
        <w:gridCol w:w="905"/>
        <w:gridCol w:w="905"/>
        <w:gridCol w:w="905"/>
        <w:gridCol w:w="905"/>
        <w:gridCol w:w="905"/>
        <w:gridCol w:w="905"/>
      </w:tblGrid>
      <w:tr>
        <w:tblPrEx>
          <w:tblW w:w="5000" w:type="pct"/>
          <w:tblCellMar>
            <w:left w:w="70" w:type="dxa"/>
            <w:right w:w="70" w:type="dxa"/>
          </w:tblCellMar>
          <w:tblLook w:val="04A0"/>
        </w:tblPrEx>
        <w:trPr>
          <w:trHeight w:val="255"/>
        </w:trPr>
        <w:tc>
          <w:tcPr>
            <w:tcW w:w="156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A7D89" w:rsidP="006338E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2010 S</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2011 S</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R</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OS</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2013 N</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2014 N</w:t>
            </w:r>
          </w:p>
        </w:tc>
        <w:tc>
          <w:tcPr>
            <w:tcW w:w="49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9D2A34" w:rsidRPr="00EA7D89" w:rsidP="006338E5">
            <w:pPr>
              <w:bidi w:val="0"/>
              <w:rPr>
                <w:rFonts w:ascii="Times New Roman" w:hAnsi="Times New Roman" w:cs="Times New Roman"/>
                <w:b/>
                <w:bCs/>
                <w:sz w:val="14"/>
                <w:szCs w:val="14"/>
              </w:rPr>
            </w:pPr>
            <w:r w:rsidRPr="00EA7D89">
              <w:rPr>
                <w:rFonts w:ascii="Times New Roman" w:hAnsi="Times New Roman" w:cs="Times New Roman"/>
                <w:b/>
                <w:bCs/>
                <w:sz w:val="14"/>
                <w:szCs w:val="14"/>
              </w:rPr>
              <w:t>Nadrezortné informačné systémy riadenia VF</w:t>
            </w:r>
          </w:p>
        </w:tc>
        <w:tc>
          <w:tcPr>
            <w:tcW w:w="49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63 176 251</w:t>
            </w:r>
          </w:p>
        </w:tc>
        <w:tc>
          <w:tcPr>
            <w:tcW w:w="49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51 046 026</w:t>
            </w:r>
          </w:p>
        </w:tc>
        <w:tc>
          <w:tcPr>
            <w:tcW w:w="49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53 692 742</w:t>
            </w:r>
          </w:p>
        </w:tc>
        <w:tc>
          <w:tcPr>
            <w:tcW w:w="49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54 223 625</w:t>
            </w:r>
          </w:p>
        </w:tc>
        <w:tc>
          <w:tcPr>
            <w:tcW w:w="49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47 419 185</w:t>
            </w:r>
          </w:p>
        </w:tc>
        <w:tc>
          <w:tcPr>
            <w:tcW w:w="49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47 092 185</w:t>
            </w:r>
          </w:p>
        </w:tc>
        <w:tc>
          <w:tcPr>
            <w:tcW w:w="491"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47 098 185</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IS pre systém Štátnej pokladnice</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16 740 209</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15 361 778</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17 753 200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19 342 306</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17 693 200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17 693 200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15 693 200</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Rozpočtový informačný systém</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9 541 874</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6 342 461</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4 903 878</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5 155 716</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4 970 878</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4 663 878</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4 663 878</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IS účtovníctva fondov</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1 276 038</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810 472</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1 215 133</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1 295 690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1 085 133</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1 165 133</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1 305 133</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Podporná infraštruktúra</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29 958 774</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21 661 329</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23 750 531</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16 646 383</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15 955 531</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15 855 531</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15 855 531</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Manažovaná bezpečnostná služba</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4 104 148</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Centrálny účtovný systém</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1 204 835</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1 744 443</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1 744 443</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4 210 443</w:t>
            </w:r>
          </w:p>
        </w:tc>
      </w:tr>
      <w:tr>
        <w:tblPrEx>
          <w:tblW w:w="5000" w:type="pct"/>
          <w:tblCellMar>
            <w:left w:w="70" w:type="dxa"/>
            <w:right w:w="70" w:type="dxa"/>
          </w:tblCellMar>
          <w:tblLook w:val="04A0"/>
        </w:tblPrEx>
        <w:trPr>
          <w:trHeight w:val="255"/>
        </w:trPr>
        <w:tc>
          <w:tcPr>
            <w:tcW w:w="1562"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Jednotný systém štátneho účtov. a výkaz.</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5 659 355</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6 869 986</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6 070 000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6 474 547</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5 970 000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5 970 000</w:t>
            </w:r>
          </w:p>
        </w:tc>
        <w:tc>
          <w:tcPr>
            <w:tcW w:w="491"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5 370 000</w:t>
            </w:r>
          </w:p>
        </w:tc>
      </w:tr>
    </w:tbl>
    <w:p w:rsidR="009D2A34" w:rsidRPr="00EA7D89" w:rsidP="009D2A34">
      <w:pPr>
        <w:pStyle w:val="NormalWeb"/>
        <w:bidi w:val="0"/>
        <w:spacing w:before="0" w:beforeAutospacing="0" w:after="0" w:afterAutospacing="0"/>
        <w:jc w:val="both"/>
        <w:rPr>
          <w:rFonts w:ascii="Times New Roman" w:hAnsi="Times New Roman"/>
        </w:rPr>
      </w:pP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 xml:space="preserve">Informačné systémy riadenia verejných financií  nadrezortného charakteru sú prierezové systémy, ktoré využívajú všetky subjekty verejnej správy. </w:t>
      </w:r>
    </w:p>
    <w:p w:rsidR="009D2A34" w:rsidP="009D2A34">
      <w:pPr>
        <w:bidi w:val="0"/>
        <w:jc w:val="both"/>
        <w:rPr>
          <w:rFonts w:ascii="Times New Roman" w:hAnsi="Times New Roman" w:cs="Times New Roman"/>
          <w:lang w:eastAsia="sk-SK"/>
        </w:rPr>
      </w:pPr>
    </w:p>
    <w:p w:rsidR="0059702E" w:rsidP="009D2A34">
      <w:pPr>
        <w:bidi w:val="0"/>
        <w:jc w:val="both"/>
        <w:rPr>
          <w:rFonts w:ascii="Times New Roman" w:hAnsi="Times New Roman" w:cs="Times New Roman"/>
          <w:lang w:eastAsia="sk-SK"/>
        </w:rPr>
      </w:pPr>
    </w:p>
    <w:p w:rsidR="0059702E" w:rsidP="009D2A34">
      <w:pPr>
        <w:bidi w:val="0"/>
        <w:jc w:val="both"/>
        <w:rPr>
          <w:rFonts w:ascii="Times New Roman" w:hAnsi="Times New Roman" w:cs="Times New Roman"/>
          <w:lang w:eastAsia="sk-SK"/>
        </w:rPr>
      </w:pPr>
    </w:p>
    <w:p w:rsidR="0059702E" w:rsidP="009D2A34">
      <w:pPr>
        <w:bidi w:val="0"/>
        <w:jc w:val="both"/>
        <w:rPr>
          <w:rFonts w:ascii="Times New Roman" w:hAnsi="Times New Roman" w:cs="Times New Roman"/>
          <w:lang w:eastAsia="sk-SK"/>
        </w:rPr>
      </w:pPr>
    </w:p>
    <w:p w:rsidR="0059702E" w:rsidP="009D2A34">
      <w:pPr>
        <w:bidi w:val="0"/>
        <w:jc w:val="both"/>
        <w:rPr>
          <w:rFonts w:ascii="Times New Roman" w:hAnsi="Times New Roman" w:cs="Times New Roman"/>
          <w:lang w:eastAsia="sk-SK"/>
        </w:rPr>
      </w:pPr>
    </w:p>
    <w:p w:rsidR="0059702E" w:rsidP="009D2A34">
      <w:pPr>
        <w:bidi w:val="0"/>
        <w:jc w:val="both"/>
        <w:rPr>
          <w:rFonts w:ascii="Times New Roman" w:hAnsi="Times New Roman" w:cs="Times New Roman"/>
          <w:lang w:eastAsia="sk-SK"/>
        </w:rPr>
      </w:pPr>
    </w:p>
    <w:p w:rsidR="0059702E" w:rsidP="009D2A34">
      <w:pPr>
        <w:bidi w:val="0"/>
        <w:jc w:val="both"/>
        <w:rPr>
          <w:rFonts w:ascii="Times New Roman" w:hAnsi="Times New Roman" w:cs="Times New Roman"/>
          <w:lang w:eastAsia="sk-SK"/>
        </w:rPr>
      </w:pPr>
    </w:p>
    <w:p w:rsidR="0059702E" w:rsidRPr="00EA7D89" w:rsidP="009D2A34">
      <w:pPr>
        <w:bidi w:val="0"/>
        <w:jc w:val="both"/>
        <w:rPr>
          <w:rFonts w:ascii="Times New Roman" w:hAnsi="Times New Roman" w:cs="Times New Roman"/>
          <w:lang w:eastAsia="sk-SK"/>
        </w:rPr>
      </w:pPr>
    </w:p>
    <w:p w:rsidR="009D2A34" w:rsidRPr="00EA7D89" w:rsidP="009D2A34">
      <w:pPr>
        <w:pStyle w:val="NormalWeb"/>
        <w:bidi w:val="0"/>
        <w:spacing w:before="0" w:beforeAutospacing="0" w:after="0" w:afterAutospacing="0"/>
        <w:jc w:val="both"/>
        <w:rPr>
          <w:rFonts w:ascii="Times New Roman" w:hAnsi="Times New Roman"/>
          <w:b/>
        </w:rPr>
      </w:pPr>
      <w:r w:rsidRPr="00EA7D89">
        <w:rPr>
          <w:rFonts w:ascii="Times New Roman" w:hAnsi="Times New Roman"/>
          <w:b/>
        </w:rPr>
        <w:t>Inštitucionálna podpora a kontrola</w:t>
      </w:r>
    </w:p>
    <w:p w:rsidR="009D2A34" w:rsidRPr="00EA7D89" w:rsidP="009D2A34">
      <w:pPr>
        <w:pStyle w:val="NormalWeb"/>
        <w:bidi w:val="0"/>
        <w:spacing w:before="0" w:beforeAutospacing="0" w:after="0" w:afterAutospacing="0"/>
        <w:jc w:val="both"/>
        <w:rPr>
          <w:rFonts w:ascii="Times New Roman" w:hAnsi="Times New Roman"/>
        </w:rPr>
      </w:pPr>
    </w:p>
    <w:tbl>
      <w:tblPr>
        <w:tblStyle w:val="TableNormal"/>
        <w:tblW w:w="5000" w:type="pct"/>
        <w:tblCellMar>
          <w:left w:w="70" w:type="dxa"/>
          <w:right w:w="70" w:type="dxa"/>
        </w:tblCellMar>
        <w:tblLook w:val="04A0"/>
      </w:tblPr>
      <w:tblGrid>
        <w:gridCol w:w="2715"/>
        <w:gridCol w:w="928"/>
        <w:gridCol w:w="928"/>
        <w:gridCol w:w="929"/>
        <w:gridCol w:w="929"/>
        <w:gridCol w:w="929"/>
        <w:gridCol w:w="929"/>
        <w:gridCol w:w="925"/>
      </w:tblGrid>
      <w:tr>
        <w:tblPrEx>
          <w:tblW w:w="5000" w:type="pct"/>
          <w:tblCellMar>
            <w:left w:w="70" w:type="dxa"/>
            <w:right w:w="70" w:type="dxa"/>
          </w:tblCellMar>
          <w:tblLook w:val="04A0"/>
        </w:tblPrEx>
        <w:trPr>
          <w:trHeight w:val="255"/>
        </w:trPr>
        <w:tc>
          <w:tcPr>
            <w:tcW w:w="147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A7D89" w:rsidP="006338E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2010 S</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2011 S</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R</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OS</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2013 N</w:t>
            </w:r>
          </w:p>
        </w:tc>
        <w:tc>
          <w:tcPr>
            <w:tcW w:w="50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2014 N</w:t>
            </w:r>
          </w:p>
        </w:tc>
        <w:tc>
          <w:tcPr>
            <w:tcW w:w="502"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9D2A34" w:rsidRPr="00EA7D89" w:rsidP="006338E5">
            <w:pPr>
              <w:bidi w:val="0"/>
              <w:rPr>
                <w:rFonts w:ascii="Times New Roman" w:hAnsi="Times New Roman" w:cs="Times New Roman"/>
                <w:b/>
                <w:bCs/>
                <w:sz w:val="14"/>
                <w:szCs w:val="14"/>
              </w:rPr>
            </w:pPr>
            <w:r w:rsidRPr="00EA7D89">
              <w:rPr>
                <w:rFonts w:ascii="Times New Roman" w:hAnsi="Times New Roman" w:cs="Times New Roman"/>
                <w:b/>
                <w:bCs/>
                <w:sz w:val="14"/>
                <w:szCs w:val="14"/>
              </w:rPr>
              <w:t>Inštitucionálna podpora a kontrola, z toho:</w:t>
            </w:r>
          </w:p>
        </w:tc>
        <w:tc>
          <w:tcPr>
            <w:tcW w:w="504"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80 903 010</w:t>
            </w:r>
          </w:p>
        </w:tc>
        <w:tc>
          <w:tcPr>
            <w:tcW w:w="504"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49 327 429</w:t>
            </w:r>
          </w:p>
        </w:tc>
        <w:tc>
          <w:tcPr>
            <w:tcW w:w="504"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49 398 475</w:t>
            </w:r>
          </w:p>
        </w:tc>
        <w:tc>
          <w:tcPr>
            <w:tcW w:w="504"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60 263 723</w:t>
            </w:r>
          </w:p>
        </w:tc>
        <w:tc>
          <w:tcPr>
            <w:tcW w:w="504"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49 295 082</w:t>
            </w:r>
          </w:p>
        </w:tc>
        <w:tc>
          <w:tcPr>
            <w:tcW w:w="504"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42 711 923</w:t>
            </w:r>
          </w:p>
        </w:tc>
        <w:tc>
          <w:tcPr>
            <w:tcW w:w="502"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42 412 699</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štátny rozpočet</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63 737 399</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37 706 596</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49 398 475</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17 950 450</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49 295 082</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42 711 923</w:t>
            </w:r>
          </w:p>
        </w:tc>
        <w:tc>
          <w:tcPr>
            <w:tcW w:w="502"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42 412 699</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 xml:space="preserve">zdroje EÚ </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1 007 360</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1 234 788</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3 345</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2"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spolufinancovanie zo ŠR</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177 770</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217 904</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1 115</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2"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r>
        <w:tblPrEx>
          <w:tblW w:w="5000" w:type="pct"/>
          <w:tblCellMar>
            <w:left w:w="70" w:type="dxa"/>
            <w:right w:w="70" w:type="dxa"/>
          </w:tblCellMar>
          <w:tblLook w:val="04A0"/>
        </w:tblPrEx>
        <w:trPr>
          <w:trHeight w:val="255"/>
        </w:trPr>
        <w:tc>
          <w:tcPr>
            <w:tcW w:w="1474"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presun z minulých rokov</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15 980 482</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10 168 140</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42 308 813</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4"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502" w:type="pct"/>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bl>
    <w:p w:rsidR="009D2A34" w:rsidRPr="00EA7D89" w:rsidP="009D2A34">
      <w:pPr>
        <w:bidi w:val="0"/>
        <w:jc w:val="both"/>
        <w:rPr>
          <w:rFonts w:ascii="Times New Roman" w:hAnsi="Times New Roman" w:cs="Times New Roman"/>
          <w:b/>
        </w:rPr>
      </w:pP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Výdavky na inštitucionálnu podporu a kontrolu sú v roku 2013 rozpočtované vo výške 49,3 mil. eur, čo predstavuje medziročný pokles o 0,21 %. Tieto prostriedky sú určené na prevádzku úradu MF SR vo výške 37,7 mil. eur, správ finančnej kontroly vo výške 4,3 mil. eur, DataCentra vo výške 2,73 mil. eur, Štátnej pokladnice vo výške 2,59 mil. eur, Agentúry riadenia dlhu a likvidity s rozpočtom 1,17 mil. eur.</w:t>
      </w:r>
    </w:p>
    <w:p w:rsidR="009D2A34" w:rsidRPr="00EA7D89" w:rsidP="009D2A34">
      <w:pPr>
        <w:bidi w:val="0"/>
        <w:rPr>
          <w:rFonts w:ascii="Times New Roman" w:hAnsi="Times New Roman" w:cs="Times New Roman"/>
          <w:lang w:eastAsia="sk-SK"/>
        </w:rPr>
      </w:pP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Výdavky zo štátneho rozpočtu sú rozpočtované v danej oblasti pre nasledovné organizácie.</w:t>
      </w:r>
    </w:p>
    <w:p w:rsidR="009D2A34" w:rsidRPr="00EA7D89" w:rsidP="009D2A34">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905"/>
        <w:gridCol w:w="899"/>
        <w:gridCol w:w="901"/>
        <w:gridCol w:w="901"/>
        <w:gridCol w:w="901"/>
        <w:gridCol w:w="901"/>
        <w:gridCol w:w="901"/>
        <w:gridCol w:w="903"/>
      </w:tblGrid>
      <w:tr>
        <w:tblPrEx>
          <w:tblW w:w="5000" w:type="pct"/>
          <w:tblCellMar>
            <w:left w:w="70" w:type="dxa"/>
            <w:right w:w="70" w:type="dxa"/>
          </w:tblCellMar>
          <w:tblLook w:val="04A0"/>
        </w:tblPrEx>
        <w:trPr>
          <w:trHeight w:val="255"/>
        </w:trPr>
        <w:tc>
          <w:tcPr>
            <w:tcW w:w="157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A7D89" w:rsidP="006338E5">
            <w:pPr>
              <w:bidi w:val="0"/>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v eurách</w:t>
            </w:r>
          </w:p>
        </w:tc>
        <w:tc>
          <w:tcPr>
            <w:tcW w:w="48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2010 S</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2011 S</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R</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2012 OS</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2013 N</w:t>
            </w:r>
          </w:p>
        </w:tc>
        <w:tc>
          <w:tcPr>
            <w:tcW w:w="48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2014 N</w:t>
            </w:r>
          </w:p>
        </w:tc>
        <w:tc>
          <w:tcPr>
            <w:tcW w:w="49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rPr>
            </w:pPr>
            <w:r w:rsidRPr="00EA7D89">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9D2A34" w:rsidRPr="00EA7D89" w:rsidP="006338E5">
            <w:pPr>
              <w:bidi w:val="0"/>
              <w:rPr>
                <w:rFonts w:ascii="Times New Roman" w:hAnsi="Times New Roman" w:cs="Times New Roman"/>
                <w:b/>
                <w:bCs/>
                <w:sz w:val="14"/>
                <w:szCs w:val="14"/>
              </w:rPr>
            </w:pPr>
            <w:r w:rsidRPr="00EA7D89">
              <w:rPr>
                <w:rFonts w:ascii="Times New Roman" w:hAnsi="Times New Roman" w:cs="Times New Roman"/>
                <w:b/>
                <w:bCs/>
                <w:sz w:val="14"/>
                <w:szCs w:val="14"/>
              </w:rPr>
              <w:t>Organizácie spolu</w:t>
            </w:r>
          </w:p>
        </w:tc>
        <w:tc>
          <w:tcPr>
            <w:tcW w:w="488"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14 803 339</w:t>
            </w:r>
          </w:p>
        </w:tc>
        <w:tc>
          <w:tcPr>
            <w:tcW w:w="489"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12 609 337</w:t>
            </w:r>
          </w:p>
        </w:tc>
        <w:tc>
          <w:tcPr>
            <w:tcW w:w="489"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11 555 787</w:t>
            </w:r>
          </w:p>
        </w:tc>
        <w:tc>
          <w:tcPr>
            <w:tcW w:w="489"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13 321 449</w:t>
            </w:r>
          </w:p>
        </w:tc>
        <w:tc>
          <w:tcPr>
            <w:tcW w:w="489"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11 636 345</w:t>
            </w:r>
          </w:p>
        </w:tc>
        <w:tc>
          <w:tcPr>
            <w:tcW w:w="489"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11 636 345</w:t>
            </w:r>
          </w:p>
        </w:tc>
        <w:tc>
          <w:tcPr>
            <w:tcW w:w="490" w:type="pct"/>
            <w:tcBorders>
              <w:top w:val="nil"/>
              <w:left w:val="nil"/>
              <w:bottom w:val="single" w:sz="4" w:space="0" w:color="auto"/>
              <w:right w:val="single" w:sz="4" w:space="0" w:color="auto"/>
            </w:tcBorders>
            <w:shd w:val="clear" w:color="auto"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11 636 345</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Správy fin.  kontroly Bratislava, Košice, Zvolen</w:t>
            </w:r>
          </w:p>
        </w:tc>
        <w:tc>
          <w:tcPr>
            <w:tcW w:w="488"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4 284 056</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4 055 189</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4 101 951</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4 101 951</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4 319 192</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4 319 192</w:t>
            </w:r>
          </w:p>
        </w:tc>
        <w:tc>
          <w:tcPr>
            <w:tcW w:w="490"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4 319 192</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VZD Tatranská Lomnica</w:t>
            </w:r>
          </w:p>
        </w:tc>
        <w:tc>
          <w:tcPr>
            <w:tcW w:w="488"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1 095 330</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968 978</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838 147</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1 907 763</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832 694</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832 694</w:t>
            </w:r>
          </w:p>
        </w:tc>
        <w:tc>
          <w:tcPr>
            <w:tcW w:w="490"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832 694</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ARDAL</w:t>
            </w:r>
          </w:p>
        </w:tc>
        <w:tc>
          <w:tcPr>
            <w:tcW w:w="488"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1 168 877</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1 620 971</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1 163 062</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1 859 108</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1 167 613</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1 167 613</w:t>
            </w:r>
          </w:p>
        </w:tc>
        <w:tc>
          <w:tcPr>
            <w:tcW w:w="490"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1 167 613</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Štátna pokladnica*</w:t>
            </w:r>
          </w:p>
        </w:tc>
        <w:tc>
          <w:tcPr>
            <w:tcW w:w="488"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3 496 480</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2 679 332</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2 628 888</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2 628 888</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2 587 632</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2 587 632</w:t>
            </w:r>
          </w:p>
        </w:tc>
        <w:tc>
          <w:tcPr>
            <w:tcW w:w="490"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2 587 632</w:t>
            </w:r>
          </w:p>
        </w:tc>
      </w:tr>
      <w:tr>
        <w:tblPrEx>
          <w:tblW w:w="5000" w:type="pct"/>
          <w:tblCellMar>
            <w:left w:w="70" w:type="dxa"/>
            <w:right w:w="70" w:type="dxa"/>
          </w:tblCellMar>
          <w:tblLook w:val="04A0"/>
        </w:tblPrEx>
        <w:trPr>
          <w:trHeight w:val="255"/>
        </w:trPr>
        <w:tc>
          <w:tcPr>
            <w:tcW w:w="1577" w:type="pct"/>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sz w:val="14"/>
                <w:szCs w:val="14"/>
              </w:rPr>
            </w:pPr>
            <w:r w:rsidRPr="00EA7D89">
              <w:rPr>
                <w:rFonts w:ascii="Times New Roman" w:hAnsi="Times New Roman" w:cs="Times New Roman"/>
                <w:sz w:val="14"/>
                <w:szCs w:val="14"/>
              </w:rPr>
              <w:t>DataCentrum*</w:t>
            </w:r>
          </w:p>
        </w:tc>
        <w:tc>
          <w:tcPr>
            <w:tcW w:w="488"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4 758 596</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3 284 867</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2 823 739</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2 823 739</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2 729 214</w:t>
            </w:r>
          </w:p>
        </w:tc>
        <w:tc>
          <w:tcPr>
            <w:tcW w:w="489"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2 729 214</w:t>
            </w:r>
          </w:p>
        </w:tc>
        <w:tc>
          <w:tcPr>
            <w:tcW w:w="490" w:type="pct"/>
            <w:tcBorders>
              <w:top w:val="nil"/>
              <w:left w:val="nil"/>
              <w:bottom w:val="single" w:sz="4" w:space="0" w:color="auto"/>
              <w:right w:val="single" w:sz="4" w:space="0" w:color="auto"/>
            </w:tcBorders>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2 729 214</w:t>
            </w:r>
          </w:p>
        </w:tc>
      </w:tr>
    </w:tbl>
    <w:p w:rsidR="009D2A34" w:rsidRPr="00EA7D89" w:rsidP="009D2A34">
      <w:pPr>
        <w:bidi w:val="0"/>
        <w:jc w:val="both"/>
        <w:rPr>
          <w:rFonts w:ascii="Times New Roman" w:hAnsi="Times New Roman" w:cs="Times New Roman"/>
          <w:sz w:val="14"/>
          <w:szCs w:val="14"/>
        </w:rPr>
      </w:pPr>
      <w:r w:rsidRPr="00EA7D89">
        <w:rPr>
          <w:rFonts w:ascii="Times New Roman" w:hAnsi="Times New Roman" w:cs="Times New Roman"/>
          <w:sz w:val="14"/>
          <w:szCs w:val="14"/>
        </w:rPr>
        <w:t>*pri organizáciách Štátna pokladnica a DataCentrum sú uvedené len výdavky na prevádzku bez výdavkov na informačné systémy</w:t>
      </w:r>
    </w:p>
    <w:p w:rsidR="009D2A34" w:rsidRPr="00EA7D89" w:rsidP="009D2A34">
      <w:pPr>
        <w:bidi w:val="0"/>
        <w:jc w:val="both"/>
        <w:rPr>
          <w:rFonts w:ascii="Times New Roman" w:hAnsi="Times New Roman" w:cs="Times New Roman"/>
          <w:sz w:val="14"/>
          <w:szCs w:val="14"/>
        </w:rPr>
      </w:pPr>
    </w:p>
    <w:p w:rsidR="009D2A34" w:rsidRPr="00EA7D89" w:rsidP="009D2A34">
      <w:pPr>
        <w:bidi w:val="0"/>
        <w:ind w:firstLine="708"/>
        <w:jc w:val="both"/>
        <w:rPr>
          <w:rFonts w:ascii="Times New Roman" w:hAnsi="Times New Roman" w:cs="Times New Roman"/>
        </w:rPr>
      </w:pPr>
      <w:r w:rsidRPr="00EA7D89">
        <w:rPr>
          <w:rFonts w:ascii="Times New Roman" w:hAnsi="Times New Roman" w:cs="Times New Roman"/>
        </w:rPr>
        <w:t>Výdavky na organizácie rezortu sú v roku 2013 rozpočtované vo výške 11,6 mil. eur, čo je rast o 0,7 % v porovnaní so schváleným rozpočtom v roku 2012.</w:t>
      </w:r>
    </w:p>
    <w:p w:rsidR="009D2A34" w:rsidRPr="00EA7D89" w:rsidP="009D2A34">
      <w:pPr>
        <w:bidi w:val="0"/>
        <w:ind w:firstLine="708"/>
        <w:jc w:val="both"/>
        <w:rPr>
          <w:rFonts w:ascii="Times New Roman" w:hAnsi="Times New Roman" w:cs="Times New Roman"/>
        </w:rPr>
      </w:pPr>
    </w:p>
    <w:p w:rsidR="009D2A34" w:rsidRPr="00EA7D89" w:rsidP="009D2A34">
      <w:pPr>
        <w:bidi w:val="0"/>
        <w:ind w:firstLine="708"/>
        <w:jc w:val="both"/>
        <w:rPr>
          <w:rFonts w:ascii="Times New Roman" w:hAnsi="Times New Roman" w:cs="Times New Roman"/>
        </w:rPr>
      </w:pPr>
      <w:r w:rsidRPr="00EA7D89">
        <w:rPr>
          <w:rFonts w:ascii="Times New Roman" w:hAnsi="Times New Roman" w:cs="Times New Roman"/>
        </w:rPr>
        <w:t>Výdavky na prevádzku úradu MF SR a na ostatné úlohy.</w:t>
      </w:r>
    </w:p>
    <w:p w:rsidR="009D2A34" w:rsidRPr="00EA7D89" w:rsidP="009D2A34">
      <w:pPr>
        <w:bidi w:val="0"/>
        <w:jc w:val="both"/>
        <w:rPr>
          <w:rFonts w:ascii="Times New Roman" w:hAnsi="Times New Roman" w:cs="Times New Roman"/>
        </w:rPr>
      </w:pPr>
    </w:p>
    <w:tbl>
      <w:tblPr>
        <w:tblStyle w:val="TableNormal"/>
        <w:tblW w:w="9077" w:type="dxa"/>
        <w:tblInd w:w="65" w:type="dxa"/>
        <w:tblCellMar>
          <w:left w:w="70" w:type="dxa"/>
          <w:right w:w="70" w:type="dxa"/>
        </w:tblCellMar>
        <w:tblLook w:val="04A0"/>
      </w:tblPr>
      <w:tblGrid>
        <w:gridCol w:w="2415"/>
        <w:gridCol w:w="951"/>
        <w:gridCol w:w="952"/>
        <w:gridCol w:w="952"/>
        <w:gridCol w:w="951"/>
        <w:gridCol w:w="952"/>
        <w:gridCol w:w="952"/>
        <w:gridCol w:w="952"/>
      </w:tblGrid>
      <w:tr>
        <w:tblPrEx>
          <w:tblW w:w="9077" w:type="dxa"/>
          <w:tblInd w:w="65" w:type="dxa"/>
          <w:tblCellMar>
            <w:left w:w="70" w:type="dxa"/>
            <w:right w:w="70" w:type="dxa"/>
          </w:tblCellMar>
          <w:tblLook w:val="04A0"/>
        </w:tblPrEx>
        <w:trPr>
          <w:trHeight w:val="255"/>
        </w:trPr>
        <w:tc>
          <w:tcPr>
            <w:tcW w:w="2415"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EA7D89" w:rsidP="006338E5">
            <w:pPr>
              <w:bidi w:val="0"/>
              <w:rPr>
                <w:rFonts w:ascii="Times New Roman" w:hAnsi="Times New Roman" w:cs="Times New Roman"/>
                <w:b/>
                <w:bCs/>
                <w:color w:val="000000"/>
                <w:sz w:val="14"/>
                <w:szCs w:val="14"/>
                <w:lang w:eastAsia="sk-SK"/>
              </w:rPr>
            </w:pPr>
            <w:r w:rsidRPr="00EA7D89">
              <w:rPr>
                <w:rFonts w:ascii="Times New Roman" w:hAnsi="Times New Roman" w:cs="Times New Roman"/>
                <w:b/>
                <w:bCs/>
                <w:color w:val="000000"/>
                <w:sz w:val="14"/>
                <w:szCs w:val="14"/>
                <w:lang w:eastAsia="sk-SK"/>
              </w:rPr>
              <w:t>v eurách</w:t>
            </w:r>
          </w:p>
        </w:tc>
        <w:tc>
          <w:tcPr>
            <w:tcW w:w="9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lang w:eastAsia="sk-SK"/>
              </w:rPr>
            </w:pPr>
            <w:r w:rsidRPr="00EA7D89">
              <w:rPr>
                <w:rFonts w:ascii="Times New Roman" w:hAnsi="Times New Roman" w:cs="Times New Roman"/>
                <w:b/>
                <w:bCs/>
                <w:color w:val="000000"/>
                <w:sz w:val="14"/>
                <w:szCs w:val="14"/>
                <w:lang w:eastAsia="sk-SK"/>
              </w:rPr>
              <w:t>2010 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lang w:eastAsia="sk-SK"/>
              </w:rPr>
            </w:pPr>
            <w:r w:rsidRPr="00EA7D89">
              <w:rPr>
                <w:rFonts w:ascii="Times New Roman" w:hAnsi="Times New Roman" w:cs="Times New Roman"/>
                <w:b/>
                <w:bCs/>
                <w:color w:val="000000"/>
                <w:sz w:val="14"/>
                <w:szCs w:val="14"/>
                <w:lang w:eastAsia="sk-SK"/>
              </w:rPr>
              <w:t>2011 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lang w:eastAsia="sk-SK"/>
              </w:rPr>
            </w:pPr>
            <w:r w:rsidRPr="00EA7D89">
              <w:rPr>
                <w:rFonts w:ascii="Times New Roman" w:hAnsi="Times New Roman" w:cs="Times New Roman"/>
                <w:b/>
                <w:bCs/>
                <w:color w:val="000000"/>
                <w:sz w:val="14"/>
                <w:szCs w:val="14"/>
                <w:lang w:eastAsia="sk-SK"/>
              </w:rPr>
              <w:t>2012 R</w:t>
            </w:r>
          </w:p>
        </w:tc>
        <w:tc>
          <w:tcPr>
            <w:tcW w:w="9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lang w:eastAsia="sk-SK"/>
              </w:rPr>
            </w:pPr>
            <w:r w:rsidRPr="00EA7D89">
              <w:rPr>
                <w:rFonts w:ascii="Times New Roman" w:hAnsi="Times New Roman" w:cs="Times New Roman"/>
                <w:b/>
                <w:bCs/>
                <w:color w:val="000000"/>
                <w:sz w:val="14"/>
                <w:szCs w:val="14"/>
                <w:lang w:eastAsia="sk-SK"/>
              </w:rPr>
              <w:t>2012 OS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lang w:eastAsia="sk-SK"/>
              </w:rPr>
            </w:pPr>
            <w:r w:rsidRPr="00EA7D89">
              <w:rPr>
                <w:rFonts w:ascii="Times New Roman" w:hAnsi="Times New Roman" w:cs="Times New Roman"/>
                <w:b/>
                <w:bCs/>
                <w:color w:val="000000"/>
                <w:sz w:val="14"/>
                <w:szCs w:val="14"/>
                <w:lang w:eastAsia="sk-SK"/>
              </w:rPr>
              <w:t>2013 N</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lang w:eastAsia="sk-SK"/>
              </w:rPr>
            </w:pPr>
            <w:r w:rsidRPr="00EA7D89">
              <w:rPr>
                <w:rFonts w:ascii="Times New Roman" w:hAnsi="Times New Roman" w:cs="Times New Roman"/>
                <w:b/>
                <w:bCs/>
                <w:color w:val="000000"/>
                <w:sz w:val="14"/>
                <w:szCs w:val="14"/>
                <w:lang w:eastAsia="sk-SK"/>
              </w:rPr>
              <w:t>2014 N</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A7D89" w:rsidP="006338E5">
            <w:pPr>
              <w:bidi w:val="0"/>
              <w:jc w:val="center"/>
              <w:rPr>
                <w:rFonts w:ascii="Times New Roman" w:hAnsi="Times New Roman" w:cs="Times New Roman"/>
                <w:b/>
                <w:bCs/>
                <w:color w:val="000000"/>
                <w:sz w:val="14"/>
                <w:szCs w:val="14"/>
                <w:lang w:eastAsia="sk-SK"/>
              </w:rPr>
            </w:pPr>
            <w:r w:rsidRPr="00EA7D89">
              <w:rPr>
                <w:rFonts w:ascii="Times New Roman" w:hAnsi="Times New Roman" w:cs="Times New Roman"/>
                <w:b/>
                <w:bCs/>
                <w:color w:val="000000"/>
                <w:sz w:val="14"/>
                <w:szCs w:val="14"/>
                <w:lang w:eastAsia="sk-SK"/>
              </w:rPr>
              <w:t>2015 N</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9D2A34" w:rsidRPr="00EA7D89" w:rsidP="006338E5">
            <w:pPr>
              <w:bidi w:val="0"/>
              <w:rPr>
                <w:rFonts w:ascii="Times New Roman" w:hAnsi="Times New Roman" w:cs="Times New Roman"/>
                <w:lang w:eastAsia="sk-SK"/>
              </w:rPr>
            </w:pPr>
            <w:r w:rsidRPr="00EA7D89">
              <w:rPr>
                <w:rFonts w:ascii="Times New Roman" w:hAnsi="Times New Roman" w:cs="Times New Roman"/>
                <w:b/>
                <w:bCs/>
                <w:color w:val="000000"/>
                <w:sz w:val="14"/>
                <w:szCs w:val="14"/>
                <w:lang w:eastAsia="sk-SK"/>
              </w:rPr>
              <w:t>Úrad MF SR</w:t>
            </w:r>
          </w:p>
        </w:tc>
        <w:tc>
          <w:tcPr>
            <w:tcW w:w="951" w:type="dxa"/>
            <w:tcBorders>
              <w:top w:val="nil"/>
              <w:left w:val="nil"/>
              <w:bottom w:val="single" w:sz="4" w:space="0" w:color="auto"/>
              <w:right w:val="single" w:sz="4" w:space="0" w:color="auto"/>
            </w:tcBorders>
            <w:shd w:val="clear" w:color="000000"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66 099 671</w:t>
            </w:r>
          </w:p>
        </w:tc>
        <w:tc>
          <w:tcPr>
            <w:tcW w:w="952" w:type="dxa"/>
            <w:tcBorders>
              <w:top w:val="nil"/>
              <w:left w:val="nil"/>
              <w:bottom w:val="single" w:sz="4" w:space="0" w:color="auto"/>
              <w:right w:val="single" w:sz="4" w:space="0" w:color="auto"/>
            </w:tcBorders>
            <w:shd w:val="clear" w:color="000000"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36 718 091</w:t>
            </w:r>
          </w:p>
        </w:tc>
        <w:tc>
          <w:tcPr>
            <w:tcW w:w="952" w:type="dxa"/>
            <w:tcBorders>
              <w:top w:val="nil"/>
              <w:left w:val="nil"/>
              <w:bottom w:val="single" w:sz="4" w:space="0" w:color="auto"/>
              <w:right w:val="single" w:sz="4" w:space="0" w:color="auto"/>
            </w:tcBorders>
            <w:shd w:val="clear" w:color="000000"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37 842 688</w:t>
            </w:r>
          </w:p>
        </w:tc>
        <w:tc>
          <w:tcPr>
            <w:tcW w:w="951" w:type="dxa"/>
            <w:tcBorders>
              <w:top w:val="nil"/>
              <w:left w:val="nil"/>
              <w:bottom w:val="single" w:sz="4" w:space="0" w:color="auto"/>
              <w:right w:val="single" w:sz="4" w:space="0" w:color="auto"/>
            </w:tcBorders>
            <w:shd w:val="clear" w:color="000000"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46 942 274</w:t>
            </w:r>
          </w:p>
        </w:tc>
        <w:tc>
          <w:tcPr>
            <w:tcW w:w="952" w:type="dxa"/>
            <w:tcBorders>
              <w:top w:val="nil"/>
              <w:left w:val="nil"/>
              <w:bottom w:val="single" w:sz="4" w:space="0" w:color="auto"/>
              <w:right w:val="single" w:sz="4" w:space="0" w:color="auto"/>
            </w:tcBorders>
            <w:shd w:val="clear" w:color="000000"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37 658 737</w:t>
            </w:r>
          </w:p>
        </w:tc>
        <w:tc>
          <w:tcPr>
            <w:tcW w:w="952" w:type="dxa"/>
            <w:tcBorders>
              <w:top w:val="nil"/>
              <w:left w:val="nil"/>
              <w:bottom w:val="single" w:sz="4" w:space="0" w:color="auto"/>
              <w:right w:val="single" w:sz="4" w:space="0" w:color="auto"/>
            </w:tcBorders>
            <w:shd w:val="clear" w:color="000000"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31 075 578</w:t>
            </w:r>
          </w:p>
        </w:tc>
        <w:tc>
          <w:tcPr>
            <w:tcW w:w="952" w:type="dxa"/>
            <w:tcBorders>
              <w:top w:val="nil"/>
              <w:left w:val="nil"/>
              <w:bottom w:val="single" w:sz="4" w:space="0" w:color="auto"/>
              <w:right w:val="single" w:sz="4" w:space="0" w:color="auto"/>
            </w:tcBorders>
            <w:shd w:val="clear" w:color="000000" w:fill="BFBFBF"/>
            <w:textDirection w:val="lrTb"/>
            <w:vAlign w:val="center"/>
            <w:hideMark/>
          </w:tcPr>
          <w:p w:rsidR="009D2A34" w:rsidRPr="00EA7D89" w:rsidP="006338E5">
            <w:pPr>
              <w:bidi w:val="0"/>
              <w:jc w:val="right"/>
              <w:rPr>
                <w:rFonts w:ascii="Times New Roman" w:hAnsi="Times New Roman" w:cs="Times New Roman"/>
                <w:b/>
                <w:bCs/>
                <w:sz w:val="14"/>
                <w:szCs w:val="14"/>
              </w:rPr>
            </w:pPr>
            <w:r w:rsidRPr="00EA7D89">
              <w:rPr>
                <w:rFonts w:ascii="Times New Roman" w:hAnsi="Times New Roman" w:cs="Times New Roman"/>
                <w:b/>
                <w:bCs/>
                <w:sz w:val="14"/>
                <w:szCs w:val="14"/>
              </w:rPr>
              <w:t>30 776 354</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lang w:eastAsia="sk-SK"/>
              </w:rPr>
            </w:pPr>
            <w:r w:rsidRPr="00EA7D89">
              <w:rPr>
                <w:rFonts w:ascii="Times New Roman" w:hAnsi="Times New Roman" w:cs="Times New Roman"/>
                <w:color w:val="000000"/>
                <w:sz w:val="14"/>
                <w:szCs w:val="14"/>
                <w:lang w:eastAsia="sk-SK"/>
              </w:rPr>
              <w:t>výdavky ŠR na bežnú činnosť</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36 120 728</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22 293 790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32 398 026</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37 517 682</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31 076 542</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29 847 969</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29 729 691</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lang w:eastAsia="sk-SK"/>
              </w:rPr>
            </w:pPr>
            <w:r w:rsidRPr="00EA7D89">
              <w:rPr>
                <w:rFonts w:ascii="Times New Roman" w:hAnsi="Times New Roman" w:cs="Times New Roman"/>
                <w:color w:val="000000"/>
                <w:sz w:val="14"/>
                <w:szCs w:val="14"/>
                <w:lang w:eastAsia="sk-SK"/>
              </w:rPr>
              <w:t>výdavky ŠR na arbitráže</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11 871 454</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8 615 444</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3 975 470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lang w:eastAsia="sk-SK"/>
              </w:rPr>
            </w:pPr>
            <w:r w:rsidRPr="00EA7D89">
              <w:rPr>
                <w:rFonts w:ascii="Times New Roman" w:hAnsi="Times New Roman" w:cs="Times New Roman"/>
                <w:color w:val="000000"/>
                <w:sz w:val="14"/>
                <w:szCs w:val="14"/>
                <w:lang w:eastAsia="sk-SK"/>
              </w:rPr>
              <w:t>výdavky ŠR na prehrané súdne spory</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11 874 306</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color w:val="000000"/>
                <w:sz w:val="14"/>
                <w:szCs w:val="14"/>
                <w:lang w:eastAsia="sk-SK"/>
              </w:rPr>
            </w:pPr>
            <w:r w:rsidRPr="00EA7D89">
              <w:rPr>
                <w:rFonts w:ascii="Times New Roman" w:hAnsi="Times New Roman" w:cs="Times New Roman"/>
                <w:color w:val="000000"/>
                <w:sz w:val="14"/>
                <w:szCs w:val="14"/>
                <w:lang w:eastAsia="sk-SK"/>
              </w:rPr>
              <w:t>výdavky ŠR na distribúciu kolkov</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4 900 295</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4 136 307</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3 900 000</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3 900 000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5 396 639</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40 000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2 000</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lang w:eastAsia="sk-SK"/>
              </w:rPr>
            </w:pPr>
            <w:r w:rsidRPr="00EA7D89">
              <w:rPr>
                <w:rFonts w:ascii="Times New Roman" w:hAnsi="Times New Roman" w:cs="Times New Roman"/>
                <w:color w:val="000000"/>
                <w:sz w:val="14"/>
                <w:szCs w:val="14"/>
                <w:lang w:eastAsia="sk-SK"/>
              </w:rPr>
              <w:t>výdavky ŠR na medzirezortné programy</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147 757</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219 858</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1 544 662</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1 544 662</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1 185 556</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1 187 609</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1 044 663</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lang w:eastAsia="sk-SK"/>
              </w:rPr>
            </w:pPr>
            <w:r w:rsidRPr="00EA7D89">
              <w:rPr>
                <w:rFonts w:ascii="Times New Roman" w:hAnsi="Times New Roman" w:cs="Times New Roman"/>
                <w:color w:val="000000"/>
                <w:sz w:val="14"/>
                <w:szCs w:val="14"/>
                <w:lang w:eastAsia="sk-SK"/>
              </w:rPr>
              <w:t xml:space="preserve">zdroje EÚ </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1 007 360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1 234 788</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3 345</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r>
        <w:tblPrEx>
          <w:tblW w:w="9077" w:type="dxa"/>
          <w:tblInd w:w="65" w:type="dxa"/>
          <w:tblCellMar>
            <w:left w:w="70" w:type="dxa"/>
            <w:right w:w="70" w:type="dxa"/>
          </w:tblCellMar>
          <w:tblLook w:val="04A0"/>
        </w:tblPrEx>
        <w:trPr>
          <w:trHeight w:val="255"/>
        </w:trPr>
        <w:tc>
          <w:tcPr>
            <w:tcW w:w="2415" w:type="dxa"/>
            <w:tcBorders>
              <w:top w:val="nil"/>
              <w:left w:val="single" w:sz="4" w:space="0" w:color="auto"/>
              <w:bottom w:val="single" w:sz="4" w:space="0" w:color="auto"/>
              <w:right w:val="single" w:sz="4" w:space="0" w:color="auto"/>
            </w:tcBorders>
            <w:noWrap/>
            <w:textDirection w:val="lrTb"/>
            <w:vAlign w:val="center"/>
            <w:hideMark/>
          </w:tcPr>
          <w:p w:rsidR="009D2A34" w:rsidRPr="00EA7D89" w:rsidP="006338E5">
            <w:pPr>
              <w:bidi w:val="0"/>
              <w:rPr>
                <w:rFonts w:ascii="Times New Roman" w:hAnsi="Times New Roman" w:cs="Times New Roman"/>
                <w:lang w:eastAsia="sk-SK"/>
              </w:rPr>
            </w:pPr>
            <w:r w:rsidRPr="00EA7D89">
              <w:rPr>
                <w:rFonts w:ascii="Times New Roman" w:hAnsi="Times New Roman" w:cs="Times New Roman"/>
                <w:color w:val="000000"/>
                <w:sz w:val="14"/>
                <w:szCs w:val="14"/>
                <w:lang w:eastAsia="sk-SK"/>
              </w:rPr>
              <w:t>spolufinancovanie zo ŠR</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177 770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217 904</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1"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1 115</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EA7D89" w:rsidP="006338E5">
            <w:pPr>
              <w:bidi w:val="0"/>
              <w:jc w:val="right"/>
              <w:rPr>
                <w:rFonts w:ascii="Times New Roman" w:hAnsi="Times New Roman" w:cs="Times New Roman"/>
                <w:sz w:val="14"/>
                <w:szCs w:val="14"/>
              </w:rPr>
            </w:pPr>
            <w:r w:rsidRPr="00EA7D89">
              <w:rPr>
                <w:rFonts w:ascii="Times New Roman" w:hAnsi="Times New Roman" w:cs="Times New Roman"/>
                <w:sz w:val="14"/>
                <w:szCs w:val="14"/>
              </w:rPr>
              <w:t>0</w:t>
            </w:r>
          </w:p>
        </w:tc>
      </w:tr>
    </w:tbl>
    <w:p w:rsidR="009D2A34" w:rsidRPr="00EA7D89" w:rsidP="009D2A34">
      <w:pPr>
        <w:bidi w:val="0"/>
        <w:jc w:val="both"/>
        <w:rPr>
          <w:rFonts w:ascii="Times New Roman" w:hAnsi="Times New Roman" w:cs="Times New Roman"/>
        </w:rPr>
      </w:pP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 xml:space="preserve">Výdavky úradu MF SR v roku 2013 klesajú v porovnaní so schváleným rozpočtom v roku 2012 o 0,47 %. Dosiahnutá skutočnosť výdavkov úradu v rokoch 2010, 2011 a očakávaná skutočnosť za rok 2012 je značne ovplyvnená výdavkami na arbitráže, na prebiehajúce a prehraté súdne spory. </w:t>
      </w: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 </w:t>
      </w:r>
    </w:p>
    <w:p w:rsidR="009D2A34" w:rsidRPr="00EA7D89"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Výdavky na bežnú činnosť úradu klesajú v roku 2013 o 4,1 % v porovnaní so schváleným rozpočtom v roku 2012.</w:t>
      </w:r>
    </w:p>
    <w:p w:rsidR="009D2A34" w:rsidRPr="00EA7D89" w:rsidP="009D2A34">
      <w:pPr>
        <w:bidi w:val="0"/>
        <w:jc w:val="both"/>
        <w:rPr>
          <w:rFonts w:ascii="Times New Roman" w:hAnsi="Times New Roman" w:cs="Times New Roman"/>
          <w:lang w:eastAsia="sk-SK"/>
        </w:rPr>
      </w:pPr>
      <w:r w:rsidRPr="00EA7D89">
        <w:rPr>
          <w:rFonts w:ascii="Times New Roman" w:hAnsi="Times New Roman" w:cs="Times New Roman"/>
          <w:lang w:eastAsia="sk-SK"/>
        </w:rPr>
        <w:t> </w:t>
      </w:r>
    </w:p>
    <w:p w:rsidR="009D2A34" w:rsidP="009D2A34">
      <w:pPr>
        <w:bidi w:val="0"/>
        <w:ind w:firstLine="708"/>
        <w:jc w:val="both"/>
        <w:rPr>
          <w:rFonts w:ascii="Times New Roman" w:hAnsi="Times New Roman" w:cs="Times New Roman"/>
          <w:lang w:eastAsia="sk-SK"/>
        </w:rPr>
      </w:pPr>
      <w:r w:rsidRPr="00EA7D89">
        <w:rPr>
          <w:rFonts w:ascii="Times New Roman" w:hAnsi="Times New Roman" w:cs="Times New Roman"/>
          <w:lang w:eastAsia="sk-SK"/>
        </w:rPr>
        <w:t>Medziročný pokles výdavkov na medzirezortné programy je spôsobený najmä poklesom výdavkov na ochranu kritickej infraštruktúry.</w:t>
      </w:r>
    </w:p>
    <w:p w:rsidR="009D2A34" w:rsidRPr="00124FFC" w:rsidP="009D2A34">
      <w:pPr>
        <w:pBdr>
          <w:bottom w:val="single" w:sz="4" w:space="1" w:color="auto"/>
        </w:pBdr>
        <w:bidi w:val="0"/>
        <w:jc w:val="both"/>
        <w:rPr>
          <w:rFonts w:ascii="Times New Roman" w:hAnsi="Times New Roman" w:cs="Times New Roman"/>
          <w:b/>
          <w:bCs/>
        </w:rPr>
      </w:pPr>
      <w:r w:rsidRPr="00124FFC">
        <w:rPr>
          <w:rFonts w:ascii="Times New Roman" w:hAnsi="Times New Roman" w:cs="Times New Roman"/>
          <w:b/>
          <w:bCs/>
        </w:rPr>
        <w:t>Ministerstvo životného prostredia SR</w:t>
      </w:r>
    </w:p>
    <w:p w:rsidR="009D2A34" w:rsidRPr="00CD37C6" w:rsidP="009D2A34">
      <w:pPr>
        <w:bidi w:val="0"/>
        <w:jc w:val="both"/>
        <w:rPr>
          <w:rFonts w:ascii="Times New Roman" w:hAnsi="Times New Roman" w:cs="Times New Roman"/>
          <w:highlight w:val="yellow"/>
        </w:rPr>
      </w:pPr>
    </w:p>
    <w:tbl>
      <w:tblPr>
        <w:tblStyle w:val="TableNormal"/>
        <w:tblW w:w="5000" w:type="pct"/>
        <w:tblCellMar>
          <w:left w:w="70" w:type="dxa"/>
          <w:right w:w="70" w:type="dxa"/>
        </w:tblCellMar>
        <w:tblLook w:val="04A0"/>
      </w:tblPr>
      <w:tblGrid>
        <w:gridCol w:w="2623"/>
        <w:gridCol w:w="944"/>
        <w:gridCol w:w="943"/>
        <w:gridCol w:w="941"/>
        <w:gridCol w:w="941"/>
        <w:gridCol w:w="941"/>
        <w:gridCol w:w="941"/>
        <w:gridCol w:w="938"/>
      </w:tblGrid>
      <w:tr>
        <w:tblPrEx>
          <w:tblW w:w="5000" w:type="pct"/>
          <w:tblCellMar>
            <w:left w:w="70" w:type="dxa"/>
            <w:right w:w="70" w:type="dxa"/>
          </w:tblCellMar>
          <w:tblLook w:val="04A0"/>
        </w:tblPrEx>
        <w:trPr>
          <w:trHeight w:val="259"/>
        </w:trPr>
        <w:tc>
          <w:tcPr>
            <w:tcW w:w="142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849E2" w:rsidP="006338E5">
            <w:pPr>
              <w:bidi w:val="0"/>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 </w:t>
            </w:r>
            <w:r w:rsidRPr="00C03132">
              <w:rPr>
                <w:rFonts w:ascii="Times New Roman" w:hAnsi="Times New Roman" w:cs="Times New Roman"/>
                <w:b/>
                <w:bCs/>
                <w:color w:val="000000"/>
                <w:sz w:val="14"/>
                <w:szCs w:val="14"/>
              </w:rPr>
              <w:t>v eurách</w:t>
            </w:r>
          </w:p>
        </w:tc>
        <w:tc>
          <w:tcPr>
            <w:tcW w:w="51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849E2" w:rsidP="006338E5">
            <w:pPr>
              <w:bidi w:val="0"/>
              <w:jc w:val="center"/>
              <w:rPr>
                <w:rFonts w:ascii="Times New Roman" w:hAnsi="Times New Roman" w:cs="Times New Roman"/>
                <w:b/>
                <w:color w:val="000000"/>
                <w:sz w:val="14"/>
                <w:szCs w:val="14"/>
              </w:rPr>
            </w:pPr>
            <w:r>
              <w:rPr>
                <w:rFonts w:ascii="Times New Roman" w:hAnsi="Times New Roman" w:cs="Times New Roman"/>
                <w:b/>
                <w:color w:val="000000"/>
                <w:sz w:val="14"/>
                <w:szCs w:val="14"/>
              </w:rPr>
              <w:t>2010S*</w:t>
            </w:r>
          </w:p>
        </w:tc>
        <w:tc>
          <w:tcPr>
            <w:tcW w:w="51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849E2" w:rsidP="006338E5">
            <w:pPr>
              <w:bidi w:val="0"/>
              <w:jc w:val="center"/>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2011S</w:t>
            </w:r>
          </w:p>
        </w:tc>
        <w:tc>
          <w:tcPr>
            <w:tcW w:w="51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849E2" w:rsidP="006338E5">
            <w:pPr>
              <w:bidi w:val="0"/>
              <w:jc w:val="center"/>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2012 R</w:t>
            </w:r>
          </w:p>
        </w:tc>
        <w:tc>
          <w:tcPr>
            <w:tcW w:w="51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849E2" w:rsidP="006338E5">
            <w:pPr>
              <w:bidi w:val="0"/>
              <w:jc w:val="center"/>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2012 OS</w:t>
            </w:r>
          </w:p>
        </w:tc>
        <w:tc>
          <w:tcPr>
            <w:tcW w:w="51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849E2" w:rsidP="006338E5">
            <w:pPr>
              <w:bidi w:val="0"/>
              <w:jc w:val="center"/>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2013 N</w:t>
            </w:r>
          </w:p>
        </w:tc>
        <w:tc>
          <w:tcPr>
            <w:tcW w:w="51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849E2" w:rsidP="006338E5">
            <w:pPr>
              <w:bidi w:val="0"/>
              <w:jc w:val="center"/>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2014 N</w:t>
            </w:r>
          </w:p>
        </w:tc>
        <w:tc>
          <w:tcPr>
            <w:tcW w:w="509"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849E2" w:rsidP="006338E5">
            <w:pPr>
              <w:bidi w:val="0"/>
              <w:jc w:val="center"/>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2015 N</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2849E2" w:rsidP="006338E5">
            <w:pPr>
              <w:bidi w:val="0"/>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Zdroje príslušnej kapitoly</w:t>
            </w:r>
          </w:p>
        </w:tc>
        <w:tc>
          <w:tcPr>
            <w:tcW w:w="512" w:type="pct"/>
            <w:tcBorders>
              <w:top w:val="nil"/>
              <w:left w:val="nil"/>
              <w:bottom w:val="single" w:sz="4" w:space="0" w:color="auto"/>
              <w:right w:val="single" w:sz="4" w:space="0" w:color="auto"/>
            </w:tcBorders>
            <w:shd w:val="clear" w:color="000000" w:fill="C0C0C0"/>
            <w:textDirection w:val="lrTb"/>
            <w:vAlign w:val="center"/>
            <w:hideMark/>
          </w:tcPr>
          <w:p w:rsidR="009D2A34" w:rsidRPr="002849E2" w:rsidP="006338E5">
            <w:pPr>
              <w:bidi w:val="0"/>
              <w:jc w:val="right"/>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207 809 405</w:t>
            </w:r>
          </w:p>
        </w:tc>
        <w:tc>
          <w:tcPr>
            <w:tcW w:w="512" w:type="pct"/>
            <w:tcBorders>
              <w:top w:val="nil"/>
              <w:left w:val="nil"/>
              <w:bottom w:val="single" w:sz="4" w:space="0" w:color="auto"/>
              <w:right w:val="single" w:sz="4" w:space="0" w:color="auto"/>
            </w:tcBorders>
            <w:shd w:val="clear" w:color="000000" w:fill="C0C0C0"/>
            <w:textDirection w:val="lrTb"/>
            <w:vAlign w:val="center"/>
            <w:hideMark/>
          </w:tcPr>
          <w:p w:rsidR="009D2A34" w:rsidRPr="002849E2" w:rsidP="006338E5">
            <w:pPr>
              <w:bidi w:val="0"/>
              <w:jc w:val="right"/>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415 740 718</w:t>
            </w:r>
          </w:p>
        </w:tc>
        <w:tc>
          <w:tcPr>
            <w:tcW w:w="511" w:type="pct"/>
            <w:tcBorders>
              <w:top w:val="nil"/>
              <w:left w:val="nil"/>
              <w:bottom w:val="single" w:sz="4" w:space="0" w:color="auto"/>
              <w:right w:val="single" w:sz="4" w:space="0" w:color="auto"/>
            </w:tcBorders>
            <w:shd w:val="clear" w:color="000000" w:fill="C0C0C0"/>
            <w:textDirection w:val="lrTb"/>
            <w:vAlign w:val="center"/>
            <w:hideMark/>
          </w:tcPr>
          <w:p w:rsidR="009D2A34" w:rsidRPr="002849E2" w:rsidP="006338E5">
            <w:pPr>
              <w:bidi w:val="0"/>
              <w:jc w:val="right"/>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384 086 542</w:t>
            </w:r>
          </w:p>
        </w:tc>
        <w:tc>
          <w:tcPr>
            <w:tcW w:w="511" w:type="pct"/>
            <w:tcBorders>
              <w:top w:val="nil"/>
              <w:left w:val="nil"/>
              <w:bottom w:val="single" w:sz="4" w:space="0" w:color="auto"/>
              <w:right w:val="single" w:sz="4" w:space="0" w:color="auto"/>
            </w:tcBorders>
            <w:shd w:val="clear" w:color="000000" w:fill="C0C0C0"/>
            <w:textDirection w:val="lrTb"/>
            <w:vAlign w:val="center"/>
            <w:hideMark/>
          </w:tcPr>
          <w:p w:rsidR="009D2A34" w:rsidRPr="002849E2" w:rsidP="006338E5">
            <w:pPr>
              <w:bidi w:val="0"/>
              <w:jc w:val="right"/>
              <w:rPr>
                <w:rFonts w:ascii="Times New Roman" w:hAnsi="Times New Roman" w:cs="Times New Roman"/>
                <w:b/>
                <w:color w:val="000000"/>
                <w:sz w:val="14"/>
                <w:szCs w:val="14"/>
              </w:rPr>
            </w:pPr>
            <w:r w:rsidRPr="002849E2">
              <w:rPr>
                <w:rFonts w:ascii="Times New Roman" w:hAnsi="Times New Roman" w:cs="Times New Roman"/>
                <w:b/>
                <w:color w:val="000000"/>
                <w:sz w:val="14"/>
                <w:szCs w:val="14"/>
              </w:rPr>
              <w:t>402 061 748</w:t>
            </w:r>
          </w:p>
        </w:tc>
        <w:tc>
          <w:tcPr>
            <w:tcW w:w="511" w:type="pct"/>
            <w:tcBorders>
              <w:top w:val="nil"/>
              <w:left w:val="nil"/>
              <w:bottom w:val="single" w:sz="4" w:space="0" w:color="auto"/>
              <w:right w:val="single" w:sz="4" w:space="0" w:color="auto"/>
            </w:tcBorders>
            <w:shd w:val="clear" w:color="000000" w:fill="C0C0C0"/>
            <w:textDirection w:val="lrTb"/>
            <w:vAlign w:val="center"/>
            <w:hideMark/>
          </w:tcPr>
          <w:p w:rsidR="009D2A34" w:rsidRPr="003767E1" w:rsidP="006338E5">
            <w:pPr>
              <w:bidi w:val="0"/>
              <w:jc w:val="right"/>
              <w:rPr>
                <w:rFonts w:ascii="Times New Roman" w:hAnsi="Times New Roman" w:cs="Times New Roman"/>
                <w:b/>
                <w:color w:val="000000"/>
                <w:sz w:val="14"/>
                <w:szCs w:val="14"/>
              </w:rPr>
            </w:pPr>
            <w:r w:rsidRPr="003767E1">
              <w:rPr>
                <w:rFonts w:ascii="Times New Roman" w:hAnsi="Times New Roman" w:cs="Times New Roman"/>
                <w:b/>
                <w:color w:val="000000"/>
                <w:sz w:val="14"/>
                <w:szCs w:val="14"/>
              </w:rPr>
              <w:t>604 352 315</w:t>
            </w:r>
          </w:p>
        </w:tc>
        <w:tc>
          <w:tcPr>
            <w:tcW w:w="511" w:type="pct"/>
            <w:tcBorders>
              <w:top w:val="nil"/>
              <w:left w:val="nil"/>
              <w:bottom w:val="single" w:sz="4" w:space="0" w:color="auto"/>
              <w:right w:val="single" w:sz="4" w:space="0" w:color="auto"/>
            </w:tcBorders>
            <w:shd w:val="clear" w:color="000000" w:fill="C0C0C0"/>
            <w:textDirection w:val="lrTb"/>
            <w:vAlign w:val="center"/>
            <w:hideMark/>
          </w:tcPr>
          <w:p w:rsidR="009D2A34" w:rsidRPr="003767E1" w:rsidP="006338E5">
            <w:pPr>
              <w:bidi w:val="0"/>
              <w:jc w:val="right"/>
              <w:rPr>
                <w:rFonts w:ascii="Times New Roman" w:hAnsi="Times New Roman" w:cs="Times New Roman"/>
                <w:b/>
                <w:color w:val="000000"/>
                <w:sz w:val="14"/>
                <w:szCs w:val="14"/>
              </w:rPr>
            </w:pPr>
            <w:r w:rsidRPr="003767E1">
              <w:rPr>
                <w:rFonts w:ascii="Times New Roman" w:hAnsi="Times New Roman" w:cs="Times New Roman"/>
                <w:b/>
                <w:color w:val="000000"/>
                <w:sz w:val="14"/>
                <w:szCs w:val="14"/>
              </w:rPr>
              <w:t>393 933 197</w:t>
            </w:r>
          </w:p>
        </w:tc>
        <w:tc>
          <w:tcPr>
            <w:tcW w:w="509" w:type="pct"/>
            <w:tcBorders>
              <w:top w:val="nil"/>
              <w:left w:val="nil"/>
              <w:bottom w:val="single" w:sz="4" w:space="0" w:color="auto"/>
              <w:right w:val="single" w:sz="4" w:space="0" w:color="auto"/>
            </w:tcBorders>
            <w:shd w:val="clear" w:color="000000" w:fill="C0C0C0"/>
            <w:textDirection w:val="lrTb"/>
            <w:vAlign w:val="center"/>
            <w:hideMark/>
          </w:tcPr>
          <w:p w:rsidR="009D2A34" w:rsidRPr="003767E1" w:rsidP="006338E5">
            <w:pPr>
              <w:bidi w:val="0"/>
              <w:jc w:val="right"/>
              <w:rPr>
                <w:rFonts w:ascii="Times New Roman" w:hAnsi="Times New Roman" w:cs="Times New Roman"/>
                <w:b/>
                <w:color w:val="000000"/>
                <w:sz w:val="14"/>
                <w:szCs w:val="14"/>
              </w:rPr>
            </w:pPr>
            <w:r w:rsidRPr="003767E1">
              <w:rPr>
                <w:rFonts w:ascii="Times New Roman" w:hAnsi="Times New Roman" w:cs="Times New Roman"/>
                <w:b/>
                <w:color w:val="000000"/>
                <w:sz w:val="14"/>
                <w:szCs w:val="14"/>
              </w:rPr>
              <w:t>424 713 717</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z toho:</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p>
        </w:tc>
        <w:tc>
          <w:tcPr>
            <w:tcW w:w="511" w:type="pct"/>
            <w:tcBorders>
              <w:top w:val="nil"/>
              <w:left w:val="nil"/>
              <w:bottom w:val="single" w:sz="4" w:space="0" w:color="auto"/>
              <w:right w:val="single" w:sz="4" w:space="0" w:color="auto"/>
            </w:tcBorders>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w:t>
            </w:r>
          </w:p>
        </w:tc>
        <w:tc>
          <w:tcPr>
            <w:tcW w:w="509"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B354BF" w:rsidP="006338E5">
            <w:pPr>
              <w:bidi w:val="0"/>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 xml:space="preserve">rozpočtové zdroje kapitoly (111 +11H) </w:t>
            </w:r>
          </w:p>
        </w:tc>
        <w:tc>
          <w:tcPr>
            <w:tcW w:w="512" w:type="pct"/>
            <w:tcBorders>
              <w:top w:val="nil"/>
              <w:left w:val="nil"/>
              <w:bottom w:val="single" w:sz="4" w:space="0" w:color="auto"/>
              <w:right w:val="single" w:sz="4" w:space="0" w:color="auto"/>
            </w:tcBorders>
            <w:noWrap/>
            <w:textDirection w:val="lrTb"/>
            <w:vAlign w:val="center"/>
            <w:hideMark/>
          </w:tcPr>
          <w:p w:rsidR="009D2A34" w:rsidRPr="00B354BF" w:rsidP="006338E5">
            <w:pPr>
              <w:bidi w:val="0"/>
              <w:jc w:val="right"/>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78 157 737</w:t>
            </w:r>
          </w:p>
        </w:tc>
        <w:tc>
          <w:tcPr>
            <w:tcW w:w="512" w:type="pct"/>
            <w:tcBorders>
              <w:top w:val="nil"/>
              <w:left w:val="nil"/>
              <w:bottom w:val="single" w:sz="4" w:space="0" w:color="auto"/>
              <w:right w:val="single" w:sz="4" w:space="0" w:color="auto"/>
            </w:tcBorders>
            <w:noWrap/>
            <w:textDirection w:val="lrTb"/>
            <w:vAlign w:val="center"/>
            <w:hideMark/>
          </w:tcPr>
          <w:p w:rsidR="009D2A34" w:rsidRPr="00B354BF" w:rsidP="006338E5">
            <w:pPr>
              <w:bidi w:val="0"/>
              <w:jc w:val="right"/>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87 575 219</w:t>
            </w:r>
          </w:p>
        </w:tc>
        <w:tc>
          <w:tcPr>
            <w:tcW w:w="511" w:type="pct"/>
            <w:tcBorders>
              <w:top w:val="nil"/>
              <w:left w:val="nil"/>
              <w:bottom w:val="single" w:sz="4" w:space="0" w:color="auto"/>
              <w:right w:val="single" w:sz="4" w:space="0" w:color="auto"/>
            </w:tcBorders>
            <w:noWrap/>
            <w:textDirection w:val="lrTb"/>
            <w:vAlign w:val="center"/>
            <w:hideMark/>
          </w:tcPr>
          <w:p w:rsidR="009D2A34" w:rsidRPr="00B354BF" w:rsidP="006338E5">
            <w:pPr>
              <w:bidi w:val="0"/>
              <w:jc w:val="right"/>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51 794 638</w:t>
            </w:r>
          </w:p>
        </w:tc>
        <w:tc>
          <w:tcPr>
            <w:tcW w:w="511" w:type="pct"/>
            <w:tcBorders>
              <w:top w:val="nil"/>
              <w:left w:val="nil"/>
              <w:bottom w:val="single" w:sz="4" w:space="0" w:color="auto"/>
              <w:right w:val="single" w:sz="4" w:space="0" w:color="auto"/>
            </w:tcBorders>
            <w:noWrap/>
            <w:textDirection w:val="lrTb"/>
            <w:vAlign w:val="center"/>
            <w:hideMark/>
          </w:tcPr>
          <w:p w:rsidR="009D2A34" w:rsidRPr="00B354BF" w:rsidP="006338E5">
            <w:pPr>
              <w:bidi w:val="0"/>
              <w:jc w:val="right"/>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53 255 552</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b/>
                <w:color w:val="000000"/>
                <w:sz w:val="14"/>
                <w:szCs w:val="14"/>
                <w:lang w:eastAsia="sk-SK"/>
              </w:rPr>
            </w:pPr>
            <w:r w:rsidRPr="003767E1">
              <w:rPr>
                <w:rFonts w:ascii="Times New Roman" w:hAnsi="Times New Roman" w:cs="Times New Roman"/>
                <w:b/>
                <w:color w:val="000000"/>
                <w:sz w:val="14"/>
                <w:szCs w:val="14"/>
                <w:lang w:eastAsia="sk-SK"/>
              </w:rPr>
              <w:t>70 095 839</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b/>
                <w:color w:val="000000"/>
                <w:sz w:val="14"/>
                <w:szCs w:val="14"/>
                <w:lang w:eastAsia="sk-SK"/>
              </w:rPr>
            </w:pPr>
            <w:r w:rsidRPr="003767E1">
              <w:rPr>
                <w:rFonts w:ascii="Times New Roman" w:hAnsi="Times New Roman" w:cs="Times New Roman"/>
                <w:b/>
                <w:color w:val="000000"/>
                <w:sz w:val="14"/>
                <w:szCs w:val="14"/>
                <w:lang w:eastAsia="sk-SK"/>
              </w:rPr>
              <w:t>50 102 217</w:t>
            </w:r>
          </w:p>
        </w:tc>
        <w:tc>
          <w:tcPr>
            <w:tcW w:w="509"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b/>
                <w:color w:val="000000"/>
                <w:sz w:val="14"/>
                <w:szCs w:val="14"/>
                <w:lang w:eastAsia="sk-SK"/>
              </w:rPr>
            </w:pPr>
            <w:r w:rsidRPr="003767E1">
              <w:rPr>
                <w:rFonts w:ascii="Times New Roman" w:hAnsi="Times New Roman" w:cs="Times New Roman"/>
                <w:b/>
                <w:color w:val="000000"/>
                <w:sz w:val="14"/>
                <w:szCs w:val="14"/>
                <w:lang w:eastAsia="sk-SK"/>
              </w:rPr>
              <w:t>50 114 799</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xml:space="preserve"> v tom: bežné výdavky  600</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77 238 280</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81 646 905</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50 794 638</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53 105 552</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69 579 999</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49 584 877</w:t>
            </w:r>
          </w:p>
        </w:tc>
        <w:tc>
          <w:tcPr>
            <w:tcW w:w="509"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49 614 799</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xml:space="preserve">                                      610 mzdy</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9 949 223</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14 286 842</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13 744 041</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13 744 174</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13 162 628</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13 167 452</w:t>
            </w:r>
          </w:p>
        </w:tc>
        <w:tc>
          <w:tcPr>
            <w:tcW w:w="509"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13 176 849</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xml:space="preserve">                                      620 odvody</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3 598 245</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5 278 609</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4 806 591</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5 006 511</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4 613 626</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4 615 180</w:t>
            </w:r>
          </w:p>
        </w:tc>
        <w:tc>
          <w:tcPr>
            <w:tcW w:w="509"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4 618 365</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xml:space="preserve">                                      630 tovary a služby</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9 408 115</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10 045 936</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9 265 140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8 542 808</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18 906 958</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8 948 258</w:t>
            </w:r>
          </w:p>
        </w:tc>
        <w:tc>
          <w:tcPr>
            <w:tcW w:w="509"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8 960 599</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2849E2">
              <w:rPr>
                <w:rFonts w:ascii="Times New Roman" w:hAnsi="Times New Roman" w:cs="Times New Roman"/>
                <w:color w:val="000000"/>
                <w:sz w:val="14"/>
                <w:szCs w:val="14"/>
                <w:lang w:eastAsia="sk-SK"/>
              </w:rPr>
              <w:t xml:space="preserve">  640 bežné transfery</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54 282 696</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52 035 518</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22 978 866</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25 812 059</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32 896 787</w:t>
            </w:r>
          </w:p>
        </w:tc>
        <w:tc>
          <w:tcPr>
            <w:tcW w:w="511"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22 853 987</w:t>
            </w:r>
          </w:p>
        </w:tc>
        <w:tc>
          <w:tcPr>
            <w:tcW w:w="509" w:type="pct"/>
            <w:tcBorders>
              <w:top w:val="nil"/>
              <w:left w:val="nil"/>
              <w:bottom w:val="single" w:sz="4" w:space="0" w:color="auto"/>
              <w:right w:val="single" w:sz="4" w:space="0" w:color="auto"/>
            </w:tcBorders>
            <w:noWrap/>
            <w:textDirection w:val="lrTb"/>
            <w:vAlign w:val="center"/>
            <w:hideMark/>
          </w:tcPr>
          <w:p w:rsidR="009D2A34" w:rsidRPr="003767E1" w:rsidP="006338E5">
            <w:pPr>
              <w:bidi w:val="0"/>
              <w:jc w:val="right"/>
              <w:rPr>
                <w:rFonts w:ascii="Times New Roman" w:hAnsi="Times New Roman" w:cs="Times New Roman"/>
                <w:color w:val="000000"/>
                <w:sz w:val="14"/>
                <w:szCs w:val="14"/>
                <w:lang w:eastAsia="sk-SK"/>
              </w:rPr>
            </w:pPr>
            <w:r w:rsidRPr="003767E1">
              <w:rPr>
                <w:rFonts w:ascii="Times New Roman" w:hAnsi="Times New Roman" w:cs="Times New Roman"/>
                <w:color w:val="000000"/>
                <w:sz w:val="14"/>
                <w:szCs w:val="14"/>
                <w:lang w:eastAsia="sk-SK"/>
              </w:rPr>
              <w:t>22 858 986</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2849E2">
              <w:rPr>
                <w:rFonts w:ascii="Times New Roman" w:hAnsi="Times New Roman" w:cs="Times New Roman"/>
                <w:color w:val="000000"/>
                <w:sz w:val="14"/>
                <w:szCs w:val="14"/>
                <w:lang w:eastAsia="sk-SK"/>
              </w:rPr>
              <w:t>kapitálové výdavky 700</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919 458</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5 928 314</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1 000 000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150 000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515 840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517 340</w:t>
            </w:r>
          </w:p>
        </w:tc>
        <w:tc>
          <w:tcPr>
            <w:tcW w:w="509"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500 000</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B354BF" w:rsidP="006338E5">
            <w:pPr>
              <w:bidi w:val="0"/>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 xml:space="preserve">zdroje EÚ vrátane spolufinancovania: </w:t>
            </w:r>
          </w:p>
        </w:tc>
        <w:tc>
          <w:tcPr>
            <w:tcW w:w="512" w:type="pct"/>
            <w:tcBorders>
              <w:top w:val="nil"/>
              <w:left w:val="nil"/>
              <w:bottom w:val="single" w:sz="4" w:space="0" w:color="auto"/>
              <w:right w:val="single" w:sz="4" w:space="0" w:color="auto"/>
            </w:tcBorders>
            <w:noWrap/>
            <w:textDirection w:val="lrTb"/>
            <w:vAlign w:val="center"/>
            <w:hideMark/>
          </w:tcPr>
          <w:p w:rsidR="009D2A34" w:rsidRPr="00B354BF" w:rsidP="006338E5">
            <w:pPr>
              <w:bidi w:val="0"/>
              <w:jc w:val="right"/>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123 212 068</w:t>
            </w:r>
          </w:p>
        </w:tc>
        <w:tc>
          <w:tcPr>
            <w:tcW w:w="512" w:type="pct"/>
            <w:tcBorders>
              <w:top w:val="nil"/>
              <w:left w:val="nil"/>
              <w:bottom w:val="single" w:sz="4" w:space="0" w:color="auto"/>
              <w:right w:val="single" w:sz="4" w:space="0" w:color="auto"/>
            </w:tcBorders>
            <w:noWrap/>
            <w:textDirection w:val="lrTb"/>
            <w:vAlign w:val="center"/>
            <w:hideMark/>
          </w:tcPr>
          <w:p w:rsidR="009D2A34" w:rsidRPr="00B354BF" w:rsidP="006338E5">
            <w:pPr>
              <w:bidi w:val="0"/>
              <w:jc w:val="right"/>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328 165 499</w:t>
            </w:r>
          </w:p>
        </w:tc>
        <w:tc>
          <w:tcPr>
            <w:tcW w:w="511" w:type="pct"/>
            <w:tcBorders>
              <w:top w:val="nil"/>
              <w:left w:val="nil"/>
              <w:bottom w:val="single" w:sz="4" w:space="0" w:color="auto"/>
              <w:right w:val="single" w:sz="4" w:space="0" w:color="auto"/>
            </w:tcBorders>
            <w:noWrap/>
            <w:textDirection w:val="lrTb"/>
            <w:vAlign w:val="center"/>
            <w:hideMark/>
          </w:tcPr>
          <w:p w:rsidR="009D2A34" w:rsidRPr="00B354BF" w:rsidP="006338E5">
            <w:pPr>
              <w:bidi w:val="0"/>
              <w:jc w:val="right"/>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332 291 904</w:t>
            </w:r>
          </w:p>
        </w:tc>
        <w:tc>
          <w:tcPr>
            <w:tcW w:w="511" w:type="pct"/>
            <w:tcBorders>
              <w:top w:val="nil"/>
              <w:left w:val="nil"/>
              <w:bottom w:val="single" w:sz="4" w:space="0" w:color="auto"/>
              <w:right w:val="single" w:sz="4" w:space="0" w:color="auto"/>
            </w:tcBorders>
            <w:noWrap/>
            <w:textDirection w:val="lrTb"/>
            <w:vAlign w:val="center"/>
            <w:hideMark/>
          </w:tcPr>
          <w:p w:rsidR="009D2A34" w:rsidRPr="00B354BF" w:rsidP="006338E5">
            <w:pPr>
              <w:bidi w:val="0"/>
              <w:jc w:val="right"/>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348 806 196</w:t>
            </w:r>
          </w:p>
        </w:tc>
        <w:tc>
          <w:tcPr>
            <w:tcW w:w="511" w:type="pct"/>
            <w:tcBorders>
              <w:top w:val="nil"/>
              <w:left w:val="nil"/>
              <w:bottom w:val="single" w:sz="4" w:space="0" w:color="auto"/>
              <w:right w:val="single" w:sz="4" w:space="0" w:color="auto"/>
            </w:tcBorders>
            <w:noWrap/>
            <w:textDirection w:val="lrTb"/>
            <w:vAlign w:val="center"/>
            <w:hideMark/>
          </w:tcPr>
          <w:p w:rsidR="009D2A34" w:rsidRPr="00B354BF" w:rsidP="006338E5">
            <w:pPr>
              <w:bidi w:val="0"/>
              <w:jc w:val="right"/>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534 256 476</w:t>
            </w:r>
          </w:p>
        </w:tc>
        <w:tc>
          <w:tcPr>
            <w:tcW w:w="511" w:type="pct"/>
            <w:tcBorders>
              <w:top w:val="nil"/>
              <w:left w:val="nil"/>
              <w:bottom w:val="single" w:sz="4" w:space="0" w:color="auto"/>
              <w:right w:val="single" w:sz="4" w:space="0" w:color="auto"/>
            </w:tcBorders>
            <w:noWrap/>
            <w:textDirection w:val="lrTb"/>
            <w:vAlign w:val="center"/>
            <w:hideMark/>
          </w:tcPr>
          <w:p w:rsidR="009D2A34" w:rsidRPr="00B354BF" w:rsidP="006338E5">
            <w:pPr>
              <w:bidi w:val="0"/>
              <w:jc w:val="right"/>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343 830 980</w:t>
            </w:r>
          </w:p>
        </w:tc>
        <w:tc>
          <w:tcPr>
            <w:tcW w:w="509" w:type="pct"/>
            <w:tcBorders>
              <w:top w:val="nil"/>
              <w:left w:val="nil"/>
              <w:bottom w:val="single" w:sz="4" w:space="0" w:color="auto"/>
              <w:right w:val="single" w:sz="4" w:space="0" w:color="auto"/>
            </w:tcBorders>
            <w:noWrap/>
            <w:textDirection w:val="lrTb"/>
            <w:vAlign w:val="center"/>
            <w:hideMark/>
          </w:tcPr>
          <w:p w:rsidR="009D2A34" w:rsidRPr="00B354BF" w:rsidP="006338E5">
            <w:pPr>
              <w:bidi w:val="0"/>
              <w:jc w:val="right"/>
              <w:rPr>
                <w:rFonts w:ascii="Times New Roman" w:hAnsi="Times New Roman" w:cs="Times New Roman"/>
                <w:b/>
                <w:color w:val="000000"/>
                <w:sz w:val="14"/>
                <w:szCs w:val="14"/>
                <w:lang w:eastAsia="sk-SK"/>
              </w:rPr>
            </w:pPr>
            <w:r w:rsidRPr="00B354BF">
              <w:rPr>
                <w:rFonts w:ascii="Times New Roman" w:hAnsi="Times New Roman" w:cs="Times New Roman"/>
                <w:b/>
                <w:color w:val="000000"/>
                <w:sz w:val="14"/>
                <w:szCs w:val="14"/>
                <w:lang w:eastAsia="sk-SK"/>
              </w:rPr>
              <w:t>374 598 918</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xml:space="preserve">  </w:t>
            </w:r>
            <w:r w:rsidR="00DE6810">
              <w:rPr>
                <w:rFonts w:ascii="Times New Roman" w:hAnsi="Times New Roman" w:cs="Times New Roman"/>
                <w:color w:val="000000"/>
                <w:sz w:val="14"/>
                <w:szCs w:val="14"/>
                <w:lang w:eastAsia="sk-SK"/>
              </w:rPr>
              <w:t xml:space="preserve">  v tom: 1. program. obdobie  EÚ</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29 413 979</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4 470 196</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6 801 370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09"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xml:space="preserve">                   spolufinancovanie zo ŠR</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7 092 255</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1 062 516</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1 985 429</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09"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xml:space="preserve">     </w:t>
            </w:r>
            <w:r w:rsidR="00DE6810">
              <w:rPr>
                <w:rFonts w:ascii="Times New Roman" w:hAnsi="Times New Roman" w:cs="Times New Roman"/>
                <w:color w:val="000000"/>
                <w:sz w:val="14"/>
                <w:szCs w:val="14"/>
                <w:lang w:eastAsia="sk-SK"/>
              </w:rPr>
              <w:t xml:space="preserve">          2. program. obdobie EÚ</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76 847 121</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281 373 211</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284 962 223</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284 962 223</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463 688 553</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293 451 535</w:t>
            </w:r>
          </w:p>
        </w:tc>
        <w:tc>
          <w:tcPr>
            <w:tcW w:w="509"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318 488 865</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2849E2" w:rsidP="006338E5">
            <w:pPr>
              <w:bidi w:val="0"/>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 xml:space="preserve">                   spolufinancovanie zo ŠR</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9 858 713</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41 259 576</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47 329 681</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55 057 174</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70 567 923</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50 379 445</w:t>
            </w:r>
          </w:p>
        </w:tc>
        <w:tc>
          <w:tcPr>
            <w:tcW w:w="509"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56 110 053</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E811A7" w:rsidP="006338E5">
            <w:pPr>
              <w:bidi w:val="0"/>
              <w:rPr>
                <w:rFonts w:ascii="Times New Roman" w:hAnsi="Times New Roman" w:cs="Times New Roman"/>
                <w:b/>
                <w:bCs/>
                <w:sz w:val="14"/>
                <w:szCs w:val="16"/>
                <w:lang w:eastAsia="sk-SK"/>
              </w:rPr>
            </w:pPr>
            <w:r w:rsidRPr="00E811A7">
              <w:rPr>
                <w:rFonts w:ascii="Times New Roman" w:hAnsi="Times New Roman" w:cs="Times New Roman"/>
                <w:b/>
                <w:bCs/>
                <w:sz w:val="14"/>
                <w:szCs w:val="16"/>
                <w:lang w:eastAsia="sk-SK"/>
              </w:rPr>
              <w:t>presun z minulých rokov</w:t>
            </w:r>
            <w:r>
              <w:rPr>
                <w:rFonts w:ascii="Times New Roman" w:hAnsi="Times New Roman" w:cs="Times New Roman"/>
                <w:b/>
                <w:bCs/>
                <w:sz w:val="14"/>
                <w:szCs w:val="16"/>
                <w:lang w:eastAsia="sk-SK"/>
              </w:rPr>
              <w:t xml:space="preserve"> §</w:t>
            </w:r>
            <w:r w:rsidR="00DE6810">
              <w:rPr>
                <w:rFonts w:ascii="Times New Roman" w:hAnsi="Times New Roman" w:cs="Times New Roman"/>
                <w:b/>
                <w:bCs/>
                <w:sz w:val="14"/>
                <w:szCs w:val="16"/>
                <w:lang w:eastAsia="sk-SK"/>
              </w:rPr>
              <w:t xml:space="preserve"> </w:t>
            </w:r>
            <w:r>
              <w:rPr>
                <w:rFonts w:ascii="Times New Roman" w:hAnsi="Times New Roman" w:cs="Times New Roman"/>
                <w:b/>
                <w:bCs/>
                <w:sz w:val="14"/>
                <w:szCs w:val="16"/>
                <w:lang w:eastAsia="sk-SK"/>
              </w:rPr>
              <w:t>8</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129 057 064</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5 532 712</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16 416 582</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09"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832EED" w:rsidP="006338E5">
            <w:pPr>
              <w:bidi w:val="0"/>
              <w:rPr>
                <w:rFonts w:ascii="Times New Roman" w:hAnsi="Times New Roman" w:cs="Times New Roman"/>
                <w:color w:val="000000"/>
                <w:sz w:val="14"/>
                <w:szCs w:val="14"/>
                <w:lang w:eastAsia="sk-SK"/>
              </w:rPr>
            </w:pPr>
            <w:r w:rsidRPr="00832EED">
              <w:rPr>
                <w:rFonts w:ascii="Times New Roman" w:hAnsi="Times New Roman" w:cs="Times New Roman"/>
                <w:color w:val="000000"/>
                <w:sz w:val="14"/>
                <w:szCs w:val="14"/>
                <w:lang w:eastAsia="sk-SK"/>
              </w:rPr>
              <w:t xml:space="preserve">    z toho: </w:t>
            </w:r>
            <w:r>
              <w:rPr>
                <w:rFonts w:ascii="Times New Roman" w:hAnsi="Times New Roman" w:cs="Times New Roman"/>
                <w:color w:val="000000"/>
                <w:sz w:val="14"/>
                <w:szCs w:val="14"/>
                <w:lang w:eastAsia="sk-SK"/>
              </w:rPr>
              <w:t>štátny rozpočet</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6 439 600</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09"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832EED" w:rsidP="006338E5">
            <w:pPr>
              <w:bidi w:val="0"/>
              <w:rPr>
                <w:rFonts w:ascii="Times New Roman" w:hAnsi="Times New Roman" w:cs="Times New Roman"/>
                <w:color w:val="000000"/>
                <w:sz w:val="14"/>
                <w:szCs w:val="14"/>
                <w:lang w:eastAsia="sk-SK"/>
              </w:rPr>
            </w:pPr>
            <w:r w:rsidR="00DE6810">
              <w:rPr>
                <w:rFonts w:ascii="Times New Roman" w:hAnsi="Times New Roman" w:cs="Times New Roman"/>
                <w:color w:val="000000"/>
                <w:sz w:val="14"/>
                <w:szCs w:val="14"/>
                <w:lang w:eastAsia="sk-SK"/>
              </w:rPr>
              <w:t xml:space="preserve">                EÚ</w:t>
            </w:r>
            <w:r w:rsidRPr="00832EED">
              <w:rPr>
                <w:rFonts w:ascii="Times New Roman" w:hAnsi="Times New Roman" w:cs="Times New Roman"/>
                <w:color w:val="000000"/>
                <w:sz w:val="14"/>
                <w:szCs w:val="14"/>
                <w:lang w:eastAsia="sk-SK"/>
              </w:rPr>
              <w:t xml:space="preserve"> prostriedky</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75 265 568</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4 470 196</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6 801 370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09"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r>
      <w:tr>
        <w:tblPrEx>
          <w:tblW w:w="5000" w:type="pct"/>
          <w:tblCellMar>
            <w:left w:w="70" w:type="dxa"/>
            <w:right w:w="70" w:type="dxa"/>
          </w:tblCellMar>
          <w:tblLook w:val="04A0"/>
        </w:tblPrEx>
        <w:trPr>
          <w:trHeight w:val="259"/>
        </w:trPr>
        <w:tc>
          <w:tcPr>
            <w:tcW w:w="1423" w:type="pct"/>
            <w:tcBorders>
              <w:top w:val="nil"/>
              <w:left w:val="single" w:sz="4" w:space="0" w:color="auto"/>
              <w:bottom w:val="single" w:sz="4" w:space="0" w:color="auto"/>
              <w:right w:val="single" w:sz="4" w:space="0" w:color="auto"/>
            </w:tcBorders>
            <w:noWrap/>
            <w:textDirection w:val="lrTb"/>
            <w:vAlign w:val="center"/>
            <w:hideMark/>
          </w:tcPr>
          <w:p w:rsidR="009D2A34" w:rsidRPr="00832EED" w:rsidP="006338E5">
            <w:pPr>
              <w:bidi w:val="0"/>
              <w:rPr>
                <w:rFonts w:ascii="Times New Roman" w:hAnsi="Times New Roman" w:cs="Times New Roman"/>
                <w:color w:val="000000"/>
                <w:sz w:val="14"/>
                <w:szCs w:val="14"/>
                <w:lang w:eastAsia="sk-SK"/>
              </w:rPr>
            </w:pPr>
            <w:r w:rsidRPr="00832EED">
              <w:rPr>
                <w:rFonts w:ascii="Times New Roman" w:hAnsi="Times New Roman" w:cs="Times New Roman"/>
                <w:color w:val="000000"/>
                <w:sz w:val="14"/>
                <w:szCs w:val="14"/>
                <w:lang w:eastAsia="sk-SK"/>
              </w:rPr>
              <w:t xml:space="preserve">                spolufinancovanie zo ŠR</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47 351 896</w:t>
            </w:r>
          </w:p>
        </w:tc>
        <w:tc>
          <w:tcPr>
            <w:tcW w:w="512"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1 062 516</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9 615 212</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c>
          <w:tcPr>
            <w:tcW w:w="509" w:type="pct"/>
            <w:tcBorders>
              <w:top w:val="nil"/>
              <w:left w:val="nil"/>
              <w:bottom w:val="single" w:sz="4" w:space="0" w:color="auto"/>
              <w:right w:val="single" w:sz="4" w:space="0" w:color="auto"/>
            </w:tcBorders>
            <w:noWrap/>
            <w:textDirection w:val="lrTb"/>
            <w:vAlign w:val="center"/>
            <w:hideMark/>
          </w:tcPr>
          <w:p w:rsidR="009D2A34" w:rsidRPr="002849E2" w:rsidP="006338E5">
            <w:pPr>
              <w:bidi w:val="0"/>
              <w:jc w:val="right"/>
              <w:rPr>
                <w:rFonts w:ascii="Times New Roman" w:hAnsi="Times New Roman" w:cs="Times New Roman"/>
                <w:color w:val="000000"/>
                <w:sz w:val="14"/>
                <w:szCs w:val="14"/>
                <w:lang w:eastAsia="sk-SK"/>
              </w:rPr>
            </w:pPr>
            <w:r w:rsidRPr="002849E2">
              <w:rPr>
                <w:rFonts w:ascii="Times New Roman" w:hAnsi="Times New Roman" w:cs="Times New Roman"/>
                <w:color w:val="000000"/>
                <w:sz w:val="14"/>
                <w:szCs w:val="14"/>
                <w:lang w:eastAsia="sk-SK"/>
              </w:rPr>
              <w:t>0</w:t>
            </w:r>
          </w:p>
        </w:tc>
      </w:tr>
    </w:tbl>
    <w:p w:rsidR="009D2A34" w:rsidRPr="00124FFC" w:rsidP="009D2A34">
      <w:pPr>
        <w:bidi w:val="0"/>
        <w:jc w:val="both"/>
        <w:rPr>
          <w:rFonts w:ascii="Times New Roman" w:hAnsi="Times New Roman" w:cs="Times New Roman"/>
          <w:sz w:val="14"/>
          <w:szCs w:val="14"/>
        </w:rPr>
      </w:pPr>
      <w:r w:rsidRPr="00124FFC">
        <w:rPr>
          <w:rFonts w:ascii="Times New Roman" w:hAnsi="Times New Roman" w:cs="Times New Roman"/>
          <w:sz w:val="14"/>
          <w:szCs w:val="14"/>
        </w:rPr>
        <w:t>* Čerpanie bolo ovplyvnené dočasným zánikom kapitoly MŽP SR</w:t>
      </w:r>
    </w:p>
    <w:p w:rsidR="009D2A34" w:rsidP="009D2A34">
      <w:pPr>
        <w:bidi w:val="0"/>
        <w:ind w:firstLine="708"/>
        <w:jc w:val="both"/>
        <w:rPr>
          <w:rFonts w:ascii="Times New Roman" w:hAnsi="Times New Roman" w:cs="Times New Roman"/>
        </w:rPr>
      </w:pPr>
    </w:p>
    <w:p w:rsidR="009D2A34" w:rsidRPr="008C3A44" w:rsidP="009D2A34">
      <w:pPr>
        <w:bidi w:val="0"/>
        <w:ind w:firstLine="708"/>
        <w:jc w:val="both"/>
        <w:rPr>
          <w:rFonts w:ascii="Times New Roman" w:hAnsi="Times New Roman" w:cs="Times New Roman"/>
        </w:rPr>
      </w:pPr>
      <w:r>
        <w:rPr>
          <w:rFonts w:ascii="Times New Roman" w:hAnsi="Times New Roman" w:cs="Times New Roman"/>
        </w:rPr>
        <w:t>Kapitola Ministerstvo životného prostredia SR</w:t>
      </w:r>
      <w:r w:rsidRPr="008C3A44">
        <w:rPr>
          <w:rFonts w:ascii="Times New Roman" w:hAnsi="Times New Roman" w:cs="Times New Roman"/>
        </w:rPr>
        <w:t xml:space="preserve"> </w:t>
      </w:r>
      <w:r w:rsidRPr="00124FFC">
        <w:rPr>
          <w:rFonts w:ascii="Times New Roman" w:hAnsi="Times New Roman" w:cs="Times New Roman"/>
        </w:rPr>
        <w:t>(ďalej len „MŽP SR“)</w:t>
      </w:r>
      <w:r>
        <w:rPr>
          <w:rFonts w:ascii="Times New Roman" w:hAnsi="Times New Roman" w:cs="Times New Roman"/>
        </w:rPr>
        <w:t xml:space="preserve"> </w:t>
      </w:r>
      <w:r w:rsidRPr="008C3A44">
        <w:rPr>
          <w:rFonts w:ascii="Times New Roman" w:hAnsi="Times New Roman" w:cs="Times New Roman"/>
        </w:rPr>
        <w:t xml:space="preserve">bude mať v roku 2013 k dispozícii celkové výdavky vo výške </w:t>
      </w:r>
      <w:r>
        <w:rPr>
          <w:rFonts w:ascii="Times New Roman" w:hAnsi="Times New Roman" w:cs="Times New Roman"/>
        </w:rPr>
        <w:t xml:space="preserve">604 </w:t>
      </w:r>
      <w:r w:rsidRPr="008C3A44">
        <w:rPr>
          <w:rFonts w:ascii="Times New Roman" w:hAnsi="Times New Roman" w:cs="Times New Roman"/>
        </w:rPr>
        <w:t>mil. eur, v tom rozpočtov</w:t>
      </w:r>
      <w:r>
        <w:rPr>
          <w:rFonts w:ascii="Times New Roman" w:hAnsi="Times New Roman" w:cs="Times New Roman"/>
        </w:rPr>
        <w:t>é prostriedky predstavujú sumu 7</w:t>
      </w:r>
      <w:r w:rsidRPr="008C3A44">
        <w:rPr>
          <w:rFonts w:ascii="Times New Roman" w:hAnsi="Times New Roman" w:cs="Times New Roman"/>
        </w:rPr>
        <w:t>0</w:t>
      </w:r>
      <w:r>
        <w:rPr>
          <w:rFonts w:ascii="Times New Roman" w:hAnsi="Times New Roman" w:cs="Times New Roman"/>
        </w:rPr>
        <w:t>,1</w:t>
      </w:r>
      <w:r w:rsidRPr="008C3A44">
        <w:rPr>
          <w:rFonts w:ascii="Times New Roman" w:hAnsi="Times New Roman" w:cs="Times New Roman"/>
        </w:rPr>
        <w:t xml:space="preserve"> mil. eur a  výdavky EÚ a spolufinancovania zo štátneho rozpočtu sú v sume </w:t>
      </w:r>
      <w:r>
        <w:rPr>
          <w:rFonts w:ascii="Times New Roman" w:hAnsi="Times New Roman" w:cs="Times New Roman"/>
        </w:rPr>
        <w:t>534</w:t>
      </w:r>
      <w:r w:rsidRPr="008C3A44">
        <w:rPr>
          <w:rFonts w:ascii="Times New Roman" w:hAnsi="Times New Roman" w:cs="Times New Roman"/>
        </w:rPr>
        <w:t xml:space="preserve"> mil. eur. </w:t>
      </w:r>
    </w:p>
    <w:p w:rsidR="009D2A34" w:rsidRPr="008C3A44" w:rsidP="009D2A34">
      <w:pPr>
        <w:bidi w:val="0"/>
        <w:ind w:firstLine="708"/>
        <w:jc w:val="both"/>
        <w:rPr>
          <w:rFonts w:ascii="Times New Roman" w:hAnsi="Times New Roman" w:cs="Times New Roman"/>
        </w:rPr>
      </w:pPr>
    </w:p>
    <w:p w:rsidR="009D2A34" w:rsidRPr="008C3A44" w:rsidP="009D2A34">
      <w:pPr>
        <w:bidi w:val="0"/>
        <w:ind w:firstLine="708"/>
        <w:jc w:val="both"/>
        <w:rPr>
          <w:rFonts w:ascii="Times New Roman" w:hAnsi="Times New Roman" w:cs="Times New Roman"/>
        </w:rPr>
      </w:pPr>
      <w:r>
        <w:rPr>
          <w:rFonts w:ascii="Times New Roman" w:hAnsi="Times New Roman" w:cs="Times New Roman"/>
        </w:rPr>
        <w:t>Na</w:t>
      </w:r>
      <w:r w:rsidRPr="008C3A44">
        <w:rPr>
          <w:rFonts w:ascii="Times New Roman" w:hAnsi="Times New Roman" w:cs="Times New Roman"/>
        </w:rPr>
        <w:t xml:space="preserve"> rok 2013 sa navrhuje rozpočet </w:t>
      </w:r>
      <w:r>
        <w:rPr>
          <w:rFonts w:ascii="Times New Roman" w:hAnsi="Times New Roman" w:cs="Times New Roman"/>
        </w:rPr>
        <w:t>osobných výdavkov na úrovni 17,8</w:t>
      </w:r>
      <w:r w:rsidRPr="008C3A44">
        <w:rPr>
          <w:rFonts w:ascii="Times New Roman" w:hAnsi="Times New Roman" w:cs="Times New Roman"/>
        </w:rPr>
        <w:t xml:space="preserve"> mil. eur, </w:t>
      </w:r>
      <w:r>
        <w:rPr>
          <w:rFonts w:ascii="Times New Roman" w:hAnsi="Times New Roman" w:cs="Times New Roman"/>
        </w:rPr>
        <w:t>ktoré</w:t>
      </w:r>
      <w:r w:rsidRPr="008C3A44">
        <w:rPr>
          <w:rFonts w:ascii="Times New Roman" w:hAnsi="Times New Roman" w:cs="Times New Roman"/>
        </w:rPr>
        <w:t xml:space="preserve"> v porovnaní so schváleným rozpočtom </w:t>
      </w:r>
      <w:r>
        <w:rPr>
          <w:rFonts w:ascii="Times New Roman" w:hAnsi="Times New Roman" w:cs="Times New Roman"/>
        </w:rPr>
        <w:t>na</w:t>
      </w:r>
      <w:r w:rsidRPr="008C3A44">
        <w:rPr>
          <w:rFonts w:ascii="Times New Roman" w:hAnsi="Times New Roman" w:cs="Times New Roman"/>
        </w:rPr>
        <w:t xml:space="preserve"> rok 2012 klesajú o</w:t>
      </w:r>
      <w:r>
        <w:rPr>
          <w:rFonts w:ascii="Times New Roman" w:hAnsi="Times New Roman" w:cs="Times New Roman"/>
        </w:rPr>
        <w:t> 774 tis. eur, t. j. 4,2</w:t>
      </w:r>
      <w:r w:rsidRPr="008C3A44">
        <w:rPr>
          <w:rFonts w:ascii="Times New Roman" w:hAnsi="Times New Roman" w:cs="Times New Roman"/>
        </w:rPr>
        <w:t xml:space="preserve"> %.</w:t>
      </w:r>
    </w:p>
    <w:p w:rsidR="009D2A34" w:rsidRPr="008C3A44" w:rsidP="009D2A34">
      <w:pPr>
        <w:bidi w:val="0"/>
        <w:ind w:firstLine="708"/>
        <w:jc w:val="both"/>
        <w:rPr>
          <w:rFonts w:ascii="Times New Roman" w:hAnsi="Times New Roman" w:cs="Times New Roman"/>
        </w:rPr>
      </w:pPr>
    </w:p>
    <w:p w:rsidR="009D2A34" w:rsidP="009D2A34">
      <w:pPr>
        <w:bidi w:val="0"/>
        <w:ind w:firstLine="708"/>
        <w:jc w:val="both"/>
        <w:rPr>
          <w:rFonts w:ascii="Times New Roman" w:hAnsi="Times New Roman" w:cs="Times New Roman"/>
          <w:b/>
        </w:rPr>
      </w:pPr>
      <w:r w:rsidRPr="008C3A44">
        <w:rPr>
          <w:rFonts w:ascii="Times New Roman" w:hAnsi="Times New Roman" w:cs="Times New Roman"/>
        </w:rPr>
        <w:t xml:space="preserve">Výdavky štátneho rozpočtu v oblasti tovarov a </w:t>
      </w:r>
      <w:r w:rsidRPr="008A0B8F">
        <w:rPr>
          <w:rFonts w:ascii="Times New Roman" w:hAnsi="Times New Roman" w:cs="Times New Roman"/>
        </w:rPr>
        <w:t xml:space="preserve">služieb v porovnaní so schváleným rozpočtom na </w:t>
      </w:r>
      <w:r w:rsidR="00471079">
        <w:rPr>
          <w:rFonts w:ascii="Times New Roman" w:hAnsi="Times New Roman" w:cs="Times New Roman"/>
        </w:rPr>
        <w:t>rok 2012 rastú o 9,64 mil. eur</w:t>
      </w:r>
      <w:r w:rsidRPr="008A0B8F">
        <w:rPr>
          <w:rFonts w:ascii="Times New Roman" w:hAnsi="Times New Roman" w:cs="Times New Roman"/>
        </w:rPr>
        <w:t xml:space="preserve">. Tento nárast zohľadňuje </w:t>
        <w:br/>
        <w:t xml:space="preserve">dlhodobé požiadavky na zvýšenie prevádzkových výdavkov štátneho rozpočtu kapitoly </w:t>
      </w:r>
      <w:r w:rsidR="00DE6810">
        <w:rPr>
          <w:rFonts w:ascii="Times New Roman" w:hAnsi="Times New Roman" w:cs="Times New Roman"/>
        </w:rPr>
        <w:br/>
      </w:r>
      <w:r w:rsidRPr="008A0B8F">
        <w:rPr>
          <w:rFonts w:ascii="Times New Roman" w:hAnsi="Times New Roman" w:cs="Times New Roman"/>
        </w:rPr>
        <w:t>MŽP SR, a to najmä výdavkov na riadnu správu majetku štátu, na zabezpečenie nevyhnutných potrieb v oblasti informačných technológií a na vypracovanie strategických dokumentov.</w:t>
      </w:r>
    </w:p>
    <w:p w:rsidR="009D2A34" w:rsidRPr="008C3A44" w:rsidP="009D2A34">
      <w:pPr>
        <w:bidi w:val="0"/>
        <w:ind w:firstLine="708"/>
        <w:jc w:val="both"/>
        <w:rPr>
          <w:rFonts w:ascii="Times New Roman" w:hAnsi="Times New Roman" w:cs="Times New Roman"/>
        </w:rPr>
      </w:pPr>
    </w:p>
    <w:p w:rsidR="009D2A34" w:rsidRPr="008C3A44" w:rsidP="009D2A34">
      <w:pPr>
        <w:bidi w:val="0"/>
        <w:ind w:firstLine="708"/>
        <w:jc w:val="both"/>
        <w:rPr>
          <w:rFonts w:ascii="Times New Roman" w:hAnsi="Times New Roman" w:cs="Times New Roman"/>
        </w:rPr>
      </w:pPr>
      <w:r w:rsidRPr="008C3A44">
        <w:rPr>
          <w:rFonts w:ascii="Times New Roman" w:hAnsi="Times New Roman" w:cs="Times New Roman"/>
        </w:rPr>
        <w:t xml:space="preserve">Bežné transfery v limitoch kapitoly </w:t>
      </w:r>
      <w:r>
        <w:rPr>
          <w:rFonts w:ascii="Times New Roman" w:hAnsi="Times New Roman" w:cs="Times New Roman"/>
        </w:rPr>
        <w:t>na rok 2013 rastú</w:t>
      </w:r>
      <w:r w:rsidRPr="008C3A44">
        <w:rPr>
          <w:rFonts w:ascii="Times New Roman" w:hAnsi="Times New Roman" w:cs="Times New Roman"/>
        </w:rPr>
        <w:t xml:space="preserve"> na zdroji štátneho rozpočtu v porovnaní so schváleným rozpoč</w:t>
      </w:r>
      <w:r>
        <w:rPr>
          <w:rFonts w:ascii="Times New Roman" w:hAnsi="Times New Roman" w:cs="Times New Roman"/>
        </w:rPr>
        <w:t xml:space="preserve">tom roku 2012 o 9,92 mil. </w:t>
      </w:r>
      <w:r w:rsidRPr="008C3A44">
        <w:rPr>
          <w:rFonts w:ascii="Times New Roman" w:hAnsi="Times New Roman" w:cs="Times New Roman"/>
        </w:rPr>
        <w:t>eur</w:t>
      </w:r>
      <w:r>
        <w:rPr>
          <w:rFonts w:ascii="Times New Roman" w:hAnsi="Times New Roman" w:cs="Times New Roman"/>
        </w:rPr>
        <w:t>, t. j.</w:t>
      </w:r>
      <w:r w:rsidRPr="008C3A44">
        <w:rPr>
          <w:rFonts w:ascii="Times New Roman" w:hAnsi="Times New Roman" w:cs="Times New Roman"/>
        </w:rPr>
        <w:t xml:space="preserve"> </w:t>
      </w:r>
      <w:r>
        <w:rPr>
          <w:rFonts w:ascii="Times New Roman" w:hAnsi="Times New Roman" w:cs="Times New Roman"/>
        </w:rPr>
        <w:t>43,2 %. Nárast je spôsobený rozpočtovaním neregulovaných platieb, určených ako transfer</w:t>
      </w:r>
      <w:r w:rsidRPr="008C3A44">
        <w:rPr>
          <w:rFonts w:ascii="Times New Roman" w:hAnsi="Times New Roman" w:cs="Times New Roman"/>
        </w:rPr>
        <w:t xml:space="preserve"> </w:t>
      </w:r>
      <w:r>
        <w:rPr>
          <w:rFonts w:ascii="Times New Roman" w:hAnsi="Times New Roman" w:cs="Times New Roman"/>
        </w:rPr>
        <w:t>Slovenskému vodohospodárskemu podniku š.</w:t>
      </w:r>
      <w:r w:rsidR="00DE6810">
        <w:rPr>
          <w:rFonts w:ascii="Times New Roman" w:hAnsi="Times New Roman" w:cs="Times New Roman"/>
        </w:rPr>
        <w:t xml:space="preserve"> </w:t>
      </w:r>
      <w:r>
        <w:rPr>
          <w:rFonts w:ascii="Times New Roman" w:hAnsi="Times New Roman" w:cs="Times New Roman"/>
        </w:rPr>
        <w:t>p.</w:t>
      </w:r>
    </w:p>
    <w:p w:rsidR="009D2A34" w:rsidRPr="008C3A44" w:rsidP="009D2A34">
      <w:pPr>
        <w:bidi w:val="0"/>
        <w:ind w:firstLine="708"/>
        <w:jc w:val="both"/>
        <w:rPr>
          <w:rFonts w:ascii="Times New Roman" w:hAnsi="Times New Roman" w:cs="Times New Roman"/>
        </w:rPr>
      </w:pPr>
    </w:p>
    <w:p w:rsidR="009D2A34" w:rsidP="009D2A34">
      <w:pPr>
        <w:bidi w:val="0"/>
        <w:ind w:firstLine="708"/>
        <w:jc w:val="both"/>
        <w:rPr>
          <w:rFonts w:ascii="Times New Roman" w:hAnsi="Times New Roman" w:cs="Times New Roman"/>
        </w:rPr>
      </w:pPr>
      <w:r w:rsidRPr="008C3A44">
        <w:rPr>
          <w:rFonts w:ascii="Times New Roman" w:hAnsi="Times New Roman" w:cs="Times New Roman"/>
        </w:rPr>
        <w:t>Pokles kapitálových výdavkov v porovnaní so schváleným rozpočtom na rok 2012 na zdroji štátneho rozpočtu predstavu</w:t>
      </w:r>
      <w:r>
        <w:rPr>
          <w:rFonts w:ascii="Times New Roman" w:hAnsi="Times New Roman" w:cs="Times New Roman"/>
        </w:rPr>
        <w:t>je</w:t>
      </w:r>
      <w:r w:rsidRPr="008C3A44">
        <w:rPr>
          <w:rFonts w:ascii="Times New Roman" w:hAnsi="Times New Roman" w:cs="Times New Roman"/>
        </w:rPr>
        <w:t xml:space="preserve"> 484 tis. eur</w:t>
      </w:r>
      <w:r>
        <w:rPr>
          <w:rFonts w:ascii="Times New Roman" w:hAnsi="Times New Roman" w:cs="Times New Roman"/>
        </w:rPr>
        <w:t>, t. j. 48,4 %</w:t>
      </w:r>
      <w:r w:rsidRPr="008C3A44">
        <w:rPr>
          <w:rFonts w:ascii="Times New Roman" w:hAnsi="Times New Roman" w:cs="Times New Roman"/>
        </w:rPr>
        <w:t xml:space="preserve"> a je spôsobený rozhodnutím kapitoly premietnuť zníženie prevádzkových výdavkov štátu v tejto kategórii, a to v prospech výdavkov štátneho rozpočtu v oblasti tovarov a služieb.</w:t>
      </w:r>
    </w:p>
    <w:p w:rsidR="009D2A34" w:rsidP="009D2A34">
      <w:pPr>
        <w:bidi w:val="0"/>
        <w:ind w:firstLine="708"/>
        <w:jc w:val="both"/>
        <w:rPr>
          <w:rFonts w:ascii="Times New Roman" w:hAnsi="Times New Roman" w:cs="Times New Roman"/>
        </w:rPr>
      </w:pPr>
    </w:p>
    <w:p w:rsidR="009D2A34" w:rsidP="009D2A34">
      <w:pPr>
        <w:bidi w:val="0"/>
        <w:ind w:firstLine="708"/>
        <w:jc w:val="both"/>
        <w:rPr>
          <w:rFonts w:ascii="Times New Roman" w:hAnsi="Times New Roman" w:cs="Times New Roman"/>
        </w:rPr>
      </w:pPr>
      <w:r w:rsidRPr="009C6629">
        <w:rPr>
          <w:rFonts w:ascii="Times New Roman" w:hAnsi="Times New Roman" w:cs="Times New Roman"/>
        </w:rPr>
        <w:t>Výdavky kapitoly Ministerstva životného prostredia SR sú smerované do nasledujúcich oblastí.</w:t>
      </w:r>
    </w:p>
    <w:p w:rsidR="009D2A34" w:rsidP="009D2A34">
      <w:pPr>
        <w:bidi w:val="0"/>
        <w:ind w:firstLine="708"/>
        <w:jc w:val="both"/>
        <w:rPr>
          <w:rFonts w:ascii="Times New Roman" w:hAnsi="Times New Roman" w:cs="Times New Roman"/>
        </w:rPr>
      </w:pPr>
    </w:p>
    <w:tbl>
      <w:tblPr>
        <w:tblStyle w:val="TableNormal"/>
        <w:tblW w:w="5061" w:type="pct"/>
        <w:tblCellMar>
          <w:left w:w="70" w:type="dxa"/>
          <w:right w:w="70" w:type="dxa"/>
        </w:tblCellMar>
        <w:tblLook w:val="04A0"/>
      </w:tblPr>
      <w:tblGrid>
        <w:gridCol w:w="2565"/>
        <w:gridCol w:w="965"/>
        <w:gridCol w:w="966"/>
        <w:gridCol w:w="966"/>
        <w:gridCol w:w="964"/>
        <w:gridCol w:w="966"/>
        <w:gridCol w:w="966"/>
        <w:gridCol w:w="966"/>
      </w:tblGrid>
      <w:tr>
        <w:tblPrEx>
          <w:tblW w:w="5061" w:type="pct"/>
          <w:tblCellMar>
            <w:left w:w="70" w:type="dxa"/>
            <w:right w:w="70" w:type="dxa"/>
          </w:tblCellMar>
          <w:tblLook w:val="04A0"/>
        </w:tblPrEx>
        <w:trPr>
          <w:trHeight w:val="245"/>
        </w:trPr>
        <w:tc>
          <w:tcPr>
            <w:tcW w:w="137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124FFC" w:rsidP="006338E5">
            <w:pPr>
              <w:bidi w:val="0"/>
              <w:rPr>
                <w:rFonts w:ascii="Times New Roman" w:hAnsi="Times New Roman" w:cs="Times New Roman"/>
                <w:b/>
                <w:color w:val="000000"/>
                <w:sz w:val="14"/>
                <w:szCs w:val="14"/>
              </w:rPr>
            </w:pPr>
            <w:r w:rsidRPr="00124FFC">
              <w:rPr>
                <w:rFonts w:ascii="Times New Roman" w:hAnsi="Times New Roman" w:cs="Times New Roman"/>
                <w:b/>
                <w:color w:val="000000"/>
                <w:sz w:val="14"/>
                <w:szCs w:val="14"/>
              </w:rPr>
              <w:t>v eurách</w:t>
            </w:r>
          </w:p>
        </w:tc>
        <w:tc>
          <w:tcPr>
            <w:tcW w:w="51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24FFC" w:rsidP="006338E5">
            <w:pPr>
              <w:bidi w:val="0"/>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2010S*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24FFC" w:rsidP="006338E5">
            <w:pPr>
              <w:bidi w:val="0"/>
              <w:jc w:val="center"/>
              <w:rPr>
                <w:rFonts w:ascii="Times New Roman" w:hAnsi="Times New Roman" w:cs="Times New Roman"/>
                <w:b/>
                <w:bCs/>
                <w:color w:val="000000"/>
                <w:sz w:val="14"/>
                <w:szCs w:val="14"/>
              </w:rPr>
            </w:pPr>
            <w:r w:rsidRPr="00124FFC">
              <w:rPr>
                <w:rFonts w:ascii="Times New Roman" w:hAnsi="Times New Roman" w:cs="Times New Roman"/>
                <w:b/>
                <w:bCs/>
                <w:color w:val="000000"/>
                <w:sz w:val="14"/>
                <w:szCs w:val="14"/>
              </w:rPr>
              <w:t>2011S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24FFC" w:rsidP="006338E5">
            <w:pPr>
              <w:bidi w:val="0"/>
              <w:jc w:val="center"/>
              <w:rPr>
                <w:rFonts w:ascii="Times New Roman" w:hAnsi="Times New Roman" w:cs="Times New Roman"/>
                <w:b/>
                <w:bCs/>
                <w:color w:val="000000"/>
                <w:sz w:val="14"/>
                <w:szCs w:val="14"/>
              </w:rPr>
            </w:pPr>
            <w:r w:rsidRPr="00124FFC">
              <w:rPr>
                <w:rFonts w:ascii="Times New Roman" w:hAnsi="Times New Roman" w:cs="Times New Roman"/>
                <w:b/>
                <w:bCs/>
                <w:color w:val="000000"/>
                <w:sz w:val="14"/>
                <w:szCs w:val="14"/>
              </w:rPr>
              <w:t>2012 R</w:t>
            </w:r>
          </w:p>
        </w:tc>
        <w:tc>
          <w:tcPr>
            <w:tcW w:w="51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24FFC" w:rsidP="006338E5">
            <w:pPr>
              <w:bidi w:val="0"/>
              <w:jc w:val="center"/>
              <w:rPr>
                <w:rFonts w:ascii="Times New Roman" w:hAnsi="Times New Roman" w:cs="Times New Roman"/>
                <w:b/>
                <w:bCs/>
                <w:color w:val="000000"/>
                <w:sz w:val="14"/>
                <w:szCs w:val="14"/>
              </w:rPr>
            </w:pPr>
            <w:r w:rsidRPr="00124FFC">
              <w:rPr>
                <w:rFonts w:ascii="Times New Roman" w:hAnsi="Times New Roman" w:cs="Times New Roman"/>
                <w:b/>
                <w:bCs/>
                <w:color w:val="000000"/>
                <w:sz w:val="14"/>
                <w:szCs w:val="14"/>
              </w:rPr>
              <w:t>2012 OS</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24FFC" w:rsidP="00DE6810">
            <w:pPr>
              <w:bidi w:val="0"/>
              <w:jc w:val="center"/>
              <w:rPr>
                <w:rFonts w:ascii="Times New Roman" w:hAnsi="Times New Roman" w:cs="Times New Roman"/>
                <w:b/>
                <w:bCs/>
                <w:color w:val="000000"/>
                <w:sz w:val="14"/>
                <w:szCs w:val="14"/>
              </w:rPr>
            </w:pPr>
            <w:r w:rsidRPr="00124FFC">
              <w:rPr>
                <w:rFonts w:ascii="Times New Roman" w:hAnsi="Times New Roman" w:cs="Times New Roman"/>
                <w:b/>
                <w:bCs/>
                <w:color w:val="000000"/>
                <w:sz w:val="14"/>
                <w:szCs w:val="14"/>
              </w:rPr>
              <w:t xml:space="preserve">2013 </w:t>
            </w:r>
            <w:r w:rsidR="00DE6810">
              <w:rPr>
                <w:rFonts w:ascii="Times New Roman" w:hAnsi="Times New Roman" w:cs="Times New Roman"/>
                <w:b/>
                <w:bCs/>
                <w:color w:val="000000"/>
                <w:sz w:val="14"/>
                <w:szCs w:val="14"/>
              </w:rPr>
              <w:t>N</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24FFC" w:rsidP="006338E5">
            <w:pPr>
              <w:bidi w:val="0"/>
              <w:jc w:val="center"/>
              <w:rPr>
                <w:rFonts w:ascii="Times New Roman" w:hAnsi="Times New Roman" w:cs="Times New Roman"/>
                <w:b/>
                <w:bCs/>
                <w:color w:val="000000"/>
                <w:sz w:val="14"/>
                <w:szCs w:val="14"/>
              </w:rPr>
            </w:pPr>
            <w:r w:rsidRPr="00124FFC">
              <w:rPr>
                <w:rFonts w:ascii="Times New Roman" w:hAnsi="Times New Roman" w:cs="Times New Roman"/>
                <w:b/>
                <w:bCs/>
                <w:color w:val="000000"/>
                <w:sz w:val="14"/>
                <w:szCs w:val="14"/>
              </w:rPr>
              <w:t>2014 N</w:t>
            </w:r>
          </w:p>
        </w:tc>
        <w:tc>
          <w:tcPr>
            <w:tcW w:w="51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24FFC" w:rsidP="006338E5">
            <w:pPr>
              <w:bidi w:val="0"/>
              <w:jc w:val="center"/>
              <w:rPr>
                <w:rFonts w:ascii="Times New Roman" w:hAnsi="Times New Roman" w:cs="Times New Roman"/>
                <w:b/>
                <w:bCs/>
                <w:color w:val="000000"/>
                <w:sz w:val="14"/>
                <w:szCs w:val="14"/>
              </w:rPr>
            </w:pPr>
            <w:r w:rsidRPr="00124FFC">
              <w:rPr>
                <w:rFonts w:ascii="Times New Roman" w:hAnsi="Times New Roman" w:cs="Times New Roman"/>
                <w:b/>
                <w:bCs/>
                <w:color w:val="000000"/>
                <w:sz w:val="14"/>
                <w:szCs w:val="14"/>
              </w:rPr>
              <w:t>2015 N</w:t>
            </w:r>
          </w:p>
        </w:tc>
      </w:tr>
      <w:tr>
        <w:tblPrEx>
          <w:tblW w:w="5061" w:type="pct"/>
          <w:tblCellMar>
            <w:left w:w="70" w:type="dxa"/>
            <w:right w:w="70" w:type="dxa"/>
          </w:tblCellMar>
          <w:tblLook w:val="04A0"/>
        </w:tblPrEx>
        <w:trPr>
          <w:trHeight w:val="185"/>
        </w:trPr>
        <w:tc>
          <w:tcPr>
            <w:tcW w:w="1375"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9D2A34" w:rsidRPr="00124FFC" w:rsidP="006338E5">
            <w:pPr>
              <w:bidi w:val="0"/>
              <w:rPr>
                <w:rFonts w:ascii="Times New Roman" w:hAnsi="Times New Roman" w:cs="Times New Roman"/>
                <w:b/>
                <w:bCs/>
                <w:color w:val="000000"/>
                <w:sz w:val="14"/>
                <w:szCs w:val="14"/>
              </w:rPr>
            </w:pPr>
            <w:r w:rsidRPr="00124FFC">
              <w:rPr>
                <w:rFonts w:ascii="Times New Roman" w:hAnsi="Times New Roman" w:cs="Times New Roman"/>
                <w:b/>
                <w:bCs/>
                <w:color w:val="000000"/>
                <w:sz w:val="14"/>
                <w:szCs w:val="14"/>
              </w:rPr>
              <w:t>Zdroje príslušnej kapitoly</w:t>
            </w:r>
          </w:p>
        </w:tc>
        <w:tc>
          <w:tcPr>
            <w:tcW w:w="517" w:type="pct"/>
            <w:tcBorders>
              <w:top w:val="nil"/>
              <w:left w:val="nil"/>
              <w:bottom w:val="single" w:sz="4" w:space="0" w:color="auto"/>
              <w:right w:val="single" w:sz="4" w:space="0" w:color="auto"/>
            </w:tcBorders>
            <w:shd w:val="clear" w:color="auto" w:fill="BFBFBF"/>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207 809 405</w:t>
            </w:r>
          </w:p>
        </w:tc>
        <w:tc>
          <w:tcPr>
            <w:tcW w:w="518" w:type="pct"/>
            <w:tcBorders>
              <w:top w:val="nil"/>
              <w:left w:val="nil"/>
              <w:bottom w:val="single" w:sz="4" w:space="0" w:color="auto"/>
              <w:right w:val="single" w:sz="4" w:space="0" w:color="auto"/>
            </w:tcBorders>
            <w:shd w:val="clear" w:color="auto" w:fill="BFBFBF"/>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415 740 718</w:t>
            </w:r>
          </w:p>
        </w:tc>
        <w:tc>
          <w:tcPr>
            <w:tcW w:w="518" w:type="pct"/>
            <w:tcBorders>
              <w:top w:val="nil"/>
              <w:left w:val="nil"/>
              <w:bottom w:val="single" w:sz="4" w:space="0" w:color="auto"/>
              <w:right w:val="single" w:sz="4" w:space="0" w:color="auto"/>
            </w:tcBorders>
            <w:shd w:val="clear" w:color="auto" w:fill="BFBFBF"/>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384 086 542</w:t>
            </w:r>
          </w:p>
        </w:tc>
        <w:tc>
          <w:tcPr>
            <w:tcW w:w="517" w:type="pct"/>
            <w:tcBorders>
              <w:top w:val="nil"/>
              <w:left w:val="nil"/>
              <w:bottom w:val="single" w:sz="4" w:space="0" w:color="auto"/>
              <w:right w:val="single" w:sz="4" w:space="0" w:color="auto"/>
            </w:tcBorders>
            <w:shd w:val="clear" w:color="auto" w:fill="BFBFBF"/>
            <w:textDirection w:val="lrTb"/>
            <w:vAlign w:val="center"/>
            <w:hideMark/>
          </w:tcPr>
          <w:p w:rsidR="009D2A34" w:rsidRPr="009E3CCF" w:rsidP="006338E5">
            <w:pPr>
              <w:bidi w:val="0"/>
              <w:jc w:val="right"/>
              <w:rPr>
                <w:rFonts w:ascii="Times New Roman" w:hAnsi="Times New Roman" w:cs="Times New Roman"/>
                <w:b/>
                <w:bCs/>
                <w:color w:val="000000"/>
                <w:sz w:val="14"/>
                <w:szCs w:val="14"/>
              </w:rPr>
            </w:pPr>
            <w:r w:rsidRPr="009E3CCF">
              <w:rPr>
                <w:rFonts w:ascii="Times New Roman" w:hAnsi="Times New Roman" w:cs="Times New Roman"/>
                <w:b/>
                <w:bCs/>
                <w:color w:val="000000"/>
                <w:sz w:val="14"/>
                <w:szCs w:val="14"/>
              </w:rPr>
              <w:t>402 061 748</w:t>
            </w:r>
          </w:p>
        </w:tc>
        <w:tc>
          <w:tcPr>
            <w:tcW w:w="518" w:type="pct"/>
            <w:tcBorders>
              <w:top w:val="nil"/>
              <w:left w:val="nil"/>
              <w:bottom w:val="single" w:sz="4" w:space="0" w:color="auto"/>
              <w:right w:val="single" w:sz="4" w:space="0" w:color="auto"/>
            </w:tcBorders>
            <w:shd w:val="clear" w:color="auto" w:fill="BFBFBF"/>
            <w:textDirection w:val="lrTb"/>
            <w:vAlign w:val="center"/>
            <w:hideMark/>
          </w:tcPr>
          <w:p w:rsidR="009D2A34" w:rsidRPr="007A3B68" w:rsidP="006338E5">
            <w:pPr>
              <w:bidi w:val="0"/>
              <w:jc w:val="right"/>
              <w:rPr>
                <w:rFonts w:ascii="Times New Roman" w:hAnsi="Times New Roman" w:cs="Times New Roman"/>
                <w:b/>
                <w:bCs/>
                <w:color w:val="000000"/>
                <w:sz w:val="14"/>
                <w:szCs w:val="14"/>
              </w:rPr>
            </w:pPr>
            <w:r w:rsidRPr="007A3B68">
              <w:rPr>
                <w:rFonts w:ascii="Times New Roman" w:hAnsi="Times New Roman" w:cs="Times New Roman"/>
                <w:b/>
                <w:bCs/>
                <w:color w:val="000000"/>
                <w:sz w:val="14"/>
                <w:szCs w:val="14"/>
              </w:rPr>
              <w:t>604 352 315</w:t>
            </w:r>
          </w:p>
        </w:tc>
        <w:tc>
          <w:tcPr>
            <w:tcW w:w="518" w:type="pct"/>
            <w:tcBorders>
              <w:top w:val="nil"/>
              <w:left w:val="nil"/>
              <w:bottom w:val="single" w:sz="4" w:space="0" w:color="auto"/>
              <w:right w:val="single" w:sz="4" w:space="0" w:color="auto"/>
            </w:tcBorders>
            <w:shd w:val="clear" w:color="auto" w:fill="BFBFBF"/>
            <w:textDirection w:val="lrTb"/>
            <w:vAlign w:val="center"/>
            <w:hideMark/>
          </w:tcPr>
          <w:p w:rsidR="009D2A34" w:rsidRPr="007A3B68" w:rsidP="006338E5">
            <w:pPr>
              <w:bidi w:val="0"/>
              <w:jc w:val="right"/>
              <w:rPr>
                <w:rFonts w:ascii="Times New Roman" w:hAnsi="Times New Roman" w:cs="Times New Roman"/>
                <w:b/>
                <w:bCs/>
                <w:color w:val="000000"/>
                <w:sz w:val="14"/>
                <w:szCs w:val="14"/>
              </w:rPr>
            </w:pPr>
            <w:r w:rsidRPr="007A3B68">
              <w:rPr>
                <w:rFonts w:ascii="Times New Roman" w:hAnsi="Times New Roman" w:cs="Times New Roman"/>
                <w:b/>
                <w:bCs/>
                <w:color w:val="000000"/>
                <w:sz w:val="14"/>
                <w:szCs w:val="14"/>
              </w:rPr>
              <w:t>393 933 197</w:t>
            </w:r>
          </w:p>
        </w:tc>
        <w:tc>
          <w:tcPr>
            <w:tcW w:w="518" w:type="pct"/>
            <w:tcBorders>
              <w:top w:val="nil"/>
              <w:left w:val="nil"/>
              <w:bottom w:val="single" w:sz="4" w:space="0" w:color="auto"/>
              <w:right w:val="single" w:sz="4" w:space="0" w:color="auto"/>
            </w:tcBorders>
            <w:shd w:val="clear" w:color="auto" w:fill="BFBFBF"/>
            <w:textDirection w:val="lrTb"/>
            <w:vAlign w:val="center"/>
            <w:hideMark/>
          </w:tcPr>
          <w:p w:rsidR="009D2A34" w:rsidRPr="007A3B68" w:rsidP="006338E5">
            <w:pPr>
              <w:bidi w:val="0"/>
              <w:jc w:val="right"/>
              <w:rPr>
                <w:rFonts w:ascii="Times New Roman" w:hAnsi="Times New Roman" w:cs="Times New Roman"/>
                <w:b/>
                <w:bCs/>
                <w:color w:val="000000"/>
                <w:sz w:val="14"/>
                <w:szCs w:val="14"/>
              </w:rPr>
            </w:pPr>
            <w:r w:rsidRPr="007A3B68">
              <w:rPr>
                <w:rFonts w:ascii="Times New Roman" w:hAnsi="Times New Roman" w:cs="Times New Roman"/>
                <w:b/>
                <w:bCs/>
                <w:color w:val="000000"/>
                <w:sz w:val="14"/>
                <w:szCs w:val="14"/>
              </w:rPr>
              <w:t>424 713 717</w:t>
            </w:r>
          </w:p>
        </w:tc>
      </w:tr>
      <w:tr>
        <w:tblPrEx>
          <w:tblW w:w="5061"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9D2A34" w:rsidRPr="00124FFC" w:rsidP="006338E5">
            <w:pPr>
              <w:bidi w:val="0"/>
              <w:rPr>
                <w:rFonts w:ascii="Times New Roman" w:hAnsi="Times New Roman" w:cs="Times New Roman"/>
                <w:color w:val="000000"/>
                <w:sz w:val="14"/>
                <w:szCs w:val="14"/>
              </w:rPr>
            </w:pPr>
            <w:r w:rsidRPr="00124FFC">
              <w:rPr>
                <w:rFonts w:ascii="Times New Roman" w:hAnsi="Times New Roman" w:cs="Times New Roman"/>
                <w:color w:val="000000"/>
                <w:sz w:val="14"/>
                <w:szCs w:val="14"/>
              </w:rPr>
              <w:t>Vodné hospodárstvo</w:t>
            </w:r>
          </w:p>
        </w:tc>
        <w:tc>
          <w:tcPr>
            <w:tcW w:w="517"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102 228 199</w:t>
            </w:r>
          </w:p>
        </w:tc>
        <w:tc>
          <w:tcPr>
            <w:tcW w:w="518"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202 022 007</w:t>
            </w:r>
          </w:p>
        </w:tc>
        <w:tc>
          <w:tcPr>
            <w:tcW w:w="518"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241 005 340</w:t>
            </w:r>
          </w:p>
        </w:tc>
        <w:tc>
          <w:tcPr>
            <w:tcW w:w="517" w:type="pct"/>
            <w:tcBorders>
              <w:top w:val="nil"/>
              <w:left w:val="nil"/>
              <w:bottom w:val="single" w:sz="4" w:space="0" w:color="auto"/>
              <w:right w:val="single" w:sz="4" w:space="0" w:color="auto"/>
            </w:tcBorders>
            <w:noWrap/>
            <w:textDirection w:val="lrTb"/>
            <w:vAlign w:val="center"/>
            <w:hideMark/>
          </w:tcPr>
          <w:p w:rsidR="009D2A34" w:rsidRPr="009E3CCF" w:rsidP="006338E5">
            <w:pPr>
              <w:bidi w:val="0"/>
              <w:jc w:val="right"/>
              <w:rPr>
                <w:rFonts w:ascii="Times New Roman" w:hAnsi="Times New Roman" w:cs="Times New Roman"/>
                <w:color w:val="000000"/>
                <w:sz w:val="14"/>
                <w:szCs w:val="14"/>
              </w:rPr>
            </w:pPr>
            <w:r w:rsidRPr="009E3CCF">
              <w:rPr>
                <w:rFonts w:ascii="Times New Roman" w:hAnsi="Times New Roman" w:cs="Times New Roman"/>
                <w:color w:val="000000"/>
                <w:sz w:val="14"/>
                <w:szCs w:val="14"/>
              </w:rPr>
              <w:t>248 930 618</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388 484 017</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252 488 587</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265 166 286</w:t>
            </w:r>
          </w:p>
        </w:tc>
      </w:tr>
      <w:tr>
        <w:tblPrEx>
          <w:tblW w:w="5061"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9D2A34" w:rsidRPr="00124FFC" w:rsidP="006338E5">
            <w:pPr>
              <w:bidi w:val="0"/>
              <w:rPr>
                <w:rFonts w:ascii="Times New Roman" w:hAnsi="Times New Roman" w:cs="Times New Roman"/>
                <w:color w:val="000000"/>
                <w:sz w:val="14"/>
                <w:szCs w:val="14"/>
              </w:rPr>
            </w:pPr>
            <w:r w:rsidRPr="00124FFC">
              <w:rPr>
                <w:rFonts w:ascii="Times New Roman" w:hAnsi="Times New Roman" w:cs="Times New Roman"/>
                <w:color w:val="000000"/>
                <w:sz w:val="14"/>
                <w:szCs w:val="14"/>
              </w:rPr>
              <w:t>Ochrana ovzdušia</w:t>
            </w:r>
          </w:p>
        </w:tc>
        <w:tc>
          <w:tcPr>
            <w:tcW w:w="517"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28 017 993</w:t>
            </w:r>
          </w:p>
        </w:tc>
        <w:tc>
          <w:tcPr>
            <w:tcW w:w="518"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80 566 991</w:t>
            </w:r>
          </w:p>
        </w:tc>
        <w:tc>
          <w:tcPr>
            <w:tcW w:w="518"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16 819 261</w:t>
            </w:r>
          </w:p>
        </w:tc>
        <w:tc>
          <w:tcPr>
            <w:tcW w:w="517" w:type="pct"/>
            <w:tcBorders>
              <w:top w:val="nil"/>
              <w:left w:val="nil"/>
              <w:bottom w:val="single" w:sz="4" w:space="0" w:color="auto"/>
              <w:right w:val="single" w:sz="4" w:space="0" w:color="auto"/>
            </w:tcBorders>
            <w:noWrap/>
            <w:textDirection w:val="lrTb"/>
            <w:vAlign w:val="center"/>
            <w:hideMark/>
          </w:tcPr>
          <w:p w:rsidR="009D2A34" w:rsidRPr="009E3CCF" w:rsidP="006338E5">
            <w:pPr>
              <w:bidi w:val="0"/>
              <w:jc w:val="right"/>
              <w:rPr>
                <w:rFonts w:ascii="Times New Roman" w:hAnsi="Times New Roman" w:cs="Times New Roman"/>
                <w:color w:val="000000"/>
                <w:sz w:val="14"/>
                <w:szCs w:val="14"/>
              </w:rPr>
            </w:pPr>
            <w:r w:rsidRPr="009E3CCF">
              <w:rPr>
                <w:rFonts w:ascii="Times New Roman" w:hAnsi="Times New Roman" w:cs="Times New Roman"/>
                <w:color w:val="000000"/>
                <w:sz w:val="14"/>
                <w:szCs w:val="14"/>
              </w:rPr>
              <w:t>21 619 261</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21 937 658</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24 513 732</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27 680 093</w:t>
            </w:r>
          </w:p>
        </w:tc>
      </w:tr>
      <w:tr>
        <w:tblPrEx>
          <w:tblW w:w="5061"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9D2A34" w:rsidRPr="00124FFC" w:rsidP="006338E5">
            <w:pPr>
              <w:bidi w:val="0"/>
              <w:rPr>
                <w:rFonts w:ascii="Times New Roman" w:hAnsi="Times New Roman" w:cs="Times New Roman"/>
                <w:color w:val="000000"/>
                <w:sz w:val="14"/>
                <w:szCs w:val="14"/>
              </w:rPr>
            </w:pPr>
            <w:r w:rsidRPr="00124FFC">
              <w:rPr>
                <w:rFonts w:ascii="Times New Roman" w:hAnsi="Times New Roman" w:cs="Times New Roman"/>
                <w:color w:val="000000"/>
                <w:sz w:val="14"/>
                <w:szCs w:val="14"/>
              </w:rPr>
              <w:t>Odpadové hospodárstvo</w:t>
            </w:r>
          </w:p>
        </w:tc>
        <w:tc>
          <w:tcPr>
            <w:tcW w:w="517"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36 601 924</w:t>
            </w:r>
          </w:p>
        </w:tc>
        <w:tc>
          <w:tcPr>
            <w:tcW w:w="518"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74 041 369</w:t>
            </w:r>
          </w:p>
        </w:tc>
        <w:tc>
          <w:tcPr>
            <w:tcW w:w="518"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48 066 381</w:t>
            </w:r>
          </w:p>
        </w:tc>
        <w:tc>
          <w:tcPr>
            <w:tcW w:w="517" w:type="pct"/>
            <w:tcBorders>
              <w:top w:val="nil"/>
              <w:left w:val="nil"/>
              <w:bottom w:val="single" w:sz="4" w:space="0" w:color="auto"/>
              <w:right w:val="single" w:sz="4" w:space="0" w:color="auto"/>
            </w:tcBorders>
            <w:noWrap/>
            <w:textDirection w:val="lrTb"/>
            <w:vAlign w:val="center"/>
            <w:hideMark/>
          </w:tcPr>
          <w:p w:rsidR="009D2A34" w:rsidRPr="009E3CCF" w:rsidP="006338E5">
            <w:pPr>
              <w:bidi w:val="0"/>
              <w:jc w:val="right"/>
              <w:rPr>
                <w:rFonts w:ascii="Times New Roman" w:hAnsi="Times New Roman" w:cs="Times New Roman"/>
                <w:color w:val="000000"/>
                <w:sz w:val="14"/>
                <w:szCs w:val="14"/>
              </w:rPr>
            </w:pPr>
            <w:r w:rsidRPr="009E3CCF">
              <w:rPr>
                <w:rFonts w:ascii="Times New Roman" w:hAnsi="Times New Roman" w:cs="Times New Roman"/>
                <w:color w:val="000000"/>
                <w:sz w:val="14"/>
                <w:szCs w:val="14"/>
              </w:rPr>
              <w:t>48 164 091</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114 064 470</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55 729 112</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71 345 367</w:t>
            </w:r>
          </w:p>
        </w:tc>
      </w:tr>
      <w:tr>
        <w:tblPrEx>
          <w:tblW w:w="5061"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9D2A34" w:rsidRPr="00124FFC" w:rsidP="006338E5">
            <w:pPr>
              <w:bidi w:val="0"/>
              <w:rPr>
                <w:rFonts w:ascii="Times New Roman" w:hAnsi="Times New Roman" w:cs="Times New Roman"/>
                <w:color w:val="000000"/>
                <w:sz w:val="14"/>
                <w:szCs w:val="14"/>
              </w:rPr>
            </w:pPr>
            <w:r w:rsidRPr="00124FFC">
              <w:rPr>
                <w:rFonts w:ascii="Times New Roman" w:hAnsi="Times New Roman" w:cs="Times New Roman"/>
                <w:color w:val="000000"/>
                <w:sz w:val="14"/>
                <w:szCs w:val="14"/>
              </w:rPr>
              <w:t>Ochrana prírody a krajiny</w:t>
            </w:r>
          </w:p>
        </w:tc>
        <w:tc>
          <w:tcPr>
            <w:tcW w:w="517"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10 440 130</w:t>
            </w:r>
          </w:p>
        </w:tc>
        <w:tc>
          <w:tcPr>
            <w:tcW w:w="518"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18 215 661</w:t>
            </w:r>
          </w:p>
        </w:tc>
        <w:tc>
          <w:tcPr>
            <w:tcW w:w="518"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34 540 572</w:t>
            </w:r>
          </w:p>
        </w:tc>
        <w:tc>
          <w:tcPr>
            <w:tcW w:w="517" w:type="pct"/>
            <w:tcBorders>
              <w:top w:val="nil"/>
              <w:left w:val="nil"/>
              <w:bottom w:val="single" w:sz="4" w:space="0" w:color="auto"/>
              <w:right w:val="single" w:sz="4" w:space="0" w:color="auto"/>
            </w:tcBorders>
            <w:noWrap/>
            <w:textDirection w:val="lrTb"/>
            <w:vAlign w:val="center"/>
            <w:hideMark/>
          </w:tcPr>
          <w:p w:rsidR="009D2A34" w:rsidRPr="009E3CCF" w:rsidP="006338E5">
            <w:pPr>
              <w:bidi w:val="0"/>
              <w:jc w:val="right"/>
              <w:rPr>
                <w:rFonts w:ascii="Times New Roman" w:hAnsi="Times New Roman" w:cs="Times New Roman"/>
                <w:color w:val="000000"/>
                <w:sz w:val="14"/>
                <w:szCs w:val="14"/>
              </w:rPr>
            </w:pPr>
            <w:r w:rsidRPr="009E3CCF">
              <w:rPr>
                <w:rFonts w:ascii="Times New Roman" w:hAnsi="Times New Roman" w:cs="Times New Roman"/>
                <w:color w:val="000000"/>
                <w:sz w:val="14"/>
                <w:szCs w:val="14"/>
              </w:rPr>
              <w:t>38 506 261</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32 766 045</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19 258 647</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18 814 597</w:t>
            </w:r>
          </w:p>
        </w:tc>
      </w:tr>
      <w:tr>
        <w:tblPrEx>
          <w:tblW w:w="5061" w:type="pct"/>
          <w:tblCellMar>
            <w:left w:w="70" w:type="dxa"/>
            <w:right w:w="70" w:type="dxa"/>
          </w:tblCellMar>
          <w:tblLook w:val="04A0"/>
        </w:tblPrEx>
        <w:trPr>
          <w:trHeight w:val="245"/>
        </w:trPr>
        <w:tc>
          <w:tcPr>
            <w:tcW w:w="1375" w:type="pct"/>
            <w:tcBorders>
              <w:top w:val="nil"/>
              <w:left w:val="single" w:sz="4" w:space="0" w:color="auto"/>
              <w:bottom w:val="single" w:sz="4" w:space="0" w:color="auto"/>
              <w:right w:val="single" w:sz="4" w:space="0" w:color="auto"/>
            </w:tcBorders>
            <w:noWrap/>
            <w:textDirection w:val="lrTb"/>
            <w:vAlign w:val="center"/>
            <w:hideMark/>
          </w:tcPr>
          <w:p w:rsidR="009D2A34" w:rsidRPr="00124FFC" w:rsidP="006338E5">
            <w:pPr>
              <w:bidi w:val="0"/>
              <w:rPr>
                <w:rFonts w:ascii="Times New Roman" w:hAnsi="Times New Roman" w:cs="Times New Roman"/>
                <w:color w:val="000000"/>
                <w:sz w:val="14"/>
                <w:szCs w:val="14"/>
              </w:rPr>
            </w:pPr>
            <w:r w:rsidRPr="00124FFC">
              <w:rPr>
                <w:rFonts w:ascii="Times New Roman" w:hAnsi="Times New Roman" w:cs="Times New Roman"/>
                <w:color w:val="000000"/>
                <w:sz w:val="14"/>
                <w:szCs w:val="14"/>
              </w:rPr>
              <w:t>Administratíva</w:t>
            </w:r>
          </w:p>
        </w:tc>
        <w:tc>
          <w:tcPr>
            <w:tcW w:w="517"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30 521 159</w:t>
            </w:r>
          </w:p>
        </w:tc>
        <w:tc>
          <w:tcPr>
            <w:tcW w:w="518"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40 894 690</w:t>
            </w:r>
          </w:p>
        </w:tc>
        <w:tc>
          <w:tcPr>
            <w:tcW w:w="518" w:type="pct"/>
            <w:tcBorders>
              <w:top w:val="nil"/>
              <w:left w:val="nil"/>
              <w:bottom w:val="single" w:sz="4" w:space="0" w:color="auto"/>
              <w:right w:val="single" w:sz="4" w:space="0" w:color="auto"/>
            </w:tcBorders>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43 654 988</w:t>
            </w:r>
          </w:p>
        </w:tc>
        <w:tc>
          <w:tcPr>
            <w:tcW w:w="517" w:type="pct"/>
            <w:tcBorders>
              <w:top w:val="nil"/>
              <w:left w:val="nil"/>
              <w:bottom w:val="single" w:sz="4" w:space="0" w:color="auto"/>
              <w:right w:val="single" w:sz="4" w:space="0" w:color="auto"/>
            </w:tcBorders>
            <w:noWrap/>
            <w:textDirection w:val="lrTb"/>
            <w:vAlign w:val="center"/>
            <w:hideMark/>
          </w:tcPr>
          <w:p w:rsidR="009D2A34" w:rsidRPr="009E3CCF" w:rsidP="006338E5">
            <w:pPr>
              <w:bidi w:val="0"/>
              <w:jc w:val="right"/>
              <w:rPr>
                <w:rFonts w:ascii="Times New Roman" w:hAnsi="Times New Roman" w:cs="Times New Roman"/>
                <w:color w:val="000000"/>
                <w:sz w:val="14"/>
                <w:szCs w:val="14"/>
              </w:rPr>
            </w:pPr>
            <w:r w:rsidRPr="009E3CCF">
              <w:rPr>
                <w:rFonts w:ascii="Times New Roman" w:hAnsi="Times New Roman" w:cs="Times New Roman"/>
                <w:color w:val="000000"/>
                <w:sz w:val="14"/>
                <w:szCs w:val="14"/>
              </w:rPr>
              <w:t>44 841 517</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47 100 125</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41 943 119</w:t>
            </w:r>
          </w:p>
        </w:tc>
        <w:tc>
          <w:tcPr>
            <w:tcW w:w="518" w:type="pct"/>
            <w:tcBorders>
              <w:top w:val="nil"/>
              <w:left w:val="nil"/>
              <w:bottom w:val="single" w:sz="4" w:space="0" w:color="auto"/>
              <w:right w:val="single" w:sz="4" w:space="0" w:color="auto"/>
            </w:tcBorders>
            <w:noWrap/>
            <w:textDirection w:val="lrTb"/>
            <w:vAlign w:val="center"/>
            <w:hideMark/>
          </w:tcPr>
          <w:p w:rsidR="009D2A34" w:rsidRPr="007A3B68" w:rsidP="006338E5">
            <w:pPr>
              <w:bidi w:val="0"/>
              <w:jc w:val="right"/>
              <w:rPr>
                <w:rFonts w:ascii="Times New Roman" w:hAnsi="Times New Roman" w:cs="Times New Roman"/>
                <w:bCs/>
                <w:color w:val="000000"/>
                <w:sz w:val="14"/>
                <w:szCs w:val="14"/>
              </w:rPr>
            </w:pPr>
            <w:r w:rsidRPr="007A3B68">
              <w:rPr>
                <w:rFonts w:ascii="Times New Roman" w:hAnsi="Times New Roman" w:cs="Times New Roman"/>
                <w:bCs/>
                <w:color w:val="000000"/>
                <w:sz w:val="14"/>
                <w:szCs w:val="14"/>
              </w:rPr>
              <w:t>41 707 374</w:t>
            </w:r>
          </w:p>
        </w:tc>
      </w:tr>
    </w:tbl>
    <w:p w:rsidR="009D2A34" w:rsidRPr="00124FFC" w:rsidP="009D2A34">
      <w:pPr>
        <w:bidi w:val="0"/>
        <w:jc w:val="both"/>
        <w:rPr>
          <w:rFonts w:ascii="Times New Roman" w:hAnsi="Times New Roman" w:cs="Times New Roman"/>
          <w:sz w:val="14"/>
          <w:szCs w:val="14"/>
        </w:rPr>
      </w:pPr>
      <w:r w:rsidRPr="00124FFC">
        <w:rPr>
          <w:rFonts w:ascii="Times New Roman" w:hAnsi="Times New Roman" w:cs="Times New Roman"/>
          <w:sz w:val="14"/>
          <w:szCs w:val="14"/>
        </w:rPr>
        <w:t>* Čerpanie bolo ovplyvnené dočasným zánikom kapitoly MŽP SR</w:t>
      </w:r>
    </w:p>
    <w:p w:rsidR="009D2A34" w:rsidP="009D2A34">
      <w:pPr>
        <w:tabs>
          <w:tab w:val="left" w:pos="426"/>
        </w:tabs>
        <w:bidi w:val="0"/>
        <w:jc w:val="both"/>
        <w:rPr>
          <w:rFonts w:ascii="Times New Roman" w:hAnsi="Times New Roman" w:cs="Times New Roman"/>
          <w:b/>
        </w:rPr>
      </w:pPr>
    </w:p>
    <w:p w:rsidR="009D2A34" w:rsidRPr="009C6629" w:rsidP="009D2A34">
      <w:pPr>
        <w:tabs>
          <w:tab w:val="left" w:pos="426"/>
        </w:tabs>
        <w:bidi w:val="0"/>
        <w:jc w:val="both"/>
        <w:rPr>
          <w:rFonts w:ascii="Times New Roman" w:hAnsi="Times New Roman" w:cs="Times New Roman"/>
          <w:b/>
        </w:rPr>
      </w:pPr>
      <w:r w:rsidRPr="009C6629">
        <w:rPr>
          <w:rFonts w:ascii="Times New Roman" w:hAnsi="Times New Roman" w:cs="Times New Roman"/>
          <w:b/>
        </w:rPr>
        <w:t>Vodné hospodárstvo</w:t>
      </w:r>
    </w:p>
    <w:p w:rsidR="009D2A34" w:rsidRPr="00B354BF" w:rsidP="009D2A34">
      <w:pPr>
        <w:tabs>
          <w:tab w:val="left" w:pos="426"/>
        </w:tabs>
        <w:bidi w:val="0"/>
        <w:jc w:val="both"/>
        <w:rPr>
          <w:rFonts w:ascii="Times New Roman" w:hAnsi="Times New Roman" w:cs="Times New Roman"/>
          <w:b/>
        </w:rPr>
      </w:pPr>
    </w:p>
    <w:tbl>
      <w:tblPr>
        <w:tblStyle w:val="TableNormal"/>
        <w:tblW w:w="9428" w:type="dxa"/>
        <w:tblLayout w:type="fixed"/>
        <w:tblCellMar>
          <w:left w:w="70" w:type="dxa"/>
          <w:right w:w="70" w:type="dxa"/>
        </w:tblCellMar>
        <w:tblLook w:val="04A0"/>
      </w:tblPr>
      <w:tblGrid>
        <w:gridCol w:w="2764"/>
        <w:gridCol w:w="952"/>
        <w:gridCol w:w="952"/>
        <w:gridCol w:w="952"/>
        <w:gridCol w:w="952"/>
        <w:gridCol w:w="952"/>
        <w:gridCol w:w="952"/>
        <w:gridCol w:w="952"/>
      </w:tblGrid>
      <w:tr>
        <w:tblPrEx>
          <w:tblW w:w="9428"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C6629" w:rsidP="006338E5">
            <w:pPr>
              <w:bidi w:val="0"/>
              <w:rPr>
                <w:rFonts w:ascii="Times New Roman" w:hAnsi="Times New Roman" w:cs="Times New Roman"/>
                <w:b/>
                <w:bCs/>
                <w:color w:val="000000"/>
                <w:sz w:val="14"/>
                <w:szCs w:val="14"/>
              </w:rPr>
            </w:pPr>
            <w:r w:rsidRPr="009C6629">
              <w:rPr>
                <w:rFonts w:ascii="Times New Roman" w:hAnsi="Times New Roman" w:cs="Times New Roman"/>
                <w:b/>
                <w:bCs/>
                <w:color w:val="000000"/>
                <w:sz w:val="14"/>
                <w:szCs w:val="14"/>
              </w:rPr>
              <w:t>v eurách </w:t>
            </w:r>
          </w:p>
        </w:tc>
        <w:tc>
          <w:tcPr>
            <w:tcW w:w="95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9C6629" w:rsidP="006338E5">
            <w:pPr>
              <w:bidi w:val="0"/>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2010S*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C6629" w:rsidP="006338E5">
            <w:pPr>
              <w:bidi w:val="0"/>
              <w:jc w:val="center"/>
              <w:rPr>
                <w:rFonts w:ascii="Times New Roman" w:hAnsi="Times New Roman" w:cs="Times New Roman"/>
                <w:b/>
                <w:bCs/>
                <w:color w:val="000000"/>
                <w:sz w:val="14"/>
                <w:szCs w:val="14"/>
              </w:rPr>
            </w:pPr>
            <w:r w:rsidRPr="009C6629">
              <w:rPr>
                <w:rFonts w:ascii="Times New Roman" w:hAnsi="Times New Roman" w:cs="Times New Roman"/>
                <w:b/>
                <w:bCs/>
                <w:color w:val="000000"/>
                <w:sz w:val="14"/>
                <w:szCs w:val="14"/>
              </w:rPr>
              <w:t>2011S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C6629" w:rsidP="006338E5">
            <w:pPr>
              <w:bidi w:val="0"/>
              <w:jc w:val="center"/>
              <w:rPr>
                <w:rFonts w:ascii="Times New Roman" w:hAnsi="Times New Roman" w:cs="Times New Roman"/>
                <w:b/>
                <w:bCs/>
                <w:color w:val="000000"/>
                <w:sz w:val="14"/>
                <w:szCs w:val="14"/>
              </w:rPr>
            </w:pPr>
            <w:r w:rsidRPr="009C6629">
              <w:rPr>
                <w:rFonts w:ascii="Times New Roman" w:hAnsi="Times New Roman" w:cs="Times New Roman"/>
                <w:b/>
                <w:bCs/>
                <w:color w:val="000000"/>
                <w:sz w:val="14"/>
                <w:szCs w:val="14"/>
              </w:rPr>
              <w:t>2012 R</w:t>
            </w:r>
          </w:p>
        </w:tc>
        <w:tc>
          <w:tcPr>
            <w:tcW w:w="95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9C6629" w:rsidP="006338E5">
            <w:pPr>
              <w:bidi w:val="0"/>
              <w:jc w:val="center"/>
              <w:rPr>
                <w:rFonts w:ascii="Times New Roman" w:hAnsi="Times New Roman" w:cs="Times New Roman"/>
                <w:b/>
                <w:bCs/>
                <w:color w:val="000000"/>
                <w:sz w:val="14"/>
                <w:szCs w:val="14"/>
              </w:rPr>
            </w:pPr>
            <w:r w:rsidRPr="009C6629">
              <w:rPr>
                <w:rFonts w:ascii="Times New Roman" w:hAnsi="Times New Roman" w:cs="Times New Roman"/>
                <w:b/>
                <w:bCs/>
                <w:color w:val="000000"/>
                <w:sz w:val="14"/>
                <w:szCs w:val="14"/>
              </w:rPr>
              <w:t>2012 OS</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C6629" w:rsidP="00DE6810">
            <w:pPr>
              <w:bidi w:val="0"/>
              <w:jc w:val="center"/>
              <w:rPr>
                <w:rFonts w:ascii="Times New Roman" w:hAnsi="Times New Roman" w:cs="Times New Roman"/>
                <w:b/>
                <w:bCs/>
                <w:color w:val="000000"/>
                <w:sz w:val="14"/>
                <w:szCs w:val="14"/>
              </w:rPr>
            </w:pPr>
            <w:r w:rsidRPr="009C6629">
              <w:rPr>
                <w:rFonts w:ascii="Times New Roman" w:hAnsi="Times New Roman" w:cs="Times New Roman"/>
                <w:b/>
                <w:bCs/>
                <w:color w:val="000000"/>
                <w:sz w:val="14"/>
                <w:szCs w:val="14"/>
              </w:rPr>
              <w:t xml:space="preserve">2013 </w:t>
            </w:r>
            <w:r w:rsidR="00DE6810">
              <w:rPr>
                <w:rFonts w:ascii="Times New Roman" w:hAnsi="Times New Roman" w:cs="Times New Roman"/>
                <w:b/>
                <w:bCs/>
                <w:color w:val="000000"/>
                <w:sz w:val="14"/>
                <w:szCs w:val="14"/>
              </w:rPr>
              <w:t>N</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C6629" w:rsidP="006338E5">
            <w:pPr>
              <w:bidi w:val="0"/>
              <w:jc w:val="center"/>
              <w:rPr>
                <w:rFonts w:ascii="Times New Roman" w:hAnsi="Times New Roman" w:cs="Times New Roman"/>
                <w:b/>
                <w:bCs/>
                <w:color w:val="000000"/>
                <w:sz w:val="14"/>
                <w:szCs w:val="14"/>
              </w:rPr>
            </w:pPr>
            <w:r w:rsidRPr="009C6629">
              <w:rPr>
                <w:rFonts w:ascii="Times New Roman" w:hAnsi="Times New Roman" w:cs="Times New Roman"/>
                <w:b/>
                <w:bCs/>
                <w:color w:val="000000"/>
                <w:sz w:val="14"/>
                <w:szCs w:val="14"/>
              </w:rPr>
              <w:t>2014 N</w:t>
            </w:r>
          </w:p>
        </w:tc>
        <w:tc>
          <w:tcPr>
            <w:tcW w:w="95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C6629" w:rsidP="006338E5">
            <w:pPr>
              <w:bidi w:val="0"/>
              <w:jc w:val="center"/>
              <w:rPr>
                <w:rFonts w:ascii="Times New Roman" w:hAnsi="Times New Roman" w:cs="Times New Roman"/>
                <w:b/>
                <w:bCs/>
                <w:color w:val="000000"/>
                <w:sz w:val="14"/>
                <w:szCs w:val="14"/>
              </w:rPr>
            </w:pPr>
            <w:r w:rsidRPr="009C6629">
              <w:rPr>
                <w:rFonts w:ascii="Times New Roman" w:hAnsi="Times New Roman" w:cs="Times New Roman"/>
                <w:b/>
                <w:bCs/>
                <w:color w:val="000000"/>
                <w:sz w:val="14"/>
                <w:szCs w:val="14"/>
              </w:rPr>
              <w:t>2015 N</w:t>
            </w:r>
          </w:p>
        </w:tc>
      </w:tr>
      <w:tr>
        <w:tblPrEx>
          <w:tblW w:w="9428"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9C6629" w:rsidP="006338E5">
            <w:pPr>
              <w:bidi w:val="0"/>
              <w:rPr>
                <w:rFonts w:ascii="Times New Roman" w:hAnsi="Times New Roman" w:cs="Times New Roman"/>
                <w:b/>
                <w:bCs/>
                <w:color w:val="000000"/>
                <w:sz w:val="14"/>
                <w:szCs w:val="14"/>
              </w:rPr>
            </w:pPr>
            <w:r w:rsidRPr="009C6629">
              <w:rPr>
                <w:rFonts w:ascii="Times New Roman" w:hAnsi="Times New Roman" w:cs="Times New Roman"/>
                <w:b/>
                <w:bCs/>
                <w:color w:val="000000"/>
                <w:sz w:val="14"/>
                <w:szCs w:val="14"/>
              </w:rPr>
              <w:t>Vodné hospodárstvo</w:t>
            </w:r>
          </w:p>
        </w:tc>
        <w:tc>
          <w:tcPr>
            <w:tcW w:w="952" w:type="dxa"/>
            <w:tcBorders>
              <w:top w:val="nil"/>
              <w:left w:val="nil"/>
              <w:bottom w:val="single" w:sz="4" w:space="0" w:color="auto"/>
              <w:right w:val="single" w:sz="4" w:space="0" w:color="auto"/>
            </w:tcBorders>
            <w:shd w:val="clear" w:color="000000" w:fill="C0C0C0"/>
            <w:noWrap/>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102 228 199</w:t>
            </w:r>
          </w:p>
        </w:tc>
        <w:tc>
          <w:tcPr>
            <w:tcW w:w="952" w:type="dxa"/>
            <w:tcBorders>
              <w:top w:val="nil"/>
              <w:left w:val="nil"/>
              <w:bottom w:val="single" w:sz="4" w:space="0" w:color="auto"/>
              <w:right w:val="single" w:sz="4" w:space="0" w:color="auto"/>
            </w:tcBorders>
            <w:shd w:val="clear" w:color="000000" w:fill="C0C0C0"/>
            <w:noWrap/>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202 022 007</w:t>
            </w:r>
          </w:p>
        </w:tc>
        <w:tc>
          <w:tcPr>
            <w:tcW w:w="952" w:type="dxa"/>
            <w:tcBorders>
              <w:top w:val="nil"/>
              <w:left w:val="nil"/>
              <w:bottom w:val="single" w:sz="4" w:space="0" w:color="auto"/>
              <w:right w:val="single" w:sz="4" w:space="0" w:color="auto"/>
            </w:tcBorders>
            <w:shd w:val="clear" w:color="000000" w:fill="C0C0C0"/>
            <w:noWrap/>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241 005 340</w:t>
            </w:r>
          </w:p>
        </w:tc>
        <w:tc>
          <w:tcPr>
            <w:tcW w:w="952" w:type="dxa"/>
            <w:tcBorders>
              <w:top w:val="nil"/>
              <w:left w:val="nil"/>
              <w:bottom w:val="single" w:sz="4" w:space="0" w:color="auto"/>
              <w:right w:val="single" w:sz="4" w:space="0" w:color="auto"/>
            </w:tcBorders>
            <w:shd w:val="clear" w:color="000000" w:fill="C0C0C0"/>
            <w:noWrap/>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248 930 618</w:t>
            </w:r>
          </w:p>
        </w:tc>
        <w:tc>
          <w:tcPr>
            <w:tcW w:w="952" w:type="dxa"/>
            <w:tcBorders>
              <w:top w:val="nil"/>
              <w:left w:val="nil"/>
              <w:bottom w:val="single" w:sz="4" w:space="0" w:color="auto"/>
              <w:right w:val="single" w:sz="4" w:space="0" w:color="auto"/>
            </w:tcBorders>
            <w:shd w:val="clear" w:color="000000" w:fill="C0C0C0"/>
            <w:noWrap/>
            <w:textDirection w:val="lrTb"/>
            <w:vAlign w:val="center"/>
            <w:hideMark/>
          </w:tcPr>
          <w:p w:rsidR="009D2A34" w:rsidRPr="006A7CDD" w:rsidP="006338E5">
            <w:pPr>
              <w:bidi w:val="0"/>
              <w:jc w:val="right"/>
              <w:rPr>
                <w:rFonts w:ascii="Times New Roman" w:hAnsi="Times New Roman" w:cs="Times New Roman"/>
                <w:b/>
                <w:bCs/>
                <w:color w:val="000000"/>
                <w:sz w:val="14"/>
                <w:szCs w:val="14"/>
              </w:rPr>
            </w:pPr>
            <w:r w:rsidRPr="006A7CDD">
              <w:rPr>
                <w:rFonts w:ascii="Times New Roman" w:hAnsi="Times New Roman" w:cs="Times New Roman"/>
                <w:b/>
                <w:bCs/>
                <w:color w:val="000000"/>
                <w:sz w:val="14"/>
                <w:szCs w:val="14"/>
              </w:rPr>
              <w:t>388 484 017</w:t>
            </w:r>
          </w:p>
        </w:tc>
        <w:tc>
          <w:tcPr>
            <w:tcW w:w="952" w:type="dxa"/>
            <w:tcBorders>
              <w:top w:val="nil"/>
              <w:left w:val="nil"/>
              <w:bottom w:val="single" w:sz="4" w:space="0" w:color="auto"/>
              <w:right w:val="single" w:sz="4" w:space="0" w:color="auto"/>
            </w:tcBorders>
            <w:shd w:val="clear" w:color="000000" w:fill="C0C0C0"/>
            <w:noWrap/>
            <w:textDirection w:val="lrTb"/>
            <w:vAlign w:val="center"/>
            <w:hideMark/>
          </w:tcPr>
          <w:p w:rsidR="009D2A34" w:rsidRPr="006A7CDD" w:rsidP="006338E5">
            <w:pPr>
              <w:bidi w:val="0"/>
              <w:jc w:val="right"/>
              <w:rPr>
                <w:rFonts w:ascii="Times New Roman" w:hAnsi="Times New Roman" w:cs="Times New Roman"/>
                <w:b/>
                <w:bCs/>
                <w:color w:val="000000"/>
                <w:sz w:val="14"/>
                <w:szCs w:val="14"/>
              </w:rPr>
            </w:pPr>
            <w:r w:rsidRPr="006A7CDD">
              <w:rPr>
                <w:rFonts w:ascii="Times New Roman" w:hAnsi="Times New Roman" w:cs="Times New Roman"/>
                <w:b/>
                <w:bCs/>
                <w:color w:val="000000"/>
                <w:sz w:val="14"/>
                <w:szCs w:val="14"/>
              </w:rPr>
              <w:t>252 488 587</w:t>
            </w:r>
          </w:p>
        </w:tc>
        <w:tc>
          <w:tcPr>
            <w:tcW w:w="952" w:type="dxa"/>
            <w:tcBorders>
              <w:top w:val="nil"/>
              <w:left w:val="nil"/>
              <w:bottom w:val="single" w:sz="4" w:space="0" w:color="auto"/>
              <w:right w:val="single" w:sz="4" w:space="0" w:color="auto"/>
            </w:tcBorders>
            <w:shd w:val="clear" w:color="000000" w:fill="C0C0C0"/>
            <w:noWrap/>
            <w:textDirection w:val="lrTb"/>
            <w:vAlign w:val="center"/>
            <w:hideMark/>
          </w:tcPr>
          <w:p w:rsidR="009D2A34" w:rsidRPr="006A7CDD" w:rsidP="006338E5">
            <w:pPr>
              <w:bidi w:val="0"/>
              <w:jc w:val="right"/>
              <w:rPr>
                <w:rFonts w:ascii="Times New Roman" w:hAnsi="Times New Roman" w:cs="Times New Roman"/>
                <w:b/>
                <w:bCs/>
                <w:color w:val="000000"/>
                <w:sz w:val="14"/>
                <w:szCs w:val="14"/>
              </w:rPr>
            </w:pPr>
            <w:r w:rsidRPr="006A7CDD">
              <w:rPr>
                <w:rFonts w:ascii="Times New Roman" w:hAnsi="Times New Roman" w:cs="Times New Roman"/>
                <w:b/>
                <w:bCs/>
                <w:color w:val="000000"/>
                <w:sz w:val="14"/>
                <w:szCs w:val="14"/>
              </w:rPr>
              <w:t>265 166 286</w:t>
            </w:r>
          </w:p>
        </w:tc>
      </w:tr>
      <w:tr>
        <w:tblPrEx>
          <w:tblW w:w="9428"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9D2A34" w:rsidRPr="009C6629" w:rsidP="006338E5">
            <w:pPr>
              <w:bidi w:val="0"/>
              <w:rPr>
                <w:rFonts w:ascii="Times New Roman" w:hAnsi="Times New Roman" w:cs="Times New Roman"/>
                <w:color w:val="000000"/>
                <w:sz w:val="14"/>
                <w:szCs w:val="14"/>
              </w:rPr>
            </w:pPr>
            <w:r w:rsidRPr="009C6629">
              <w:rPr>
                <w:rFonts w:ascii="Times New Roman" w:hAnsi="Times New Roman" w:cs="Times New Roman"/>
                <w:color w:val="000000"/>
                <w:sz w:val="14"/>
                <w:szCs w:val="14"/>
              </w:rPr>
              <w:t>rozpočtové zdroje kapitoly, v tom:</w:t>
            </w:r>
          </w:p>
        </w:tc>
        <w:tc>
          <w:tcPr>
            <w:tcW w:w="952" w:type="dxa"/>
            <w:tcBorders>
              <w:top w:val="nil"/>
              <w:left w:val="nil"/>
              <w:bottom w:val="single" w:sz="4" w:space="0" w:color="auto"/>
              <w:right w:val="single" w:sz="4" w:space="0" w:color="auto"/>
            </w:tcBorders>
            <w:shd w:val="clear" w:color="000000" w:fill="FFFFFF"/>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41 927 950</w:t>
            </w:r>
          </w:p>
        </w:tc>
        <w:tc>
          <w:tcPr>
            <w:tcW w:w="952" w:type="dxa"/>
            <w:tcBorders>
              <w:top w:val="nil"/>
              <w:left w:val="nil"/>
              <w:bottom w:val="single" w:sz="4" w:space="0" w:color="auto"/>
              <w:right w:val="single" w:sz="4" w:space="0" w:color="auto"/>
            </w:tcBorders>
            <w:shd w:val="clear" w:color="000000" w:fill="FFFFFF"/>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32 692 583</w:t>
            </w:r>
          </w:p>
        </w:tc>
        <w:tc>
          <w:tcPr>
            <w:tcW w:w="952" w:type="dxa"/>
            <w:tcBorders>
              <w:top w:val="nil"/>
              <w:left w:val="nil"/>
              <w:bottom w:val="single" w:sz="4" w:space="0" w:color="auto"/>
              <w:right w:val="single" w:sz="4" w:space="0" w:color="auto"/>
            </w:tcBorders>
            <w:shd w:val="clear" w:color="000000" w:fill="FFFFFF"/>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4 901 150</w:t>
            </w:r>
          </w:p>
        </w:tc>
        <w:tc>
          <w:tcPr>
            <w:tcW w:w="952" w:type="dxa"/>
            <w:tcBorders>
              <w:top w:val="nil"/>
              <w:left w:val="nil"/>
              <w:bottom w:val="single" w:sz="4" w:space="0" w:color="auto"/>
              <w:right w:val="single" w:sz="4" w:space="0" w:color="auto"/>
            </w:tcBorders>
            <w:shd w:val="clear" w:color="000000" w:fill="FFFFFF"/>
            <w:noWrap/>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5 215 402</w:t>
            </w:r>
          </w:p>
        </w:tc>
        <w:tc>
          <w:tcPr>
            <w:tcW w:w="952" w:type="dxa"/>
            <w:tcBorders>
              <w:top w:val="nil"/>
              <w:left w:val="nil"/>
              <w:bottom w:val="single" w:sz="4" w:space="0" w:color="auto"/>
              <w:right w:val="single" w:sz="4" w:space="0" w:color="auto"/>
            </w:tcBorders>
            <w:shd w:val="clear" w:color="000000" w:fill="FFFFFF"/>
            <w:noWrap/>
            <w:textDirection w:val="lrTb"/>
            <w:vAlign w:val="center"/>
            <w:hideMark/>
          </w:tcPr>
          <w:p w:rsidR="009D2A34" w:rsidRPr="006A7CDD" w:rsidP="006338E5">
            <w:pPr>
              <w:bidi w:val="0"/>
              <w:jc w:val="right"/>
              <w:rPr>
                <w:rFonts w:ascii="Times New Roman" w:hAnsi="Times New Roman" w:cs="Times New Roman"/>
                <w:bCs/>
                <w:color w:val="000000"/>
                <w:sz w:val="14"/>
                <w:szCs w:val="14"/>
              </w:rPr>
            </w:pPr>
            <w:r w:rsidRPr="006A7CDD">
              <w:rPr>
                <w:rFonts w:ascii="Times New Roman" w:hAnsi="Times New Roman" w:cs="Times New Roman"/>
                <w:bCs/>
                <w:color w:val="000000"/>
                <w:sz w:val="14"/>
                <w:szCs w:val="14"/>
              </w:rPr>
              <w:t>15 159 121</w:t>
            </w:r>
          </w:p>
        </w:tc>
        <w:tc>
          <w:tcPr>
            <w:tcW w:w="952" w:type="dxa"/>
            <w:tcBorders>
              <w:top w:val="nil"/>
              <w:left w:val="nil"/>
              <w:bottom w:val="single" w:sz="4" w:space="0" w:color="auto"/>
              <w:right w:val="single" w:sz="4" w:space="0" w:color="auto"/>
            </w:tcBorders>
            <w:shd w:val="clear" w:color="000000" w:fill="FFFFFF"/>
            <w:noWrap/>
            <w:textDirection w:val="lrTb"/>
            <w:vAlign w:val="center"/>
            <w:hideMark/>
          </w:tcPr>
          <w:p w:rsidR="009D2A34" w:rsidRPr="006A7CDD" w:rsidP="006338E5">
            <w:pPr>
              <w:bidi w:val="0"/>
              <w:jc w:val="right"/>
              <w:rPr>
                <w:rFonts w:ascii="Times New Roman" w:hAnsi="Times New Roman" w:cs="Times New Roman"/>
                <w:bCs/>
                <w:color w:val="000000"/>
                <w:sz w:val="14"/>
                <w:szCs w:val="14"/>
              </w:rPr>
            </w:pPr>
            <w:r w:rsidRPr="006A7CDD">
              <w:rPr>
                <w:rFonts w:ascii="Times New Roman" w:hAnsi="Times New Roman" w:cs="Times New Roman"/>
                <w:bCs/>
                <w:color w:val="000000"/>
                <w:sz w:val="14"/>
                <w:szCs w:val="14"/>
              </w:rPr>
              <w:t>5 159 121</w:t>
            </w:r>
          </w:p>
        </w:tc>
        <w:tc>
          <w:tcPr>
            <w:tcW w:w="952" w:type="dxa"/>
            <w:tcBorders>
              <w:top w:val="nil"/>
              <w:left w:val="nil"/>
              <w:bottom w:val="single" w:sz="4" w:space="0" w:color="auto"/>
              <w:right w:val="single" w:sz="4" w:space="0" w:color="auto"/>
            </w:tcBorders>
            <w:shd w:val="clear" w:color="000000" w:fill="FFFFFF"/>
            <w:noWrap/>
            <w:textDirection w:val="lrTb"/>
            <w:vAlign w:val="center"/>
            <w:hideMark/>
          </w:tcPr>
          <w:p w:rsidR="009D2A34" w:rsidRPr="006A7CDD" w:rsidP="006338E5">
            <w:pPr>
              <w:bidi w:val="0"/>
              <w:jc w:val="right"/>
              <w:rPr>
                <w:rFonts w:ascii="Times New Roman" w:hAnsi="Times New Roman" w:cs="Times New Roman"/>
                <w:bCs/>
                <w:color w:val="000000"/>
                <w:sz w:val="14"/>
                <w:szCs w:val="14"/>
              </w:rPr>
            </w:pPr>
            <w:r w:rsidRPr="006A7CDD">
              <w:rPr>
                <w:rFonts w:ascii="Times New Roman" w:hAnsi="Times New Roman" w:cs="Times New Roman"/>
                <w:bCs/>
                <w:color w:val="000000"/>
                <w:sz w:val="14"/>
                <w:szCs w:val="14"/>
              </w:rPr>
              <w:t>5 159 121</w:t>
            </w:r>
          </w:p>
        </w:tc>
      </w:tr>
      <w:tr>
        <w:tblPrEx>
          <w:tblW w:w="9428"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C6629" w:rsidP="006338E5">
            <w:pPr>
              <w:bidi w:val="0"/>
              <w:rPr>
                <w:rFonts w:ascii="Times New Roman" w:hAnsi="Times New Roman" w:cs="Times New Roman"/>
                <w:i/>
                <w:color w:val="000000"/>
                <w:sz w:val="14"/>
                <w:szCs w:val="14"/>
              </w:rPr>
            </w:pPr>
            <w:r w:rsidRPr="009C6629">
              <w:rPr>
                <w:rFonts w:ascii="Times New Roman" w:hAnsi="Times New Roman" w:cs="Times New Roman"/>
                <w:i/>
                <w:color w:val="000000"/>
                <w:sz w:val="14"/>
                <w:szCs w:val="14"/>
              </w:rPr>
              <w:t>Výskumný ústav vodného hospodárstva</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2 233 672</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2 076 862</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1 996 862</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1 996 862</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i/>
                <w:color w:val="000000"/>
                <w:sz w:val="14"/>
                <w:szCs w:val="14"/>
              </w:rPr>
            </w:pPr>
            <w:r w:rsidRPr="006A7CDD">
              <w:rPr>
                <w:rFonts w:ascii="Times New Roman" w:hAnsi="Times New Roman" w:cs="Times New Roman"/>
                <w:bCs/>
                <w:i/>
                <w:color w:val="000000"/>
                <w:sz w:val="14"/>
                <w:szCs w:val="14"/>
              </w:rPr>
              <w:t>1 926 972</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i/>
                <w:color w:val="000000"/>
                <w:sz w:val="14"/>
                <w:szCs w:val="14"/>
              </w:rPr>
            </w:pPr>
            <w:r w:rsidRPr="006A7CDD">
              <w:rPr>
                <w:rFonts w:ascii="Times New Roman" w:hAnsi="Times New Roman" w:cs="Times New Roman"/>
                <w:bCs/>
                <w:i/>
                <w:color w:val="000000"/>
                <w:sz w:val="14"/>
                <w:szCs w:val="14"/>
              </w:rPr>
              <w:t>1 926 972</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i/>
                <w:color w:val="000000"/>
                <w:sz w:val="14"/>
                <w:szCs w:val="14"/>
              </w:rPr>
            </w:pPr>
            <w:r w:rsidRPr="006A7CDD">
              <w:rPr>
                <w:rFonts w:ascii="Times New Roman" w:hAnsi="Times New Roman" w:cs="Times New Roman"/>
                <w:bCs/>
                <w:i/>
                <w:color w:val="000000"/>
                <w:sz w:val="14"/>
                <w:szCs w:val="14"/>
              </w:rPr>
              <w:t>1 926 972</w:t>
            </w:r>
          </w:p>
        </w:tc>
      </w:tr>
      <w:tr>
        <w:tblPrEx>
          <w:tblW w:w="9428"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C6629" w:rsidP="006338E5">
            <w:pPr>
              <w:bidi w:val="0"/>
              <w:rPr>
                <w:rFonts w:ascii="Times New Roman" w:hAnsi="Times New Roman" w:cs="Times New Roman"/>
                <w:i/>
                <w:color w:val="000000"/>
                <w:sz w:val="14"/>
                <w:szCs w:val="14"/>
              </w:rPr>
            </w:pPr>
            <w:r w:rsidRPr="009C6629">
              <w:rPr>
                <w:rFonts w:ascii="Times New Roman" w:hAnsi="Times New Roman" w:cs="Times New Roman"/>
                <w:i/>
                <w:color w:val="000000"/>
                <w:sz w:val="14"/>
                <w:szCs w:val="14"/>
              </w:rPr>
              <w:t>Slovenský hydrometeorologický ústav</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4 839 360</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3 020 612</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2 904 288</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2 904 414</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i/>
                <w:color w:val="000000"/>
                <w:sz w:val="14"/>
                <w:szCs w:val="14"/>
              </w:rPr>
            </w:pPr>
            <w:r w:rsidRPr="006A7CDD">
              <w:rPr>
                <w:rFonts w:ascii="Times New Roman" w:hAnsi="Times New Roman" w:cs="Times New Roman"/>
                <w:bCs/>
                <w:i/>
                <w:color w:val="000000"/>
                <w:sz w:val="14"/>
                <w:szCs w:val="14"/>
              </w:rPr>
              <w:t>3 232 149</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i/>
                <w:color w:val="000000"/>
                <w:sz w:val="14"/>
                <w:szCs w:val="14"/>
              </w:rPr>
            </w:pPr>
            <w:r w:rsidRPr="006A7CDD">
              <w:rPr>
                <w:rFonts w:ascii="Times New Roman" w:hAnsi="Times New Roman" w:cs="Times New Roman"/>
                <w:bCs/>
                <w:i/>
                <w:color w:val="000000"/>
                <w:sz w:val="14"/>
                <w:szCs w:val="14"/>
              </w:rPr>
              <w:t>3 232 149</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i/>
                <w:color w:val="000000"/>
                <w:sz w:val="14"/>
                <w:szCs w:val="14"/>
              </w:rPr>
            </w:pPr>
            <w:r w:rsidRPr="006A7CDD">
              <w:rPr>
                <w:rFonts w:ascii="Times New Roman" w:hAnsi="Times New Roman" w:cs="Times New Roman"/>
                <w:bCs/>
                <w:i/>
                <w:color w:val="000000"/>
                <w:sz w:val="14"/>
                <w:szCs w:val="14"/>
              </w:rPr>
              <w:t>3 232 149</w:t>
            </w:r>
          </w:p>
        </w:tc>
      </w:tr>
      <w:tr>
        <w:tblPrEx>
          <w:tblW w:w="9428"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9C6629" w:rsidP="006338E5">
            <w:pPr>
              <w:bidi w:val="0"/>
              <w:rPr>
                <w:rFonts w:ascii="Times New Roman" w:hAnsi="Times New Roman" w:cs="Times New Roman"/>
                <w:i/>
                <w:color w:val="000000"/>
                <w:sz w:val="14"/>
                <w:szCs w:val="14"/>
              </w:rPr>
            </w:pPr>
            <w:r w:rsidRPr="009C6629">
              <w:rPr>
                <w:rFonts w:ascii="Times New Roman" w:hAnsi="Times New Roman" w:cs="Times New Roman"/>
                <w:i/>
                <w:color w:val="000000"/>
                <w:sz w:val="14"/>
                <w:szCs w:val="14"/>
              </w:rPr>
              <w:t>Ústred</w:t>
            </w:r>
            <w:r>
              <w:rPr>
                <w:rFonts w:ascii="Times New Roman" w:hAnsi="Times New Roman" w:cs="Times New Roman"/>
                <w:i/>
                <w:color w:val="000000"/>
                <w:sz w:val="14"/>
                <w:szCs w:val="14"/>
              </w:rPr>
              <w:t>ný orgán – neregulované platby SVP</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34 854 918</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27 595 109</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0</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314 126</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i/>
                <w:color w:val="000000"/>
                <w:sz w:val="14"/>
                <w:szCs w:val="14"/>
              </w:rPr>
            </w:pPr>
            <w:r w:rsidRPr="006A7CDD">
              <w:rPr>
                <w:rFonts w:ascii="Times New Roman" w:hAnsi="Times New Roman" w:cs="Times New Roman"/>
                <w:bCs/>
                <w:i/>
                <w:color w:val="000000"/>
                <w:sz w:val="14"/>
                <w:szCs w:val="14"/>
              </w:rPr>
              <w:t>10 000 000</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i/>
                <w:color w:val="000000"/>
                <w:sz w:val="14"/>
                <w:szCs w:val="14"/>
              </w:rPr>
            </w:pPr>
            <w:r w:rsidRPr="006A7CDD">
              <w:rPr>
                <w:rFonts w:ascii="Times New Roman" w:hAnsi="Times New Roman" w:cs="Times New Roman"/>
                <w:bCs/>
                <w:i/>
                <w:color w:val="000000"/>
                <w:sz w:val="14"/>
                <w:szCs w:val="14"/>
              </w:rPr>
              <w:t>0</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i/>
                <w:color w:val="000000"/>
                <w:sz w:val="14"/>
                <w:szCs w:val="14"/>
              </w:rPr>
            </w:pPr>
            <w:r w:rsidRPr="006A7CDD">
              <w:rPr>
                <w:rFonts w:ascii="Times New Roman" w:hAnsi="Times New Roman" w:cs="Times New Roman"/>
                <w:bCs/>
                <w:i/>
                <w:color w:val="000000"/>
                <w:sz w:val="14"/>
                <w:szCs w:val="14"/>
              </w:rPr>
              <w:t>0</w:t>
            </w:r>
          </w:p>
        </w:tc>
      </w:tr>
      <w:tr>
        <w:tblPrEx>
          <w:tblW w:w="9428"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9D2A34" w:rsidRPr="009C6629" w:rsidP="006338E5">
            <w:pPr>
              <w:bidi w:val="0"/>
              <w:rPr>
                <w:rFonts w:ascii="Times New Roman" w:hAnsi="Times New Roman" w:cs="Times New Roman"/>
                <w:color w:val="000000"/>
                <w:sz w:val="14"/>
                <w:szCs w:val="14"/>
              </w:rPr>
            </w:pPr>
            <w:r w:rsidRPr="009C6629">
              <w:rPr>
                <w:rFonts w:ascii="Times New Roman" w:hAnsi="Times New Roman" w:cs="Times New Roman"/>
                <w:color w:val="000000"/>
                <w:sz w:val="14"/>
                <w:szCs w:val="14"/>
              </w:rPr>
              <w:t xml:space="preserve">zdroje EÚ </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8 699 385</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142 583 118</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205 006 844</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205 006 844</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color w:val="000000"/>
                <w:sz w:val="14"/>
                <w:szCs w:val="14"/>
              </w:rPr>
            </w:pPr>
            <w:r w:rsidRPr="006A7CDD">
              <w:rPr>
                <w:rFonts w:ascii="Times New Roman" w:hAnsi="Times New Roman" w:cs="Times New Roman"/>
                <w:bCs/>
                <w:color w:val="000000"/>
                <w:sz w:val="14"/>
                <w:szCs w:val="14"/>
              </w:rPr>
              <w:t>325 764 928</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color w:val="000000"/>
                <w:sz w:val="14"/>
                <w:szCs w:val="14"/>
              </w:rPr>
            </w:pPr>
            <w:r w:rsidRPr="006A7CDD">
              <w:rPr>
                <w:rFonts w:ascii="Times New Roman" w:hAnsi="Times New Roman" w:cs="Times New Roman"/>
                <w:bCs/>
                <w:color w:val="000000"/>
                <w:sz w:val="14"/>
                <w:szCs w:val="14"/>
              </w:rPr>
              <w:t>212 833 913</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color w:val="000000"/>
                <w:sz w:val="14"/>
                <w:szCs w:val="14"/>
              </w:rPr>
            </w:pPr>
            <w:r w:rsidRPr="006A7CDD">
              <w:rPr>
                <w:rFonts w:ascii="Times New Roman" w:hAnsi="Times New Roman" w:cs="Times New Roman"/>
                <w:bCs/>
                <w:color w:val="000000"/>
                <w:sz w:val="14"/>
                <w:szCs w:val="14"/>
              </w:rPr>
              <w:t>222 197 250</w:t>
            </w:r>
          </w:p>
        </w:tc>
      </w:tr>
      <w:tr>
        <w:tblPrEx>
          <w:tblW w:w="9428"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9D2A34" w:rsidRPr="009C6629" w:rsidP="006338E5">
            <w:pPr>
              <w:bidi w:val="0"/>
              <w:rPr>
                <w:rFonts w:ascii="Times New Roman" w:hAnsi="Times New Roman" w:cs="Times New Roman"/>
                <w:color w:val="000000"/>
                <w:sz w:val="14"/>
                <w:szCs w:val="14"/>
              </w:rPr>
            </w:pPr>
            <w:r w:rsidRPr="009C6629">
              <w:rPr>
                <w:rFonts w:ascii="Times New Roman" w:hAnsi="Times New Roman" w:cs="Times New Roman"/>
                <w:color w:val="000000"/>
                <w:sz w:val="14"/>
                <w:szCs w:val="14"/>
              </w:rPr>
              <w:t>spolufinancovanie zo ŠR</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2 671 642</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21 587 204</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31 097 346</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31 097 346</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color w:val="000000"/>
                <w:sz w:val="14"/>
                <w:szCs w:val="14"/>
              </w:rPr>
            </w:pPr>
            <w:r w:rsidRPr="006A7CDD">
              <w:rPr>
                <w:rFonts w:ascii="Times New Roman" w:hAnsi="Times New Roman" w:cs="Times New Roman"/>
                <w:bCs/>
                <w:color w:val="000000"/>
                <w:sz w:val="14"/>
                <w:szCs w:val="14"/>
              </w:rPr>
              <w:t>47 559 968</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color w:val="000000"/>
                <w:sz w:val="14"/>
                <w:szCs w:val="14"/>
              </w:rPr>
            </w:pPr>
            <w:r w:rsidRPr="006A7CDD">
              <w:rPr>
                <w:rFonts w:ascii="Times New Roman" w:hAnsi="Times New Roman" w:cs="Times New Roman"/>
                <w:bCs/>
                <w:color w:val="000000"/>
                <w:sz w:val="14"/>
                <w:szCs w:val="14"/>
              </w:rPr>
              <w:t>34 495 553</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bCs/>
                <w:color w:val="000000"/>
                <w:sz w:val="14"/>
                <w:szCs w:val="14"/>
              </w:rPr>
            </w:pPr>
            <w:r w:rsidRPr="006A7CDD">
              <w:rPr>
                <w:rFonts w:ascii="Times New Roman" w:hAnsi="Times New Roman" w:cs="Times New Roman"/>
                <w:bCs/>
                <w:color w:val="000000"/>
                <w:sz w:val="14"/>
                <w:szCs w:val="14"/>
              </w:rPr>
              <w:t>37 809 915</w:t>
            </w:r>
          </w:p>
        </w:tc>
      </w:tr>
      <w:tr>
        <w:tblPrEx>
          <w:tblW w:w="9428" w:type="dxa"/>
          <w:tblLayout w:type="fixed"/>
          <w:tblCellMar>
            <w:left w:w="70" w:type="dxa"/>
            <w:right w:w="70" w:type="dxa"/>
          </w:tblCellMar>
          <w:tblLook w:val="04A0"/>
        </w:tblPrEx>
        <w:trPr>
          <w:trHeight w:val="255"/>
        </w:trPr>
        <w:tc>
          <w:tcPr>
            <w:tcW w:w="2764"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C6629" w:rsidP="006338E5">
            <w:pPr>
              <w:bidi w:val="0"/>
              <w:rPr>
                <w:rFonts w:ascii="Times New Roman" w:hAnsi="Times New Roman" w:cs="Times New Roman"/>
                <w:color w:val="000000"/>
                <w:sz w:val="14"/>
                <w:szCs w:val="14"/>
              </w:rPr>
            </w:pPr>
            <w:r w:rsidRPr="009C6629">
              <w:rPr>
                <w:rFonts w:ascii="Times New Roman" w:hAnsi="Times New Roman" w:cs="Times New Roman"/>
                <w:color w:val="000000"/>
                <w:sz w:val="14"/>
                <w:szCs w:val="14"/>
              </w:rPr>
              <w:t>presun z minulých rokov</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48 929 223</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5 159 103</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0</w:t>
            </w:r>
          </w:p>
        </w:tc>
        <w:tc>
          <w:tcPr>
            <w:tcW w:w="952" w:type="dxa"/>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7 611 026</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color w:val="000000"/>
                <w:sz w:val="14"/>
                <w:szCs w:val="14"/>
              </w:rPr>
            </w:pPr>
            <w:r w:rsidRPr="006A7CDD">
              <w:rPr>
                <w:rFonts w:ascii="Times New Roman" w:hAnsi="Times New Roman" w:cs="Times New Roman"/>
                <w:color w:val="000000"/>
                <w:sz w:val="14"/>
                <w:szCs w:val="14"/>
              </w:rPr>
              <w:t>0</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color w:val="000000"/>
                <w:sz w:val="14"/>
                <w:szCs w:val="14"/>
              </w:rPr>
            </w:pPr>
            <w:r w:rsidRPr="006A7CDD">
              <w:rPr>
                <w:rFonts w:ascii="Times New Roman" w:hAnsi="Times New Roman" w:cs="Times New Roman"/>
                <w:color w:val="000000"/>
                <w:sz w:val="14"/>
                <w:szCs w:val="14"/>
              </w:rPr>
              <w:t>0</w:t>
            </w:r>
          </w:p>
        </w:tc>
        <w:tc>
          <w:tcPr>
            <w:tcW w:w="952" w:type="dxa"/>
            <w:tcBorders>
              <w:top w:val="nil"/>
              <w:left w:val="nil"/>
              <w:bottom w:val="single" w:sz="4" w:space="0" w:color="auto"/>
              <w:right w:val="single" w:sz="4" w:space="0" w:color="auto"/>
            </w:tcBorders>
            <w:textDirection w:val="lrTb"/>
            <w:vAlign w:val="center"/>
            <w:hideMark/>
          </w:tcPr>
          <w:p w:rsidR="009D2A34" w:rsidRPr="006A7CDD" w:rsidP="006338E5">
            <w:pPr>
              <w:bidi w:val="0"/>
              <w:jc w:val="right"/>
              <w:rPr>
                <w:rFonts w:ascii="Times New Roman" w:hAnsi="Times New Roman" w:cs="Times New Roman"/>
                <w:color w:val="000000"/>
                <w:sz w:val="14"/>
                <w:szCs w:val="14"/>
              </w:rPr>
            </w:pPr>
            <w:r w:rsidRPr="006A7CDD">
              <w:rPr>
                <w:rFonts w:ascii="Times New Roman" w:hAnsi="Times New Roman" w:cs="Times New Roman"/>
                <w:color w:val="000000"/>
                <w:sz w:val="14"/>
                <w:szCs w:val="14"/>
              </w:rPr>
              <w:t>0</w:t>
            </w:r>
          </w:p>
        </w:tc>
      </w:tr>
    </w:tbl>
    <w:p w:rsidR="009D2A34" w:rsidRPr="00124FFC" w:rsidP="009D2A34">
      <w:pPr>
        <w:bidi w:val="0"/>
        <w:jc w:val="both"/>
        <w:rPr>
          <w:rFonts w:ascii="Times New Roman" w:hAnsi="Times New Roman" w:cs="Times New Roman"/>
          <w:sz w:val="14"/>
          <w:szCs w:val="14"/>
        </w:rPr>
      </w:pPr>
      <w:r w:rsidRPr="00124FFC">
        <w:rPr>
          <w:rFonts w:ascii="Times New Roman" w:hAnsi="Times New Roman" w:cs="Times New Roman"/>
          <w:sz w:val="14"/>
          <w:szCs w:val="14"/>
        </w:rPr>
        <w:t>* Čerpanie bolo ovplyvnené dočasným zánikom kapitoly MŽP SR</w:t>
      </w:r>
    </w:p>
    <w:p w:rsidR="009D2A34" w:rsidP="009D2A34">
      <w:pPr>
        <w:bidi w:val="0"/>
        <w:ind w:firstLine="708"/>
        <w:jc w:val="both"/>
        <w:rPr>
          <w:rFonts w:ascii="Times New Roman" w:hAnsi="Times New Roman" w:cs="Times New Roman"/>
        </w:rPr>
      </w:pPr>
    </w:p>
    <w:p w:rsidR="009D2A34" w:rsidRPr="00E8642E" w:rsidP="009D2A34">
      <w:pPr>
        <w:bidi w:val="0"/>
        <w:ind w:firstLine="708"/>
        <w:jc w:val="both"/>
        <w:rPr>
          <w:rFonts w:ascii="Times New Roman" w:hAnsi="Times New Roman" w:cs="Times New Roman"/>
        </w:rPr>
      </w:pPr>
      <w:r w:rsidRPr="00E8642E">
        <w:rPr>
          <w:rFonts w:ascii="Times New Roman" w:hAnsi="Times New Roman" w:cs="Times New Roman"/>
        </w:rPr>
        <w:t>Celkové výdavky smerujúce do vodného hospodárstva rastú v porovnaní so sch</w:t>
      </w:r>
      <w:r>
        <w:rPr>
          <w:rFonts w:ascii="Times New Roman" w:hAnsi="Times New Roman" w:cs="Times New Roman"/>
        </w:rPr>
        <w:t xml:space="preserve">váleným rozpočtom roku 2012 o 61,2 </w:t>
      </w:r>
      <w:r w:rsidRPr="00E8642E">
        <w:rPr>
          <w:rFonts w:ascii="Times New Roman" w:hAnsi="Times New Roman" w:cs="Times New Roman"/>
        </w:rPr>
        <w:t>%. Výdavky EÚ rastú o 58,9 %, spolufinancovanie rastie medziročne o 52,9 % a výdavk</w:t>
      </w:r>
      <w:r>
        <w:rPr>
          <w:rFonts w:ascii="Times New Roman" w:hAnsi="Times New Roman" w:cs="Times New Roman"/>
        </w:rPr>
        <w:t>y štátneho rozpočtu rastú o 209</w:t>
      </w:r>
      <w:r w:rsidRPr="00E8642E">
        <w:rPr>
          <w:rFonts w:ascii="Times New Roman" w:hAnsi="Times New Roman" w:cs="Times New Roman"/>
        </w:rPr>
        <w:t xml:space="preserve"> %. </w:t>
      </w:r>
      <w:r>
        <w:rPr>
          <w:rFonts w:ascii="Times New Roman" w:hAnsi="Times New Roman" w:cs="Times New Roman"/>
        </w:rPr>
        <w:t>Nárast v tejto oblasti je spôsobený rozpočtovaním neregulovaných platieb, určených ako transfer</w:t>
      </w:r>
      <w:r w:rsidRPr="008C3A44">
        <w:rPr>
          <w:rFonts w:ascii="Times New Roman" w:hAnsi="Times New Roman" w:cs="Times New Roman"/>
        </w:rPr>
        <w:t xml:space="preserve"> </w:t>
      </w:r>
      <w:r>
        <w:rPr>
          <w:rFonts w:ascii="Times New Roman" w:hAnsi="Times New Roman" w:cs="Times New Roman"/>
        </w:rPr>
        <w:t>Slovenskému vodohospodárskemu podniku š.</w:t>
      </w:r>
      <w:r w:rsidR="00DE6810">
        <w:rPr>
          <w:rFonts w:ascii="Times New Roman" w:hAnsi="Times New Roman" w:cs="Times New Roman"/>
        </w:rPr>
        <w:t xml:space="preserve"> </w:t>
      </w:r>
      <w:r>
        <w:rPr>
          <w:rFonts w:ascii="Times New Roman" w:hAnsi="Times New Roman" w:cs="Times New Roman"/>
        </w:rPr>
        <w:t xml:space="preserve">p. </w:t>
      </w:r>
      <w:r w:rsidRPr="00E8642E">
        <w:rPr>
          <w:rFonts w:ascii="Times New Roman" w:hAnsi="Times New Roman" w:cs="Times New Roman"/>
        </w:rPr>
        <w:t xml:space="preserve">Výdavky za túto oblasť sú celkovo určené na konkrétne projekty budovania a rekonštrukcie infraštruktúry vodného hospodárstva (preventívne </w:t>
      </w:r>
      <w:r w:rsidRPr="00E8642E">
        <w:rPr>
          <w:rFonts w:ascii="Times New Roman" w:hAnsi="Times New Roman" w:cs="Times New Roman"/>
          <w:bCs/>
        </w:rPr>
        <w:t>protipovodňové opatrenia</w:t>
      </w:r>
      <w:r w:rsidRPr="00E8642E">
        <w:rPr>
          <w:rFonts w:ascii="Times New Roman" w:hAnsi="Times New Roman" w:cs="Times New Roman"/>
        </w:rPr>
        <w:t xml:space="preserve">, dobudovanie a prevádzka povodňového varovného a predpovedného systému, </w:t>
      </w:r>
      <w:r w:rsidRPr="00E8642E">
        <w:rPr>
          <w:rFonts w:ascii="Times New Roman" w:hAnsi="Times New Roman" w:cs="Times New Roman"/>
          <w:bCs/>
        </w:rPr>
        <w:t>zásobovanie vodou</w:t>
      </w:r>
      <w:r w:rsidRPr="00E8642E">
        <w:rPr>
          <w:rFonts w:ascii="Times New Roman" w:hAnsi="Times New Roman" w:cs="Times New Roman"/>
        </w:rPr>
        <w:t xml:space="preserve">, </w:t>
      </w:r>
      <w:r w:rsidRPr="00E8642E">
        <w:rPr>
          <w:rFonts w:ascii="Times New Roman" w:hAnsi="Times New Roman" w:cs="Times New Roman"/>
          <w:bCs/>
        </w:rPr>
        <w:t>odvádzanie a čistenie odpadových vôd</w:t>
      </w:r>
      <w:r w:rsidRPr="00E8642E">
        <w:rPr>
          <w:rFonts w:ascii="Times New Roman" w:hAnsi="Times New Roman" w:cs="Times New Roman"/>
        </w:rPr>
        <w:t>).</w:t>
      </w:r>
    </w:p>
    <w:p w:rsidR="009D2A34" w:rsidRPr="00CD37C6" w:rsidP="009D2A34">
      <w:pPr>
        <w:tabs>
          <w:tab w:val="left" w:pos="426"/>
        </w:tabs>
        <w:bidi w:val="0"/>
        <w:jc w:val="both"/>
        <w:rPr>
          <w:rFonts w:ascii="Times New Roman" w:hAnsi="Times New Roman" w:cs="Times New Roman"/>
          <w:b/>
          <w:highlight w:val="yellow"/>
        </w:rPr>
      </w:pPr>
    </w:p>
    <w:p w:rsidR="009D2A34" w:rsidRPr="00E8642E" w:rsidP="009D2A34">
      <w:pPr>
        <w:tabs>
          <w:tab w:val="left" w:pos="426"/>
        </w:tabs>
        <w:bidi w:val="0"/>
        <w:jc w:val="both"/>
        <w:rPr>
          <w:rFonts w:ascii="Times New Roman" w:hAnsi="Times New Roman" w:cs="Times New Roman"/>
          <w:b/>
        </w:rPr>
      </w:pPr>
      <w:r w:rsidRPr="00E8642E">
        <w:rPr>
          <w:rFonts w:ascii="Times New Roman" w:hAnsi="Times New Roman" w:cs="Times New Roman"/>
          <w:b/>
        </w:rPr>
        <w:t>Ochrana ovzdušia</w:t>
      </w:r>
    </w:p>
    <w:p w:rsidR="009D2A34" w:rsidRPr="00E8642E" w:rsidP="009D2A34">
      <w:pPr>
        <w:tabs>
          <w:tab w:val="left" w:pos="426"/>
        </w:tabs>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732"/>
        <w:gridCol w:w="848"/>
        <w:gridCol w:w="964"/>
        <w:gridCol w:w="925"/>
        <w:gridCol w:w="848"/>
        <w:gridCol w:w="940"/>
        <w:gridCol w:w="1056"/>
        <w:gridCol w:w="899"/>
      </w:tblGrid>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8642E" w:rsidP="006338E5">
            <w:pPr>
              <w:bidi w:val="0"/>
              <w:rPr>
                <w:rFonts w:ascii="Times New Roman" w:hAnsi="Times New Roman" w:cs="Times New Roman"/>
                <w:b/>
                <w:bCs/>
                <w:color w:val="000000"/>
                <w:sz w:val="14"/>
                <w:szCs w:val="14"/>
              </w:rPr>
            </w:pPr>
            <w:r w:rsidRPr="00E8642E">
              <w:rPr>
                <w:rFonts w:ascii="Times New Roman" w:hAnsi="Times New Roman" w:cs="Times New Roman"/>
                <w:b/>
                <w:bCs/>
                <w:color w:val="000000"/>
                <w:sz w:val="14"/>
                <w:szCs w:val="14"/>
              </w:rPr>
              <w:t>v eurách </w:t>
            </w:r>
          </w:p>
        </w:tc>
        <w:tc>
          <w:tcPr>
            <w:tcW w:w="460" w:type="pct"/>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E8642E" w:rsidP="006338E5">
            <w:pPr>
              <w:bidi w:val="0"/>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2010</w:t>
            </w:r>
            <w:r w:rsidR="00953EAF">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S*</w:t>
            </w:r>
          </w:p>
        </w:tc>
        <w:tc>
          <w:tcPr>
            <w:tcW w:w="523"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8642E" w:rsidP="006338E5">
            <w:pPr>
              <w:bidi w:val="0"/>
              <w:jc w:val="center"/>
              <w:rPr>
                <w:rFonts w:ascii="Times New Roman" w:hAnsi="Times New Roman" w:cs="Times New Roman"/>
                <w:b/>
                <w:bCs/>
                <w:color w:val="000000"/>
                <w:sz w:val="14"/>
                <w:szCs w:val="14"/>
              </w:rPr>
            </w:pPr>
            <w:r w:rsidRPr="00E8642E">
              <w:rPr>
                <w:rFonts w:ascii="Times New Roman" w:hAnsi="Times New Roman" w:cs="Times New Roman"/>
                <w:b/>
                <w:bCs/>
                <w:color w:val="000000"/>
                <w:sz w:val="14"/>
                <w:szCs w:val="14"/>
              </w:rPr>
              <w:t>2011</w:t>
            </w:r>
            <w:r w:rsidR="00953EAF">
              <w:rPr>
                <w:rFonts w:ascii="Times New Roman" w:hAnsi="Times New Roman" w:cs="Times New Roman"/>
                <w:b/>
                <w:bCs/>
                <w:color w:val="000000"/>
                <w:sz w:val="14"/>
                <w:szCs w:val="14"/>
              </w:rPr>
              <w:t xml:space="preserve"> </w:t>
            </w:r>
            <w:r w:rsidRPr="00E8642E">
              <w:rPr>
                <w:rFonts w:ascii="Times New Roman" w:hAnsi="Times New Roman" w:cs="Times New Roman"/>
                <w:b/>
                <w:bCs/>
                <w:color w:val="000000"/>
                <w:sz w:val="14"/>
                <w:szCs w:val="14"/>
              </w:rPr>
              <w:t>S</w:t>
            </w:r>
          </w:p>
        </w:tc>
        <w:tc>
          <w:tcPr>
            <w:tcW w:w="502"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8642E" w:rsidP="006338E5">
            <w:pPr>
              <w:bidi w:val="0"/>
              <w:jc w:val="center"/>
              <w:rPr>
                <w:rFonts w:ascii="Times New Roman" w:hAnsi="Times New Roman" w:cs="Times New Roman"/>
                <w:b/>
                <w:bCs/>
                <w:color w:val="000000"/>
                <w:sz w:val="14"/>
                <w:szCs w:val="14"/>
              </w:rPr>
            </w:pPr>
            <w:r w:rsidRPr="00E8642E">
              <w:rPr>
                <w:rFonts w:ascii="Times New Roman" w:hAnsi="Times New Roman" w:cs="Times New Roman"/>
                <w:b/>
                <w:bCs/>
                <w:color w:val="000000"/>
                <w:sz w:val="14"/>
                <w:szCs w:val="14"/>
              </w:rPr>
              <w:t>2012 R</w:t>
            </w:r>
          </w:p>
        </w:tc>
        <w:tc>
          <w:tcPr>
            <w:tcW w:w="460" w:type="pct"/>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E8642E" w:rsidP="006338E5">
            <w:pPr>
              <w:bidi w:val="0"/>
              <w:jc w:val="center"/>
              <w:rPr>
                <w:rFonts w:ascii="Times New Roman" w:hAnsi="Times New Roman" w:cs="Times New Roman"/>
                <w:b/>
                <w:bCs/>
                <w:color w:val="000000"/>
                <w:sz w:val="14"/>
                <w:szCs w:val="14"/>
              </w:rPr>
            </w:pPr>
            <w:r w:rsidRPr="00E8642E">
              <w:rPr>
                <w:rFonts w:ascii="Times New Roman" w:hAnsi="Times New Roman" w:cs="Times New Roman"/>
                <w:b/>
                <w:bCs/>
                <w:color w:val="000000"/>
                <w:sz w:val="14"/>
                <w:szCs w:val="14"/>
              </w:rPr>
              <w:t>2012 OS</w:t>
            </w:r>
          </w:p>
        </w:tc>
        <w:tc>
          <w:tcPr>
            <w:tcW w:w="51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8642E" w:rsidP="00DE6810">
            <w:pPr>
              <w:bidi w:val="0"/>
              <w:jc w:val="center"/>
              <w:rPr>
                <w:rFonts w:ascii="Times New Roman" w:hAnsi="Times New Roman" w:cs="Times New Roman"/>
                <w:b/>
                <w:bCs/>
                <w:color w:val="000000"/>
                <w:sz w:val="14"/>
                <w:szCs w:val="14"/>
              </w:rPr>
            </w:pPr>
            <w:r w:rsidRPr="00E8642E">
              <w:rPr>
                <w:rFonts w:ascii="Times New Roman" w:hAnsi="Times New Roman" w:cs="Times New Roman"/>
                <w:b/>
                <w:bCs/>
                <w:color w:val="000000"/>
                <w:sz w:val="14"/>
                <w:szCs w:val="14"/>
              </w:rPr>
              <w:t xml:space="preserve">2013 </w:t>
            </w:r>
            <w:r w:rsidR="00DE6810">
              <w:rPr>
                <w:rFonts w:ascii="Times New Roman" w:hAnsi="Times New Roman" w:cs="Times New Roman"/>
                <w:b/>
                <w:bCs/>
                <w:color w:val="000000"/>
                <w:sz w:val="14"/>
                <w:szCs w:val="14"/>
              </w:rPr>
              <w:t>N</w:t>
            </w:r>
          </w:p>
        </w:tc>
        <w:tc>
          <w:tcPr>
            <w:tcW w:w="573"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8642E" w:rsidP="006338E5">
            <w:pPr>
              <w:bidi w:val="0"/>
              <w:jc w:val="center"/>
              <w:rPr>
                <w:rFonts w:ascii="Times New Roman" w:hAnsi="Times New Roman" w:cs="Times New Roman"/>
                <w:b/>
                <w:bCs/>
                <w:color w:val="000000"/>
                <w:sz w:val="14"/>
                <w:szCs w:val="14"/>
              </w:rPr>
            </w:pPr>
            <w:r w:rsidRPr="00E8642E">
              <w:rPr>
                <w:rFonts w:ascii="Times New Roman" w:hAnsi="Times New Roman" w:cs="Times New Roman"/>
                <w:b/>
                <w:bCs/>
                <w:color w:val="000000"/>
                <w:sz w:val="14"/>
                <w:szCs w:val="14"/>
              </w:rPr>
              <w:t>2014 N</w:t>
            </w:r>
          </w:p>
        </w:tc>
        <w:tc>
          <w:tcPr>
            <w:tcW w:w="48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8642E" w:rsidP="006338E5">
            <w:pPr>
              <w:bidi w:val="0"/>
              <w:jc w:val="center"/>
              <w:rPr>
                <w:rFonts w:ascii="Times New Roman" w:hAnsi="Times New Roman" w:cs="Times New Roman"/>
                <w:b/>
                <w:bCs/>
                <w:color w:val="000000"/>
                <w:sz w:val="14"/>
                <w:szCs w:val="14"/>
              </w:rPr>
            </w:pPr>
            <w:r w:rsidRPr="00E8642E">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E8642E" w:rsidP="006338E5">
            <w:pPr>
              <w:bidi w:val="0"/>
              <w:rPr>
                <w:rFonts w:ascii="Times New Roman" w:hAnsi="Times New Roman" w:cs="Times New Roman"/>
                <w:b/>
                <w:bCs/>
                <w:color w:val="000000"/>
                <w:sz w:val="14"/>
                <w:szCs w:val="14"/>
              </w:rPr>
            </w:pPr>
            <w:r w:rsidRPr="00E8642E">
              <w:rPr>
                <w:rFonts w:ascii="Times New Roman" w:hAnsi="Times New Roman" w:cs="Times New Roman"/>
                <w:b/>
                <w:bCs/>
                <w:color w:val="000000"/>
                <w:sz w:val="14"/>
                <w:szCs w:val="14"/>
              </w:rPr>
              <w:t>Ochrana ovzdušia</w:t>
            </w:r>
          </w:p>
        </w:tc>
        <w:tc>
          <w:tcPr>
            <w:tcW w:w="460" w:type="pct"/>
            <w:tcBorders>
              <w:top w:val="nil"/>
              <w:left w:val="nil"/>
              <w:bottom w:val="single" w:sz="4" w:space="0" w:color="auto"/>
              <w:right w:val="single" w:sz="4" w:space="0" w:color="auto"/>
            </w:tcBorders>
            <w:shd w:val="clear" w:color="000000" w:fill="C0C0C0"/>
            <w:noWrap/>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28 017 993</w:t>
            </w:r>
          </w:p>
        </w:tc>
        <w:tc>
          <w:tcPr>
            <w:tcW w:w="523" w:type="pct"/>
            <w:tcBorders>
              <w:top w:val="nil"/>
              <w:left w:val="nil"/>
              <w:bottom w:val="single" w:sz="4" w:space="0" w:color="auto"/>
              <w:right w:val="single" w:sz="4" w:space="0" w:color="auto"/>
            </w:tcBorders>
            <w:shd w:val="clear" w:color="000000" w:fill="C0C0C0"/>
            <w:noWrap/>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80 566 991</w:t>
            </w:r>
          </w:p>
        </w:tc>
        <w:tc>
          <w:tcPr>
            <w:tcW w:w="502" w:type="pct"/>
            <w:tcBorders>
              <w:top w:val="nil"/>
              <w:left w:val="nil"/>
              <w:bottom w:val="single" w:sz="4" w:space="0" w:color="auto"/>
              <w:right w:val="single" w:sz="4" w:space="0" w:color="auto"/>
            </w:tcBorders>
            <w:shd w:val="clear" w:color="000000" w:fill="C0C0C0"/>
            <w:noWrap/>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16 819 261</w:t>
            </w:r>
          </w:p>
        </w:tc>
        <w:tc>
          <w:tcPr>
            <w:tcW w:w="460" w:type="pct"/>
            <w:tcBorders>
              <w:top w:val="nil"/>
              <w:left w:val="nil"/>
              <w:bottom w:val="single" w:sz="4" w:space="0" w:color="auto"/>
              <w:right w:val="single" w:sz="4" w:space="0" w:color="auto"/>
            </w:tcBorders>
            <w:shd w:val="clear" w:color="000000" w:fill="C0C0C0"/>
            <w:noWrap/>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21 619 261</w:t>
            </w:r>
          </w:p>
        </w:tc>
        <w:tc>
          <w:tcPr>
            <w:tcW w:w="510" w:type="pct"/>
            <w:tcBorders>
              <w:top w:val="nil"/>
              <w:left w:val="nil"/>
              <w:bottom w:val="single" w:sz="4" w:space="0" w:color="auto"/>
              <w:right w:val="single" w:sz="4" w:space="0" w:color="auto"/>
            </w:tcBorders>
            <w:shd w:val="clear" w:color="000000" w:fill="C0C0C0"/>
            <w:noWrap/>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21 937 658</w:t>
            </w:r>
          </w:p>
        </w:tc>
        <w:tc>
          <w:tcPr>
            <w:tcW w:w="573" w:type="pct"/>
            <w:tcBorders>
              <w:top w:val="nil"/>
              <w:left w:val="nil"/>
              <w:bottom w:val="single" w:sz="4" w:space="0" w:color="auto"/>
              <w:right w:val="single" w:sz="4" w:space="0" w:color="auto"/>
            </w:tcBorders>
            <w:shd w:val="clear" w:color="000000" w:fill="C0C0C0"/>
            <w:noWrap/>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24 513 732</w:t>
            </w:r>
          </w:p>
        </w:tc>
        <w:tc>
          <w:tcPr>
            <w:tcW w:w="488" w:type="pct"/>
            <w:tcBorders>
              <w:top w:val="nil"/>
              <w:left w:val="nil"/>
              <w:bottom w:val="single" w:sz="4" w:space="0" w:color="auto"/>
              <w:right w:val="single" w:sz="4" w:space="0" w:color="auto"/>
            </w:tcBorders>
            <w:shd w:val="clear" w:color="000000" w:fill="C0C0C0"/>
            <w:noWrap/>
            <w:textDirection w:val="lrTb"/>
            <w:vAlign w:val="center"/>
            <w:hideMark/>
          </w:tcPr>
          <w:p w:rsidR="009D2A34" w:rsidRPr="00EF7F58" w:rsidP="006338E5">
            <w:pPr>
              <w:bidi w:val="0"/>
              <w:jc w:val="right"/>
              <w:rPr>
                <w:rFonts w:ascii="Times New Roman" w:hAnsi="Times New Roman" w:cs="Times New Roman"/>
                <w:b/>
                <w:bCs/>
                <w:color w:val="000000"/>
                <w:sz w:val="14"/>
                <w:szCs w:val="14"/>
              </w:rPr>
            </w:pPr>
            <w:r w:rsidRPr="00EF7F58">
              <w:rPr>
                <w:rFonts w:ascii="Times New Roman" w:hAnsi="Times New Roman" w:cs="Times New Roman"/>
                <w:b/>
                <w:bCs/>
                <w:color w:val="000000"/>
                <w:sz w:val="14"/>
                <w:szCs w:val="14"/>
              </w:rPr>
              <w:t>27 680 093</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9D2A34" w:rsidRPr="00E8642E" w:rsidP="006338E5">
            <w:pPr>
              <w:bidi w:val="0"/>
              <w:rPr>
                <w:rFonts w:ascii="Times New Roman" w:hAnsi="Times New Roman" w:cs="Times New Roman"/>
                <w:color w:val="000000"/>
                <w:sz w:val="14"/>
                <w:szCs w:val="14"/>
              </w:rPr>
            </w:pPr>
            <w:r w:rsidRPr="00E8642E">
              <w:rPr>
                <w:rFonts w:ascii="Times New Roman" w:hAnsi="Times New Roman" w:cs="Times New Roman"/>
                <w:color w:val="000000"/>
                <w:sz w:val="14"/>
                <w:szCs w:val="14"/>
              </w:rPr>
              <w:t>rozpočtové zdroje kapitoly, v tom:</w:t>
            </w:r>
          </w:p>
        </w:tc>
        <w:tc>
          <w:tcPr>
            <w:tcW w:w="46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2 513 026</w:t>
            </w:r>
          </w:p>
        </w:tc>
        <w:tc>
          <w:tcPr>
            <w:tcW w:w="523"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5 216 159</w:t>
            </w:r>
          </w:p>
        </w:tc>
        <w:tc>
          <w:tcPr>
            <w:tcW w:w="502"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4 005 712</w:t>
            </w:r>
          </w:p>
        </w:tc>
        <w:tc>
          <w:tcPr>
            <w:tcW w:w="46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4 005 712</w:t>
            </w:r>
          </w:p>
        </w:tc>
        <w:tc>
          <w:tcPr>
            <w:tcW w:w="51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3 436 001</w:t>
            </w:r>
          </w:p>
        </w:tc>
        <w:tc>
          <w:tcPr>
            <w:tcW w:w="573"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3 436 001</w:t>
            </w:r>
          </w:p>
        </w:tc>
        <w:tc>
          <w:tcPr>
            <w:tcW w:w="488"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3 436 001</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9D2A34" w:rsidRPr="00E8642E" w:rsidP="006338E5">
            <w:pPr>
              <w:bidi w:val="0"/>
              <w:rPr>
                <w:rFonts w:ascii="Times New Roman" w:hAnsi="Times New Roman" w:cs="Times New Roman"/>
                <w:i/>
                <w:color w:val="000000"/>
                <w:sz w:val="14"/>
                <w:szCs w:val="14"/>
              </w:rPr>
            </w:pPr>
            <w:r w:rsidRPr="00E8642E">
              <w:rPr>
                <w:rFonts w:ascii="Times New Roman" w:hAnsi="Times New Roman" w:cs="Times New Roman"/>
                <w:i/>
                <w:color w:val="000000"/>
                <w:sz w:val="14"/>
                <w:szCs w:val="14"/>
              </w:rPr>
              <w:t>Slovenský hydrometeorologický ústav</w:t>
            </w:r>
          </w:p>
        </w:tc>
        <w:tc>
          <w:tcPr>
            <w:tcW w:w="46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2 513 026</w:t>
            </w:r>
          </w:p>
        </w:tc>
        <w:tc>
          <w:tcPr>
            <w:tcW w:w="523"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5 216 159</w:t>
            </w:r>
          </w:p>
        </w:tc>
        <w:tc>
          <w:tcPr>
            <w:tcW w:w="502"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4 005 712</w:t>
            </w:r>
          </w:p>
        </w:tc>
        <w:tc>
          <w:tcPr>
            <w:tcW w:w="46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4 005 712</w:t>
            </w:r>
          </w:p>
        </w:tc>
        <w:tc>
          <w:tcPr>
            <w:tcW w:w="51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3 436 001</w:t>
            </w:r>
          </w:p>
        </w:tc>
        <w:tc>
          <w:tcPr>
            <w:tcW w:w="573"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3 436 001</w:t>
            </w:r>
          </w:p>
        </w:tc>
        <w:tc>
          <w:tcPr>
            <w:tcW w:w="488"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i/>
                <w:color w:val="000000"/>
                <w:sz w:val="14"/>
                <w:szCs w:val="14"/>
              </w:rPr>
            </w:pPr>
            <w:r w:rsidRPr="00EF7F58">
              <w:rPr>
                <w:rFonts w:ascii="Times New Roman" w:hAnsi="Times New Roman" w:cs="Times New Roman"/>
                <w:i/>
                <w:color w:val="000000"/>
                <w:sz w:val="14"/>
                <w:szCs w:val="14"/>
              </w:rPr>
              <w:t>3 436 001</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9D2A34" w:rsidRPr="00E8642E" w:rsidP="006338E5">
            <w:pPr>
              <w:bidi w:val="0"/>
              <w:rPr>
                <w:rFonts w:ascii="Times New Roman" w:hAnsi="Times New Roman" w:cs="Times New Roman"/>
                <w:color w:val="000000"/>
                <w:sz w:val="14"/>
                <w:szCs w:val="14"/>
              </w:rPr>
            </w:pPr>
            <w:r w:rsidRPr="00E8642E">
              <w:rPr>
                <w:rFonts w:ascii="Times New Roman" w:hAnsi="Times New Roman" w:cs="Times New Roman"/>
                <w:color w:val="000000"/>
                <w:sz w:val="14"/>
                <w:szCs w:val="14"/>
              </w:rPr>
              <w:t xml:space="preserve">zdroje EÚ </w:t>
            </w:r>
          </w:p>
        </w:tc>
        <w:tc>
          <w:tcPr>
            <w:tcW w:w="46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7 227 344</w:t>
            </w:r>
          </w:p>
        </w:tc>
        <w:tc>
          <w:tcPr>
            <w:tcW w:w="523"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66 182 090</w:t>
            </w:r>
          </w:p>
        </w:tc>
        <w:tc>
          <w:tcPr>
            <w:tcW w:w="502"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11 218 389</w:t>
            </w:r>
          </w:p>
        </w:tc>
        <w:tc>
          <w:tcPr>
            <w:tcW w:w="46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15 218 389</w:t>
            </w:r>
          </w:p>
        </w:tc>
        <w:tc>
          <w:tcPr>
            <w:tcW w:w="51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15 726 408</w:t>
            </w:r>
          </w:p>
        </w:tc>
        <w:tc>
          <w:tcPr>
            <w:tcW w:w="573"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17 916 071</w:t>
            </w:r>
          </w:p>
        </w:tc>
        <w:tc>
          <w:tcPr>
            <w:tcW w:w="488"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20 607 478</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9D2A34" w:rsidRPr="00E8642E" w:rsidP="006338E5">
            <w:pPr>
              <w:bidi w:val="0"/>
              <w:rPr>
                <w:rFonts w:ascii="Times New Roman" w:hAnsi="Times New Roman" w:cs="Times New Roman"/>
                <w:color w:val="000000"/>
                <w:sz w:val="14"/>
                <w:szCs w:val="14"/>
              </w:rPr>
            </w:pPr>
            <w:r w:rsidRPr="00E8642E">
              <w:rPr>
                <w:rFonts w:ascii="Times New Roman" w:hAnsi="Times New Roman" w:cs="Times New Roman"/>
                <w:color w:val="000000"/>
                <w:sz w:val="14"/>
                <w:szCs w:val="14"/>
              </w:rPr>
              <w:t>spolufinancovanie zo ŠR</w:t>
            </w:r>
          </w:p>
        </w:tc>
        <w:tc>
          <w:tcPr>
            <w:tcW w:w="46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1 064 739</w:t>
            </w:r>
          </w:p>
        </w:tc>
        <w:tc>
          <w:tcPr>
            <w:tcW w:w="523"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9 168 742</w:t>
            </w:r>
          </w:p>
        </w:tc>
        <w:tc>
          <w:tcPr>
            <w:tcW w:w="502"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1 595 160</w:t>
            </w:r>
          </w:p>
        </w:tc>
        <w:tc>
          <w:tcPr>
            <w:tcW w:w="46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2 395 160</w:t>
            </w:r>
          </w:p>
        </w:tc>
        <w:tc>
          <w:tcPr>
            <w:tcW w:w="51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2 775 249</w:t>
            </w:r>
          </w:p>
        </w:tc>
        <w:tc>
          <w:tcPr>
            <w:tcW w:w="573"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3 161 660</w:t>
            </w:r>
          </w:p>
        </w:tc>
        <w:tc>
          <w:tcPr>
            <w:tcW w:w="488"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3 636 614</w:t>
            </w:r>
          </w:p>
        </w:tc>
      </w:tr>
      <w:tr>
        <w:tblPrEx>
          <w:tblW w:w="5000" w:type="pct"/>
          <w:tblCellMar>
            <w:left w:w="70" w:type="dxa"/>
            <w:right w:w="70" w:type="dxa"/>
          </w:tblCellMar>
          <w:tblLook w:val="04A0"/>
        </w:tblPrEx>
        <w:trPr>
          <w:trHeight w:val="255"/>
        </w:trPr>
        <w:tc>
          <w:tcPr>
            <w:tcW w:w="1483"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8642E" w:rsidP="006338E5">
            <w:pPr>
              <w:bidi w:val="0"/>
              <w:rPr>
                <w:rFonts w:ascii="Times New Roman" w:hAnsi="Times New Roman" w:cs="Times New Roman"/>
                <w:color w:val="000000"/>
                <w:sz w:val="14"/>
                <w:szCs w:val="14"/>
              </w:rPr>
            </w:pPr>
            <w:r w:rsidRPr="00E8642E">
              <w:rPr>
                <w:rFonts w:ascii="Times New Roman" w:hAnsi="Times New Roman" w:cs="Times New Roman"/>
                <w:color w:val="000000"/>
                <w:sz w:val="14"/>
                <w:szCs w:val="14"/>
              </w:rPr>
              <w:t>presun z minulých rokov</w:t>
            </w:r>
          </w:p>
        </w:tc>
        <w:tc>
          <w:tcPr>
            <w:tcW w:w="46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17 212 883</w:t>
            </w:r>
          </w:p>
        </w:tc>
        <w:tc>
          <w:tcPr>
            <w:tcW w:w="523"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0</w:t>
            </w:r>
          </w:p>
        </w:tc>
        <w:tc>
          <w:tcPr>
            <w:tcW w:w="502"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0</w:t>
            </w:r>
          </w:p>
        </w:tc>
        <w:tc>
          <w:tcPr>
            <w:tcW w:w="46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0</w:t>
            </w:r>
          </w:p>
        </w:tc>
        <w:tc>
          <w:tcPr>
            <w:tcW w:w="573"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0</w:t>
            </w:r>
          </w:p>
        </w:tc>
        <w:tc>
          <w:tcPr>
            <w:tcW w:w="488" w:type="pct"/>
            <w:tcBorders>
              <w:top w:val="nil"/>
              <w:left w:val="nil"/>
              <w:bottom w:val="single" w:sz="4" w:space="0" w:color="auto"/>
              <w:right w:val="single" w:sz="4" w:space="0" w:color="auto"/>
            </w:tcBorders>
            <w:textDirection w:val="lrTb"/>
            <w:vAlign w:val="center"/>
            <w:hideMark/>
          </w:tcPr>
          <w:p w:rsidR="009D2A34" w:rsidRPr="00EF7F58" w:rsidP="006338E5">
            <w:pPr>
              <w:bidi w:val="0"/>
              <w:jc w:val="right"/>
              <w:rPr>
                <w:rFonts w:ascii="Times New Roman" w:hAnsi="Times New Roman" w:cs="Times New Roman"/>
                <w:color w:val="000000"/>
                <w:sz w:val="14"/>
                <w:szCs w:val="14"/>
              </w:rPr>
            </w:pPr>
            <w:r w:rsidRPr="00EF7F58">
              <w:rPr>
                <w:rFonts w:ascii="Times New Roman" w:hAnsi="Times New Roman" w:cs="Times New Roman"/>
                <w:color w:val="000000"/>
                <w:sz w:val="14"/>
                <w:szCs w:val="14"/>
              </w:rPr>
              <w:t>0</w:t>
            </w:r>
          </w:p>
        </w:tc>
      </w:tr>
    </w:tbl>
    <w:p w:rsidR="009D2A34" w:rsidRPr="00E8642E" w:rsidP="009D2A34">
      <w:pPr>
        <w:tabs>
          <w:tab w:val="left" w:pos="426"/>
        </w:tabs>
        <w:bidi w:val="0"/>
        <w:jc w:val="both"/>
        <w:rPr>
          <w:rFonts w:ascii="Times New Roman" w:hAnsi="Times New Roman" w:cs="Times New Roman"/>
          <w:color w:val="000000"/>
          <w:sz w:val="14"/>
          <w:szCs w:val="14"/>
        </w:rPr>
      </w:pPr>
      <w:r w:rsidRPr="00E8642E">
        <w:rPr>
          <w:rFonts w:ascii="Times New Roman" w:hAnsi="Times New Roman" w:cs="Times New Roman"/>
          <w:color w:val="000000"/>
          <w:sz w:val="14"/>
          <w:szCs w:val="14"/>
        </w:rPr>
        <w:t xml:space="preserve">  * Čerpanie bolo ovplyvnené dočasným zánikom kapitoly MŽP SR</w:t>
      </w:r>
    </w:p>
    <w:p w:rsidR="009D2A34" w:rsidRPr="00AC6FB4" w:rsidP="009D2A34">
      <w:pPr>
        <w:bidi w:val="0"/>
        <w:ind w:firstLine="708"/>
        <w:jc w:val="both"/>
        <w:rPr>
          <w:rFonts w:ascii="Times New Roman" w:hAnsi="Times New Roman" w:cs="Times New Roman"/>
          <w:bCs/>
        </w:rPr>
      </w:pPr>
    </w:p>
    <w:p w:rsidR="009D2A34" w:rsidRPr="00737F59" w:rsidP="009D2A34">
      <w:pPr>
        <w:tabs>
          <w:tab w:val="left" w:pos="709"/>
        </w:tabs>
        <w:bidi w:val="0"/>
        <w:jc w:val="both"/>
        <w:rPr>
          <w:rFonts w:ascii="Times New Roman" w:hAnsi="Times New Roman" w:cs="Times New Roman"/>
        </w:rPr>
      </w:pPr>
      <w:r w:rsidRPr="00737F59">
        <w:rPr>
          <w:rFonts w:ascii="Times New Roman" w:hAnsi="Times New Roman" w:cs="Times New Roman"/>
        </w:rPr>
        <w:tab/>
        <w:t>Celkové výdavky smerujúce do ochrany ovzdušia rastú v porovnaní so schváleným rozpočtom roku 2012 o</w:t>
      </w:r>
      <w:r>
        <w:rPr>
          <w:rFonts w:ascii="Times New Roman" w:hAnsi="Times New Roman" w:cs="Times New Roman"/>
        </w:rPr>
        <w:t> 30,4 %. Výdavky EÚ rastú o 40</w:t>
      </w:r>
      <w:r w:rsidRPr="00C35D73">
        <w:rPr>
          <w:rFonts w:ascii="Times New Roman" w:hAnsi="Times New Roman" w:cs="Times New Roman"/>
        </w:rPr>
        <w:t>,2</w:t>
      </w:r>
      <w:r w:rsidRPr="00737F59">
        <w:rPr>
          <w:rFonts w:ascii="Times New Roman" w:hAnsi="Times New Roman" w:cs="Times New Roman"/>
        </w:rPr>
        <w:t xml:space="preserve"> %, spolufinancovania rastú </w:t>
      </w:r>
      <w:r w:rsidRPr="00C35D73">
        <w:rPr>
          <w:rFonts w:ascii="Times New Roman" w:hAnsi="Times New Roman" w:cs="Times New Roman"/>
        </w:rPr>
        <w:t>medziročne o 74,0</w:t>
      </w:r>
      <w:r w:rsidRPr="00737F59">
        <w:rPr>
          <w:rFonts w:ascii="Times New Roman" w:hAnsi="Times New Roman" w:cs="Times New Roman"/>
        </w:rPr>
        <w:t xml:space="preserve"> % a výdavky štátneho rozpočtu klesajú o 14,2 %. Výdavky za oblasť celkovo smerujú na financovanie konkrétnych projektov </w:t>
      </w:r>
      <w:r w:rsidRPr="00737F59">
        <w:rPr>
          <w:rFonts w:ascii="Times New Roman" w:hAnsi="Times New Roman" w:cs="Times New Roman"/>
          <w:bCs/>
        </w:rPr>
        <w:t>znižovania emisií znečisťujúcich látok</w:t>
      </w:r>
      <w:r w:rsidRPr="00737F59">
        <w:rPr>
          <w:rFonts w:ascii="Times New Roman" w:hAnsi="Times New Roman" w:cs="Times New Roman"/>
        </w:rPr>
        <w:t>, znižovani</w:t>
      </w:r>
      <w:r w:rsidR="00953EAF">
        <w:rPr>
          <w:rFonts w:ascii="Times New Roman" w:hAnsi="Times New Roman" w:cs="Times New Roman"/>
        </w:rPr>
        <w:t>a</w:t>
      </w:r>
      <w:r w:rsidRPr="00737F59">
        <w:rPr>
          <w:rFonts w:ascii="Times New Roman" w:hAnsi="Times New Roman" w:cs="Times New Roman"/>
        </w:rPr>
        <w:t xml:space="preserve"> emisií </w:t>
      </w:r>
      <w:r w:rsidRPr="00737F59">
        <w:rPr>
          <w:rFonts w:ascii="Times New Roman" w:hAnsi="Times New Roman" w:cs="Times New Roman"/>
          <w:bCs/>
        </w:rPr>
        <w:t>skleníkových plynov</w:t>
      </w:r>
      <w:r w:rsidRPr="00737F59">
        <w:rPr>
          <w:rFonts w:ascii="Times New Roman" w:hAnsi="Times New Roman" w:cs="Times New Roman"/>
        </w:rPr>
        <w:t xml:space="preserve">, </w:t>
      </w:r>
      <w:r w:rsidRPr="00737F59">
        <w:rPr>
          <w:rFonts w:ascii="Times New Roman" w:hAnsi="Times New Roman" w:cs="Times New Roman"/>
          <w:bCs/>
        </w:rPr>
        <w:t>ekologizáciu verejnej dopravy</w:t>
      </w:r>
      <w:r w:rsidRPr="00737F59">
        <w:rPr>
          <w:rFonts w:ascii="Times New Roman" w:hAnsi="Times New Roman" w:cs="Times New Roman"/>
        </w:rPr>
        <w:t xml:space="preserve">, výrobu </w:t>
      </w:r>
      <w:r w:rsidRPr="00737F59">
        <w:rPr>
          <w:rFonts w:ascii="Times New Roman" w:hAnsi="Times New Roman" w:cs="Times New Roman"/>
          <w:bCs/>
        </w:rPr>
        <w:t>energie z obnoviteľných zdrojov</w:t>
      </w:r>
      <w:r w:rsidRPr="00737F59">
        <w:rPr>
          <w:rFonts w:ascii="Times New Roman" w:hAnsi="Times New Roman" w:cs="Times New Roman"/>
        </w:rPr>
        <w:t xml:space="preserve"> a zvýšenie </w:t>
      </w:r>
      <w:r w:rsidRPr="00737F59">
        <w:rPr>
          <w:rFonts w:ascii="Times New Roman" w:hAnsi="Times New Roman" w:cs="Times New Roman"/>
          <w:bCs/>
        </w:rPr>
        <w:t>energetickej efektívnosti</w:t>
      </w:r>
      <w:r w:rsidRPr="00737F59">
        <w:rPr>
          <w:rFonts w:ascii="Times New Roman" w:hAnsi="Times New Roman" w:cs="Times New Roman"/>
        </w:rPr>
        <w:t xml:space="preserve">. </w:t>
      </w:r>
    </w:p>
    <w:p w:rsidR="009D2A34" w:rsidP="009D2A34">
      <w:pPr>
        <w:bidi w:val="0"/>
        <w:jc w:val="both"/>
        <w:rPr>
          <w:rFonts w:ascii="Times New Roman" w:hAnsi="Times New Roman" w:cs="Times New Roman"/>
        </w:rPr>
      </w:pPr>
    </w:p>
    <w:p w:rsidR="00515262" w:rsidP="009D2A34">
      <w:pPr>
        <w:bidi w:val="0"/>
        <w:jc w:val="both"/>
        <w:rPr>
          <w:rFonts w:ascii="Times New Roman" w:hAnsi="Times New Roman" w:cs="Times New Roman"/>
        </w:rPr>
      </w:pPr>
    </w:p>
    <w:p w:rsidR="00515262" w:rsidP="009D2A34">
      <w:pPr>
        <w:bidi w:val="0"/>
        <w:jc w:val="both"/>
        <w:rPr>
          <w:rFonts w:ascii="Times New Roman" w:hAnsi="Times New Roman" w:cs="Times New Roman"/>
        </w:rPr>
      </w:pPr>
    </w:p>
    <w:p w:rsidR="00D83F50" w:rsidP="009D2A34">
      <w:pPr>
        <w:bidi w:val="0"/>
        <w:jc w:val="both"/>
        <w:rPr>
          <w:rFonts w:ascii="Times New Roman" w:hAnsi="Times New Roman" w:cs="Times New Roman"/>
        </w:rPr>
      </w:pPr>
    </w:p>
    <w:p w:rsidR="00515262" w:rsidP="009D2A34">
      <w:pPr>
        <w:bidi w:val="0"/>
        <w:jc w:val="both"/>
        <w:rPr>
          <w:rFonts w:ascii="Times New Roman" w:hAnsi="Times New Roman" w:cs="Times New Roman"/>
        </w:rPr>
      </w:pPr>
    </w:p>
    <w:p w:rsidR="009D2A34" w:rsidRPr="00737F59" w:rsidP="009D2A34">
      <w:pPr>
        <w:bidi w:val="0"/>
        <w:jc w:val="both"/>
        <w:rPr>
          <w:rFonts w:ascii="Times New Roman" w:hAnsi="Times New Roman" w:cs="Times New Roman"/>
          <w:b/>
        </w:rPr>
      </w:pPr>
      <w:r w:rsidRPr="00737F59">
        <w:rPr>
          <w:rFonts w:ascii="Times New Roman" w:hAnsi="Times New Roman" w:cs="Times New Roman"/>
          <w:b/>
        </w:rPr>
        <w:t>Odpadové hospodárstvo</w:t>
      </w:r>
    </w:p>
    <w:p w:rsidR="009D2A34" w:rsidRPr="00737F59" w:rsidP="009D2A34">
      <w:pPr>
        <w:bidi w:val="0"/>
        <w:jc w:val="both"/>
        <w:rPr>
          <w:rFonts w:ascii="Times New Roman" w:hAnsi="Times New Roman" w:cs="Times New Roman"/>
        </w:rPr>
      </w:pPr>
    </w:p>
    <w:tbl>
      <w:tblPr>
        <w:tblStyle w:val="TableNormal"/>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07"/>
        <w:gridCol w:w="931"/>
        <w:gridCol w:w="931"/>
        <w:gridCol w:w="932"/>
        <w:gridCol w:w="931"/>
        <w:gridCol w:w="932"/>
        <w:gridCol w:w="931"/>
        <w:gridCol w:w="932"/>
      </w:tblGrid>
      <w:tr>
        <w:tblPrEx>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center"/>
            <w:hideMark/>
          </w:tcPr>
          <w:p w:rsidR="009D2A34" w:rsidRPr="00737F59" w:rsidP="006338E5">
            <w:pPr>
              <w:bidi w:val="0"/>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v eurách </w:t>
            </w:r>
          </w:p>
        </w:tc>
        <w:tc>
          <w:tcPr>
            <w:tcW w:w="931" w:type="dxa"/>
            <w:tcBorders>
              <w:top w:val="single" w:sz="4" w:space="0" w:color="auto"/>
              <w:left w:val="single" w:sz="4" w:space="0" w:color="auto"/>
              <w:bottom w:val="single" w:sz="4" w:space="0" w:color="auto"/>
              <w:right w:val="single" w:sz="4" w:space="0" w:color="auto"/>
            </w:tcBorders>
            <w:shd w:val="clear" w:color="auto" w:fill="A6A6A6"/>
            <w:tcMar>
              <w:top w:w="13" w:type="dxa"/>
              <w:left w:w="13" w:type="dxa"/>
              <w:bottom w:w="0" w:type="dxa"/>
              <w:right w:w="13" w:type="dxa"/>
            </w:tcMar>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2010</w:t>
            </w:r>
            <w:r w:rsidR="00953EAF">
              <w:rPr>
                <w:rFonts w:ascii="Times New Roman" w:hAnsi="Times New Roman" w:cs="Times New Roman"/>
                <w:b/>
                <w:bCs/>
                <w:color w:val="000000"/>
                <w:sz w:val="14"/>
                <w:szCs w:val="14"/>
              </w:rPr>
              <w:t xml:space="preserve"> </w:t>
            </w:r>
            <w:r w:rsidRPr="00737F59">
              <w:rPr>
                <w:rFonts w:ascii="Times New Roman" w:hAnsi="Times New Roman" w:cs="Times New Roman"/>
                <w:b/>
                <w:bCs/>
                <w:color w:val="000000"/>
                <w:sz w:val="14"/>
                <w:szCs w:val="14"/>
              </w:rPr>
              <w:t>S*</w:t>
            </w:r>
          </w:p>
        </w:tc>
        <w:tc>
          <w:tcPr>
            <w:tcW w:w="931"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2011</w:t>
            </w:r>
            <w:r w:rsidR="00953EAF">
              <w:rPr>
                <w:rFonts w:ascii="Times New Roman" w:hAnsi="Times New Roman" w:cs="Times New Roman"/>
                <w:b/>
                <w:bCs/>
                <w:color w:val="000000"/>
                <w:sz w:val="14"/>
                <w:szCs w:val="14"/>
              </w:rPr>
              <w:t xml:space="preserve"> </w:t>
            </w:r>
            <w:r w:rsidRPr="00737F59">
              <w:rPr>
                <w:rFonts w:ascii="Times New Roman" w:hAnsi="Times New Roman" w:cs="Times New Roman"/>
                <w:b/>
                <w:bCs/>
                <w:color w:val="000000"/>
                <w:sz w:val="14"/>
                <w:szCs w:val="14"/>
              </w:rPr>
              <w:t>S</w:t>
            </w:r>
          </w:p>
        </w:tc>
        <w:tc>
          <w:tcPr>
            <w:tcW w:w="932"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2012 R</w:t>
            </w:r>
          </w:p>
        </w:tc>
        <w:tc>
          <w:tcPr>
            <w:tcW w:w="931" w:type="dxa"/>
            <w:tcBorders>
              <w:top w:val="single" w:sz="4" w:space="0" w:color="auto"/>
              <w:left w:val="single" w:sz="4" w:space="0" w:color="auto"/>
              <w:bottom w:val="single" w:sz="4" w:space="0" w:color="auto"/>
              <w:right w:val="single" w:sz="4" w:space="0" w:color="auto"/>
            </w:tcBorders>
            <w:shd w:val="clear" w:color="auto" w:fill="A6A6A6"/>
            <w:tcMar>
              <w:top w:w="13" w:type="dxa"/>
              <w:left w:w="13" w:type="dxa"/>
              <w:bottom w:w="0" w:type="dxa"/>
              <w:right w:w="13" w:type="dxa"/>
            </w:tcMar>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2012 OS</w:t>
            </w:r>
          </w:p>
        </w:tc>
        <w:tc>
          <w:tcPr>
            <w:tcW w:w="932"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center"/>
            <w:hideMark/>
          </w:tcPr>
          <w:p w:rsidR="009D2A34" w:rsidRPr="00737F59" w:rsidP="00953EAF">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 xml:space="preserve">2013 </w:t>
            </w:r>
            <w:r w:rsidR="00953EAF">
              <w:rPr>
                <w:rFonts w:ascii="Times New Roman" w:hAnsi="Times New Roman" w:cs="Times New Roman"/>
                <w:b/>
                <w:bCs/>
                <w:color w:val="000000"/>
                <w:sz w:val="14"/>
                <w:szCs w:val="14"/>
              </w:rPr>
              <w:t>N</w:t>
            </w:r>
          </w:p>
        </w:tc>
        <w:tc>
          <w:tcPr>
            <w:tcW w:w="931"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2014 N</w:t>
            </w:r>
          </w:p>
        </w:tc>
        <w:tc>
          <w:tcPr>
            <w:tcW w:w="932" w:type="dxa"/>
            <w:tcBorders>
              <w:top w:val="single" w:sz="4" w:space="0" w:color="auto"/>
              <w:left w:val="single" w:sz="4" w:space="0" w:color="auto"/>
              <w:bottom w:val="single" w:sz="4" w:space="0" w:color="auto"/>
              <w:right w:val="single" w:sz="4" w:space="0" w:color="auto"/>
            </w:tcBorders>
            <w:shd w:val="clear" w:color="auto" w:fill="A6A6A6"/>
            <w:noWrap/>
            <w:tcMar>
              <w:top w:w="13" w:type="dxa"/>
              <w:left w:w="13" w:type="dxa"/>
              <w:bottom w:w="0" w:type="dxa"/>
              <w:right w:w="13" w:type="dxa"/>
            </w:tcMar>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2015 N</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000000" w:fill="BFBFBF"/>
            <w:tcMar>
              <w:top w:w="13" w:type="dxa"/>
              <w:left w:w="13" w:type="dxa"/>
              <w:bottom w:w="0" w:type="dxa"/>
              <w:right w:w="13" w:type="dxa"/>
            </w:tcMar>
            <w:textDirection w:val="lrTb"/>
            <w:vAlign w:val="center"/>
            <w:hideMark/>
          </w:tcPr>
          <w:p w:rsidR="009D2A34" w:rsidRPr="00737F59" w:rsidP="006338E5">
            <w:pPr>
              <w:bidi w:val="0"/>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Odpadové hospodárstvo</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36 601 924</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74 041 369</w:t>
            </w:r>
          </w:p>
        </w:tc>
        <w:tc>
          <w:tcPr>
            <w:tcW w:w="932"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48 066 381</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48 164 091</w:t>
            </w:r>
          </w:p>
        </w:tc>
        <w:tc>
          <w:tcPr>
            <w:tcW w:w="932"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114 064 470</w:t>
            </w:r>
          </w:p>
        </w:tc>
        <w:tc>
          <w:tcPr>
            <w:tcW w:w="931"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55 729 112</w:t>
            </w:r>
          </w:p>
        </w:tc>
        <w:tc>
          <w:tcPr>
            <w:tcW w:w="932" w:type="dxa"/>
            <w:tcBorders>
              <w:top w:val="single" w:sz="4" w:space="0" w:color="auto"/>
              <w:left w:val="single" w:sz="4" w:space="0" w:color="auto"/>
              <w:bottom w:val="single" w:sz="4" w:space="0" w:color="auto"/>
              <w:right w:val="single" w:sz="4" w:space="0" w:color="auto"/>
            </w:tcBorders>
            <w:shd w:val="clear" w:color="000000" w:fill="C0C0C0"/>
            <w:noWrap/>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71 345 367</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textDirection w:val="lrTb"/>
            <w:vAlign w:val="center"/>
            <w:hideMark/>
          </w:tcPr>
          <w:p w:rsidR="009D2A34" w:rsidRPr="00737F59" w:rsidP="006338E5">
            <w:pPr>
              <w:bidi w:val="0"/>
              <w:rPr>
                <w:rFonts w:ascii="Times New Roman" w:hAnsi="Times New Roman" w:cs="Times New Roman"/>
                <w:color w:val="000000"/>
                <w:sz w:val="14"/>
                <w:szCs w:val="14"/>
              </w:rPr>
            </w:pPr>
            <w:r w:rsidRPr="00737F59">
              <w:rPr>
                <w:rFonts w:ascii="Times New Roman" w:hAnsi="Times New Roman" w:cs="Times New Roman"/>
                <w:color w:val="000000"/>
                <w:sz w:val="14"/>
                <w:szCs w:val="14"/>
              </w:rPr>
              <w:t xml:space="preserve">zdroje EÚ </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13 832 374</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64 922 824</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41 914 270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41 914 270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100 856 305</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48 705 116</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62 252 187</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textDirection w:val="lrTb"/>
            <w:vAlign w:val="center"/>
            <w:hideMark/>
          </w:tcPr>
          <w:p w:rsidR="009D2A34" w:rsidRPr="00737F59" w:rsidP="006338E5">
            <w:pPr>
              <w:bidi w:val="0"/>
              <w:rPr>
                <w:rFonts w:ascii="Times New Roman" w:hAnsi="Times New Roman" w:cs="Times New Roman"/>
                <w:color w:val="000000"/>
                <w:sz w:val="14"/>
                <w:szCs w:val="14"/>
              </w:rPr>
            </w:pPr>
            <w:r w:rsidRPr="00737F59">
              <w:rPr>
                <w:rFonts w:ascii="Times New Roman" w:hAnsi="Times New Roman" w:cs="Times New Roman"/>
                <w:color w:val="000000"/>
                <w:sz w:val="14"/>
                <w:szCs w:val="14"/>
              </w:rPr>
              <w:t>spolufinancovanie zo ŠR</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217 403</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9 118 545</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6 152 111</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6 249 821</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13 208 165</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7 023 996</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9 093 180</w:t>
            </w:r>
          </w:p>
        </w:tc>
      </w:tr>
      <w:tr>
        <w:tblPrEx>
          <w:tblW w:w="9227" w:type="dxa"/>
          <w:tblLayout w:type="fixed"/>
          <w:tblCellMar>
            <w:left w:w="0" w:type="dxa"/>
            <w:right w:w="0" w:type="dxa"/>
          </w:tblCellMar>
          <w:tblLook w:val="04A0"/>
        </w:tblPrEx>
        <w:trPr>
          <w:trHeight w:val="255"/>
        </w:trPr>
        <w:tc>
          <w:tcPr>
            <w:tcW w:w="2707"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extDirection w:val="lrTb"/>
            <w:vAlign w:val="center"/>
            <w:hideMark/>
          </w:tcPr>
          <w:p w:rsidR="009D2A34" w:rsidRPr="00737F59" w:rsidP="006338E5">
            <w:pPr>
              <w:bidi w:val="0"/>
              <w:rPr>
                <w:rFonts w:ascii="Times New Roman" w:hAnsi="Times New Roman" w:cs="Times New Roman"/>
                <w:color w:val="000000"/>
                <w:sz w:val="14"/>
                <w:szCs w:val="14"/>
              </w:rPr>
            </w:pPr>
            <w:r w:rsidRPr="00737F59">
              <w:rPr>
                <w:rFonts w:ascii="Times New Roman" w:hAnsi="Times New Roman" w:cs="Times New Roman"/>
                <w:color w:val="000000"/>
                <w:sz w:val="14"/>
                <w:szCs w:val="14"/>
              </w:rPr>
              <w:t>presun z minulých rokov</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22 552 147</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0</w:t>
            </w:r>
          </w:p>
        </w:tc>
        <w:tc>
          <w:tcPr>
            <w:tcW w:w="93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0</w:t>
            </w:r>
          </w:p>
        </w:tc>
        <w:tc>
          <w:tcPr>
            <w:tcW w:w="932"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extDirection w:val="lrTb"/>
            <w:vAlign w:val="center"/>
            <w:hideMark/>
          </w:tcPr>
          <w:p w:rsidR="009D2A34" w:rsidRPr="00905448" w:rsidP="006338E5">
            <w:pPr>
              <w:bidi w:val="0"/>
              <w:jc w:val="right"/>
              <w:rPr>
                <w:rFonts w:ascii="Times New Roman" w:hAnsi="Times New Roman" w:cs="Times New Roman"/>
                <w:color w:val="000000"/>
                <w:sz w:val="14"/>
                <w:szCs w:val="14"/>
              </w:rPr>
            </w:pPr>
            <w:r w:rsidRPr="00905448">
              <w:rPr>
                <w:rFonts w:ascii="Times New Roman" w:hAnsi="Times New Roman" w:cs="Times New Roman"/>
                <w:color w:val="000000"/>
                <w:sz w:val="14"/>
                <w:szCs w:val="14"/>
              </w:rPr>
              <w:t>0</w:t>
            </w:r>
          </w:p>
        </w:tc>
      </w:tr>
    </w:tbl>
    <w:p w:rsidR="009D2A34" w:rsidRPr="00737F59" w:rsidP="009D2A34">
      <w:pPr>
        <w:bidi w:val="0"/>
        <w:jc w:val="both"/>
        <w:rPr>
          <w:rFonts w:ascii="Times New Roman" w:hAnsi="Times New Roman" w:cs="Times New Roman"/>
          <w:color w:val="000000"/>
          <w:sz w:val="14"/>
          <w:szCs w:val="14"/>
        </w:rPr>
      </w:pPr>
      <w:r w:rsidRPr="00737F59">
        <w:rPr>
          <w:rFonts w:ascii="Times New Roman" w:hAnsi="Times New Roman" w:cs="Times New Roman"/>
          <w:color w:val="000000"/>
          <w:sz w:val="14"/>
          <w:szCs w:val="14"/>
        </w:rPr>
        <w:t xml:space="preserve"> * Čerpanie bolo ovplyvnené dočasným zánikom kapitoly MŽP SR</w:t>
      </w:r>
    </w:p>
    <w:p w:rsidR="009D2A34" w:rsidRPr="00737F59" w:rsidP="009D2A34">
      <w:pPr>
        <w:bidi w:val="0"/>
        <w:jc w:val="both"/>
        <w:rPr>
          <w:rFonts w:ascii="Times New Roman" w:hAnsi="Times New Roman" w:cs="Times New Roman"/>
          <w:b/>
        </w:rPr>
      </w:pPr>
    </w:p>
    <w:p w:rsidR="009D2A34" w:rsidRPr="00737F59" w:rsidP="009D2A34">
      <w:pPr>
        <w:bidi w:val="0"/>
        <w:ind w:firstLine="708"/>
        <w:jc w:val="both"/>
        <w:rPr>
          <w:rFonts w:ascii="Times New Roman" w:hAnsi="Times New Roman" w:cs="Times New Roman"/>
        </w:rPr>
      </w:pPr>
      <w:r w:rsidRPr="00737F59">
        <w:rPr>
          <w:rFonts w:ascii="Times New Roman" w:hAnsi="Times New Roman" w:cs="Times New Roman"/>
        </w:rPr>
        <w:t>Na odpadové hospodárstvo a environmentálne rizikové faktory sa v roku 2013 rozpočtujú prostriedky o 137 % vyššie ako v schválenom rozpočte na rok 2012 a tvoria ich iba prostriedky EÚ a spolufinancovanie. Tieto prostriedky slúžia na dobudovanie infraštruktúry odpadového hospodárstva (</w:t>
      </w:r>
      <w:r w:rsidRPr="00737F59">
        <w:rPr>
          <w:rFonts w:ascii="Times New Roman" w:hAnsi="Times New Roman" w:cs="Times New Roman"/>
          <w:bCs/>
        </w:rPr>
        <w:t>recyklácia odpadov</w:t>
      </w:r>
      <w:r w:rsidRPr="00737F59">
        <w:rPr>
          <w:rFonts w:ascii="Times New Roman" w:hAnsi="Times New Roman" w:cs="Times New Roman"/>
        </w:rPr>
        <w:t xml:space="preserve">, uzatváranie a rekultivácia </w:t>
      </w:r>
      <w:r w:rsidRPr="00737F59">
        <w:rPr>
          <w:rFonts w:ascii="Times New Roman" w:hAnsi="Times New Roman" w:cs="Times New Roman"/>
          <w:bCs/>
        </w:rPr>
        <w:t>skládok odpadov</w:t>
      </w:r>
      <w:r w:rsidRPr="00737F59">
        <w:rPr>
          <w:rFonts w:ascii="Times New Roman" w:hAnsi="Times New Roman" w:cs="Times New Roman"/>
        </w:rPr>
        <w:t xml:space="preserve">) a elimináciu negatívnych vplyvov </w:t>
      </w:r>
      <w:r w:rsidRPr="00737F59">
        <w:rPr>
          <w:rFonts w:ascii="Times New Roman" w:hAnsi="Times New Roman" w:cs="Times New Roman"/>
          <w:bCs/>
        </w:rPr>
        <w:t>environmentálnych záťaží</w:t>
      </w:r>
      <w:r w:rsidRPr="00737F59">
        <w:rPr>
          <w:rFonts w:ascii="Times New Roman" w:hAnsi="Times New Roman" w:cs="Times New Roman"/>
        </w:rPr>
        <w:t>.</w:t>
      </w:r>
    </w:p>
    <w:p w:rsidR="009D2A34" w:rsidRPr="00737F59" w:rsidP="009D2A34">
      <w:pPr>
        <w:bidi w:val="0"/>
        <w:jc w:val="both"/>
        <w:rPr>
          <w:rFonts w:ascii="Times New Roman" w:hAnsi="Times New Roman" w:cs="Times New Roman"/>
        </w:rPr>
      </w:pPr>
    </w:p>
    <w:p w:rsidR="009D2A34" w:rsidRPr="00737F59" w:rsidP="009D2A34">
      <w:pPr>
        <w:bidi w:val="0"/>
        <w:jc w:val="both"/>
        <w:rPr>
          <w:rFonts w:ascii="Times New Roman" w:hAnsi="Times New Roman" w:cs="Times New Roman"/>
          <w:b/>
        </w:rPr>
      </w:pPr>
      <w:r w:rsidRPr="00737F59">
        <w:rPr>
          <w:rFonts w:ascii="Times New Roman" w:hAnsi="Times New Roman" w:cs="Times New Roman"/>
          <w:b/>
        </w:rPr>
        <w:t>Ochrana prírody a krajiny</w:t>
      </w:r>
    </w:p>
    <w:p w:rsidR="009D2A34" w:rsidRPr="00CD37C6" w:rsidP="009D2A34">
      <w:pPr>
        <w:bidi w:val="0"/>
        <w:jc w:val="both"/>
        <w:rPr>
          <w:rFonts w:ascii="Times New Roman" w:hAnsi="Times New Roman" w:cs="Times New Roman"/>
          <w:highlight w:val="yellow"/>
        </w:rPr>
      </w:pPr>
    </w:p>
    <w:tbl>
      <w:tblPr>
        <w:tblStyle w:val="TableNormal"/>
        <w:tblW w:w="4924" w:type="pct"/>
        <w:tblLayout w:type="fixed"/>
        <w:tblCellMar>
          <w:left w:w="70" w:type="dxa"/>
          <w:right w:w="70" w:type="dxa"/>
        </w:tblCellMar>
        <w:tblLook w:val="04A0"/>
      </w:tblPr>
      <w:tblGrid>
        <w:gridCol w:w="2623"/>
        <w:gridCol w:w="921"/>
        <w:gridCol w:w="922"/>
        <w:gridCol w:w="922"/>
        <w:gridCol w:w="922"/>
        <w:gridCol w:w="922"/>
        <w:gridCol w:w="922"/>
        <w:gridCol w:w="918"/>
      </w:tblGrid>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37F59" w:rsidP="006338E5">
            <w:pPr>
              <w:bidi w:val="0"/>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v eurách </w:t>
            </w:r>
          </w:p>
        </w:tc>
        <w:tc>
          <w:tcPr>
            <w:tcW w:w="508" w:type="pct"/>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2010</w:t>
            </w:r>
            <w:r w:rsidR="00953EAF">
              <w:rPr>
                <w:rFonts w:ascii="Times New Roman" w:hAnsi="Times New Roman" w:cs="Times New Roman"/>
                <w:b/>
                <w:bCs/>
                <w:color w:val="000000"/>
                <w:sz w:val="14"/>
                <w:szCs w:val="14"/>
              </w:rPr>
              <w:t xml:space="preserve"> </w:t>
            </w:r>
            <w:r w:rsidRPr="00737F59">
              <w:rPr>
                <w:rFonts w:ascii="Times New Roman" w:hAnsi="Times New Roman" w:cs="Times New Roman"/>
                <w:b/>
                <w:bCs/>
                <w:color w:val="000000"/>
                <w:sz w:val="14"/>
                <w:szCs w:val="14"/>
              </w:rPr>
              <w:t>S*</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2011</w:t>
            </w:r>
            <w:r w:rsidR="00953EAF">
              <w:rPr>
                <w:rFonts w:ascii="Times New Roman" w:hAnsi="Times New Roman" w:cs="Times New Roman"/>
                <w:b/>
                <w:bCs/>
                <w:color w:val="000000"/>
                <w:sz w:val="14"/>
                <w:szCs w:val="14"/>
              </w:rPr>
              <w:t xml:space="preserve"> </w:t>
            </w:r>
            <w:r w:rsidRPr="00737F59">
              <w:rPr>
                <w:rFonts w:ascii="Times New Roman" w:hAnsi="Times New Roman" w:cs="Times New Roman"/>
                <w:b/>
                <w:bCs/>
                <w:color w:val="000000"/>
                <w:sz w:val="14"/>
                <w:szCs w:val="14"/>
              </w:rPr>
              <w:t>S</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2012 R</w:t>
            </w:r>
          </w:p>
        </w:tc>
        <w:tc>
          <w:tcPr>
            <w:tcW w:w="508" w:type="pct"/>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2012 OS</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737F59" w:rsidP="00953EAF">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 xml:space="preserve">2013 </w:t>
            </w:r>
            <w:r w:rsidR="00953EAF">
              <w:rPr>
                <w:rFonts w:ascii="Times New Roman" w:hAnsi="Times New Roman" w:cs="Times New Roman"/>
                <w:b/>
                <w:bCs/>
                <w:color w:val="000000"/>
                <w:sz w:val="14"/>
                <w:szCs w:val="14"/>
              </w:rPr>
              <w:t>N</w:t>
            </w:r>
          </w:p>
        </w:tc>
        <w:tc>
          <w:tcPr>
            <w:tcW w:w="508"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2014 N</w:t>
            </w:r>
          </w:p>
        </w:tc>
        <w:tc>
          <w:tcPr>
            <w:tcW w:w="50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737F59" w:rsidP="006338E5">
            <w:pPr>
              <w:bidi w:val="0"/>
              <w:jc w:val="center"/>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2015 N</w:t>
            </w:r>
          </w:p>
        </w:tc>
      </w:tr>
      <w:tr>
        <w:tblPrEx>
          <w:tblW w:w="4924" w:type="pct"/>
          <w:tblLayout w:type="fixed"/>
          <w:tblCellMar>
            <w:left w:w="70" w:type="dxa"/>
            <w:right w:w="70" w:type="dxa"/>
          </w:tblCellMar>
          <w:tblLook w:val="04A0"/>
        </w:tblPrEx>
        <w:trPr>
          <w:trHeight w:val="255"/>
        </w:trPr>
        <w:tc>
          <w:tcPr>
            <w:tcW w:w="1446" w:type="pct"/>
            <w:tcBorders>
              <w:top w:val="nil"/>
              <w:left w:val="single" w:sz="4" w:space="0" w:color="auto"/>
              <w:bottom w:val="single" w:sz="4" w:space="0" w:color="auto"/>
              <w:right w:val="single" w:sz="4" w:space="0" w:color="auto"/>
            </w:tcBorders>
            <w:shd w:val="clear" w:color="000000" w:fill="BFBFBF"/>
            <w:textDirection w:val="lrTb"/>
            <w:vAlign w:val="center"/>
            <w:hideMark/>
          </w:tcPr>
          <w:p w:rsidR="009D2A34" w:rsidRPr="00737F59" w:rsidP="006338E5">
            <w:pPr>
              <w:bidi w:val="0"/>
              <w:rPr>
                <w:rFonts w:ascii="Times New Roman" w:hAnsi="Times New Roman" w:cs="Times New Roman"/>
                <w:b/>
                <w:bCs/>
                <w:color w:val="000000"/>
                <w:sz w:val="14"/>
                <w:szCs w:val="14"/>
              </w:rPr>
            </w:pPr>
            <w:r w:rsidRPr="00737F59">
              <w:rPr>
                <w:rFonts w:ascii="Times New Roman" w:hAnsi="Times New Roman" w:cs="Times New Roman"/>
                <w:b/>
                <w:bCs/>
                <w:color w:val="000000"/>
                <w:sz w:val="14"/>
                <w:szCs w:val="14"/>
              </w:rPr>
              <w:t>Ochrana prírody a krajiny</w:t>
            </w:r>
          </w:p>
        </w:tc>
        <w:tc>
          <w:tcPr>
            <w:tcW w:w="508" w:type="pct"/>
            <w:tcBorders>
              <w:top w:val="nil"/>
              <w:left w:val="nil"/>
              <w:bottom w:val="single" w:sz="4" w:space="0" w:color="auto"/>
              <w:right w:val="single" w:sz="4" w:space="0" w:color="auto"/>
            </w:tcBorders>
            <w:shd w:val="clear" w:color="000000" w:fill="C0C0C0"/>
            <w:noWrap/>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10 440 130</w:t>
            </w:r>
          </w:p>
        </w:tc>
        <w:tc>
          <w:tcPr>
            <w:tcW w:w="508" w:type="pct"/>
            <w:tcBorders>
              <w:top w:val="nil"/>
              <w:left w:val="nil"/>
              <w:bottom w:val="single" w:sz="4" w:space="0" w:color="auto"/>
              <w:right w:val="single" w:sz="4" w:space="0" w:color="auto"/>
            </w:tcBorders>
            <w:shd w:val="clear" w:color="000000" w:fill="C0C0C0"/>
            <w:noWrap/>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18 215 661</w:t>
            </w:r>
          </w:p>
        </w:tc>
        <w:tc>
          <w:tcPr>
            <w:tcW w:w="508" w:type="pct"/>
            <w:tcBorders>
              <w:top w:val="nil"/>
              <w:left w:val="nil"/>
              <w:bottom w:val="single" w:sz="4" w:space="0" w:color="auto"/>
              <w:right w:val="single" w:sz="4" w:space="0" w:color="auto"/>
            </w:tcBorders>
            <w:shd w:val="clear" w:color="000000" w:fill="C0C0C0"/>
            <w:noWrap/>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34 540 572</w:t>
            </w:r>
          </w:p>
        </w:tc>
        <w:tc>
          <w:tcPr>
            <w:tcW w:w="508" w:type="pct"/>
            <w:tcBorders>
              <w:top w:val="nil"/>
              <w:left w:val="nil"/>
              <w:bottom w:val="single" w:sz="4" w:space="0" w:color="auto"/>
              <w:right w:val="single" w:sz="4" w:space="0" w:color="auto"/>
            </w:tcBorders>
            <w:shd w:val="clear" w:color="000000" w:fill="C0C0C0"/>
            <w:noWrap/>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38 506 261</w:t>
            </w:r>
          </w:p>
        </w:tc>
        <w:tc>
          <w:tcPr>
            <w:tcW w:w="508" w:type="pct"/>
            <w:tcBorders>
              <w:top w:val="nil"/>
              <w:left w:val="nil"/>
              <w:bottom w:val="single" w:sz="4" w:space="0" w:color="auto"/>
              <w:right w:val="single" w:sz="4" w:space="0" w:color="auto"/>
            </w:tcBorders>
            <w:shd w:val="clear" w:color="000000" w:fill="C0C0C0"/>
            <w:noWrap/>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32 766 045</w:t>
            </w:r>
          </w:p>
        </w:tc>
        <w:tc>
          <w:tcPr>
            <w:tcW w:w="508" w:type="pct"/>
            <w:tcBorders>
              <w:top w:val="nil"/>
              <w:left w:val="nil"/>
              <w:bottom w:val="single" w:sz="4" w:space="0" w:color="auto"/>
              <w:right w:val="single" w:sz="4" w:space="0" w:color="auto"/>
            </w:tcBorders>
            <w:shd w:val="clear" w:color="000000" w:fill="C0C0C0"/>
            <w:noWrap/>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19 258 647</w:t>
            </w:r>
          </w:p>
        </w:tc>
        <w:tc>
          <w:tcPr>
            <w:tcW w:w="506" w:type="pct"/>
            <w:tcBorders>
              <w:top w:val="nil"/>
              <w:left w:val="nil"/>
              <w:bottom w:val="single" w:sz="4" w:space="0" w:color="auto"/>
              <w:right w:val="single" w:sz="4" w:space="0" w:color="auto"/>
            </w:tcBorders>
            <w:shd w:val="clear" w:color="000000" w:fill="C0C0C0"/>
            <w:noWrap/>
            <w:textDirection w:val="lrTb"/>
            <w:vAlign w:val="center"/>
            <w:hideMark/>
          </w:tcPr>
          <w:p w:rsidR="009D2A34" w:rsidRPr="00905448" w:rsidP="006338E5">
            <w:pPr>
              <w:bidi w:val="0"/>
              <w:jc w:val="right"/>
              <w:rPr>
                <w:rFonts w:ascii="Times New Roman" w:hAnsi="Times New Roman" w:cs="Times New Roman"/>
                <w:b/>
                <w:bCs/>
                <w:color w:val="000000"/>
                <w:sz w:val="14"/>
                <w:szCs w:val="14"/>
              </w:rPr>
            </w:pPr>
            <w:r w:rsidRPr="00905448">
              <w:rPr>
                <w:rFonts w:ascii="Times New Roman" w:hAnsi="Times New Roman" w:cs="Times New Roman"/>
                <w:b/>
                <w:bCs/>
                <w:color w:val="000000"/>
                <w:sz w:val="14"/>
                <w:szCs w:val="14"/>
              </w:rPr>
              <w:t>18 814 597</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auto"/>
            <w:textDirection w:val="lrTb"/>
            <w:vAlign w:val="center"/>
            <w:hideMark/>
          </w:tcPr>
          <w:p w:rsidR="009D2A34" w:rsidRPr="00737F59" w:rsidP="006338E5">
            <w:pPr>
              <w:bidi w:val="0"/>
              <w:rPr>
                <w:rFonts w:ascii="Times New Roman" w:hAnsi="Times New Roman" w:cs="Times New Roman"/>
                <w:b/>
                <w:color w:val="000000"/>
                <w:sz w:val="14"/>
                <w:szCs w:val="14"/>
              </w:rPr>
            </w:pPr>
            <w:r w:rsidRPr="00737F59">
              <w:rPr>
                <w:rFonts w:ascii="Times New Roman" w:hAnsi="Times New Roman" w:cs="Times New Roman"/>
                <w:b/>
                <w:color w:val="000000"/>
                <w:sz w:val="14"/>
                <w:szCs w:val="14"/>
              </w:rPr>
              <w:t>rozpočtové zdroje kapitoly , v tom:</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6 485 244</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13 705 006</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9 265 390</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10 465 158</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8 828 227</w:t>
            </w:r>
          </w:p>
        </w:tc>
        <w:tc>
          <w:tcPr>
            <w:tcW w:w="508"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8 828 227</w:t>
            </w:r>
          </w:p>
        </w:tc>
        <w:tc>
          <w:tcPr>
            <w:tcW w:w="506" w:type="pct"/>
            <w:tcBorders>
              <w:top w:val="single" w:sz="4" w:space="0" w:color="auto"/>
              <w:left w:val="nil"/>
              <w:bottom w:val="single" w:sz="4" w:space="0" w:color="auto"/>
              <w:right w:val="single" w:sz="4" w:space="0" w:color="auto"/>
            </w:tcBorders>
            <w:shd w:val="clear" w:color="000000" w:fill="auto"/>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8 828 227</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737F59" w:rsidP="006338E5">
            <w:pPr>
              <w:bidi w:val="0"/>
              <w:rPr>
                <w:rFonts w:ascii="Times New Roman" w:hAnsi="Times New Roman" w:cs="Times New Roman"/>
                <w:i/>
                <w:color w:val="000000"/>
                <w:sz w:val="14"/>
                <w:szCs w:val="14"/>
              </w:rPr>
            </w:pPr>
            <w:r w:rsidRPr="00737F59">
              <w:rPr>
                <w:rFonts w:ascii="Times New Roman" w:hAnsi="Times New Roman" w:cs="Times New Roman"/>
                <w:i/>
                <w:color w:val="000000"/>
                <w:sz w:val="14"/>
                <w:szCs w:val="14"/>
              </w:rPr>
              <w:t>Aparát - šp. služby, na náhradu</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420 006</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5 789 387</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1 400 000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2 599 768</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1 100 000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1 100 000</w:t>
            </w:r>
          </w:p>
        </w:tc>
        <w:tc>
          <w:tcPr>
            <w:tcW w:w="50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1 100 000</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737F59" w:rsidP="006338E5">
            <w:pPr>
              <w:bidi w:val="0"/>
              <w:rPr>
                <w:rFonts w:ascii="Times New Roman" w:hAnsi="Times New Roman" w:cs="Times New Roman"/>
                <w:i/>
                <w:color w:val="000000"/>
                <w:sz w:val="14"/>
                <w:szCs w:val="14"/>
              </w:rPr>
            </w:pPr>
            <w:r w:rsidRPr="00737F59">
              <w:rPr>
                <w:rFonts w:ascii="Times New Roman" w:hAnsi="Times New Roman" w:cs="Times New Roman"/>
                <w:i/>
                <w:color w:val="000000"/>
                <w:sz w:val="14"/>
                <w:szCs w:val="14"/>
              </w:rPr>
              <w:t>Štátny geologický ústav Dionýza Štúra</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2 976 628</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2 818 966</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2 742 000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2 742 000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2 646 030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2 646 030</w:t>
            </w:r>
          </w:p>
        </w:tc>
        <w:tc>
          <w:tcPr>
            <w:tcW w:w="50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2 646 030</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737F59" w:rsidP="006338E5">
            <w:pPr>
              <w:bidi w:val="0"/>
              <w:rPr>
                <w:rFonts w:ascii="Times New Roman" w:hAnsi="Times New Roman" w:cs="Times New Roman"/>
                <w:i/>
                <w:color w:val="000000"/>
                <w:sz w:val="14"/>
                <w:szCs w:val="14"/>
              </w:rPr>
            </w:pPr>
            <w:r w:rsidRPr="00737F59">
              <w:rPr>
                <w:rFonts w:ascii="Times New Roman" w:hAnsi="Times New Roman" w:cs="Times New Roman"/>
                <w:i/>
                <w:color w:val="000000"/>
                <w:sz w:val="14"/>
                <w:szCs w:val="14"/>
              </w:rPr>
              <w:t>Slovenské banské múzeum</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458 982</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472 328</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472 000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472 000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458 784</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458 784</w:t>
            </w:r>
          </w:p>
        </w:tc>
        <w:tc>
          <w:tcPr>
            <w:tcW w:w="50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458 784</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737F59" w:rsidP="006338E5">
            <w:pPr>
              <w:bidi w:val="0"/>
              <w:rPr>
                <w:rFonts w:ascii="Times New Roman" w:hAnsi="Times New Roman" w:cs="Times New Roman"/>
                <w:i/>
                <w:color w:val="000000"/>
                <w:sz w:val="14"/>
                <w:szCs w:val="14"/>
              </w:rPr>
            </w:pPr>
            <w:r w:rsidRPr="00737F59">
              <w:rPr>
                <w:rFonts w:ascii="Times New Roman" w:hAnsi="Times New Roman" w:cs="Times New Roman"/>
                <w:i/>
                <w:color w:val="000000"/>
                <w:sz w:val="14"/>
                <w:szCs w:val="14"/>
              </w:rPr>
              <w:t>ZOO Bojnice</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694 961</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836 600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729 390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729 390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729 390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729 390</w:t>
            </w:r>
          </w:p>
        </w:tc>
        <w:tc>
          <w:tcPr>
            <w:tcW w:w="50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729 390</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737F59" w:rsidP="006338E5">
            <w:pPr>
              <w:bidi w:val="0"/>
              <w:rPr>
                <w:rFonts w:ascii="Times New Roman" w:hAnsi="Times New Roman" w:cs="Times New Roman"/>
                <w:i/>
                <w:color w:val="000000"/>
                <w:sz w:val="14"/>
                <w:szCs w:val="14"/>
              </w:rPr>
            </w:pPr>
            <w:r w:rsidRPr="00737F59">
              <w:rPr>
                <w:rFonts w:ascii="Times New Roman" w:hAnsi="Times New Roman" w:cs="Times New Roman"/>
                <w:i/>
                <w:color w:val="000000"/>
                <w:sz w:val="14"/>
                <w:szCs w:val="14"/>
              </w:rPr>
              <w:t>Štátna ochrana prírody SR</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1 460 732</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3 286 017</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3 460 000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3 460 000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3 444 959</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3 444 959</w:t>
            </w:r>
          </w:p>
        </w:tc>
        <w:tc>
          <w:tcPr>
            <w:tcW w:w="50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3 444 959</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737F59" w:rsidP="006338E5">
            <w:pPr>
              <w:bidi w:val="0"/>
              <w:rPr>
                <w:rFonts w:ascii="Times New Roman" w:hAnsi="Times New Roman" w:cs="Times New Roman"/>
                <w:i/>
                <w:color w:val="000000"/>
                <w:sz w:val="14"/>
                <w:szCs w:val="14"/>
              </w:rPr>
            </w:pPr>
            <w:r w:rsidRPr="00737F59">
              <w:rPr>
                <w:rFonts w:ascii="Times New Roman" w:hAnsi="Times New Roman" w:cs="Times New Roman"/>
                <w:i/>
                <w:color w:val="000000"/>
                <w:sz w:val="14"/>
                <w:szCs w:val="14"/>
              </w:rPr>
              <w:t>Slovenské múzeum ochrany prírody a jaskyniarstva</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473 935</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501 708</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462 000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462 000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449 064</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449 064</w:t>
            </w:r>
          </w:p>
        </w:tc>
        <w:tc>
          <w:tcPr>
            <w:tcW w:w="50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i/>
                <w:color w:val="000000"/>
                <w:sz w:val="14"/>
                <w:szCs w:val="14"/>
              </w:rPr>
            </w:pPr>
            <w:r w:rsidRPr="00905448">
              <w:rPr>
                <w:rFonts w:ascii="Times New Roman" w:hAnsi="Times New Roman" w:cs="Times New Roman"/>
                <w:i/>
                <w:color w:val="000000"/>
                <w:sz w:val="14"/>
                <w:szCs w:val="14"/>
              </w:rPr>
              <w:t>449 064</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737F59" w:rsidP="006338E5">
            <w:pPr>
              <w:bidi w:val="0"/>
              <w:rPr>
                <w:rFonts w:ascii="Times New Roman" w:hAnsi="Times New Roman" w:cs="Times New Roman"/>
                <w:b/>
                <w:color w:val="000000"/>
                <w:sz w:val="14"/>
                <w:szCs w:val="14"/>
              </w:rPr>
            </w:pPr>
            <w:r w:rsidRPr="00737F59">
              <w:rPr>
                <w:rFonts w:ascii="Times New Roman" w:hAnsi="Times New Roman" w:cs="Times New Roman"/>
                <w:b/>
                <w:color w:val="000000"/>
                <w:sz w:val="14"/>
                <w:szCs w:val="14"/>
              </w:rPr>
              <w:t xml:space="preserve">zdroje EÚ </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3 565 210</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18 373 188</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14 373 188</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17 627 146</w:t>
            </w:r>
          </w:p>
        </w:tc>
        <w:tc>
          <w:tcPr>
            <w:tcW w:w="508"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6 145 857</w:t>
            </w:r>
          </w:p>
        </w:tc>
        <w:tc>
          <w:tcPr>
            <w:tcW w:w="50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5 768 415</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9D2A34" w:rsidRPr="00737F59" w:rsidP="006338E5">
            <w:pPr>
              <w:bidi w:val="0"/>
              <w:rPr>
                <w:rFonts w:ascii="Times New Roman" w:hAnsi="Times New Roman" w:cs="Times New Roman"/>
                <w:b/>
                <w:color w:val="000000"/>
                <w:sz w:val="14"/>
                <w:szCs w:val="14"/>
              </w:rPr>
            </w:pPr>
            <w:r w:rsidRPr="00737F59">
              <w:rPr>
                <w:rFonts w:ascii="Times New Roman" w:hAnsi="Times New Roman" w:cs="Times New Roman"/>
                <w:b/>
                <w:color w:val="000000"/>
                <w:sz w:val="14"/>
                <w:szCs w:val="14"/>
              </w:rPr>
              <w:t>spolufinancovanie zo ŠR</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160 320</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629 155</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6 901 994</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6 101 994</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6 310 672</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4 284 563</w:t>
            </w:r>
          </w:p>
        </w:tc>
        <w:tc>
          <w:tcPr>
            <w:tcW w:w="506"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4 217 955</w:t>
            </w:r>
          </w:p>
        </w:tc>
      </w:tr>
      <w:tr>
        <w:tblPrEx>
          <w:tblW w:w="4924" w:type="pct"/>
          <w:tblLayout w:type="fixed"/>
          <w:tblCellMar>
            <w:left w:w="70" w:type="dxa"/>
            <w:right w:w="70" w:type="dxa"/>
          </w:tblCellMar>
          <w:tblLook w:val="04A0"/>
        </w:tblPrEx>
        <w:trPr>
          <w:trHeight w:val="255"/>
        </w:trPr>
        <w:tc>
          <w:tcPr>
            <w:tcW w:w="1446"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37F59" w:rsidP="006338E5">
            <w:pPr>
              <w:bidi w:val="0"/>
              <w:rPr>
                <w:rFonts w:ascii="Times New Roman" w:hAnsi="Times New Roman" w:cs="Times New Roman"/>
                <w:b/>
                <w:color w:val="000000"/>
                <w:sz w:val="14"/>
                <w:szCs w:val="14"/>
              </w:rPr>
            </w:pPr>
            <w:r w:rsidRPr="00737F59">
              <w:rPr>
                <w:rFonts w:ascii="Times New Roman" w:hAnsi="Times New Roman" w:cs="Times New Roman"/>
                <w:b/>
                <w:color w:val="000000"/>
                <w:sz w:val="14"/>
                <w:szCs w:val="14"/>
              </w:rPr>
              <w:t>presun z minulých rokov</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3 794 566</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316 290</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0</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7 565 921</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0</w:t>
            </w:r>
          </w:p>
        </w:tc>
        <w:tc>
          <w:tcPr>
            <w:tcW w:w="508"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0</w:t>
            </w:r>
          </w:p>
        </w:tc>
        <w:tc>
          <w:tcPr>
            <w:tcW w:w="506" w:type="pct"/>
            <w:tcBorders>
              <w:top w:val="nil"/>
              <w:left w:val="nil"/>
              <w:bottom w:val="single" w:sz="4" w:space="0" w:color="auto"/>
              <w:right w:val="single" w:sz="4" w:space="0" w:color="auto"/>
            </w:tcBorders>
            <w:textDirection w:val="lrTb"/>
            <w:vAlign w:val="center"/>
            <w:hideMark/>
          </w:tcPr>
          <w:p w:rsidR="009D2A34" w:rsidRPr="00905448" w:rsidP="006338E5">
            <w:pPr>
              <w:bidi w:val="0"/>
              <w:jc w:val="right"/>
              <w:rPr>
                <w:rFonts w:ascii="Times New Roman" w:hAnsi="Times New Roman" w:cs="Times New Roman"/>
                <w:b/>
                <w:color w:val="000000"/>
                <w:sz w:val="14"/>
                <w:szCs w:val="14"/>
              </w:rPr>
            </w:pPr>
            <w:r w:rsidRPr="00905448">
              <w:rPr>
                <w:rFonts w:ascii="Times New Roman" w:hAnsi="Times New Roman" w:cs="Times New Roman"/>
                <w:b/>
                <w:color w:val="000000"/>
                <w:sz w:val="14"/>
                <w:szCs w:val="14"/>
              </w:rPr>
              <w:t>0</w:t>
            </w:r>
          </w:p>
        </w:tc>
      </w:tr>
    </w:tbl>
    <w:p w:rsidR="009D2A34" w:rsidRPr="00737F59" w:rsidP="009D2A34">
      <w:pPr>
        <w:bidi w:val="0"/>
        <w:jc w:val="both"/>
        <w:rPr>
          <w:rFonts w:ascii="Times New Roman" w:hAnsi="Times New Roman" w:cs="Times New Roman"/>
          <w:color w:val="000000"/>
          <w:sz w:val="14"/>
          <w:szCs w:val="14"/>
        </w:rPr>
      </w:pPr>
      <w:r w:rsidRPr="00737F59">
        <w:rPr>
          <w:rFonts w:ascii="Times New Roman" w:hAnsi="Times New Roman" w:cs="Times New Roman"/>
          <w:color w:val="000000"/>
          <w:sz w:val="14"/>
          <w:szCs w:val="14"/>
        </w:rPr>
        <w:t>* Čerpanie bolo ovplyvnené dočasným zánikom kapitoly MŽP SR</w:t>
      </w:r>
    </w:p>
    <w:p w:rsidR="009D2A34" w:rsidRPr="00CD37C6" w:rsidP="009D2A34">
      <w:pPr>
        <w:bidi w:val="0"/>
        <w:jc w:val="both"/>
        <w:rPr>
          <w:rFonts w:ascii="Times New Roman" w:hAnsi="Times New Roman" w:cs="Times New Roman"/>
          <w:highlight w:val="yellow"/>
        </w:rPr>
      </w:pPr>
    </w:p>
    <w:p w:rsidR="009D2A34" w:rsidRPr="00AF1808" w:rsidP="009D2A34">
      <w:pPr>
        <w:bidi w:val="0"/>
        <w:ind w:firstLine="708"/>
        <w:jc w:val="both"/>
        <w:rPr>
          <w:rFonts w:ascii="Times New Roman" w:hAnsi="Times New Roman" w:cs="Times New Roman"/>
        </w:rPr>
      </w:pPr>
      <w:r w:rsidRPr="00AF1808">
        <w:rPr>
          <w:rFonts w:ascii="Times New Roman" w:hAnsi="Times New Roman" w:cs="Times New Roman"/>
        </w:rPr>
        <w:t>Na</w:t>
      </w:r>
      <w:r w:rsidRPr="00AF1808">
        <w:rPr>
          <w:rFonts w:ascii="Times New Roman" w:hAnsi="Times New Roman" w:cs="Times New Roman"/>
          <w:bCs/>
        </w:rPr>
        <w:t xml:space="preserve"> </w:t>
      </w:r>
      <w:r w:rsidRPr="00AF1808">
        <w:rPr>
          <w:rFonts w:ascii="Times New Roman" w:hAnsi="Times New Roman" w:cs="Times New Roman"/>
        </w:rPr>
        <w:t>ochranu prírody a krajiny sa v roku 2013 výdavky rozpočtujú o</w:t>
      </w:r>
      <w:r>
        <w:rPr>
          <w:rFonts w:ascii="Times New Roman" w:hAnsi="Times New Roman" w:cs="Times New Roman"/>
        </w:rPr>
        <w:t> 5,14</w:t>
      </w:r>
      <w:r w:rsidRPr="00AF1808">
        <w:rPr>
          <w:rFonts w:ascii="Times New Roman" w:hAnsi="Times New Roman" w:cs="Times New Roman"/>
        </w:rPr>
        <w:t xml:space="preserve"> % nižšie ako v schválenom rozpočte roku 2012 a sú to vlastné prostriedky kapitoly s medziročným poklesom  4,72 %, prostriedky EÚ s poklesom 4,06</w:t>
      </w:r>
      <w:r>
        <w:rPr>
          <w:rFonts w:ascii="Times New Roman" w:hAnsi="Times New Roman" w:cs="Times New Roman"/>
        </w:rPr>
        <w:t xml:space="preserve"> % a spolufinancovanie</w:t>
      </w:r>
      <w:r w:rsidRPr="00AF1808">
        <w:rPr>
          <w:rFonts w:ascii="Times New Roman" w:hAnsi="Times New Roman" w:cs="Times New Roman"/>
        </w:rPr>
        <w:t xml:space="preserve"> </w:t>
      </w:r>
      <w:r>
        <w:rPr>
          <w:rFonts w:ascii="Times New Roman" w:hAnsi="Times New Roman" w:cs="Times New Roman"/>
        </w:rPr>
        <w:t xml:space="preserve">k </w:t>
      </w:r>
      <w:r w:rsidRPr="00AF1808">
        <w:rPr>
          <w:rFonts w:ascii="Times New Roman" w:hAnsi="Times New Roman" w:cs="Times New Roman"/>
        </w:rPr>
        <w:t>prostriedko</w:t>
      </w:r>
      <w:r>
        <w:rPr>
          <w:rFonts w:ascii="Times New Roman" w:hAnsi="Times New Roman" w:cs="Times New Roman"/>
        </w:rPr>
        <w:t>m EÚ, ktoré klesá o 8,57 %.</w:t>
      </w:r>
    </w:p>
    <w:p w:rsidR="009D2A34" w:rsidRPr="00AF1808" w:rsidP="009D2A34">
      <w:pPr>
        <w:bidi w:val="0"/>
        <w:jc w:val="both"/>
        <w:rPr>
          <w:rFonts w:ascii="Times New Roman" w:hAnsi="Times New Roman" w:cs="Times New Roman"/>
          <w:b/>
        </w:rPr>
      </w:pPr>
    </w:p>
    <w:p w:rsidR="009D2A34" w:rsidRPr="00AF1808" w:rsidP="009D2A34">
      <w:pPr>
        <w:bidi w:val="0"/>
        <w:jc w:val="both"/>
        <w:rPr>
          <w:rFonts w:ascii="Times New Roman" w:hAnsi="Times New Roman" w:cs="Times New Roman"/>
          <w:b/>
        </w:rPr>
      </w:pPr>
      <w:r w:rsidRPr="00AF1808">
        <w:rPr>
          <w:rFonts w:ascii="Times New Roman" w:hAnsi="Times New Roman" w:cs="Times New Roman"/>
          <w:b/>
        </w:rPr>
        <w:t>Administratíva</w:t>
      </w:r>
    </w:p>
    <w:p w:rsidR="009D2A34" w:rsidRPr="00AF1808" w:rsidP="009D2A34">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050"/>
        <w:gridCol w:w="1023"/>
        <w:gridCol w:w="1023"/>
        <w:gridCol w:w="1023"/>
        <w:gridCol w:w="1023"/>
        <w:gridCol w:w="1023"/>
        <w:gridCol w:w="1023"/>
        <w:gridCol w:w="1024"/>
      </w:tblGrid>
      <w:tr>
        <w:tblPrEx>
          <w:tblW w:w="5000" w:type="pct"/>
          <w:tblCellMar>
            <w:left w:w="70" w:type="dxa"/>
            <w:right w:w="70" w:type="dxa"/>
          </w:tblCellMar>
          <w:tblLook w:val="04A0"/>
        </w:tblPrEx>
        <w:trPr>
          <w:trHeight w:val="270"/>
        </w:trPr>
        <w:tc>
          <w:tcPr>
            <w:tcW w:w="1113"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AF1808" w:rsidP="006338E5">
            <w:pPr>
              <w:bidi w:val="0"/>
              <w:rPr>
                <w:rFonts w:ascii="Times New Roman" w:hAnsi="Times New Roman" w:cs="Times New Roman"/>
                <w:b/>
                <w:bCs/>
                <w:color w:val="000000"/>
                <w:sz w:val="14"/>
                <w:szCs w:val="14"/>
              </w:rPr>
            </w:pPr>
            <w:r w:rsidRPr="00AF1808">
              <w:rPr>
                <w:rFonts w:ascii="Times New Roman" w:hAnsi="Times New Roman" w:cs="Times New Roman"/>
                <w:b/>
                <w:bCs/>
                <w:color w:val="000000"/>
                <w:sz w:val="14"/>
                <w:szCs w:val="14"/>
              </w:rPr>
              <w:t>v eurách </w:t>
            </w:r>
          </w:p>
        </w:tc>
        <w:tc>
          <w:tcPr>
            <w:tcW w:w="555" w:type="pct"/>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AF1808" w:rsidP="006338E5">
            <w:pPr>
              <w:bidi w:val="0"/>
              <w:jc w:val="center"/>
              <w:rPr>
                <w:rFonts w:ascii="Times New Roman" w:hAnsi="Times New Roman" w:cs="Times New Roman"/>
                <w:b/>
                <w:bCs/>
                <w:color w:val="000000"/>
                <w:sz w:val="14"/>
                <w:szCs w:val="14"/>
              </w:rPr>
            </w:pPr>
            <w:r w:rsidRPr="00AF1808">
              <w:rPr>
                <w:rFonts w:ascii="Times New Roman" w:hAnsi="Times New Roman" w:cs="Times New Roman"/>
                <w:b/>
                <w:bCs/>
                <w:color w:val="000000"/>
                <w:sz w:val="14"/>
                <w:szCs w:val="14"/>
              </w:rPr>
              <w:t>2010</w:t>
            </w:r>
            <w:r w:rsidR="00953EAF">
              <w:rPr>
                <w:rFonts w:ascii="Times New Roman" w:hAnsi="Times New Roman" w:cs="Times New Roman"/>
                <w:b/>
                <w:bCs/>
                <w:color w:val="000000"/>
                <w:sz w:val="14"/>
                <w:szCs w:val="14"/>
              </w:rPr>
              <w:t xml:space="preserve"> </w:t>
            </w:r>
            <w:r w:rsidRPr="00AF1808">
              <w:rPr>
                <w:rFonts w:ascii="Times New Roman" w:hAnsi="Times New Roman" w:cs="Times New Roman"/>
                <w:b/>
                <w:bCs/>
                <w:color w:val="000000"/>
                <w:sz w:val="14"/>
                <w:szCs w:val="14"/>
              </w:rPr>
              <w:t>S*</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F1808" w:rsidP="006338E5">
            <w:pPr>
              <w:bidi w:val="0"/>
              <w:jc w:val="center"/>
              <w:rPr>
                <w:rFonts w:ascii="Times New Roman" w:hAnsi="Times New Roman" w:cs="Times New Roman"/>
                <w:b/>
                <w:bCs/>
                <w:color w:val="000000"/>
                <w:sz w:val="14"/>
                <w:szCs w:val="14"/>
              </w:rPr>
            </w:pPr>
            <w:r w:rsidRPr="00AF1808">
              <w:rPr>
                <w:rFonts w:ascii="Times New Roman" w:hAnsi="Times New Roman" w:cs="Times New Roman"/>
                <w:b/>
                <w:bCs/>
                <w:color w:val="000000"/>
                <w:sz w:val="14"/>
                <w:szCs w:val="14"/>
              </w:rPr>
              <w:t>2011</w:t>
            </w:r>
            <w:r w:rsidR="00953EAF">
              <w:rPr>
                <w:rFonts w:ascii="Times New Roman" w:hAnsi="Times New Roman" w:cs="Times New Roman"/>
                <w:b/>
                <w:bCs/>
                <w:color w:val="000000"/>
                <w:sz w:val="14"/>
                <w:szCs w:val="14"/>
              </w:rPr>
              <w:t xml:space="preserve"> </w:t>
            </w:r>
            <w:r w:rsidRPr="00AF1808">
              <w:rPr>
                <w:rFonts w:ascii="Times New Roman" w:hAnsi="Times New Roman" w:cs="Times New Roman"/>
                <w:b/>
                <w:bCs/>
                <w:color w:val="000000"/>
                <w:sz w:val="14"/>
                <w:szCs w:val="14"/>
              </w:rPr>
              <w:t>S</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F1808" w:rsidP="006338E5">
            <w:pPr>
              <w:bidi w:val="0"/>
              <w:jc w:val="center"/>
              <w:rPr>
                <w:rFonts w:ascii="Times New Roman" w:hAnsi="Times New Roman" w:cs="Times New Roman"/>
                <w:b/>
                <w:bCs/>
                <w:color w:val="000000"/>
                <w:sz w:val="14"/>
                <w:szCs w:val="14"/>
              </w:rPr>
            </w:pPr>
            <w:r w:rsidRPr="00AF1808">
              <w:rPr>
                <w:rFonts w:ascii="Times New Roman" w:hAnsi="Times New Roman" w:cs="Times New Roman"/>
                <w:b/>
                <w:bCs/>
                <w:color w:val="000000"/>
                <w:sz w:val="14"/>
                <w:szCs w:val="14"/>
              </w:rPr>
              <w:t>2012 R</w:t>
            </w:r>
          </w:p>
        </w:tc>
        <w:tc>
          <w:tcPr>
            <w:tcW w:w="555" w:type="pct"/>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AF1808" w:rsidP="006338E5">
            <w:pPr>
              <w:bidi w:val="0"/>
              <w:jc w:val="center"/>
              <w:rPr>
                <w:rFonts w:ascii="Times New Roman" w:hAnsi="Times New Roman" w:cs="Times New Roman"/>
                <w:b/>
                <w:bCs/>
                <w:color w:val="000000"/>
                <w:sz w:val="14"/>
                <w:szCs w:val="14"/>
              </w:rPr>
            </w:pPr>
            <w:r w:rsidRPr="00AF1808">
              <w:rPr>
                <w:rFonts w:ascii="Times New Roman" w:hAnsi="Times New Roman" w:cs="Times New Roman"/>
                <w:b/>
                <w:bCs/>
                <w:color w:val="000000"/>
                <w:sz w:val="14"/>
                <w:szCs w:val="14"/>
              </w:rPr>
              <w:t>2012 OS</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F1808" w:rsidP="00953EAF">
            <w:pPr>
              <w:bidi w:val="0"/>
              <w:jc w:val="center"/>
              <w:rPr>
                <w:rFonts w:ascii="Times New Roman" w:hAnsi="Times New Roman" w:cs="Times New Roman"/>
                <w:b/>
                <w:bCs/>
                <w:color w:val="000000"/>
                <w:sz w:val="14"/>
                <w:szCs w:val="14"/>
              </w:rPr>
            </w:pPr>
            <w:r w:rsidRPr="00AF1808">
              <w:rPr>
                <w:rFonts w:ascii="Times New Roman" w:hAnsi="Times New Roman" w:cs="Times New Roman"/>
                <w:b/>
                <w:bCs/>
                <w:color w:val="000000"/>
                <w:sz w:val="14"/>
                <w:szCs w:val="14"/>
              </w:rPr>
              <w:t xml:space="preserve">2013 </w:t>
            </w:r>
            <w:r w:rsidR="00953EAF">
              <w:rPr>
                <w:rFonts w:ascii="Times New Roman" w:hAnsi="Times New Roman" w:cs="Times New Roman"/>
                <w:b/>
                <w:bCs/>
                <w:color w:val="000000"/>
                <w:sz w:val="14"/>
                <w:szCs w:val="14"/>
              </w:rPr>
              <w:t>N</w:t>
            </w:r>
          </w:p>
        </w:tc>
        <w:tc>
          <w:tcPr>
            <w:tcW w:w="555"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F1808" w:rsidP="006338E5">
            <w:pPr>
              <w:bidi w:val="0"/>
              <w:jc w:val="center"/>
              <w:rPr>
                <w:rFonts w:ascii="Times New Roman" w:hAnsi="Times New Roman" w:cs="Times New Roman"/>
                <w:b/>
                <w:bCs/>
                <w:color w:val="000000"/>
                <w:sz w:val="14"/>
                <w:szCs w:val="14"/>
              </w:rPr>
            </w:pPr>
            <w:r w:rsidRPr="00AF1808">
              <w:rPr>
                <w:rFonts w:ascii="Times New Roman" w:hAnsi="Times New Roman" w:cs="Times New Roman"/>
                <w:b/>
                <w:bCs/>
                <w:color w:val="000000"/>
                <w:sz w:val="14"/>
                <w:szCs w:val="14"/>
              </w:rPr>
              <w:t>2014 N</w:t>
            </w:r>
          </w:p>
        </w:tc>
        <w:tc>
          <w:tcPr>
            <w:tcW w:w="55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F1808" w:rsidP="006338E5">
            <w:pPr>
              <w:bidi w:val="0"/>
              <w:jc w:val="center"/>
              <w:rPr>
                <w:rFonts w:ascii="Times New Roman" w:hAnsi="Times New Roman" w:cs="Times New Roman"/>
                <w:b/>
                <w:bCs/>
                <w:color w:val="000000"/>
                <w:sz w:val="14"/>
                <w:szCs w:val="14"/>
              </w:rPr>
            </w:pPr>
            <w:r w:rsidRPr="00AF1808">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shd w:val="clear" w:color="000000" w:fill="BFBFBF"/>
            <w:textDirection w:val="lrTb"/>
            <w:vAlign w:val="center"/>
            <w:hideMark/>
          </w:tcPr>
          <w:p w:rsidR="009D2A34" w:rsidRPr="00AF1808" w:rsidP="006338E5">
            <w:pPr>
              <w:bidi w:val="0"/>
              <w:rPr>
                <w:rFonts w:ascii="Times New Roman" w:hAnsi="Times New Roman" w:cs="Times New Roman"/>
                <w:b/>
                <w:bCs/>
                <w:color w:val="000000"/>
                <w:sz w:val="14"/>
                <w:szCs w:val="14"/>
              </w:rPr>
            </w:pPr>
            <w:r w:rsidRPr="00AF1808">
              <w:rPr>
                <w:rFonts w:ascii="Times New Roman" w:hAnsi="Times New Roman" w:cs="Times New Roman"/>
                <w:b/>
                <w:bCs/>
                <w:color w:val="000000"/>
                <w:sz w:val="14"/>
                <w:szCs w:val="14"/>
              </w:rPr>
              <w:t>Administratíva</w:t>
            </w:r>
          </w:p>
        </w:tc>
        <w:tc>
          <w:tcPr>
            <w:tcW w:w="555" w:type="pct"/>
            <w:tcBorders>
              <w:top w:val="nil"/>
              <w:left w:val="nil"/>
              <w:bottom w:val="single" w:sz="4" w:space="0" w:color="auto"/>
              <w:right w:val="single" w:sz="4" w:space="0" w:color="auto"/>
            </w:tcBorders>
            <w:shd w:val="clear" w:color="000000" w:fill="C0C0C0"/>
            <w:noWrap/>
            <w:textDirection w:val="lrTb"/>
            <w:vAlign w:val="center"/>
            <w:hideMark/>
          </w:tcPr>
          <w:p w:rsidR="009D2A34" w:rsidRPr="00845455" w:rsidP="006338E5">
            <w:pPr>
              <w:bidi w:val="0"/>
              <w:jc w:val="right"/>
              <w:rPr>
                <w:rFonts w:ascii="Times New Roman" w:hAnsi="Times New Roman" w:cs="Times New Roman"/>
                <w:b/>
                <w:bCs/>
                <w:color w:val="000000"/>
                <w:sz w:val="14"/>
                <w:szCs w:val="14"/>
              </w:rPr>
            </w:pPr>
            <w:r w:rsidRPr="00845455">
              <w:rPr>
                <w:rFonts w:ascii="Times New Roman" w:hAnsi="Times New Roman" w:cs="Times New Roman"/>
                <w:b/>
                <w:bCs/>
                <w:color w:val="000000"/>
                <w:sz w:val="14"/>
                <w:szCs w:val="14"/>
              </w:rPr>
              <w:t>30 521 159</w:t>
            </w:r>
          </w:p>
        </w:tc>
        <w:tc>
          <w:tcPr>
            <w:tcW w:w="555" w:type="pct"/>
            <w:tcBorders>
              <w:top w:val="nil"/>
              <w:left w:val="nil"/>
              <w:bottom w:val="single" w:sz="4" w:space="0" w:color="auto"/>
              <w:right w:val="single" w:sz="4" w:space="0" w:color="auto"/>
            </w:tcBorders>
            <w:shd w:val="clear" w:color="000000" w:fill="C0C0C0"/>
            <w:noWrap/>
            <w:textDirection w:val="lrTb"/>
            <w:vAlign w:val="center"/>
            <w:hideMark/>
          </w:tcPr>
          <w:p w:rsidR="009D2A34" w:rsidRPr="00845455" w:rsidP="006338E5">
            <w:pPr>
              <w:bidi w:val="0"/>
              <w:jc w:val="right"/>
              <w:rPr>
                <w:rFonts w:ascii="Times New Roman" w:hAnsi="Times New Roman" w:cs="Times New Roman"/>
                <w:b/>
                <w:bCs/>
                <w:color w:val="000000"/>
                <w:sz w:val="14"/>
                <w:szCs w:val="14"/>
              </w:rPr>
            </w:pPr>
            <w:r w:rsidRPr="00845455">
              <w:rPr>
                <w:rFonts w:ascii="Times New Roman" w:hAnsi="Times New Roman" w:cs="Times New Roman"/>
                <w:b/>
                <w:bCs/>
                <w:color w:val="000000"/>
                <w:sz w:val="14"/>
                <w:szCs w:val="14"/>
              </w:rPr>
              <w:t>40 894 690</w:t>
            </w:r>
          </w:p>
        </w:tc>
        <w:tc>
          <w:tcPr>
            <w:tcW w:w="555" w:type="pct"/>
            <w:tcBorders>
              <w:top w:val="nil"/>
              <w:left w:val="nil"/>
              <w:bottom w:val="single" w:sz="4" w:space="0" w:color="auto"/>
              <w:right w:val="single" w:sz="4" w:space="0" w:color="auto"/>
            </w:tcBorders>
            <w:shd w:val="clear" w:color="000000" w:fill="C0C0C0"/>
            <w:noWrap/>
            <w:textDirection w:val="lrTb"/>
            <w:vAlign w:val="center"/>
            <w:hideMark/>
          </w:tcPr>
          <w:p w:rsidR="009D2A34" w:rsidRPr="00845455" w:rsidP="006338E5">
            <w:pPr>
              <w:bidi w:val="0"/>
              <w:jc w:val="right"/>
              <w:rPr>
                <w:rFonts w:ascii="Times New Roman" w:hAnsi="Times New Roman" w:cs="Times New Roman"/>
                <w:b/>
                <w:bCs/>
                <w:color w:val="000000"/>
                <w:sz w:val="14"/>
                <w:szCs w:val="14"/>
              </w:rPr>
            </w:pPr>
            <w:r w:rsidRPr="00845455">
              <w:rPr>
                <w:rFonts w:ascii="Times New Roman" w:hAnsi="Times New Roman" w:cs="Times New Roman"/>
                <w:b/>
                <w:bCs/>
                <w:color w:val="000000"/>
                <w:sz w:val="14"/>
                <w:szCs w:val="14"/>
              </w:rPr>
              <w:t>43 654 988</w:t>
            </w:r>
          </w:p>
        </w:tc>
        <w:tc>
          <w:tcPr>
            <w:tcW w:w="555" w:type="pct"/>
            <w:tcBorders>
              <w:top w:val="nil"/>
              <w:left w:val="nil"/>
              <w:bottom w:val="single" w:sz="4" w:space="0" w:color="auto"/>
              <w:right w:val="single" w:sz="4" w:space="0" w:color="auto"/>
            </w:tcBorders>
            <w:shd w:val="clear" w:color="000000" w:fill="C0C0C0"/>
            <w:noWrap/>
            <w:textDirection w:val="lrTb"/>
            <w:vAlign w:val="center"/>
            <w:hideMark/>
          </w:tcPr>
          <w:p w:rsidR="009D2A34" w:rsidRPr="00477474" w:rsidP="006338E5">
            <w:pPr>
              <w:bidi w:val="0"/>
              <w:jc w:val="right"/>
              <w:rPr>
                <w:rFonts w:ascii="Times New Roman" w:hAnsi="Times New Roman" w:cs="Times New Roman"/>
                <w:b/>
                <w:bCs/>
                <w:color w:val="000000"/>
                <w:sz w:val="14"/>
                <w:szCs w:val="14"/>
              </w:rPr>
            </w:pPr>
            <w:r w:rsidRPr="00477474">
              <w:rPr>
                <w:rFonts w:ascii="Times New Roman" w:hAnsi="Times New Roman" w:cs="Times New Roman"/>
                <w:b/>
                <w:bCs/>
                <w:color w:val="000000"/>
                <w:sz w:val="14"/>
                <w:szCs w:val="14"/>
              </w:rPr>
              <w:t>44 841 517</w:t>
            </w:r>
          </w:p>
        </w:tc>
        <w:tc>
          <w:tcPr>
            <w:tcW w:w="555" w:type="pct"/>
            <w:tcBorders>
              <w:top w:val="nil"/>
              <w:left w:val="nil"/>
              <w:bottom w:val="single" w:sz="4" w:space="0" w:color="auto"/>
              <w:right w:val="single" w:sz="4" w:space="0" w:color="auto"/>
            </w:tcBorders>
            <w:shd w:val="clear" w:color="000000" w:fill="C0C0C0"/>
            <w:noWrap/>
            <w:textDirection w:val="lrTb"/>
            <w:vAlign w:val="center"/>
            <w:hideMark/>
          </w:tcPr>
          <w:p w:rsidR="009D2A34" w:rsidRPr="00AB1713" w:rsidP="006338E5">
            <w:pPr>
              <w:bidi w:val="0"/>
              <w:jc w:val="right"/>
              <w:rPr>
                <w:rFonts w:ascii="Times New Roman" w:hAnsi="Times New Roman" w:cs="Times New Roman"/>
                <w:b/>
                <w:bCs/>
                <w:color w:val="000000"/>
                <w:sz w:val="14"/>
                <w:szCs w:val="14"/>
              </w:rPr>
            </w:pPr>
            <w:r w:rsidRPr="00AB1713">
              <w:rPr>
                <w:rFonts w:ascii="Times New Roman" w:hAnsi="Times New Roman" w:cs="Times New Roman"/>
                <w:b/>
                <w:bCs/>
                <w:color w:val="000000"/>
                <w:sz w:val="14"/>
                <w:szCs w:val="14"/>
              </w:rPr>
              <w:t>47 100 125</w:t>
            </w:r>
          </w:p>
        </w:tc>
        <w:tc>
          <w:tcPr>
            <w:tcW w:w="555" w:type="pct"/>
            <w:tcBorders>
              <w:top w:val="nil"/>
              <w:left w:val="nil"/>
              <w:bottom w:val="single" w:sz="4" w:space="0" w:color="auto"/>
              <w:right w:val="single" w:sz="4" w:space="0" w:color="auto"/>
            </w:tcBorders>
            <w:shd w:val="clear" w:color="000000" w:fill="C0C0C0"/>
            <w:noWrap/>
            <w:textDirection w:val="lrTb"/>
            <w:vAlign w:val="center"/>
            <w:hideMark/>
          </w:tcPr>
          <w:p w:rsidR="009D2A34" w:rsidRPr="00AB1713" w:rsidP="006338E5">
            <w:pPr>
              <w:bidi w:val="0"/>
              <w:jc w:val="right"/>
              <w:rPr>
                <w:rFonts w:ascii="Times New Roman" w:hAnsi="Times New Roman" w:cs="Times New Roman"/>
                <w:b/>
                <w:bCs/>
                <w:color w:val="000000"/>
                <w:sz w:val="14"/>
                <w:szCs w:val="14"/>
              </w:rPr>
            </w:pPr>
            <w:r w:rsidRPr="00AB1713">
              <w:rPr>
                <w:rFonts w:ascii="Times New Roman" w:hAnsi="Times New Roman" w:cs="Times New Roman"/>
                <w:b/>
                <w:bCs/>
                <w:color w:val="000000"/>
                <w:sz w:val="14"/>
                <w:szCs w:val="14"/>
              </w:rPr>
              <w:t>41 943 119</w:t>
            </w:r>
          </w:p>
        </w:tc>
        <w:tc>
          <w:tcPr>
            <w:tcW w:w="556" w:type="pct"/>
            <w:tcBorders>
              <w:top w:val="nil"/>
              <w:left w:val="nil"/>
              <w:bottom w:val="single" w:sz="4" w:space="0" w:color="auto"/>
              <w:right w:val="single" w:sz="4" w:space="0" w:color="auto"/>
            </w:tcBorders>
            <w:shd w:val="clear" w:color="000000" w:fill="C0C0C0"/>
            <w:noWrap/>
            <w:textDirection w:val="lrTb"/>
            <w:vAlign w:val="center"/>
            <w:hideMark/>
          </w:tcPr>
          <w:p w:rsidR="009D2A34" w:rsidRPr="00AB1713" w:rsidP="006338E5">
            <w:pPr>
              <w:bidi w:val="0"/>
              <w:jc w:val="right"/>
              <w:rPr>
                <w:rFonts w:ascii="Times New Roman" w:hAnsi="Times New Roman" w:cs="Times New Roman"/>
                <w:b/>
                <w:bCs/>
                <w:color w:val="000000"/>
                <w:sz w:val="14"/>
                <w:szCs w:val="14"/>
              </w:rPr>
            </w:pPr>
            <w:r w:rsidRPr="00AB1713">
              <w:rPr>
                <w:rFonts w:ascii="Times New Roman" w:hAnsi="Times New Roman" w:cs="Times New Roman"/>
                <w:b/>
                <w:bCs/>
                <w:color w:val="000000"/>
                <w:sz w:val="14"/>
                <w:szCs w:val="14"/>
              </w:rPr>
              <w:t>41 707 374</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AF1808" w:rsidP="006338E5">
            <w:pPr>
              <w:bidi w:val="0"/>
              <w:rPr>
                <w:rFonts w:ascii="Times New Roman" w:hAnsi="Times New Roman" w:cs="Times New Roman"/>
                <w:color w:val="000000"/>
                <w:sz w:val="14"/>
                <w:szCs w:val="14"/>
              </w:rPr>
            </w:pPr>
            <w:r w:rsidRPr="00AF1808">
              <w:rPr>
                <w:rFonts w:ascii="Times New Roman" w:hAnsi="Times New Roman" w:cs="Times New Roman"/>
                <w:color w:val="000000"/>
                <w:sz w:val="14"/>
                <w:szCs w:val="14"/>
              </w:rPr>
              <w:t>rozpočtové zdroje kapitoly</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27 231 517</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35 961 471</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33 622 386</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33 569 280</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color w:val="000000"/>
                <w:sz w:val="14"/>
                <w:szCs w:val="14"/>
              </w:rPr>
            </w:pPr>
            <w:r w:rsidRPr="00AB1713">
              <w:rPr>
                <w:rFonts w:ascii="Times New Roman" w:hAnsi="Times New Roman" w:cs="Times New Roman"/>
                <w:color w:val="000000"/>
                <w:sz w:val="14"/>
                <w:szCs w:val="14"/>
              </w:rPr>
              <w:t>42 672 490</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color w:val="000000"/>
                <w:sz w:val="14"/>
                <w:szCs w:val="14"/>
              </w:rPr>
            </w:pPr>
            <w:r w:rsidRPr="00AB1713">
              <w:rPr>
                <w:rFonts w:ascii="Times New Roman" w:hAnsi="Times New Roman" w:cs="Times New Roman"/>
                <w:color w:val="000000"/>
                <w:sz w:val="14"/>
                <w:szCs w:val="14"/>
              </w:rPr>
              <w:t>32 678 868</w:t>
            </w:r>
          </w:p>
        </w:tc>
        <w:tc>
          <w:tcPr>
            <w:tcW w:w="55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color w:val="000000"/>
                <w:sz w:val="14"/>
                <w:szCs w:val="14"/>
              </w:rPr>
            </w:pPr>
            <w:r w:rsidRPr="00AB1713">
              <w:rPr>
                <w:rFonts w:ascii="Times New Roman" w:hAnsi="Times New Roman" w:cs="Times New Roman"/>
                <w:color w:val="000000"/>
                <w:sz w:val="14"/>
                <w:szCs w:val="14"/>
              </w:rPr>
              <w:t>32 691 450</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AF1808" w:rsidP="006338E5">
            <w:pPr>
              <w:bidi w:val="0"/>
              <w:rPr>
                <w:rFonts w:ascii="Times New Roman" w:hAnsi="Times New Roman" w:cs="Times New Roman"/>
                <w:color w:val="000000"/>
                <w:sz w:val="14"/>
                <w:szCs w:val="14"/>
              </w:rPr>
            </w:pPr>
            <w:r w:rsidRPr="00AF1808">
              <w:rPr>
                <w:rFonts w:ascii="Times New Roman" w:hAnsi="Times New Roman" w:cs="Times New Roman"/>
                <w:color w:val="000000"/>
                <w:sz w:val="14"/>
                <w:szCs w:val="14"/>
              </w:rPr>
              <w:t xml:space="preserve">zdroje EÚ </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594 603</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4 119 970</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8 449 532</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8 449 532</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color w:val="000000"/>
                <w:sz w:val="14"/>
                <w:szCs w:val="14"/>
              </w:rPr>
            </w:pPr>
            <w:r w:rsidRPr="00AB1713">
              <w:rPr>
                <w:rFonts w:ascii="Times New Roman" w:hAnsi="Times New Roman" w:cs="Times New Roman"/>
                <w:color w:val="000000"/>
                <w:sz w:val="14"/>
                <w:szCs w:val="14"/>
              </w:rPr>
              <w:t>3 713 766</w:t>
            </w:r>
          </w:p>
        </w:tc>
        <w:tc>
          <w:tcPr>
            <w:tcW w:w="555" w:type="pct"/>
            <w:tcBorders>
              <w:top w:val="nil"/>
              <w:left w:val="nil"/>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color w:val="000000"/>
                <w:sz w:val="14"/>
                <w:szCs w:val="14"/>
              </w:rPr>
            </w:pPr>
            <w:r w:rsidRPr="00AB1713">
              <w:rPr>
                <w:rFonts w:ascii="Times New Roman" w:hAnsi="Times New Roman" w:cs="Times New Roman"/>
                <w:color w:val="000000"/>
                <w:sz w:val="14"/>
                <w:szCs w:val="14"/>
              </w:rPr>
              <w:t>7 850 578</w:t>
            </w:r>
          </w:p>
        </w:tc>
        <w:tc>
          <w:tcPr>
            <w:tcW w:w="556" w:type="pct"/>
            <w:tcBorders>
              <w:top w:val="nil"/>
              <w:left w:val="nil"/>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color w:val="000000"/>
                <w:sz w:val="14"/>
                <w:szCs w:val="14"/>
              </w:rPr>
            </w:pPr>
            <w:r w:rsidRPr="00AB1713">
              <w:rPr>
                <w:rFonts w:ascii="Times New Roman" w:hAnsi="Times New Roman" w:cs="Times New Roman"/>
                <w:color w:val="000000"/>
                <w:sz w:val="14"/>
                <w:szCs w:val="14"/>
              </w:rPr>
              <w:t>7 663 535</w:t>
            </w:r>
          </w:p>
        </w:tc>
      </w:tr>
      <w:tr>
        <w:tblPrEx>
          <w:tblW w:w="5000" w:type="pct"/>
          <w:tblCellMar>
            <w:left w:w="70" w:type="dxa"/>
            <w:right w:w="70" w:type="dxa"/>
          </w:tblCellMar>
          <w:tblLook w:val="04A0"/>
        </w:tblPrEx>
        <w:trPr>
          <w:trHeight w:val="270"/>
        </w:trPr>
        <w:tc>
          <w:tcPr>
            <w:tcW w:w="1113" w:type="pct"/>
            <w:tcBorders>
              <w:top w:val="single" w:sz="4" w:space="0" w:color="auto"/>
              <w:left w:val="single" w:sz="4" w:space="0" w:color="auto"/>
              <w:bottom w:val="single" w:sz="4" w:space="0" w:color="auto"/>
              <w:right w:val="single" w:sz="4" w:space="0" w:color="auto"/>
            </w:tcBorders>
            <w:shd w:val="clear" w:color="000000" w:fill="FFFFFF"/>
            <w:textDirection w:val="lrTb"/>
            <w:vAlign w:val="center"/>
            <w:hideMark/>
          </w:tcPr>
          <w:p w:rsidR="009D2A34" w:rsidRPr="00AF1808" w:rsidP="006338E5">
            <w:pPr>
              <w:bidi w:val="0"/>
              <w:rPr>
                <w:rFonts w:ascii="Times New Roman" w:hAnsi="Times New Roman" w:cs="Times New Roman"/>
                <w:color w:val="000000"/>
                <w:sz w:val="14"/>
                <w:szCs w:val="14"/>
              </w:rPr>
            </w:pPr>
            <w:r w:rsidRPr="00AF1808">
              <w:rPr>
                <w:rFonts w:ascii="Times New Roman" w:hAnsi="Times New Roman" w:cs="Times New Roman"/>
                <w:color w:val="000000"/>
                <w:sz w:val="14"/>
                <w:szCs w:val="14"/>
              </w:rPr>
              <w:t>spolufinancovanie zo ŠR</w:t>
            </w:r>
          </w:p>
        </w:tc>
        <w:tc>
          <w:tcPr>
            <w:tcW w:w="555" w:type="pct"/>
            <w:tcBorders>
              <w:top w:val="nil"/>
              <w:left w:val="nil"/>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755 930</w:t>
            </w:r>
          </w:p>
        </w:tc>
        <w:tc>
          <w:tcPr>
            <w:tcW w:w="555" w:type="pct"/>
            <w:tcBorders>
              <w:top w:val="nil"/>
              <w:left w:val="nil"/>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1 583 070</w:t>
            </w:r>
          </w:p>
        </w:tc>
        <w:tc>
          <w:tcPr>
            <w:tcW w:w="555" w:type="pct"/>
            <w:tcBorders>
              <w:top w:val="nil"/>
              <w:left w:val="nil"/>
              <w:bottom w:val="single" w:sz="4" w:space="0" w:color="auto"/>
              <w:right w:val="single" w:sz="4" w:space="0" w:color="auto"/>
            </w:tcBorders>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1 583 070</w:t>
            </w:r>
          </w:p>
        </w:tc>
        <w:tc>
          <w:tcPr>
            <w:tcW w:w="555" w:type="pct"/>
            <w:tcBorders>
              <w:top w:val="nil"/>
              <w:left w:val="nil"/>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color w:val="000000"/>
                <w:sz w:val="14"/>
                <w:szCs w:val="14"/>
              </w:rPr>
            </w:pPr>
            <w:r w:rsidRPr="00AB1713">
              <w:rPr>
                <w:rFonts w:ascii="Times New Roman" w:hAnsi="Times New Roman" w:cs="Times New Roman"/>
                <w:color w:val="000000"/>
                <w:sz w:val="14"/>
                <w:szCs w:val="14"/>
              </w:rPr>
              <w:t>713 869</w:t>
            </w:r>
          </w:p>
        </w:tc>
        <w:tc>
          <w:tcPr>
            <w:tcW w:w="555" w:type="pct"/>
            <w:tcBorders>
              <w:top w:val="nil"/>
              <w:left w:val="nil"/>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color w:val="000000"/>
                <w:sz w:val="14"/>
                <w:szCs w:val="14"/>
              </w:rPr>
            </w:pPr>
            <w:r w:rsidRPr="00AB1713">
              <w:rPr>
                <w:rFonts w:ascii="Times New Roman" w:hAnsi="Times New Roman" w:cs="Times New Roman"/>
                <w:color w:val="000000"/>
                <w:sz w:val="14"/>
                <w:szCs w:val="14"/>
              </w:rPr>
              <w:t>1 413 673</w:t>
            </w:r>
          </w:p>
        </w:tc>
        <w:tc>
          <w:tcPr>
            <w:tcW w:w="556" w:type="pct"/>
            <w:tcBorders>
              <w:top w:val="nil"/>
              <w:left w:val="nil"/>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color w:val="000000"/>
                <w:sz w:val="14"/>
                <w:szCs w:val="14"/>
              </w:rPr>
            </w:pPr>
            <w:r w:rsidRPr="00AB1713">
              <w:rPr>
                <w:rFonts w:ascii="Times New Roman" w:hAnsi="Times New Roman" w:cs="Times New Roman"/>
                <w:color w:val="000000"/>
                <w:sz w:val="14"/>
                <w:szCs w:val="14"/>
              </w:rPr>
              <w:t>1 352 389</w:t>
            </w:r>
          </w:p>
        </w:tc>
      </w:tr>
      <w:tr>
        <w:tblPrEx>
          <w:tblW w:w="5000" w:type="pct"/>
          <w:tblCellMar>
            <w:left w:w="70" w:type="dxa"/>
            <w:right w:w="70" w:type="dxa"/>
          </w:tblCellMar>
          <w:tblLook w:val="04A0"/>
        </w:tblPrEx>
        <w:trPr>
          <w:trHeight w:val="270"/>
        </w:trPr>
        <w:tc>
          <w:tcPr>
            <w:tcW w:w="1113" w:type="pct"/>
            <w:tcBorders>
              <w:top w:val="nil"/>
              <w:left w:val="single" w:sz="4" w:space="0" w:color="auto"/>
              <w:bottom w:val="single" w:sz="4" w:space="0" w:color="auto"/>
              <w:right w:val="single" w:sz="4" w:space="0" w:color="auto"/>
            </w:tcBorders>
            <w:noWrap/>
            <w:textDirection w:val="lrTb"/>
            <w:vAlign w:val="center"/>
            <w:hideMark/>
          </w:tcPr>
          <w:p w:rsidR="009D2A34" w:rsidRPr="00AF1808" w:rsidP="006338E5">
            <w:pPr>
              <w:bidi w:val="0"/>
              <w:rPr>
                <w:rFonts w:ascii="Times New Roman" w:hAnsi="Times New Roman" w:cs="Times New Roman"/>
                <w:color w:val="000000"/>
                <w:sz w:val="14"/>
                <w:szCs w:val="14"/>
              </w:rPr>
            </w:pPr>
            <w:r w:rsidRPr="00AF1808">
              <w:rPr>
                <w:rFonts w:ascii="Times New Roman" w:hAnsi="Times New Roman" w:cs="Times New Roman"/>
                <w:color w:val="000000"/>
                <w:sz w:val="14"/>
                <w:szCs w:val="14"/>
              </w:rPr>
              <w:t>presun z minulých rokov</w:t>
            </w:r>
          </w:p>
        </w:tc>
        <w:tc>
          <w:tcPr>
            <w:tcW w:w="555" w:type="pct"/>
            <w:tcBorders>
              <w:top w:val="nil"/>
              <w:left w:val="nil"/>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2 695 039</w:t>
            </w:r>
          </w:p>
        </w:tc>
        <w:tc>
          <w:tcPr>
            <w:tcW w:w="555" w:type="pct"/>
            <w:tcBorders>
              <w:top w:val="nil"/>
              <w:left w:val="nil"/>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57 320</w:t>
            </w:r>
          </w:p>
        </w:tc>
        <w:tc>
          <w:tcPr>
            <w:tcW w:w="555" w:type="pct"/>
            <w:tcBorders>
              <w:top w:val="nil"/>
              <w:left w:val="nil"/>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1 239 635</w:t>
            </w:r>
          </w:p>
        </w:tc>
        <w:tc>
          <w:tcPr>
            <w:tcW w:w="555" w:type="pct"/>
            <w:tcBorders>
              <w:top w:val="nil"/>
              <w:left w:val="nil"/>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0</w:t>
            </w:r>
          </w:p>
        </w:tc>
        <w:tc>
          <w:tcPr>
            <w:tcW w:w="555" w:type="pct"/>
            <w:tcBorders>
              <w:top w:val="nil"/>
              <w:left w:val="nil"/>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0</w:t>
            </w:r>
          </w:p>
        </w:tc>
        <w:tc>
          <w:tcPr>
            <w:tcW w:w="556" w:type="pct"/>
            <w:tcBorders>
              <w:top w:val="nil"/>
              <w:left w:val="nil"/>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0</w:t>
            </w:r>
          </w:p>
        </w:tc>
      </w:tr>
    </w:tbl>
    <w:p w:rsidR="009D2A34" w:rsidRPr="00AF1808" w:rsidP="009D2A34">
      <w:pPr>
        <w:bidi w:val="0"/>
        <w:jc w:val="both"/>
        <w:rPr>
          <w:rFonts w:ascii="Times New Roman" w:hAnsi="Times New Roman" w:cs="Times New Roman"/>
        </w:rPr>
      </w:pPr>
      <w:r w:rsidRPr="00AF1808">
        <w:rPr>
          <w:rFonts w:ascii="Times New Roman" w:hAnsi="Times New Roman" w:cs="Times New Roman"/>
          <w:color w:val="000000"/>
          <w:sz w:val="14"/>
          <w:szCs w:val="14"/>
        </w:rPr>
        <w:t>* Čerpanie bolo ovplyvnené dočasným zánikom kapitoly MŽP SR</w:t>
      </w:r>
    </w:p>
    <w:p w:rsidR="009D2A34" w:rsidRPr="00AF1808" w:rsidP="009D2A34">
      <w:pPr>
        <w:bidi w:val="0"/>
        <w:jc w:val="both"/>
        <w:rPr>
          <w:rFonts w:ascii="Times New Roman" w:hAnsi="Times New Roman" w:cs="Times New Roman"/>
          <w:bCs/>
        </w:rPr>
      </w:pPr>
    </w:p>
    <w:p w:rsidR="009D2A34" w:rsidRPr="00AF1808" w:rsidP="009D2A34">
      <w:pPr>
        <w:bidi w:val="0"/>
        <w:ind w:firstLine="708"/>
        <w:jc w:val="both"/>
        <w:rPr>
          <w:rFonts w:ascii="Times New Roman" w:hAnsi="Times New Roman" w:cs="Times New Roman"/>
        </w:rPr>
      </w:pPr>
      <w:r w:rsidRPr="00AF1808">
        <w:rPr>
          <w:rFonts w:ascii="Times New Roman" w:hAnsi="Times New Roman" w:cs="Times New Roman"/>
          <w:bCs/>
        </w:rPr>
        <w:t>Na inštitucionálnu podporu</w:t>
      </w:r>
      <w:r>
        <w:rPr>
          <w:rFonts w:ascii="Times New Roman" w:hAnsi="Times New Roman" w:cs="Times New Roman"/>
        </w:rPr>
        <w:t xml:space="preserve"> životného prostredia</w:t>
      </w:r>
      <w:r w:rsidRPr="00AF1808">
        <w:rPr>
          <w:rFonts w:ascii="Times New Roman" w:hAnsi="Times New Roman" w:cs="Times New Roman"/>
        </w:rPr>
        <w:t xml:space="preserve"> je</w:t>
      </w:r>
      <w:r>
        <w:rPr>
          <w:rFonts w:ascii="Times New Roman" w:hAnsi="Times New Roman" w:cs="Times New Roman"/>
        </w:rPr>
        <w:t xml:space="preserve"> v roku 2013 spolu vyčlenených 4</w:t>
      </w:r>
      <w:r w:rsidRPr="00AF1808">
        <w:rPr>
          <w:rFonts w:ascii="Times New Roman" w:hAnsi="Times New Roman" w:cs="Times New Roman"/>
        </w:rPr>
        <w:t>7 mil. eur, čo predstavuje v porovnaní so schvál</w:t>
      </w:r>
      <w:r>
        <w:rPr>
          <w:rFonts w:ascii="Times New Roman" w:hAnsi="Times New Roman" w:cs="Times New Roman"/>
        </w:rPr>
        <w:t>eným rozpočtom roku 2012 nárast o 7,89 %. Nárast v tejto oblasti je spôsobený najmä  zvýšením prostriedkov štátneho rozpočtu na úrovni 26,9</w:t>
      </w:r>
      <w:r w:rsidRPr="00AF1808">
        <w:rPr>
          <w:rFonts w:ascii="Times New Roman" w:hAnsi="Times New Roman" w:cs="Times New Roman"/>
        </w:rPr>
        <w:t xml:space="preserve"> %. </w:t>
      </w:r>
    </w:p>
    <w:p w:rsidR="009D2A34" w:rsidRPr="00AF1808" w:rsidP="009D2A34">
      <w:pPr>
        <w:bidi w:val="0"/>
        <w:ind w:firstLine="708"/>
        <w:jc w:val="both"/>
        <w:rPr>
          <w:rFonts w:ascii="Times New Roman" w:hAnsi="Times New Roman" w:cs="Times New Roman"/>
        </w:rPr>
      </w:pPr>
    </w:p>
    <w:p w:rsidR="009D2A34" w:rsidRPr="00AF1808" w:rsidP="009D2A34">
      <w:pPr>
        <w:bidi w:val="0"/>
        <w:ind w:firstLine="708"/>
        <w:jc w:val="both"/>
        <w:rPr>
          <w:rFonts w:ascii="Times New Roman" w:hAnsi="Times New Roman" w:cs="Times New Roman"/>
        </w:rPr>
      </w:pPr>
      <w:r w:rsidRPr="00AF1808">
        <w:rPr>
          <w:rFonts w:ascii="Times New Roman" w:hAnsi="Times New Roman" w:cs="Times New Roman"/>
        </w:rPr>
        <w:t>Výdavky štátneho rozpočtu určené na administratívu smerujú do nasledujúcich oblastí.</w:t>
      </w:r>
    </w:p>
    <w:p w:rsidR="009D2A34" w:rsidRPr="00AF1808" w:rsidP="009D2A34">
      <w:pPr>
        <w:bidi w:val="0"/>
        <w:jc w:val="both"/>
        <w:rPr>
          <w:rFonts w:ascii="Times New Roman" w:hAnsi="Times New Roman" w:cs="Times New Roma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72"/>
        <w:gridCol w:w="935"/>
        <w:gridCol w:w="935"/>
        <w:gridCol w:w="934"/>
        <w:gridCol w:w="934"/>
        <w:gridCol w:w="934"/>
        <w:gridCol w:w="934"/>
        <w:gridCol w:w="9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01465" w:rsidP="006338E5">
            <w:pPr>
              <w:bidi w:val="0"/>
              <w:rPr>
                <w:rFonts w:ascii="Times New Roman" w:hAnsi="Times New Roman" w:cs="Times New Roman"/>
                <w:b/>
                <w:bCs/>
                <w:color w:val="000000"/>
                <w:sz w:val="14"/>
                <w:szCs w:val="14"/>
              </w:rPr>
            </w:pPr>
            <w:r w:rsidRPr="00E01465">
              <w:rPr>
                <w:rFonts w:ascii="Times New Roman" w:hAnsi="Times New Roman" w:cs="Times New Roman"/>
                <w:b/>
                <w:bCs/>
                <w:color w:val="000000"/>
                <w:sz w:val="14"/>
                <w:szCs w:val="14"/>
              </w:rPr>
              <w:t>v eurách </w:t>
            </w:r>
          </w:p>
        </w:tc>
        <w:tc>
          <w:tcPr>
            <w:tcW w:w="507"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9D2A34" w:rsidRPr="00E01465" w:rsidP="006338E5">
            <w:pPr>
              <w:bidi w:val="0"/>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2010</w:t>
            </w:r>
            <w:r w:rsidR="00953EAF">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S*</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01465" w:rsidP="006338E5">
            <w:pPr>
              <w:bidi w:val="0"/>
              <w:jc w:val="center"/>
              <w:rPr>
                <w:rFonts w:ascii="Times New Roman" w:hAnsi="Times New Roman" w:cs="Times New Roman"/>
                <w:b/>
                <w:bCs/>
                <w:color w:val="000000"/>
                <w:sz w:val="14"/>
                <w:szCs w:val="14"/>
              </w:rPr>
            </w:pPr>
            <w:r w:rsidRPr="00E01465">
              <w:rPr>
                <w:rFonts w:ascii="Times New Roman" w:hAnsi="Times New Roman" w:cs="Times New Roman"/>
                <w:b/>
                <w:bCs/>
                <w:color w:val="000000"/>
                <w:sz w:val="14"/>
                <w:szCs w:val="14"/>
              </w:rPr>
              <w:t>2011</w:t>
            </w:r>
            <w:r w:rsidR="00953EAF">
              <w:rPr>
                <w:rFonts w:ascii="Times New Roman" w:hAnsi="Times New Roman" w:cs="Times New Roman"/>
                <w:b/>
                <w:bCs/>
                <w:color w:val="000000"/>
                <w:sz w:val="14"/>
                <w:szCs w:val="14"/>
              </w:rPr>
              <w:t xml:space="preserve"> </w:t>
            </w:r>
            <w:r w:rsidRPr="00E01465">
              <w:rPr>
                <w:rFonts w:ascii="Times New Roman" w:hAnsi="Times New Roman" w:cs="Times New Roman"/>
                <w:b/>
                <w:bCs/>
                <w:color w:val="000000"/>
                <w:sz w:val="14"/>
                <w:szCs w:val="14"/>
              </w:rPr>
              <w:t>S</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01465" w:rsidP="006338E5">
            <w:pPr>
              <w:bidi w:val="0"/>
              <w:jc w:val="center"/>
              <w:rPr>
                <w:rFonts w:ascii="Times New Roman" w:hAnsi="Times New Roman" w:cs="Times New Roman"/>
                <w:b/>
                <w:bCs/>
                <w:color w:val="000000"/>
                <w:sz w:val="14"/>
                <w:szCs w:val="14"/>
              </w:rPr>
            </w:pPr>
            <w:r w:rsidRPr="00E01465">
              <w:rPr>
                <w:rFonts w:ascii="Times New Roman" w:hAnsi="Times New Roman" w:cs="Times New Roman"/>
                <w:b/>
                <w:bCs/>
                <w:color w:val="000000"/>
                <w:sz w:val="14"/>
                <w:szCs w:val="14"/>
              </w:rPr>
              <w:t>2012 R</w:t>
            </w:r>
          </w:p>
        </w:tc>
        <w:tc>
          <w:tcPr>
            <w:tcW w:w="507"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9D2A34" w:rsidRPr="00E01465" w:rsidP="006338E5">
            <w:pPr>
              <w:bidi w:val="0"/>
              <w:jc w:val="center"/>
              <w:rPr>
                <w:rFonts w:ascii="Times New Roman" w:hAnsi="Times New Roman" w:cs="Times New Roman"/>
                <w:b/>
                <w:bCs/>
                <w:color w:val="000000"/>
                <w:sz w:val="14"/>
                <w:szCs w:val="14"/>
              </w:rPr>
            </w:pPr>
            <w:r w:rsidRPr="00E01465">
              <w:rPr>
                <w:rFonts w:ascii="Times New Roman" w:hAnsi="Times New Roman" w:cs="Times New Roman"/>
                <w:b/>
                <w:bCs/>
                <w:color w:val="000000"/>
                <w:sz w:val="14"/>
                <w:szCs w:val="14"/>
              </w:rPr>
              <w:t>2012 OS</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01465" w:rsidP="00953EAF">
            <w:pPr>
              <w:bidi w:val="0"/>
              <w:jc w:val="center"/>
              <w:rPr>
                <w:rFonts w:ascii="Times New Roman" w:hAnsi="Times New Roman" w:cs="Times New Roman"/>
                <w:b/>
                <w:bCs/>
                <w:color w:val="000000"/>
                <w:sz w:val="14"/>
                <w:szCs w:val="14"/>
              </w:rPr>
            </w:pPr>
            <w:r w:rsidRPr="00E01465">
              <w:rPr>
                <w:rFonts w:ascii="Times New Roman" w:hAnsi="Times New Roman" w:cs="Times New Roman"/>
                <w:b/>
                <w:bCs/>
                <w:color w:val="000000"/>
                <w:sz w:val="14"/>
                <w:szCs w:val="14"/>
              </w:rPr>
              <w:t xml:space="preserve">2013 </w:t>
            </w:r>
            <w:r w:rsidR="00953EAF">
              <w:rPr>
                <w:rFonts w:ascii="Times New Roman" w:hAnsi="Times New Roman" w:cs="Times New Roman"/>
                <w:b/>
                <w:bCs/>
                <w:color w:val="000000"/>
                <w:sz w:val="14"/>
                <w:szCs w:val="14"/>
              </w:rPr>
              <w:t>N</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01465" w:rsidP="006338E5">
            <w:pPr>
              <w:bidi w:val="0"/>
              <w:jc w:val="center"/>
              <w:rPr>
                <w:rFonts w:ascii="Times New Roman" w:hAnsi="Times New Roman" w:cs="Times New Roman"/>
                <w:b/>
                <w:bCs/>
                <w:color w:val="000000"/>
                <w:sz w:val="14"/>
                <w:szCs w:val="14"/>
              </w:rPr>
            </w:pPr>
            <w:r w:rsidRPr="00E01465">
              <w:rPr>
                <w:rFonts w:ascii="Times New Roman" w:hAnsi="Times New Roman" w:cs="Times New Roman"/>
                <w:b/>
                <w:bCs/>
                <w:color w:val="000000"/>
                <w:sz w:val="14"/>
                <w:szCs w:val="14"/>
              </w:rPr>
              <w:t>2014 N</w:t>
            </w:r>
          </w:p>
        </w:tc>
        <w:tc>
          <w:tcPr>
            <w:tcW w:w="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01465" w:rsidP="006338E5">
            <w:pPr>
              <w:bidi w:val="0"/>
              <w:jc w:val="center"/>
              <w:rPr>
                <w:rFonts w:ascii="Times New Roman" w:hAnsi="Times New Roman" w:cs="Times New Roman"/>
                <w:b/>
                <w:bCs/>
                <w:color w:val="000000"/>
                <w:sz w:val="14"/>
                <w:szCs w:val="14"/>
              </w:rPr>
            </w:pPr>
            <w:r w:rsidRPr="00E01465">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E01465" w:rsidP="006338E5">
            <w:pPr>
              <w:bidi w:val="0"/>
              <w:rPr>
                <w:rFonts w:ascii="Times New Roman" w:hAnsi="Times New Roman" w:cs="Times New Roman"/>
                <w:b/>
                <w:bCs/>
                <w:color w:val="000000"/>
                <w:sz w:val="14"/>
                <w:szCs w:val="14"/>
              </w:rPr>
            </w:pPr>
            <w:r w:rsidRPr="00E01465">
              <w:rPr>
                <w:rFonts w:ascii="Times New Roman" w:hAnsi="Times New Roman" w:cs="Times New Roman"/>
                <w:b/>
                <w:bCs/>
                <w:color w:val="000000"/>
                <w:sz w:val="14"/>
                <w:szCs w:val="14"/>
              </w:rPr>
              <w:t>Administratíva v tom:</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845455" w:rsidP="006338E5">
            <w:pPr>
              <w:bidi w:val="0"/>
              <w:jc w:val="right"/>
              <w:rPr>
                <w:rFonts w:ascii="Times New Roman" w:hAnsi="Times New Roman" w:cs="Times New Roman"/>
                <w:b/>
                <w:bCs/>
                <w:color w:val="000000"/>
                <w:sz w:val="14"/>
                <w:szCs w:val="14"/>
              </w:rPr>
            </w:pPr>
            <w:r w:rsidRPr="00845455">
              <w:rPr>
                <w:rFonts w:ascii="Times New Roman" w:hAnsi="Times New Roman" w:cs="Times New Roman"/>
                <w:b/>
                <w:bCs/>
                <w:color w:val="000000"/>
                <w:sz w:val="14"/>
                <w:szCs w:val="14"/>
              </w:rPr>
              <w:t>27 231 517</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845455" w:rsidP="006338E5">
            <w:pPr>
              <w:bidi w:val="0"/>
              <w:jc w:val="right"/>
              <w:rPr>
                <w:rFonts w:ascii="Times New Roman" w:hAnsi="Times New Roman" w:cs="Times New Roman"/>
                <w:b/>
                <w:bCs/>
                <w:color w:val="000000"/>
                <w:sz w:val="14"/>
                <w:szCs w:val="14"/>
              </w:rPr>
            </w:pPr>
            <w:r w:rsidRPr="00845455">
              <w:rPr>
                <w:rFonts w:ascii="Times New Roman" w:hAnsi="Times New Roman" w:cs="Times New Roman"/>
                <w:b/>
                <w:bCs/>
                <w:color w:val="000000"/>
                <w:sz w:val="14"/>
                <w:szCs w:val="14"/>
              </w:rPr>
              <w:t>35 961 471</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845455" w:rsidP="006338E5">
            <w:pPr>
              <w:bidi w:val="0"/>
              <w:jc w:val="right"/>
              <w:rPr>
                <w:rFonts w:ascii="Times New Roman" w:hAnsi="Times New Roman" w:cs="Times New Roman"/>
                <w:b/>
                <w:bCs/>
                <w:color w:val="000000"/>
                <w:sz w:val="14"/>
                <w:szCs w:val="14"/>
              </w:rPr>
            </w:pPr>
            <w:r w:rsidRPr="00845455">
              <w:rPr>
                <w:rFonts w:ascii="Times New Roman" w:hAnsi="Times New Roman" w:cs="Times New Roman"/>
                <w:b/>
                <w:bCs/>
                <w:color w:val="000000"/>
                <w:sz w:val="14"/>
                <w:szCs w:val="14"/>
              </w:rPr>
              <w:t>33 622 386</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477474" w:rsidP="006338E5">
            <w:pPr>
              <w:bidi w:val="0"/>
              <w:jc w:val="right"/>
              <w:rPr>
                <w:rFonts w:ascii="Times New Roman" w:hAnsi="Times New Roman" w:cs="Times New Roman"/>
                <w:b/>
                <w:bCs/>
                <w:color w:val="000000"/>
                <w:sz w:val="14"/>
                <w:szCs w:val="14"/>
              </w:rPr>
            </w:pPr>
            <w:r w:rsidRPr="00477474">
              <w:rPr>
                <w:rFonts w:ascii="Times New Roman" w:hAnsi="Times New Roman" w:cs="Times New Roman"/>
                <w:b/>
                <w:bCs/>
                <w:color w:val="000000"/>
                <w:sz w:val="14"/>
                <w:szCs w:val="14"/>
              </w:rPr>
              <w:t>33 569 280</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AB1713" w:rsidP="006338E5">
            <w:pPr>
              <w:bidi w:val="0"/>
              <w:jc w:val="right"/>
              <w:rPr>
                <w:rFonts w:ascii="Times New Roman" w:hAnsi="Times New Roman" w:cs="Times New Roman"/>
                <w:b/>
                <w:bCs/>
                <w:color w:val="000000"/>
                <w:sz w:val="14"/>
                <w:szCs w:val="14"/>
              </w:rPr>
            </w:pPr>
            <w:r w:rsidRPr="00AB1713">
              <w:rPr>
                <w:rFonts w:ascii="Times New Roman" w:hAnsi="Times New Roman" w:cs="Times New Roman"/>
                <w:b/>
                <w:bCs/>
                <w:color w:val="000000"/>
                <w:sz w:val="14"/>
                <w:szCs w:val="14"/>
              </w:rPr>
              <w:t>42 672 490</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AB1713" w:rsidP="006338E5">
            <w:pPr>
              <w:bidi w:val="0"/>
              <w:jc w:val="right"/>
              <w:rPr>
                <w:rFonts w:ascii="Times New Roman" w:hAnsi="Times New Roman" w:cs="Times New Roman"/>
                <w:b/>
                <w:bCs/>
                <w:color w:val="000000"/>
                <w:sz w:val="14"/>
                <w:szCs w:val="14"/>
              </w:rPr>
            </w:pPr>
            <w:r w:rsidRPr="00AB1713">
              <w:rPr>
                <w:rFonts w:ascii="Times New Roman" w:hAnsi="Times New Roman" w:cs="Times New Roman"/>
                <w:b/>
                <w:bCs/>
                <w:color w:val="000000"/>
                <w:sz w:val="14"/>
                <w:szCs w:val="14"/>
              </w:rPr>
              <w:t>32 558 868</w:t>
            </w:r>
          </w:p>
        </w:tc>
        <w:tc>
          <w:tcPr>
            <w:tcW w:w="50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AB1713" w:rsidP="006338E5">
            <w:pPr>
              <w:bidi w:val="0"/>
              <w:jc w:val="right"/>
              <w:rPr>
                <w:rFonts w:ascii="Times New Roman" w:hAnsi="Times New Roman" w:cs="Times New Roman"/>
                <w:b/>
                <w:bCs/>
                <w:color w:val="000000"/>
                <w:sz w:val="14"/>
                <w:szCs w:val="14"/>
              </w:rPr>
            </w:pPr>
            <w:r w:rsidRPr="00AB1713">
              <w:rPr>
                <w:rFonts w:ascii="Times New Roman" w:hAnsi="Times New Roman" w:cs="Times New Roman"/>
                <w:b/>
                <w:bCs/>
                <w:color w:val="000000"/>
                <w:sz w:val="14"/>
                <w:szCs w:val="14"/>
              </w:rPr>
              <w:t>32 571 450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E01465" w:rsidP="006338E5">
            <w:pPr>
              <w:bidi w:val="0"/>
              <w:rPr>
                <w:rFonts w:ascii="Times New Roman" w:hAnsi="Times New Roman" w:cs="Times New Roman"/>
                <w:color w:val="000000"/>
                <w:sz w:val="14"/>
                <w:szCs w:val="14"/>
              </w:rPr>
            </w:pPr>
            <w:r w:rsidRPr="00E01465">
              <w:rPr>
                <w:rFonts w:ascii="Times New Roman" w:hAnsi="Times New Roman" w:cs="Times New Roman"/>
                <w:color w:val="000000"/>
                <w:sz w:val="14"/>
                <w:szCs w:val="14"/>
              </w:rPr>
              <w:t>Ústredný orgán - aparát</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10 234 586</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11 064 303</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10 524 717</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10 471 611</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21 291 096</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11 177 474</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11 190 056</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E01465" w:rsidP="006338E5">
            <w:pPr>
              <w:bidi w:val="0"/>
              <w:rPr>
                <w:rFonts w:ascii="Times New Roman" w:hAnsi="Times New Roman" w:cs="Times New Roman"/>
                <w:color w:val="000000"/>
                <w:sz w:val="14"/>
                <w:szCs w:val="14"/>
              </w:rPr>
            </w:pPr>
            <w:r w:rsidRPr="00E01465">
              <w:rPr>
                <w:rFonts w:ascii="Times New Roman" w:hAnsi="Times New Roman" w:cs="Times New Roman"/>
                <w:color w:val="000000"/>
                <w:sz w:val="14"/>
                <w:szCs w:val="14"/>
              </w:rPr>
              <w:t>Slovenská inšpekcia životného prostredia</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4 483 866</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4 070 382</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4 186 571</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4 186 571</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4 004 238</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4 004 238</w:t>
            </w:r>
          </w:p>
        </w:tc>
        <w:tc>
          <w:tcPr>
            <w:tcW w:w="507"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4 004 238</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01465" w:rsidP="006338E5">
            <w:pPr>
              <w:bidi w:val="0"/>
              <w:rPr>
                <w:rFonts w:ascii="Times New Roman" w:hAnsi="Times New Roman" w:cs="Times New Roman"/>
                <w:color w:val="000000"/>
                <w:sz w:val="14"/>
                <w:szCs w:val="14"/>
              </w:rPr>
            </w:pPr>
            <w:r w:rsidRPr="00E01465">
              <w:rPr>
                <w:rFonts w:ascii="Times New Roman" w:hAnsi="Times New Roman" w:cs="Times New Roman"/>
                <w:color w:val="000000"/>
                <w:sz w:val="14"/>
                <w:szCs w:val="14"/>
              </w:rPr>
              <w:t>Slovenská agentúra životného prostredia</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3 292 528</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3 232 017</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2 960 000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2 960 000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2 856 400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2 856 400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2 856 400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01465" w:rsidP="006338E5">
            <w:pPr>
              <w:bidi w:val="0"/>
              <w:rPr>
                <w:rFonts w:ascii="Times New Roman" w:hAnsi="Times New Roman" w:cs="Times New Roman"/>
                <w:color w:val="000000"/>
                <w:sz w:val="14"/>
                <w:szCs w:val="14"/>
              </w:rPr>
            </w:pPr>
            <w:r w:rsidRPr="00E01465">
              <w:rPr>
                <w:rFonts w:ascii="Times New Roman" w:hAnsi="Times New Roman" w:cs="Times New Roman"/>
                <w:color w:val="000000"/>
                <w:sz w:val="14"/>
                <w:szCs w:val="14"/>
              </w:rPr>
              <w:t>Krajské úrady ŽP</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7 003 245</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15 632 915</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14 040 448</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14 040 448</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13 471 017</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13 471 017</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13 471 017</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01465" w:rsidP="006338E5">
            <w:pPr>
              <w:bidi w:val="0"/>
              <w:rPr>
                <w:rFonts w:ascii="Times New Roman" w:hAnsi="Times New Roman" w:cs="Times New Roman"/>
                <w:color w:val="000000"/>
                <w:sz w:val="14"/>
                <w:szCs w:val="14"/>
              </w:rPr>
            </w:pPr>
            <w:r w:rsidRPr="00E01465">
              <w:rPr>
                <w:rFonts w:ascii="Times New Roman" w:hAnsi="Times New Roman" w:cs="Times New Roman"/>
                <w:color w:val="000000"/>
                <w:sz w:val="14"/>
                <w:szCs w:val="14"/>
              </w:rPr>
              <w:t>Prenesený výkon štátnej správy</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686 009</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601 708</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587 650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587 650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567 082</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567 082</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567 082</w:t>
            </w:r>
          </w:p>
        </w:tc>
      </w:tr>
      <w:tr>
        <w:tblPrEx>
          <w:tblW w:w="5000" w:type="pct"/>
          <w:tblCellMar>
            <w:left w:w="70" w:type="dxa"/>
            <w:right w:w="70" w:type="dxa"/>
          </w:tblCellMar>
          <w:tblLook w:val="04A0"/>
        </w:tblPrEx>
        <w:trPr>
          <w:trHeight w:val="295"/>
        </w:trPr>
        <w:tc>
          <w:tcPr>
            <w:tcW w:w="1450"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E01465" w:rsidP="006338E5">
            <w:pPr>
              <w:bidi w:val="0"/>
              <w:rPr>
                <w:rFonts w:ascii="Times New Roman" w:hAnsi="Times New Roman" w:cs="Times New Roman"/>
                <w:color w:val="000000"/>
                <w:sz w:val="14"/>
                <w:szCs w:val="14"/>
              </w:rPr>
            </w:pPr>
            <w:r w:rsidRPr="00E01465">
              <w:rPr>
                <w:rFonts w:ascii="Times New Roman" w:hAnsi="Times New Roman" w:cs="Times New Roman"/>
                <w:color w:val="000000"/>
                <w:sz w:val="14"/>
                <w:szCs w:val="14"/>
              </w:rPr>
              <w:t>Plnenie medzinárodných zmlúv Gabčíkovo - Nagymaros</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497 900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17 503</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E01465" w:rsidP="006338E5">
            <w:pPr>
              <w:bidi w:val="0"/>
              <w:rPr>
                <w:rFonts w:ascii="Times New Roman" w:hAnsi="Times New Roman" w:cs="Times New Roman"/>
                <w:color w:val="000000"/>
                <w:sz w:val="14"/>
                <w:szCs w:val="14"/>
              </w:rPr>
            </w:pPr>
            <w:r w:rsidRPr="00E01465">
              <w:rPr>
                <w:rFonts w:ascii="Times New Roman" w:hAnsi="Times New Roman" w:cs="Times New Roman"/>
                <w:color w:val="000000"/>
                <w:sz w:val="14"/>
                <w:szCs w:val="14"/>
              </w:rPr>
              <w:t>Príspevky SR do MO</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743 545</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974 837</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970 000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970 000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0</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E01465" w:rsidP="006338E5">
            <w:pPr>
              <w:bidi w:val="0"/>
              <w:rPr>
                <w:rFonts w:ascii="Times New Roman" w:hAnsi="Times New Roman" w:cs="Times New Roman"/>
                <w:color w:val="000000"/>
                <w:sz w:val="14"/>
                <w:szCs w:val="14"/>
              </w:rPr>
            </w:pPr>
            <w:r w:rsidRPr="00E01465">
              <w:rPr>
                <w:rFonts w:ascii="Times New Roman" w:hAnsi="Times New Roman" w:cs="Times New Roman"/>
                <w:color w:val="000000"/>
                <w:sz w:val="14"/>
                <w:szCs w:val="14"/>
              </w:rPr>
              <w:t>Oficiálna rozvojová pomoc</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114 188</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175 198</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170 000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170 000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306 062</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306 062</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306 062</w:t>
            </w:r>
          </w:p>
        </w:tc>
      </w:tr>
      <w:tr>
        <w:tblPrEx>
          <w:tblW w:w="5000" w:type="pct"/>
          <w:tblCellMar>
            <w:left w:w="70" w:type="dxa"/>
            <w:right w:w="70" w:type="dxa"/>
          </w:tblCellMar>
          <w:tblLook w:val="04A0"/>
        </w:tblPrEx>
        <w:trPr>
          <w:trHeight w:val="270"/>
        </w:trPr>
        <w:tc>
          <w:tcPr>
            <w:tcW w:w="1450"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E01465" w:rsidP="006338E5">
            <w:pPr>
              <w:bidi w:val="0"/>
              <w:rPr>
                <w:rFonts w:ascii="Times New Roman" w:hAnsi="Times New Roman" w:cs="Times New Roman"/>
                <w:color w:val="000000"/>
                <w:sz w:val="14"/>
                <w:szCs w:val="14"/>
              </w:rPr>
            </w:pPr>
            <w:r w:rsidRPr="00E01465">
              <w:rPr>
                <w:rFonts w:ascii="Times New Roman" w:hAnsi="Times New Roman" w:cs="Times New Roman"/>
                <w:color w:val="000000"/>
                <w:sz w:val="14"/>
                <w:szCs w:val="14"/>
              </w:rPr>
              <w:t>Hospodárska mobilizácia</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175 650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192 608</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845455" w:rsidP="006338E5">
            <w:pPr>
              <w:bidi w:val="0"/>
              <w:jc w:val="right"/>
              <w:rPr>
                <w:rFonts w:ascii="Times New Roman" w:hAnsi="Times New Roman" w:cs="Times New Roman"/>
                <w:color w:val="000000"/>
                <w:sz w:val="14"/>
                <w:szCs w:val="14"/>
              </w:rPr>
            </w:pPr>
            <w:r w:rsidRPr="00845455">
              <w:rPr>
                <w:rFonts w:ascii="Times New Roman" w:hAnsi="Times New Roman" w:cs="Times New Roman"/>
                <w:color w:val="000000"/>
                <w:sz w:val="14"/>
                <w:szCs w:val="14"/>
              </w:rPr>
              <w:t>183 000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477474" w:rsidP="006338E5">
            <w:pPr>
              <w:bidi w:val="0"/>
              <w:jc w:val="right"/>
              <w:rPr>
                <w:rFonts w:ascii="Times New Roman" w:hAnsi="Times New Roman" w:cs="Times New Roman"/>
                <w:color w:val="000000"/>
                <w:sz w:val="14"/>
                <w:szCs w:val="14"/>
              </w:rPr>
            </w:pPr>
            <w:r w:rsidRPr="00477474">
              <w:rPr>
                <w:rFonts w:ascii="Times New Roman" w:hAnsi="Times New Roman" w:cs="Times New Roman"/>
                <w:color w:val="000000"/>
                <w:sz w:val="14"/>
                <w:szCs w:val="14"/>
              </w:rPr>
              <w:t>183 000</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176 595</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176 595</w:t>
            </w:r>
          </w:p>
        </w:tc>
        <w:tc>
          <w:tcPr>
            <w:tcW w:w="507" w:type="pct"/>
            <w:tcBorders>
              <w:top w:val="single" w:sz="4" w:space="0" w:color="auto"/>
              <w:left w:val="single" w:sz="4" w:space="0" w:color="auto"/>
              <w:bottom w:val="single" w:sz="4" w:space="0" w:color="auto"/>
              <w:right w:val="single" w:sz="4" w:space="0" w:color="auto"/>
            </w:tcBorders>
            <w:textDirection w:val="lrTb"/>
            <w:vAlign w:val="center"/>
            <w:hideMark/>
          </w:tcPr>
          <w:p w:rsidR="009D2A34" w:rsidRPr="00AB1713" w:rsidP="006338E5">
            <w:pPr>
              <w:bidi w:val="0"/>
              <w:jc w:val="right"/>
              <w:rPr>
                <w:rFonts w:ascii="Times New Roman" w:hAnsi="Times New Roman" w:cs="Times New Roman"/>
                <w:bCs/>
                <w:color w:val="000000"/>
                <w:sz w:val="14"/>
                <w:szCs w:val="14"/>
              </w:rPr>
            </w:pPr>
            <w:r w:rsidRPr="00AB1713">
              <w:rPr>
                <w:rFonts w:ascii="Times New Roman" w:hAnsi="Times New Roman" w:cs="Times New Roman"/>
                <w:bCs/>
                <w:color w:val="000000"/>
                <w:sz w:val="14"/>
                <w:szCs w:val="14"/>
              </w:rPr>
              <w:t>176 595</w:t>
            </w:r>
          </w:p>
        </w:tc>
      </w:tr>
    </w:tbl>
    <w:p w:rsidR="009D2A34" w:rsidRPr="00E01465" w:rsidP="009D2A34">
      <w:pPr>
        <w:bidi w:val="0"/>
        <w:jc w:val="both"/>
        <w:rPr>
          <w:rFonts w:ascii="Times New Roman" w:hAnsi="Times New Roman" w:cs="Times New Roman"/>
          <w:color w:val="000000"/>
          <w:sz w:val="14"/>
          <w:szCs w:val="14"/>
        </w:rPr>
      </w:pPr>
      <w:r w:rsidRPr="00E01465">
        <w:rPr>
          <w:rFonts w:ascii="Times New Roman" w:hAnsi="Times New Roman" w:cs="Times New Roman"/>
          <w:color w:val="000000"/>
          <w:sz w:val="14"/>
          <w:szCs w:val="14"/>
        </w:rPr>
        <w:t>* Čerpanie bolo ovplyvnené dočasným zánikom kapitoly MŽP SR</w:t>
      </w:r>
    </w:p>
    <w:p w:rsidR="009D2A34" w:rsidP="009D2A34">
      <w:pPr>
        <w:bidi w:val="0"/>
        <w:ind w:firstLine="708"/>
        <w:jc w:val="both"/>
        <w:rPr>
          <w:rFonts w:ascii="Times New Roman" w:hAnsi="Times New Roman" w:cs="Times New Roman"/>
        </w:rPr>
      </w:pPr>
    </w:p>
    <w:p w:rsidR="009D2A34" w:rsidRPr="008A0B8F" w:rsidP="009D2A34">
      <w:pPr>
        <w:bidi w:val="0"/>
        <w:ind w:firstLine="708"/>
        <w:jc w:val="both"/>
        <w:rPr>
          <w:rFonts w:ascii="Times New Roman" w:hAnsi="Times New Roman" w:cs="Times New Roman"/>
          <w:b/>
        </w:rPr>
      </w:pPr>
      <w:r w:rsidRPr="008A0B8F">
        <w:rPr>
          <w:rFonts w:ascii="Times New Roman" w:hAnsi="Times New Roman" w:cs="Times New Roman"/>
        </w:rPr>
        <w:t xml:space="preserve">Prostriedky štátneho rozpočtu  medziročne rastú o 26,9 %, čo zohľadňuje </w:t>
        <w:br/>
        <w:t xml:space="preserve">dlhodobé požiadavky na zvýšenie prevádzkových výdavkov štátneho rozpočtu kapitoly </w:t>
      </w:r>
      <w:r w:rsidR="00953EAF">
        <w:rPr>
          <w:rFonts w:ascii="Times New Roman" w:hAnsi="Times New Roman" w:cs="Times New Roman"/>
        </w:rPr>
        <w:br/>
      </w:r>
      <w:r w:rsidRPr="008A0B8F">
        <w:rPr>
          <w:rFonts w:ascii="Times New Roman" w:hAnsi="Times New Roman" w:cs="Times New Roman"/>
        </w:rPr>
        <w:t>MŽP SR, a to najmä výdavkov na riadnu správu majetku štátu, na zabezpečenie nevyhnutných potrieb v oblasti informačných technológií a na vypracovanie strategických dokumentov.</w:t>
      </w:r>
      <w:r>
        <w:rPr>
          <w:rFonts w:ascii="Times New Roman" w:hAnsi="Times New Roman" w:cs="Times New Roman"/>
          <w:b/>
        </w:rPr>
        <w:t xml:space="preserve"> </w:t>
      </w:r>
      <w:r>
        <w:rPr>
          <w:rFonts w:ascii="Times New Roman" w:hAnsi="Times New Roman" w:cs="Times New Roman"/>
        </w:rPr>
        <w:t xml:space="preserve">Výdavky celkom sú </w:t>
      </w:r>
      <w:r w:rsidRPr="00E01465">
        <w:rPr>
          <w:rFonts w:ascii="Times New Roman" w:hAnsi="Times New Roman" w:cs="Times New Roman"/>
        </w:rPr>
        <w:t>určené na inštituc</w:t>
      </w:r>
      <w:r>
        <w:rPr>
          <w:rFonts w:ascii="Times New Roman" w:hAnsi="Times New Roman" w:cs="Times New Roman"/>
        </w:rPr>
        <w:t xml:space="preserve">ionálnu podporu a </w:t>
      </w:r>
      <w:r w:rsidRPr="00E01465">
        <w:rPr>
          <w:rFonts w:ascii="Times New Roman" w:hAnsi="Times New Roman" w:cs="Times New Roman"/>
        </w:rPr>
        <w:t>činnosti vykonávané ústredným orgánom, Slovenskou inšpekciou životného prostredia, Slovenskou agentúrou životného prostredia, špecializovanou miestnou štátnou správou - úradmi životného prostredia. Okrem týchto výdavkov na administratívu sem patria prostriedky určené na výchovu, vzdelávanie, propagáciu, prieskum, výskum, vývoj, technickú pomoc, ďalej výdavky na oficiálnu rozvojovú pomoc, hospodársku mobilizáciu</w:t>
      </w:r>
      <w:r>
        <w:rPr>
          <w:rFonts w:ascii="Times New Roman" w:hAnsi="Times New Roman" w:cs="Times New Roman"/>
        </w:rPr>
        <w:t>.</w:t>
      </w:r>
    </w:p>
    <w:p w:rsidR="009D2A34" w:rsidRPr="007E0D85" w:rsidP="009D2A34">
      <w:pPr>
        <w:bidi w:val="0"/>
        <w:rPr>
          <w:highlight w:val="yellow"/>
        </w:rPr>
      </w:pPr>
    </w:p>
    <w:p w:rsidR="009D2A34" w:rsidRPr="0034297C" w:rsidP="009D2A34">
      <w:pPr>
        <w:pBdr>
          <w:bottom w:val="single" w:sz="4" w:space="1" w:color="auto"/>
        </w:pBdr>
        <w:shd w:val="clear" w:color="auto" w:fill="FFFFFF"/>
        <w:bidi w:val="0"/>
        <w:jc w:val="both"/>
        <w:rPr>
          <w:rFonts w:ascii="Times New Roman" w:hAnsi="Times New Roman" w:cs="Times New Roman"/>
          <w:b/>
          <w:bCs/>
        </w:rPr>
      </w:pPr>
      <w:r w:rsidRPr="0034297C">
        <w:rPr>
          <w:rFonts w:ascii="Times New Roman" w:hAnsi="Times New Roman" w:cs="Times New Roman"/>
          <w:b/>
          <w:bCs/>
        </w:rPr>
        <w:t>Ministerstvo spravodlivosti SR</w:t>
      </w:r>
    </w:p>
    <w:p w:rsidR="009D2A34" w:rsidRPr="007E0D85" w:rsidP="009D2A34">
      <w:pPr>
        <w:bidi w:val="0"/>
        <w:rPr>
          <w:rFonts w:ascii="Times New Roman" w:hAnsi="Times New Roman" w:cs="Times New Roman"/>
          <w:highlight w:val="yellow"/>
        </w:rPr>
      </w:pPr>
    </w:p>
    <w:tbl>
      <w:tblPr>
        <w:tblStyle w:val="TableNormal"/>
        <w:tblW w:w="9085" w:type="dxa"/>
        <w:tblInd w:w="57" w:type="dxa"/>
        <w:tblLayout w:type="fixed"/>
        <w:tblCellMar>
          <w:left w:w="70" w:type="dxa"/>
          <w:right w:w="70" w:type="dxa"/>
        </w:tblCellMar>
        <w:tblLook w:val="04A0"/>
      </w:tblPr>
      <w:tblGrid>
        <w:gridCol w:w="2140"/>
        <w:gridCol w:w="992"/>
        <w:gridCol w:w="992"/>
        <w:gridCol w:w="992"/>
        <w:gridCol w:w="992"/>
        <w:gridCol w:w="992"/>
        <w:gridCol w:w="992"/>
        <w:gridCol w:w="993"/>
      </w:tblGrid>
      <w:tr>
        <w:tblPrEx>
          <w:tblW w:w="9085" w:type="dxa"/>
          <w:tblInd w:w="57" w:type="dxa"/>
          <w:tblLayout w:type="fixed"/>
          <w:tblCellMar>
            <w:left w:w="70" w:type="dxa"/>
            <w:right w:w="70" w:type="dxa"/>
          </w:tblCellMar>
          <w:tblLook w:val="04A0"/>
        </w:tblPrEx>
        <w:trPr>
          <w:trHeight w:val="261"/>
        </w:trPr>
        <w:tc>
          <w:tcPr>
            <w:tcW w:w="2140"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34297C" w:rsidP="006338E5">
            <w:pPr>
              <w:bidi w:val="0"/>
              <w:rPr>
                <w:rFonts w:ascii="Times New Roman" w:hAnsi="Times New Roman" w:cs="Times New Roman"/>
                <w:b/>
                <w:bCs/>
                <w:color w:val="000000"/>
                <w:sz w:val="14"/>
                <w:szCs w:val="14"/>
                <w:lang w:eastAsia="sk-SK"/>
              </w:rPr>
            </w:pPr>
            <w:r w:rsidRPr="0034297C">
              <w:rPr>
                <w:rFonts w:ascii="Times New Roman" w:hAnsi="Times New Roman" w:cs="Times New Roman"/>
                <w:b/>
                <w:bCs/>
                <w:color w:val="000000"/>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34297C" w:rsidP="006338E5">
            <w:pPr>
              <w:bidi w:val="0"/>
              <w:jc w:val="center"/>
              <w:rPr>
                <w:rFonts w:ascii="Times New Roman" w:hAnsi="Times New Roman" w:cs="Times New Roman"/>
                <w:b/>
                <w:bCs/>
                <w:color w:val="000000"/>
                <w:sz w:val="14"/>
                <w:szCs w:val="14"/>
                <w:lang w:eastAsia="sk-SK"/>
              </w:rPr>
            </w:pPr>
            <w:r w:rsidRPr="0034297C">
              <w:rPr>
                <w:rFonts w:ascii="Times New Roman" w:hAnsi="Times New Roman" w:cs="Times New Roman"/>
                <w:b/>
                <w:bCs/>
                <w:color w:val="000000"/>
                <w:sz w:val="14"/>
                <w:szCs w:val="14"/>
                <w:lang w:eastAsia="sk-SK"/>
              </w:rPr>
              <w:t>2010 S</w:t>
            </w:r>
          </w:p>
        </w:tc>
        <w:tc>
          <w:tcPr>
            <w:tcW w:w="99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34297C" w:rsidP="006338E5">
            <w:pPr>
              <w:bidi w:val="0"/>
              <w:jc w:val="center"/>
              <w:rPr>
                <w:rFonts w:ascii="Times New Roman" w:hAnsi="Times New Roman" w:cs="Times New Roman"/>
                <w:b/>
                <w:bCs/>
                <w:color w:val="000000"/>
                <w:sz w:val="14"/>
                <w:szCs w:val="14"/>
                <w:lang w:eastAsia="sk-SK"/>
              </w:rPr>
            </w:pPr>
            <w:r w:rsidRPr="0034297C">
              <w:rPr>
                <w:rFonts w:ascii="Times New Roman" w:hAnsi="Times New Roman" w:cs="Times New Roman"/>
                <w:b/>
                <w:bCs/>
                <w:color w:val="000000"/>
                <w:sz w:val="14"/>
                <w:szCs w:val="14"/>
                <w:lang w:eastAsia="sk-SK"/>
              </w:rPr>
              <w:t>2011 S</w:t>
            </w:r>
          </w:p>
        </w:tc>
        <w:tc>
          <w:tcPr>
            <w:tcW w:w="99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34297C" w:rsidP="006338E5">
            <w:pPr>
              <w:bidi w:val="0"/>
              <w:jc w:val="center"/>
              <w:rPr>
                <w:rFonts w:ascii="Times New Roman" w:hAnsi="Times New Roman" w:cs="Times New Roman"/>
                <w:b/>
                <w:bCs/>
                <w:color w:val="000000"/>
                <w:sz w:val="14"/>
                <w:szCs w:val="14"/>
                <w:lang w:eastAsia="sk-SK"/>
              </w:rPr>
            </w:pPr>
            <w:r w:rsidRPr="0034297C">
              <w:rPr>
                <w:rFonts w:ascii="Times New Roman" w:hAnsi="Times New Roman" w:cs="Times New Roman"/>
                <w:b/>
                <w:bCs/>
                <w:color w:val="000000"/>
                <w:sz w:val="14"/>
                <w:szCs w:val="14"/>
                <w:lang w:eastAsia="sk-SK"/>
              </w:rPr>
              <w:t>2012 R</w:t>
            </w:r>
          </w:p>
        </w:tc>
        <w:tc>
          <w:tcPr>
            <w:tcW w:w="99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34297C" w:rsidP="006338E5">
            <w:pPr>
              <w:bidi w:val="0"/>
              <w:jc w:val="center"/>
              <w:rPr>
                <w:rFonts w:ascii="Times New Roman" w:hAnsi="Times New Roman" w:cs="Times New Roman"/>
                <w:b/>
                <w:bCs/>
                <w:color w:val="000000"/>
                <w:sz w:val="14"/>
                <w:szCs w:val="14"/>
                <w:lang w:eastAsia="sk-SK"/>
              </w:rPr>
            </w:pPr>
            <w:r w:rsidRPr="0034297C">
              <w:rPr>
                <w:rFonts w:ascii="Times New Roman" w:hAnsi="Times New Roman" w:cs="Times New Roman"/>
                <w:b/>
                <w:bCs/>
                <w:color w:val="000000"/>
                <w:sz w:val="14"/>
                <w:szCs w:val="14"/>
                <w:lang w:eastAsia="sk-SK"/>
              </w:rPr>
              <w:t>2012 OS</w:t>
            </w:r>
          </w:p>
        </w:tc>
        <w:tc>
          <w:tcPr>
            <w:tcW w:w="99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34297C" w:rsidP="00953EAF">
            <w:pPr>
              <w:bidi w:val="0"/>
              <w:jc w:val="center"/>
              <w:rPr>
                <w:rFonts w:ascii="Times New Roman" w:hAnsi="Times New Roman" w:cs="Times New Roman"/>
                <w:b/>
                <w:bCs/>
                <w:color w:val="000000"/>
                <w:sz w:val="14"/>
                <w:szCs w:val="14"/>
                <w:lang w:eastAsia="sk-SK"/>
              </w:rPr>
            </w:pPr>
            <w:r w:rsidRPr="0034297C">
              <w:rPr>
                <w:rFonts w:ascii="Times New Roman" w:hAnsi="Times New Roman" w:cs="Times New Roman"/>
                <w:b/>
                <w:bCs/>
                <w:color w:val="000000"/>
                <w:sz w:val="14"/>
                <w:szCs w:val="14"/>
                <w:lang w:eastAsia="sk-SK"/>
              </w:rPr>
              <w:t xml:space="preserve">2013 </w:t>
            </w:r>
            <w:r w:rsidR="00953EAF">
              <w:rPr>
                <w:rFonts w:ascii="Times New Roman" w:hAnsi="Times New Roman" w:cs="Times New Roman"/>
                <w:b/>
                <w:bCs/>
                <w:color w:val="000000"/>
                <w:sz w:val="14"/>
                <w:szCs w:val="14"/>
                <w:lang w:eastAsia="sk-SK"/>
              </w:rPr>
              <w:t>N</w:t>
            </w:r>
          </w:p>
        </w:tc>
        <w:tc>
          <w:tcPr>
            <w:tcW w:w="99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34297C" w:rsidP="006338E5">
            <w:pPr>
              <w:bidi w:val="0"/>
              <w:jc w:val="center"/>
              <w:rPr>
                <w:rFonts w:ascii="Times New Roman" w:hAnsi="Times New Roman" w:cs="Times New Roman"/>
                <w:b/>
                <w:bCs/>
                <w:color w:val="000000"/>
                <w:sz w:val="14"/>
                <w:szCs w:val="14"/>
                <w:lang w:eastAsia="sk-SK"/>
              </w:rPr>
            </w:pPr>
            <w:r w:rsidRPr="0034297C">
              <w:rPr>
                <w:rFonts w:ascii="Times New Roman" w:hAnsi="Times New Roman" w:cs="Times New Roman"/>
                <w:b/>
                <w:bCs/>
                <w:color w:val="000000"/>
                <w:sz w:val="14"/>
                <w:szCs w:val="14"/>
                <w:lang w:eastAsia="sk-SK"/>
              </w:rPr>
              <w:t>2014 N</w:t>
            </w:r>
          </w:p>
        </w:tc>
        <w:tc>
          <w:tcPr>
            <w:tcW w:w="993"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34297C" w:rsidP="006338E5">
            <w:pPr>
              <w:bidi w:val="0"/>
              <w:jc w:val="center"/>
              <w:rPr>
                <w:rFonts w:ascii="Times New Roman" w:hAnsi="Times New Roman" w:cs="Times New Roman"/>
                <w:b/>
                <w:bCs/>
                <w:color w:val="000000"/>
                <w:sz w:val="14"/>
                <w:szCs w:val="14"/>
                <w:lang w:eastAsia="sk-SK"/>
              </w:rPr>
            </w:pPr>
            <w:r w:rsidRPr="0034297C">
              <w:rPr>
                <w:rFonts w:ascii="Times New Roman" w:hAnsi="Times New Roman" w:cs="Times New Roman"/>
                <w:b/>
                <w:bCs/>
                <w:color w:val="000000"/>
                <w:sz w:val="14"/>
                <w:szCs w:val="14"/>
                <w:lang w:eastAsia="sk-SK"/>
              </w:rPr>
              <w:t>2015 N</w:t>
            </w:r>
          </w:p>
        </w:tc>
      </w:tr>
      <w:tr>
        <w:tblPrEx>
          <w:tblW w:w="9085" w:type="dxa"/>
          <w:tblInd w:w="57" w:type="dxa"/>
          <w:tblLayout w:type="fixed"/>
          <w:tblCellMar>
            <w:left w:w="70" w:type="dxa"/>
            <w:right w:w="70" w:type="dxa"/>
          </w:tblCellMar>
          <w:tblLook w:val="04A0"/>
        </w:tblPrEx>
        <w:trPr>
          <w:trHeight w:val="261"/>
        </w:trPr>
        <w:tc>
          <w:tcPr>
            <w:tcW w:w="214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34297C" w:rsidP="006338E5">
            <w:pPr>
              <w:bidi w:val="0"/>
              <w:rPr>
                <w:rFonts w:ascii="Times New Roman" w:hAnsi="Times New Roman" w:cs="Times New Roman"/>
                <w:b/>
                <w:bCs/>
                <w:color w:val="000000"/>
                <w:sz w:val="14"/>
                <w:szCs w:val="14"/>
                <w:lang w:eastAsia="sk-SK"/>
              </w:rPr>
            </w:pPr>
            <w:r w:rsidRPr="0034297C">
              <w:rPr>
                <w:rFonts w:ascii="Times New Roman" w:hAnsi="Times New Roman" w:cs="Times New Roman"/>
                <w:b/>
                <w:bCs/>
                <w:color w:val="000000"/>
                <w:sz w:val="14"/>
                <w:szCs w:val="14"/>
                <w:lang w:eastAsia="sk-SK"/>
              </w:rPr>
              <w:t>Zdroje príslušnej kapitoly</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302 246 622</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294 249 448</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302 833 796</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316 533 149</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314 166 599</w:t>
            </w:r>
          </w:p>
        </w:tc>
        <w:tc>
          <w:tcPr>
            <w:tcW w:w="99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322 459 901</w:t>
            </w:r>
          </w:p>
        </w:tc>
        <w:tc>
          <w:tcPr>
            <w:tcW w:w="993"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314 885 736</w:t>
            </w:r>
          </w:p>
        </w:tc>
      </w:tr>
      <w:tr>
        <w:tblPrEx>
          <w:tblW w:w="9085"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34297C" w:rsidP="006338E5">
            <w:pPr>
              <w:bidi w:val="0"/>
              <w:rPr>
                <w:rFonts w:ascii="Times New Roman" w:hAnsi="Times New Roman" w:cs="Times New Roman"/>
                <w:b/>
                <w:color w:val="000000"/>
                <w:sz w:val="14"/>
                <w:szCs w:val="14"/>
                <w:lang w:eastAsia="sk-SK"/>
              </w:rPr>
            </w:pPr>
            <w:r w:rsidRPr="0034297C">
              <w:rPr>
                <w:rFonts w:ascii="Times New Roman" w:hAnsi="Times New Roman" w:cs="Times New Roman"/>
                <w:b/>
                <w:color w:val="000000"/>
                <w:sz w:val="14"/>
                <w:szCs w:val="14"/>
                <w:lang w:eastAsia="sk-SK"/>
              </w:rPr>
              <w:t>rozpočtové zdroje kapitoly</w:t>
            </w:r>
          </w:p>
        </w:tc>
        <w:tc>
          <w:tcPr>
            <w:tcW w:w="992" w:type="dxa"/>
            <w:tcBorders>
              <w:top w:val="nil"/>
              <w:left w:val="nil"/>
              <w:bottom w:val="single" w:sz="4" w:space="0" w:color="auto"/>
              <w:right w:val="single" w:sz="4" w:space="0" w:color="auto"/>
            </w:tcBorders>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301 473 441</w:t>
            </w:r>
          </w:p>
        </w:tc>
        <w:tc>
          <w:tcPr>
            <w:tcW w:w="992" w:type="dxa"/>
            <w:tcBorders>
              <w:top w:val="nil"/>
              <w:left w:val="nil"/>
              <w:bottom w:val="single" w:sz="4" w:space="0" w:color="auto"/>
              <w:right w:val="single" w:sz="4" w:space="0" w:color="auto"/>
            </w:tcBorders>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293 005 239</w:t>
            </w:r>
          </w:p>
        </w:tc>
        <w:tc>
          <w:tcPr>
            <w:tcW w:w="992" w:type="dxa"/>
            <w:tcBorders>
              <w:top w:val="nil"/>
              <w:left w:val="nil"/>
              <w:bottom w:val="single" w:sz="4" w:space="0" w:color="auto"/>
              <w:right w:val="single" w:sz="4" w:space="0" w:color="auto"/>
            </w:tcBorders>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302 833 796</w:t>
            </w:r>
          </w:p>
        </w:tc>
        <w:tc>
          <w:tcPr>
            <w:tcW w:w="992" w:type="dxa"/>
            <w:tcBorders>
              <w:top w:val="nil"/>
              <w:left w:val="nil"/>
              <w:bottom w:val="single" w:sz="4" w:space="0" w:color="auto"/>
              <w:right w:val="single" w:sz="4" w:space="0" w:color="auto"/>
            </w:tcBorders>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310 428 861</w:t>
            </w:r>
          </w:p>
        </w:tc>
        <w:tc>
          <w:tcPr>
            <w:tcW w:w="992" w:type="dxa"/>
            <w:tcBorders>
              <w:top w:val="nil"/>
              <w:left w:val="nil"/>
              <w:bottom w:val="single" w:sz="4" w:space="0" w:color="auto"/>
              <w:right w:val="single" w:sz="4" w:space="0" w:color="auto"/>
            </w:tcBorders>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314 166 599</w:t>
            </w:r>
          </w:p>
        </w:tc>
        <w:tc>
          <w:tcPr>
            <w:tcW w:w="992" w:type="dxa"/>
            <w:tcBorders>
              <w:top w:val="nil"/>
              <w:left w:val="nil"/>
              <w:bottom w:val="single" w:sz="4" w:space="0" w:color="auto"/>
              <w:right w:val="single" w:sz="4" w:space="0" w:color="auto"/>
            </w:tcBorders>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322 459 901</w:t>
            </w:r>
          </w:p>
        </w:tc>
        <w:tc>
          <w:tcPr>
            <w:tcW w:w="993" w:type="dxa"/>
            <w:tcBorders>
              <w:top w:val="nil"/>
              <w:left w:val="nil"/>
              <w:bottom w:val="single" w:sz="4" w:space="0" w:color="auto"/>
              <w:right w:val="single" w:sz="4" w:space="0" w:color="auto"/>
            </w:tcBorders>
            <w:textDirection w:val="lrTb"/>
            <w:vAlign w:val="center"/>
            <w:hideMark/>
          </w:tcPr>
          <w:p w:rsidR="009D2A34" w:rsidRPr="0034297C" w:rsidP="006338E5">
            <w:pPr>
              <w:bidi w:val="0"/>
              <w:jc w:val="right"/>
              <w:rPr>
                <w:rFonts w:ascii="Times New Roman" w:hAnsi="Times New Roman" w:cs="Times New Roman"/>
                <w:b/>
                <w:bCs/>
                <w:color w:val="000000"/>
                <w:sz w:val="14"/>
                <w:szCs w:val="14"/>
              </w:rPr>
            </w:pPr>
            <w:r w:rsidRPr="0034297C">
              <w:rPr>
                <w:rFonts w:ascii="Times New Roman" w:hAnsi="Times New Roman" w:cs="Times New Roman"/>
                <w:b/>
                <w:bCs/>
                <w:color w:val="000000"/>
                <w:sz w:val="14"/>
                <w:szCs w:val="14"/>
              </w:rPr>
              <w:t>314 885 736</w:t>
            </w:r>
          </w:p>
        </w:tc>
      </w:tr>
      <w:tr>
        <w:tblPrEx>
          <w:tblW w:w="9085"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34297C" w:rsidP="006338E5">
            <w:pPr>
              <w:bidi w:val="0"/>
              <w:rPr>
                <w:rFonts w:ascii="Times New Roman" w:hAnsi="Times New Roman" w:cs="Times New Roman"/>
                <w:color w:val="000000"/>
                <w:sz w:val="14"/>
                <w:szCs w:val="14"/>
                <w:lang w:eastAsia="sk-SK"/>
              </w:rPr>
            </w:pPr>
            <w:r w:rsidRPr="0034297C">
              <w:rPr>
                <w:rFonts w:ascii="Times New Roman" w:hAnsi="Times New Roman" w:cs="Times New Roman"/>
                <w:color w:val="000000"/>
                <w:sz w:val="14"/>
                <w:szCs w:val="14"/>
                <w:lang w:eastAsia="sk-SK"/>
              </w:rPr>
              <w:t xml:space="preserve">    v tom: bežné výdavky  600</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299 290 959</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290 157 648</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288 760 796</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296 605 861</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296 043 599</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301 436 901</w:t>
            </w:r>
          </w:p>
        </w:tc>
        <w:tc>
          <w:tcPr>
            <w:tcW w:w="993"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304 662 736</w:t>
            </w:r>
          </w:p>
        </w:tc>
      </w:tr>
      <w:tr>
        <w:tblPrEx>
          <w:tblW w:w="9085"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34297C" w:rsidP="006338E5">
            <w:pPr>
              <w:bidi w:val="0"/>
              <w:rPr>
                <w:rFonts w:ascii="Times New Roman" w:hAnsi="Times New Roman" w:cs="Times New Roman"/>
                <w:color w:val="000000"/>
                <w:sz w:val="14"/>
                <w:szCs w:val="14"/>
                <w:lang w:eastAsia="sk-SK"/>
              </w:rPr>
            </w:pPr>
            <w:r w:rsidRPr="0034297C">
              <w:rPr>
                <w:rFonts w:ascii="Times New Roman" w:hAnsi="Times New Roman" w:cs="Times New Roman"/>
                <w:color w:val="000000"/>
                <w:sz w:val="14"/>
                <w:szCs w:val="14"/>
                <w:lang w:eastAsia="sk-SK"/>
              </w:rPr>
              <w:t xml:space="preserve">                     610 mzdy</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158 101 157</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154 139 960</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153 879 324</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159 729 924</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161 458 231</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165 351 228</w:t>
            </w:r>
          </w:p>
        </w:tc>
        <w:tc>
          <w:tcPr>
            <w:tcW w:w="993"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167 577 374</w:t>
            </w:r>
          </w:p>
        </w:tc>
      </w:tr>
      <w:tr>
        <w:tblPrEx>
          <w:tblW w:w="9085"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34297C" w:rsidP="006338E5">
            <w:pPr>
              <w:bidi w:val="0"/>
              <w:rPr>
                <w:rFonts w:ascii="Times New Roman" w:hAnsi="Times New Roman" w:cs="Times New Roman"/>
                <w:color w:val="000000"/>
                <w:sz w:val="14"/>
                <w:szCs w:val="14"/>
                <w:lang w:eastAsia="sk-SK"/>
              </w:rPr>
            </w:pPr>
            <w:r w:rsidRPr="0034297C">
              <w:rPr>
                <w:rFonts w:ascii="Times New Roman" w:hAnsi="Times New Roman" w:cs="Times New Roman"/>
                <w:color w:val="000000"/>
                <w:sz w:val="14"/>
                <w:szCs w:val="14"/>
                <w:lang w:eastAsia="sk-SK"/>
              </w:rPr>
              <w:t xml:space="preserve">                     620 odvody</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50 556 471</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50 761 587</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52 119 297</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53 842 268</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54 281 443</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55 708 473</w:t>
            </w:r>
          </w:p>
        </w:tc>
        <w:tc>
          <w:tcPr>
            <w:tcW w:w="993"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56 354 916</w:t>
            </w:r>
          </w:p>
        </w:tc>
      </w:tr>
      <w:tr>
        <w:tblPrEx>
          <w:tblW w:w="9085"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34297C" w:rsidP="006338E5">
            <w:pPr>
              <w:bidi w:val="0"/>
              <w:rPr>
                <w:rFonts w:ascii="Times New Roman" w:hAnsi="Times New Roman" w:cs="Times New Roman"/>
                <w:color w:val="000000"/>
                <w:sz w:val="14"/>
                <w:szCs w:val="14"/>
                <w:lang w:eastAsia="sk-SK"/>
              </w:rPr>
            </w:pPr>
            <w:r w:rsidRPr="0034297C">
              <w:rPr>
                <w:rFonts w:ascii="Times New Roman" w:hAnsi="Times New Roman" w:cs="Times New Roman"/>
                <w:color w:val="000000"/>
                <w:sz w:val="14"/>
                <w:szCs w:val="14"/>
                <w:lang w:eastAsia="sk-SK"/>
              </w:rPr>
              <w:t xml:space="preserve">                     630 tovary a služby</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75 488 833</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70 091 857</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65 930 450</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67 427 380</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63 885 281</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65 172 575</w:t>
            </w:r>
          </w:p>
        </w:tc>
        <w:tc>
          <w:tcPr>
            <w:tcW w:w="993"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65 173 308</w:t>
            </w:r>
          </w:p>
        </w:tc>
      </w:tr>
      <w:tr>
        <w:tblPrEx>
          <w:tblW w:w="9085"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34297C" w:rsidP="006338E5">
            <w:pPr>
              <w:bidi w:val="0"/>
              <w:rPr>
                <w:rFonts w:ascii="Times New Roman" w:hAnsi="Times New Roman" w:cs="Times New Roman"/>
                <w:color w:val="000000"/>
                <w:sz w:val="14"/>
                <w:szCs w:val="14"/>
                <w:lang w:eastAsia="sk-SK"/>
              </w:rPr>
            </w:pPr>
            <w:r w:rsidRPr="0034297C">
              <w:rPr>
                <w:rFonts w:ascii="Times New Roman" w:hAnsi="Times New Roman" w:cs="Times New Roman"/>
                <w:color w:val="000000"/>
                <w:sz w:val="14"/>
                <w:szCs w:val="14"/>
                <w:lang w:eastAsia="sk-SK"/>
              </w:rPr>
              <w:t xml:space="preserve">                     640 bežné transfery</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15 144 498</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15 164 244</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16 831 725</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15 606 289</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16 418 644</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15 204 625</w:t>
            </w:r>
          </w:p>
        </w:tc>
        <w:tc>
          <w:tcPr>
            <w:tcW w:w="993"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15 557 138</w:t>
            </w:r>
          </w:p>
        </w:tc>
      </w:tr>
      <w:tr>
        <w:tblPrEx>
          <w:tblW w:w="9085"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34297C" w:rsidP="006338E5">
            <w:pPr>
              <w:bidi w:val="0"/>
              <w:rPr>
                <w:rFonts w:ascii="Times New Roman" w:hAnsi="Times New Roman" w:cs="Times New Roman"/>
                <w:color w:val="000000"/>
                <w:sz w:val="14"/>
                <w:szCs w:val="14"/>
                <w:lang w:eastAsia="sk-SK"/>
              </w:rPr>
            </w:pPr>
            <w:r w:rsidRPr="0034297C">
              <w:rPr>
                <w:rFonts w:ascii="Times New Roman" w:hAnsi="Times New Roman" w:cs="Times New Roman"/>
                <w:color w:val="000000"/>
                <w:sz w:val="14"/>
                <w:szCs w:val="14"/>
                <w:lang w:eastAsia="sk-SK"/>
              </w:rPr>
              <w:t xml:space="preserve">                kapitálové výdavky 700</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2 182 482</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2 847 591</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14 073 000</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13 823 000</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18 123 000</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21 023 000</w:t>
            </w:r>
          </w:p>
        </w:tc>
        <w:tc>
          <w:tcPr>
            <w:tcW w:w="993"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color w:val="000000"/>
                <w:sz w:val="14"/>
                <w:szCs w:val="14"/>
              </w:rPr>
            </w:pPr>
            <w:r w:rsidRPr="0034297C">
              <w:rPr>
                <w:rFonts w:ascii="Times New Roman" w:hAnsi="Times New Roman" w:cs="Times New Roman"/>
                <w:color w:val="000000"/>
                <w:sz w:val="14"/>
                <w:szCs w:val="14"/>
              </w:rPr>
              <w:t>10 223 000</w:t>
            </w:r>
          </w:p>
        </w:tc>
      </w:tr>
      <w:tr>
        <w:tblPrEx>
          <w:tblW w:w="9085" w:type="dxa"/>
          <w:tblInd w:w="57" w:type="dxa"/>
          <w:tblLayout w:type="fixed"/>
          <w:tblCellMar>
            <w:left w:w="70" w:type="dxa"/>
            <w:right w:w="70" w:type="dxa"/>
          </w:tblCellMar>
          <w:tblLook w:val="04A0"/>
        </w:tblPrEx>
        <w:trPr>
          <w:trHeight w:val="261"/>
        </w:trPr>
        <w:tc>
          <w:tcPr>
            <w:tcW w:w="2140" w:type="dxa"/>
            <w:tcBorders>
              <w:top w:val="nil"/>
              <w:left w:val="single" w:sz="4" w:space="0" w:color="auto"/>
              <w:bottom w:val="single" w:sz="4" w:space="0" w:color="auto"/>
              <w:right w:val="single" w:sz="4" w:space="0" w:color="auto"/>
            </w:tcBorders>
            <w:noWrap/>
            <w:textDirection w:val="lrTb"/>
            <w:vAlign w:val="center"/>
            <w:hideMark/>
          </w:tcPr>
          <w:p w:rsidR="009D2A34" w:rsidRPr="0034297C" w:rsidP="006338E5">
            <w:pPr>
              <w:bidi w:val="0"/>
              <w:rPr>
                <w:rFonts w:ascii="Times New Roman" w:hAnsi="Times New Roman" w:cs="Times New Roman"/>
                <w:b/>
                <w:color w:val="000000"/>
                <w:sz w:val="14"/>
                <w:szCs w:val="14"/>
                <w:lang w:eastAsia="sk-SK"/>
              </w:rPr>
            </w:pPr>
            <w:r w:rsidRPr="0034297C">
              <w:rPr>
                <w:rFonts w:ascii="Times New Roman" w:hAnsi="Times New Roman" w:cs="Times New Roman"/>
                <w:b/>
                <w:color w:val="000000"/>
                <w:sz w:val="14"/>
                <w:szCs w:val="14"/>
                <w:lang w:eastAsia="sk-SK"/>
              </w:rPr>
              <w:t xml:space="preserve">presun z minulých rokov </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b/>
                <w:color w:val="000000"/>
                <w:sz w:val="14"/>
                <w:szCs w:val="14"/>
              </w:rPr>
            </w:pPr>
            <w:r w:rsidRPr="0034297C">
              <w:rPr>
                <w:rFonts w:ascii="Times New Roman" w:hAnsi="Times New Roman" w:cs="Times New Roman"/>
                <w:b/>
                <w:color w:val="000000"/>
                <w:sz w:val="14"/>
                <w:szCs w:val="14"/>
              </w:rPr>
              <w:t>773 181</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b/>
                <w:color w:val="000000"/>
                <w:sz w:val="14"/>
                <w:szCs w:val="14"/>
              </w:rPr>
            </w:pPr>
            <w:r w:rsidRPr="0034297C">
              <w:rPr>
                <w:rFonts w:ascii="Times New Roman" w:hAnsi="Times New Roman" w:cs="Times New Roman"/>
                <w:b/>
                <w:color w:val="000000"/>
                <w:sz w:val="14"/>
                <w:szCs w:val="14"/>
              </w:rPr>
              <w:t>1 244 209</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b/>
                <w:color w:val="000000"/>
                <w:sz w:val="14"/>
                <w:szCs w:val="14"/>
              </w:rPr>
            </w:pPr>
            <w:r w:rsidRPr="0034297C">
              <w:rPr>
                <w:rFonts w:ascii="Times New Roman" w:hAnsi="Times New Roman" w:cs="Times New Roman"/>
                <w:b/>
                <w:color w:val="000000"/>
                <w:sz w:val="14"/>
                <w:szCs w:val="14"/>
                <w:lang w:eastAsia="sk-SK"/>
              </w:rPr>
              <w:t> 0</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b/>
                <w:color w:val="000000"/>
                <w:sz w:val="14"/>
                <w:szCs w:val="14"/>
              </w:rPr>
            </w:pPr>
            <w:r w:rsidRPr="0034297C">
              <w:rPr>
                <w:rFonts w:ascii="Times New Roman" w:hAnsi="Times New Roman" w:cs="Times New Roman"/>
                <w:b/>
                <w:color w:val="000000"/>
                <w:sz w:val="14"/>
                <w:szCs w:val="14"/>
              </w:rPr>
              <w:t>6 104 288</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b/>
                <w:color w:val="000000"/>
                <w:sz w:val="14"/>
                <w:szCs w:val="14"/>
                <w:lang w:eastAsia="sk-SK"/>
              </w:rPr>
            </w:pPr>
            <w:r w:rsidRPr="0034297C">
              <w:rPr>
                <w:rFonts w:ascii="Times New Roman" w:hAnsi="Times New Roman" w:cs="Times New Roman"/>
                <w:b/>
                <w:color w:val="000000"/>
                <w:sz w:val="14"/>
                <w:szCs w:val="14"/>
                <w:lang w:eastAsia="sk-SK"/>
              </w:rPr>
              <w:t> 0</w:t>
            </w:r>
          </w:p>
        </w:tc>
        <w:tc>
          <w:tcPr>
            <w:tcW w:w="992"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b/>
                <w:color w:val="000000"/>
                <w:sz w:val="14"/>
                <w:szCs w:val="14"/>
                <w:lang w:eastAsia="sk-SK"/>
              </w:rPr>
            </w:pPr>
            <w:r w:rsidRPr="0034297C">
              <w:rPr>
                <w:rFonts w:ascii="Times New Roman" w:hAnsi="Times New Roman" w:cs="Times New Roman"/>
                <w:b/>
                <w:color w:val="000000"/>
                <w:sz w:val="14"/>
                <w:szCs w:val="14"/>
                <w:lang w:eastAsia="sk-SK"/>
              </w:rPr>
              <w:t> 0</w:t>
            </w:r>
          </w:p>
        </w:tc>
        <w:tc>
          <w:tcPr>
            <w:tcW w:w="993" w:type="dxa"/>
            <w:tcBorders>
              <w:top w:val="nil"/>
              <w:left w:val="nil"/>
              <w:bottom w:val="single" w:sz="4" w:space="0" w:color="auto"/>
              <w:right w:val="single" w:sz="4" w:space="0" w:color="auto"/>
            </w:tcBorders>
            <w:noWrap/>
            <w:textDirection w:val="lrTb"/>
            <w:vAlign w:val="center"/>
            <w:hideMark/>
          </w:tcPr>
          <w:p w:rsidR="009D2A34" w:rsidRPr="0034297C" w:rsidP="006338E5">
            <w:pPr>
              <w:bidi w:val="0"/>
              <w:jc w:val="right"/>
              <w:rPr>
                <w:rFonts w:ascii="Times New Roman" w:hAnsi="Times New Roman" w:cs="Times New Roman"/>
                <w:b/>
                <w:color w:val="000000"/>
                <w:sz w:val="14"/>
                <w:szCs w:val="14"/>
                <w:lang w:eastAsia="sk-SK"/>
              </w:rPr>
            </w:pPr>
            <w:r w:rsidRPr="0034297C">
              <w:rPr>
                <w:rFonts w:ascii="Times New Roman" w:hAnsi="Times New Roman" w:cs="Times New Roman"/>
                <w:b/>
                <w:color w:val="000000"/>
                <w:sz w:val="14"/>
                <w:szCs w:val="14"/>
                <w:lang w:eastAsia="sk-SK"/>
              </w:rPr>
              <w:t> 0</w:t>
            </w:r>
          </w:p>
        </w:tc>
      </w:tr>
    </w:tbl>
    <w:p w:rsidR="009D2A34" w:rsidRPr="007E0D85" w:rsidP="009D2A34">
      <w:pPr>
        <w:bidi w:val="0"/>
        <w:rPr>
          <w:rFonts w:ascii="Times New Roman" w:hAnsi="Times New Roman" w:cs="Times New Roman"/>
          <w:highlight w:val="yellow"/>
        </w:rPr>
      </w:pPr>
    </w:p>
    <w:p w:rsidR="009D2A34" w:rsidRPr="0034297C" w:rsidP="009D2A34">
      <w:pPr>
        <w:bidi w:val="0"/>
        <w:ind w:firstLine="708"/>
        <w:jc w:val="both"/>
        <w:rPr>
          <w:rFonts w:ascii="Times New Roman" w:hAnsi="Times New Roman" w:cs="Times New Roman"/>
        </w:rPr>
      </w:pPr>
      <w:r w:rsidRPr="0034297C">
        <w:rPr>
          <w:rFonts w:ascii="Times New Roman" w:hAnsi="Times New Roman" w:cs="Times New Roman"/>
        </w:rPr>
        <w:t>Celkové výdavky kapitoly na rok 2013 sa rozpočtujú v sume 31</w:t>
      </w:r>
      <w:r>
        <w:rPr>
          <w:rFonts w:ascii="Times New Roman" w:hAnsi="Times New Roman" w:cs="Times New Roman"/>
        </w:rPr>
        <w:t>4</w:t>
      </w:r>
      <w:r w:rsidRPr="0034297C">
        <w:rPr>
          <w:rFonts w:ascii="Times New Roman" w:hAnsi="Times New Roman" w:cs="Times New Roman"/>
        </w:rPr>
        <w:t xml:space="preserve"> mil. eur, čo predstavuje oproti schválenému rozpočtu roku 2012 nárast o sumu </w:t>
      </w:r>
      <w:r>
        <w:rPr>
          <w:rFonts w:ascii="Times New Roman" w:hAnsi="Times New Roman" w:cs="Times New Roman"/>
        </w:rPr>
        <w:t>11</w:t>
      </w:r>
      <w:r w:rsidRPr="0034297C">
        <w:rPr>
          <w:rFonts w:ascii="Times New Roman" w:hAnsi="Times New Roman" w:cs="Times New Roman"/>
        </w:rPr>
        <w:t>,3 mil. eur (zvýšenie o </w:t>
      </w:r>
      <w:r>
        <w:rPr>
          <w:rFonts w:ascii="Times New Roman" w:hAnsi="Times New Roman" w:cs="Times New Roman"/>
        </w:rPr>
        <w:t>3</w:t>
      </w:r>
      <w:r w:rsidRPr="0034297C">
        <w:rPr>
          <w:rFonts w:ascii="Times New Roman" w:hAnsi="Times New Roman" w:cs="Times New Roman"/>
        </w:rPr>
        <w:t>,</w:t>
      </w:r>
      <w:r>
        <w:rPr>
          <w:rFonts w:ascii="Times New Roman" w:hAnsi="Times New Roman" w:cs="Times New Roman"/>
        </w:rPr>
        <w:t>74</w:t>
      </w:r>
      <w:r w:rsidRPr="0034297C">
        <w:rPr>
          <w:rFonts w:ascii="Times New Roman" w:hAnsi="Times New Roman" w:cs="Times New Roman"/>
        </w:rPr>
        <w:t xml:space="preserve"> %). </w:t>
      </w:r>
    </w:p>
    <w:p w:rsidR="009D2A34" w:rsidRPr="0034297C" w:rsidP="009D2A34">
      <w:pPr>
        <w:bidi w:val="0"/>
        <w:jc w:val="both"/>
        <w:rPr>
          <w:rFonts w:ascii="Times New Roman" w:hAnsi="Times New Roman" w:cs="Times New Roman"/>
        </w:rPr>
      </w:pPr>
    </w:p>
    <w:p w:rsidR="009D2A34" w:rsidRPr="0034297C" w:rsidP="009D2A34">
      <w:pPr>
        <w:bidi w:val="0"/>
        <w:ind w:firstLine="708"/>
        <w:jc w:val="both"/>
        <w:rPr>
          <w:rFonts w:ascii="Times New Roman" w:hAnsi="Times New Roman" w:cs="Times New Roman"/>
        </w:rPr>
      </w:pPr>
      <w:r w:rsidRPr="0034297C">
        <w:rPr>
          <w:rFonts w:ascii="Times New Roman" w:hAnsi="Times New Roman" w:cs="Times New Roman"/>
        </w:rPr>
        <w:t>Osobné výdavky na rok 2013 sa rozpočtujú v sume 216 mil. eur,  čo predstavuje oproti schválenému rozpočtu roku 2012 nárast o sumu 9,74 mil. eur, t.</w:t>
      </w:r>
      <w:r w:rsidR="00953EAF">
        <w:rPr>
          <w:rFonts w:ascii="Times New Roman" w:hAnsi="Times New Roman" w:cs="Times New Roman"/>
        </w:rPr>
        <w:t xml:space="preserve"> </w:t>
      </w:r>
      <w:r w:rsidRPr="0034297C">
        <w:rPr>
          <w:rFonts w:ascii="Times New Roman" w:hAnsi="Times New Roman" w:cs="Times New Roman"/>
        </w:rPr>
        <w:t xml:space="preserve">j. o 4,73 %. Rast osobných výdavkov je spôsobený najmä zabezpečením </w:t>
      </w:r>
      <w:r w:rsidRPr="0034297C">
        <w:rPr>
          <w:rFonts w:ascii="Times New Roman" w:hAnsi="Times New Roman" w:cs="Times New Roman"/>
          <w:bCs/>
        </w:rPr>
        <w:t>finančných prostriedkov pre sudcov na úrovni ich reálne vyplácaných platových náležitostí v roku 2012 v zmysle zákona č. 120/1993 Z. z.</w:t>
      </w:r>
    </w:p>
    <w:p w:rsidR="009D2A34" w:rsidRPr="007E0D85" w:rsidP="009D2A34">
      <w:pPr>
        <w:bidi w:val="0"/>
        <w:jc w:val="both"/>
        <w:rPr>
          <w:rFonts w:ascii="Times New Roman" w:hAnsi="Times New Roman" w:cs="Times New Roman"/>
          <w:highlight w:val="yellow"/>
        </w:rPr>
      </w:pPr>
    </w:p>
    <w:p w:rsidR="009D2A34" w:rsidRPr="00F052F6" w:rsidP="009D2A34">
      <w:pPr>
        <w:bidi w:val="0"/>
        <w:ind w:firstLine="708"/>
        <w:jc w:val="both"/>
        <w:rPr>
          <w:rFonts w:ascii="Times New Roman" w:hAnsi="Times New Roman" w:cs="Times New Roman"/>
        </w:rPr>
      </w:pPr>
      <w:r w:rsidRPr="00F052F6">
        <w:rPr>
          <w:rFonts w:ascii="Times New Roman" w:hAnsi="Times New Roman" w:cs="Times New Roman"/>
        </w:rPr>
        <w:t>Tovary a služby na rok 2013 sa rozpočtujú v sume 63,9 mil. eur, čo predstavuje oproti schválenému rozpočtu roku 2012 pokles o sumu 2,05 mil. eur, t.</w:t>
      </w:r>
      <w:r w:rsidR="00953EAF">
        <w:rPr>
          <w:rFonts w:ascii="Times New Roman" w:hAnsi="Times New Roman" w:cs="Times New Roman"/>
        </w:rPr>
        <w:t xml:space="preserve"> </w:t>
      </w:r>
      <w:r w:rsidRPr="00F052F6">
        <w:rPr>
          <w:rFonts w:ascii="Times New Roman" w:hAnsi="Times New Roman" w:cs="Times New Roman"/>
        </w:rPr>
        <w:t xml:space="preserve">j. o 3,10 %, čo je spôsobené zohľadnením potrebných prostriedkov na tovary a služby pre nové kapacity väzenstva. </w:t>
      </w:r>
    </w:p>
    <w:p w:rsidR="009D2A34" w:rsidRPr="00F052F6" w:rsidP="009D2A34">
      <w:pPr>
        <w:bidi w:val="0"/>
        <w:jc w:val="both"/>
        <w:rPr>
          <w:rFonts w:ascii="Times New Roman" w:hAnsi="Times New Roman" w:cs="Times New Roman"/>
        </w:rPr>
      </w:pPr>
    </w:p>
    <w:p w:rsidR="009D2A34" w:rsidRPr="00F052F6" w:rsidP="009D2A34">
      <w:pPr>
        <w:bidi w:val="0"/>
        <w:ind w:firstLine="708"/>
        <w:jc w:val="both"/>
        <w:rPr>
          <w:rFonts w:ascii="Times New Roman" w:hAnsi="Times New Roman" w:cs="Times New Roman"/>
        </w:rPr>
      </w:pPr>
      <w:r w:rsidRPr="00F052F6">
        <w:rPr>
          <w:rFonts w:ascii="Times New Roman" w:hAnsi="Times New Roman" w:cs="Times New Roman"/>
        </w:rPr>
        <w:t>Bežné transfery na rok 2013 sa rozpočtujú v sume 16,4 mil. eur, čo predstavuje oproti schválenému rozpočtu roku 2012 pokles o sumu 413 tis. eur, t.</w:t>
      </w:r>
      <w:r w:rsidR="00953EAF">
        <w:rPr>
          <w:rFonts w:ascii="Times New Roman" w:hAnsi="Times New Roman" w:cs="Times New Roman"/>
        </w:rPr>
        <w:t xml:space="preserve"> </w:t>
      </w:r>
      <w:r w:rsidRPr="00F052F6">
        <w:rPr>
          <w:rFonts w:ascii="Times New Roman" w:hAnsi="Times New Roman" w:cs="Times New Roman"/>
        </w:rPr>
        <w:t xml:space="preserve">j. o 2,45 %. </w:t>
      </w:r>
    </w:p>
    <w:p w:rsidR="009D2A34" w:rsidRPr="00F052F6" w:rsidP="009D2A34">
      <w:pPr>
        <w:bidi w:val="0"/>
        <w:jc w:val="both"/>
        <w:rPr>
          <w:rFonts w:ascii="Times New Roman" w:hAnsi="Times New Roman" w:cs="Times New Roman"/>
        </w:rPr>
      </w:pPr>
    </w:p>
    <w:p w:rsidR="009D2A34" w:rsidRPr="00F052F6" w:rsidP="009D2A34">
      <w:pPr>
        <w:bidi w:val="0"/>
        <w:ind w:firstLine="708"/>
        <w:jc w:val="both"/>
        <w:rPr>
          <w:rFonts w:ascii="Times New Roman" w:hAnsi="Times New Roman" w:cs="Times New Roman"/>
        </w:rPr>
      </w:pPr>
      <w:r w:rsidRPr="00F052F6">
        <w:rPr>
          <w:rFonts w:ascii="Times New Roman" w:hAnsi="Times New Roman" w:cs="Times New Roman"/>
        </w:rPr>
        <w:t>Kapitálové výdavky na rok 2013 sa rozpočtujú v sume 18,1 mil. eur, čo predstavuje oproti schválenému rozpočtu roku 2012 nárast o sumu 4,05 mil. eur, t.</w:t>
      </w:r>
      <w:r w:rsidR="00953EAF">
        <w:rPr>
          <w:rFonts w:ascii="Times New Roman" w:hAnsi="Times New Roman" w:cs="Times New Roman"/>
        </w:rPr>
        <w:t xml:space="preserve"> </w:t>
      </w:r>
      <w:r w:rsidRPr="00F052F6">
        <w:rPr>
          <w:rFonts w:ascii="Times New Roman" w:hAnsi="Times New Roman" w:cs="Times New Roman"/>
        </w:rPr>
        <w:t>j. o 28,8 %. Uvedený nárast je spôsobený rastom kapitálových výdavkov na rekonštrukciu piatich ústavov väzenstva.</w:t>
      </w:r>
    </w:p>
    <w:p w:rsidR="009D2A34" w:rsidRPr="00F052F6" w:rsidP="009D2A34">
      <w:pPr>
        <w:bidi w:val="0"/>
        <w:rPr>
          <w:rFonts w:ascii="Times New Roman" w:hAnsi="Times New Roman" w:cs="Times New Roman"/>
        </w:rPr>
      </w:pPr>
    </w:p>
    <w:p w:rsidR="009D2A34" w:rsidRPr="00F052F6" w:rsidP="009D2A34">
      <w:pPr>
        <w:bidi w:val="0"/>
        <w:ind w:firstLine="708"/>
        <w:rPr>
          <w:rFonts w:ascii="Times New Roman" w:hAnsi="Times New Roman" w:cs="Times New Roman"/>
        </w:rPr>
      </w:pPr>
      <w:r w:rsidRPr="00F052F6">
        <w:rPr>
          <w:rFonts w:ascii="Times New Roman" w:hAnsi="Times New Roman" w:cs="Times New Roman"/>
        </w:rPr>
        <w:t>Rozpočet ministerstva spravodlivosti sa skladá z nasledovných oblastí.</w:t>
      </w:r>
    </w:p>
    <w:p w:rsidR="009D2A34" w:rsidRPr="007E0D85" w:rsidP="009D2A34">
      <w:pPr>
        <w:bidi w:val="0"/>
        <w:rPr>
          <w:rFonts w:ascii="Times New Roman" w:hAnsi="Times New Roman" w:cs="Times New Roman"/>
          <w:highlight w:val="yellow"/>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3"/>
        <w:gridCol w:w="991"/>
        <w:gridCol w:w="993"/>
      </w:tblGrid>
      <w:tr>
        <w:tblPrEx>
          <w:tblW w:w="9087" w:type="dxa"/>
          <w:tblInd w:w="55" w:type="dxa"/>
          <w:tblLayout w:type="fixed"/>
          <w:tblCellMar>
            <w:left w:w="70" w:type="dxa"/>
            <w:right w:w="70" w:type="dxa"/>
          </w:tblCellMar>
          <w:tblLook w:val="04A0"/>
        </w:tblPrEx>
        <w:trPr>
          <w:trHeight w:val="261"/>
        </w:trPr>
        <w:tc>
          <w:tcPr>
            <w:tcW w:w="214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F052F6" w:rsidP="006338E5">
            <w:pPr>
              <w:bidi w:val="0"/>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 v eurách</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052F6" w:rsidP="006338E5">
            <w:pPr>
              <w:bidi w:val="0"/>
              <w:jc w:val="center"/>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2010 S</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052F6" w:rsidP="006338E5">
            <w:pPr>
              <w:bidi w:val="0"/>
              <w:jc w:val="center"/>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2011 S</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052F6" w:rsidP="006338E5">
            <w:pPr>
              <w:bidi w:val="0"/>
              <w:jc w:val="center"/>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2012 R</w:t>
            </w:r>
          </w:p>
        </w:tc>
        <w:tc>
          <w:tcPr>
            <w:tcW w:w="99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052F6" w:rsidP="006338E5">
            <w:pPr>
              <w:bidi w:val="0"/>
              <w:jc w:val="center"/>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2012 OS</w:t>
            </w:r>
          </w:p>
        </w:tc>
        <w:tc>
          <w:tcPr>
            <w:tcW w:w="99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052F6" w:rsidP="00953EAF">
            <w:pPr>
              <w:bidi w:val="0"/>
              <w:jc w:val="center"/>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 xml:space="preserve">2013 </w:t>
            </w:r>
            <w:r w:rsidR="00953EAF">
              <w:rPr>
                <w:rFonts w:ascii="Times New Roman" w:hAnsi="Times New Roman" w:cs="Times New Roman"/>
                <w:b/>
                <w:bCs/>
                <w:color w:val="000000"/>
                <w:sz w:val="14"/>
                <w:szCs w:val="14"/>
                <w:lang w:eastAsia="sk-SK"/>
              </w:rPr>
              <w:t>N</w:t>
            </w:r>
          </w:p>
        </w:tc>
        <w:tc>
          <w:tcPr>
            <w:tcW w:w="99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052F6" w:rsidP="006338E5">
            <w:pPr>
              <w:bidi w:val="0"/>
              <w:jc w:val="center"/>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2014 N</w:t>
            </w:r>
          </w:p>
        </w:tc>
        <w:tc>
          <w:tcPr>
            <w:tcW w:w="99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F052F6" w:rsidP="006338E5">
            <w:pPr>
              <w:bidi w:val="0"/>
              <w:jc w:val="center"/>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2015 N</w:t>
            </w:r>
          </w:p>
        </w:tc>
      </w:tr>
      <w:tr>
        <w:tblPrEx>
          <w:tblW w:w="9087" w:type="dxa"/>
          <w:tblInd w:w="55" w:type="dxa"/>
          <w:tblLayout w:type="fixed"/>
          <w:tblCellMar>
            <w:left w:w="70" w:type="dxa"/>
            <w:right w:w="70" w:type="dxa"/>
          </w:tblCellMar>
          <w:tblLook w:val="04A0"/>
        </w:tblPrEx>
        <w:trPr>
          <w:trHeight w:val="261"/>
        </w:trPr>
        <w:tc>
          <w:tcPr>
            <w:tcW w:w="21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F052F6" w:rsidP="006338E5">
            <w:pPr>
              <w:bidi w:val="0"/>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Ministerstvo spravodlivosti SR</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F052F6" w:rsidP="006338E5">
            <w:pPr>
              <w:bidi w:val="0"/>
              <w:jc w:val="right"/>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302 246 622</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F052F6" w:rsidP="006338E5">
            <w:pPr>
              <w:bidi w:val="0"/>
              <w:jc w:val="right"/>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294 249 448</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F052F6" w:rsidP="006338E5">
            <w:pPr>
              <w:bidi w:val="0"/>
              <w:jc w:val="right"/>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302 833 796</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F052F6" w:rsidP="006338E5">
            <w:pPr>
              <w:bidi w:val="0"/>
              <w:jc w:val="right"/>
              <w:rPr>
                <w:rFonts w:ascii="Times New Roman" w:hAnsi="Times New Roman" w:cs="Times New Roman"/>
                <w:b/>
                <w:bCs/>
                <w:color w:val="000000"/>
                <w:sz w:val="14"/>
                <w:szCs w:val="14"/>
                <w:lang w:eastAsia="sk-SK"/>
              </w:rPr>
            </w:pPr>
            <w:r w:rsidRPr="00F052F6">
              <w:rPr>
                <w:rFonts w:ascii="Times New Roman" w:hAnsi="Times New Roman" w:cs="Times New Roman"/>
                <w:b/>
                <w:bCs/>
                <w:color w:val="000000"/>
                <w:sz w:val="14"/>
                <w:szCs w:val="14"/>
                <w:lang w:eastAsia="sk-SK"/>
              </w:rPr>
              <w:t>316 533 149</w:t>
            </w:r>
          </w:p>
        </w:tc>
        <w:tc>
          <w:tcPr>
            <w:tcW w:w="993"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F052F6" w:rsidP="006338E5">
            <w:pPr>
              <w:bidi w:val="0"/>
              <w:jc w:val="right"/>
              <w:rPr>
                <w:rFonts w:ascii="Times New Roman" w:hAnsi="Times New Roman" w:cs="Times New Roman"/>
                <w:b/>
                <w:bCs/>
                <w:color w:val="000000"/>
                <w:sz w:val="14"/>
                <w:szCs w:val="14"/>
              </w:rPr>
            </w:pPr>
            <w:r w:rsidRPr="00F052F6">
              <w:rPr>
                <w:rFonts w:ascii="Times New Roman" w:hAnsi="Times New Roman" w:cs="Times New Roman"/>
                <w:b/>
                <w:bCs/>
                <w:color w:val="000000"/>
                <w:sz w:val="14"/>
                <w:szCs w:val="14"/>
              </w:rPr>
              <w:t>314 166 599</w:t>
            </w:r>
          </w:p>
        </w:tc>
        <w:tc>
          <w:tcPr>
            <w:tcW w:w="99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F052F6" w:rsidP="006338E5">
            <w:pPr>
              <w:bidi w:val="0"/>
              <w:jc w:val="right"/>
              <w:rPr>
                <w:rFonts w:ascii="Times New Roman" w:hAnsi="Times New Roman" w:cs="Times New Roman"/>
                <w:b/>
                <w:bCs/>
                <w:color w:val="000000"/>
                <w:sz w:val="14"/>
                <w:szCs w:val="14"/>
              </w:rPr>
            </w:pPr>
            <w:r w:rsidRPr="00F052F6">
              <w:rPr>
                <w:rFonts w:ascii="Times New Roman" w:hAnsi="Times New Roman" w:cs="Times New Roman"/>
                <w:b/>
                <w:bCs/>
                <w:color w:val="000000"/>
                <w:sz w:val="14"/>
                <w:szCs w:val="14"/>
              </w:rPr>
              <w:t>322 459 901</w:t>
            </w:r>
          </w:p>
        </w:tc>
        <w:tc>
          <w:tcPr>
            <w:tcW w:w="993"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F052F6" w:rsidP="006338E5">
            <w:pPr>
              <w:bidi w:val="0"/>
              <w:jc w:val="right"/>
              <w:rPr>
                <w:rFonts w:ascii="Times New Roman" w:hAnsi="Times New Roman" w:cs="Times New Roman"/>
                <w:b/>
                <w:bCs/>
                <w:color w:val="000000"/>
                <w:sz w:val="14"/>
                <w:szCs w:val="14"/>
              </w:rPr>
            </w:pPr>
            <w:r w:rsidRPr="00F052F6">
              <w:rPr>
                <w:rFonts w:ascii="Times New Roman" w:hAnsi="Times New Roman" w:cs="Times New Roman"/>
                <w:b/>
                <w:bCs/>
                <w:color w:val="000000"/>
                <w:sz w:val="14"/>
                <w:szCs w:val="14"/>
              </w:rPr>
              <w:t>314 885 736</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9D2A34" w:rsidRPr="00F052F6" w:rsidP="006338E5">
            <w:pPr>
              <w:bidi w:val="0"/>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Väzenstvo</w:t>
            </w:r>
          </w:p>
        </w:tc>
        <w:tc>
          <w:tcPr>
            <w:tcW w:w="992"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136 240 017</w:t>
            </w:r>
          </w:p>
        </w:tc>
        <w:tc>
          <w:tcPr>
            <w:tcW w:w="992"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139 146 855</w:t>
            </w:r>
          </w:p>
        </w:tc>
        <w:tc>
          <w:tcPr>
            <w:tcW w:w="992"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146 758 996</w:t>
            </w:r>
          </w:p>
        </w:tc>
        <w:tc>
          <w:tcPr>
            <w:tcW w:w="992" w:type="dxa"/>
            <w:tcBorders>
              <w:top w:val="nil"/>
              <w:left w:val="nil"/>
              <w:bottom w:val="nil"/>
              <w:right w:val="nil"/>
            </w:tcBorders>
            <w:noWrap/>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147 392 872</w:t>
            </w:r>
          </w:p>
        </w:tc>
        <w:tc>
          <w:tcPr>
            <w:tcW w:w="993" w:type="dxa"/>
            <w:tcBorders>
              <w:top w:val="nil"/>
              <w:left w:val="single" w:sz="4" w:space="0" w:color="auto"/>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154 583 604</w:t>
            </w:r>
          </w:p>
        </w:tc>
        <w:tc>
          <w:tcPr>
            <w:tcW w:w="991"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160 630 851</w:t>
            </w:r>
          </w:p>
        </w:tc>
        <w:tc>
          <w:tcPr>
            <w:tcW w:w="993"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150 184 097</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9D2A34" w:rsidRPr="00F052F6" w:rsidP="006338E5">
            <w:pPr>
              <w:bidi w:val="0"/>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Súdnictvo</w:t>
            </w:r>
          </w:p>
        </w:tc>
        <w:tc>
          <w:tcPr>
            <w:tcW w:w="992" w:type="dxa"/>
            <w:tcBorders>
              <w:top w:val="nil"/>
              <w:left w:val="nil"/>
              <w:bottom w:val="single" w:sz="4" w:space="0" w:color="auto"/>
              <w:right w:val="single" w:sz="4" w:space="0" w:color="auto"/>
            </w:tcBorders>
            <w:noWrap/>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155 600 617</w:t>
            </w:r>
          </w:p>
        </w:tc>
        <w:tc>
          <w:tcPr>
            <w:tcW w:w="992" w:type="dxa"/>
            <w:tcBorders>
              <w:top w:val="nil"/>
              <w:left w:val="nil"/>
              <w:bottom w:val="single" w:sz="4" w:space="0" w:color="auto"/>
              <w:right w:val="single" w:sz="4" w:space="0" w:color="auto"/>
            </w:tcBorders>
            <w:noWrap/>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145 210 292</w:t>
            </w:r>
          </w:p>
        </w:tc>
        <w:tc>
          <w:tcPr>
            <w:tcW w:w="992" w:type="dxa"/>
            <w:tcBorders>
              <w:top w:val="nil"/>
              <w:left w:val="nil"/>
              <w:bottom w:val="single" w:sz="4" w:space="0" w:color="auto"/>
              <w:right w:val="single" w:sz="4" w:space="0" w:color="auto"/>
            </w:tcBorders>
            <w:noWrap/>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146 476 367</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159 131 692</w:t>
            </w:r>
          </w:p>
        </w:tc>
        <w:tc>
          <w:tcPr>
            <w:tcW w:w="993" w:type="dxa"/>
            <w:tcBorders>
              <w:top w:val="nil"/>
              <w:left w:val="nil"/>
              <w:bottom w:val="single" w:sz="4" w:space="0" w:color="auto"/>
              <w:right w:val="single" w:sz="4" w:space="0" w:color="auto"/>
            </w:tcBorders>
            <w:noWrap/>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150 414 654</w:t>
            </w:r>
          </w:p>
        </w:tc>
        <w:tc>
          <w:tcPr>
            <w:tcW w:w="991" w:type="dxa"/>
            <w:tcBorders>
              <w:top w:val="nil"/>
              <w:left w:val="nil"/>
              <w:bottom w:val="single" w:sz="4" w:space="0" w:color="auto"/>
              <w:right w:val="single" w:sz="4" w:space="0" w:color="auto"/>
            </w:tcBorders>
            <w:noWrap/>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152 652 637</w:t>
            </w:r>
          </w:p>
        </w:tc>
        <w:tc>
          <w:tcPr>
            <w:tcW w:w="993" w:type="dxa"/>
            <w:tcBorders>
              <w:top w:val="nil"/>
              <w:left w:val="nil"/>
              <w:bottom w:val="single" w:sz="4" w:space="0" w:color="auto"/>
              <w:right w:val="single" w:sz="4" w:space="0" w:color="auto"/>
            </w:tcBorders>
            <w:noWrap/>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155 512 644</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9D2A34" w:rsidRPr="00F052F6" w:rsidP="006338E5">
            <w:pPr>
              <w:bidi w:val="0"/>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riadenie, kontrola a podpora</w:t>
            </w:r>
          </w:p>
        </w:tc>
        <w:tc>
          <w:tcPr>
            <w:tcW w:w="992"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10 213 454</w:t>
            </w:r>
          </w:p>
        </w:tc>
        <w:tc>
          <w:tcPr>
            <w:tcW w:w="992"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9 874 768</w:t>
            </w:r>
          </w:p>
        </w:tc>
        <w:tc>
          <w:tcPr>
            <w:tcW w:w="992"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9 567 133</w:t>
            </w:r>
          </w:p>
        </w:tc>
        <w:tc>
          <w:tcPr>
            <w:tcW w:w="992"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9 955 585</w:t>
            </w:r>
          </w:p>
        </w:tc>
        <w:tc>
          <w:tcPr>
            <w:tcW w:w="993"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9 138 541</w:t>
            </w:r>
          </w:p>
        </w:tc>
        <w:tc>
          <w:tcPr>
            <w:tcW w:w="991"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9 148 113</w:t>
            </w:r>
          </w:p>
        </w:tc>
        <w:tc>
          <w:tcPr>
            <w:tcW w:w="993"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9 160 695</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9D2A34" w:rsidRPr="00F052F6" w:rsidP="006338E5">
            <w:pPr>
              <w:bidi w:val="0"/>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medzirezortné programy</w:t>
            </w:r>
          </w:p>
        </w:tc>
        <w:tc>
          <w:tcPr>
            <w:tcW w:w="992"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192 534</w:t>
            </w:r>
          </w:p>
        </w:tc>
        <w:tc>
          <w:tcPr>
            <w:tcW w:w="992"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17 533</w:t>
            </w:r>
          </w:p>
        </w:tc>
        <w:tc>
          <w:tcPr>
            <w:tcW w:w="992"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31 300</w:t>
            </w:r>
          </w:p>
        </w:tc>
        <w:tc>
          <w:tcPr>
            <w:tcW w:w="992"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lang w:eastAsia="sk-SK"/>
              </w:rPr>
            </w:pPr>
            <w:r w:rsidRPr="00F052F6">
              <w:rPr>
                <w:rFonts w:ascii="Times New Roman" w:hAnsi="Times New Roman" w:cs="Times New Roman"/>
                <w:color w:val="000000"/>
                <w:sz w:val="14"/>
                <w:szCs w:val="14"/>
                <w:lang w:eastAsia="sk-SK"/>
              </w:rPr>
              <w:t>53 000</w:t>
            </w:r>
          </w:p>
        </w:tc>
        <w:tc>
          <w:tcPr>
            <w:tcW w:w="993"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29 800</w:t>
            </w:r>
          </w:p>
        </w:tc>
        <w:tc>
          <w:tcPr>
            <w:tcW w:w="991"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28 300</w:t>
            </w:r>
          </w:p>
        </w:tc>
        <w:tc>
          <w:tcPr>
            <w:tcW w:w="993" w:type="dxa"/>
            <w:tcBorders>
              <w:top w:val="nil"/>
              <w:left w:val="nil"/>
              <w:bottom w:val="single" w:sz="4" w:space="0" w:color="auto"/>
              <w:right w:val="single" w:sz="4" w:space="0" w:color="auto"/>
            </w:tcBorders>
            <w:textDirection w:val="lrTb"/>
            <w:vAlign w:val="center"/>
            <w:hideMark/>
          </w:tcPr>
          <w:p w:rsidR="009D2A34" w:rsidRPr="00F052F6" w:rsidP="006338E5">
            <w:pPr>
              <w:bidi w:val="0"/>
              <w:jc w:val="right"/>
              <w:rPr>
                <w:rFonts w:ascii="Times New Roman" w:hAnsi="Times New Roman" w:cs="Times New Roman"/>
                <w:color w:val="000000"/>
                <w:sz w:val="14"/>
                <w:szCs w:val="14"/>
              </w:rPr>
            </w:pPr>
            <w:r w:rsidRPr="00F052F6">
              <w:rPr>
                <w:rFonts w:ascii="Times New Roman" w:hAnsi="Times New Roman" w:cs="Times New Roman"/>
                <w:color w:val="000000"/>
                <w:sz w:val="14"/>
                <w:szCs w:val="14"/>
              </w:rPr>
              <w:t>28 300</w:t>
            </w:r>
          </w:p>
        </w:tc>
      </w:tr>
    </w:tbl>
    <w:p w:rsidR="009D2A34" w:rsidRPr="007E0D85" w:rsidP="009D2A34">
      <w:pPr>
        <w:bidi w:val="0"/>
        <w:rPr>
          <w:rFonts w:ascii="Times New Roman" w:hAnsi="Times New Roman" w:cs="Times New Roman"/>
          <w:highlight w:val="yellow"/>
        </w:rPr>
      </w:pPr>
    </w:p>
    <w:p w:rsidR="009D2A34" w:rsidRPr="00D71578" w:rsidP="009D2A34">
      <w:pPr>
        <w:bidi w:val="0"/>
        <w:jc w:val="both"/>
        <w:rPr>
          <w:rFonts w:ascii="Times New Roman" w:hAnsi="Times New Roman" w:cs="Times New Roman"/>
          <w:b/>
        </w:rPr>
      </w:pPr>
      <w:r w:rsidRPr="00D71578">
        <w:rPr>
          <w:rFonts w:ascii="Times New Roman" w:hAnsi="Times New Roman" w:cs="Times New Roman"/>
          <w:b/>
        </w:rPr>
        <w:t>Väzenstvo</w:t>
      </w:r>
    </w:p>
    <w:p w:rsidR="009D2A34" w:rsidRPr="00D71578" w:rsidP="009D2A34">
      <w:pPr>
        <w:bidi w:val="0"/>
        <w:ind w:firstLine="708"/>
        <w:jc w:val="both"/>
        <w:rPr>
          <w:rFonts w:ascii="Times New Roman" w:hAnsi="Times New Roman" w:cs="Times New Roman"/>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61"/>
        </w:trPr>
        <w:tc>
          <w:tcPr>
            <w:tcW w:w="2142"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 v eurách</w:t>
            </w:r>
          </w:p>
        </w:tc>
        <w:tc>
          <w:tcPr>
            <w:tcW w:w="99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2010 S</w:t>
            </w:r>
          </w:p>
        </w:tc>
        <w:tc>
          <w:tcPr>
            <w:tcW w:w="992" w:type="dxa"/>
            <w:tcBorders>
              <w:top w:val="single" w:sz="4" w:space="0" w:color="auto"/>
              <w:left w:val="nil"/>
              <w:bottom w:val="single" w:sz="4" w:space="0" w:color="auto"/>
              <w:right w:val="single" w:sz="4" w:space="0" w:color="auto"/>
            </w:tcBorders>
            <w:shd w:val="clear" w:color="000000" w:fill="A5A5A5"/>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2011 S</w:t>
            </w:r>
          </w:p>
        </w:tc>
        <w:tc>
          <w:tcPr>
            <w:tcW w:w="992" w:type="dxa"/>
            <w:tcBorders>
              <w:top w:val="single" w:sz="4" w:space="0" w:color="auto"/>
              <w:left w:val="nil"/>
              <w:bottom w:val="single" w:sz="4" w:space="0" w:color="auto"/>
              <w:right w:val="single" w:sz="4" w:space="0" w:color="auto"/>
            </w:tcBorders>
            <w:shd w:val="clear" w:color="000000" w:fill="A5A5A5"/>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2012 R</w:t>
            </w:r>
          </w:p>
        </w:tc>
        <w:tc>
          <w:tcPr>
            <w:tcW w:w="992" w:type="dxa"/>
            <w:tcBorders>
              <w:top w:val="single" w:sz="4" w:space="0" w:color="auto"/>
              <w:left w:val="nil"/>
              <w:bottom w:val="single" w:sz="4" w:space="0" w:color="auto"/>
              <w:right w:val="single" w:sz="4" w:space="0" w:color="auto"/>
            </w:tcBorders>
            <w:shd w:val="clear" w:color="000000" w:fill="A5A5A5"/>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2012 OS</w:t>
            </w:r>
          </w:p>
        </w:tc>
        <w:tc>
          <w:tcPr>
            <w:tcW w:w="992" w:type="dxa"/>
            <w:tcBorders>
              <w:top w:val="single" w:sz="4" w:space="0" w:color="auto"/>
              <w:left w:val="nil"/>
              <w:bottom w:val="single" w:sz="4" w:space="0" w:color="auto"/>
              <w:right w:val="single" w:sz="4" w:space="0" w:color="auto"/>
            </w:tcBorders>
            <w:shd w:val="clear" w:color="000000" w:fill="A5A5A5"/>
            <w:textDirection w:val="lrTb"/>
            <w:vAlign w:val="center"/>
            <w:hideMark/>
          </w:tcPr>
          <w:p w:rsidR="009D2A34" w:rsidRPr="00D71578" w:rsidP="00953EAF">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 xml:space="preserve">2013 </w:t>
            </w:r>
            <w:r w:rsidR="00953EAF">
              <w:rPr>
                <w:rFonts w:ascii="Times New Roman" w:hAnsi="Times New Roman" w:cs="Times New Roman"/>
                <w:b/>
                <w:bCs/>
                <w:color w:val="000000"/>
                <w:sz w:val="14"/>
                <w:szCs w:val="14"/>
                <w:lang w:eastAsia="sk-SK"/>
              </w:rPr>
              <w:t>N</w:t>
            </w:r>
          </w:p>
        </w:tc>
        <w:tc>
          <w:tcPr>
            <w:tcW w:w="992" w:type="dxa"/>
            <w:tcBorders>
              <w:top w:val="single" w:sz="4" w:space="0" w:color="auto"/>
              <w:left w:val="nil"/>
              <w:bottom w:val="single" w:sz="4" w:space="0" w:color="auto"/>
              <w:right w:val="single" w:sz="4" w:space="0" w:color="auto"/>
            </w:tcBorders>
            <w:shd w:val="clear" w:color="000000" w:fill="A5A5A5"/>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2014 N</w:t>
            </w:r>
          </w:p>
        </w:tc>
        <w:tc>
          <w:tcPr>
            <w:tcW w:w="993" w:type="dxa"/>
            <w:tcBorders>
              <w:top w:val="single" w:sz="4" w:space="0" w:color="auto"/>
              <w:left w:val="nil"/>
              <w:bottom w:val="single" w:sz="4" w:space="0" w:color="auto"/>
              <w:right w:val="single" w:sz="4" w:space="0" w:color="auto"/>
            </w:tcBorders>
            <w:shd w:val="clear" w:color="000000" w:fill="A5A5A5"/>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2015 N</w:t>
            </w:r>
          </w:p>
        </w:tc>
      </w:tr>
      <w:tr>
        <w:tblPrEx>
          <w:tblW w:w="9087" w:type="dxa"/>
          <w:tblInd w:w="55" w:type="dxa"/>
          <w:tblLayout w:type="fixed"/>
          <w:tblCellMar>
            <w:left w:w="70" w:type="dxa"/>
            <w:right w:w="70" w:type="dxa"/>
          </w:tblCellMar>
          <w:tblLook w:val="04A0"/>
        </w:tblPrEx>
        <w:trPr>
          <w:trHeight w:val="261"/>
        </w:trPr>
        <w:tc>
          <w:tcPr>
            <w:tcW w:w="214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Väzenstvo</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136 240 017</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139 146 855</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146 758 996</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147 392 872</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154 583 604</w:t>
            </w:r>
          </w:p>
        </w:tc>
        <w:tc>
          <w:tcPr>
            <w:tcW w:w="99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160 630 851</w:t>
            </w:r>
          </w:p>
        </w:tc>
        <w:tc>
          <w:tcPr>
            <w:tcW w:w="993"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150 184 097</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 xml:space="preserve">   610 mzdy</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70 429 845</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68 970 748</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68 855 983</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68 855 983</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71 345 100</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73 501 140</w:t>
            </w:r>
          </w:p>
        </w:tc>
        <w:tc>
          <w:tcPr>
            <w:tcW w:w="993"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73 501 140</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 xml:space="preserve">   620 odvody</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24 694 896</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24 705 587</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24 697 110</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24 689 433</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25 489 989</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26 412 921</w:t>
            </w:r>
          </w:p>
        </w:tc>
        <w:tc>
          <w:tcPr>
            <w:tcW w:w="993"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26 412 921</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 xml:space="preserve">   630 tovary a služby</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32 103 379</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35 408 166</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33 742 476</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35 587 893</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36 053 169</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37 340 463</w:t>
            </w:r>
          </w:p>
        </w:tc>
        <w:tc>
          <w:tcPr>
            <w:tcW w:w="993"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37 341 196</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 xml:space="preserve">   640 bežné transfery</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8 587 160</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9 585 364</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12 613 427</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11 017 804</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10 792 346</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9 578 327</w:t>
            </w:r>
          </w:p>
        </w:tc>
        <w:tc>
          <w:tcPr>
            <w:tcW w:w="993"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9 930 840</w:t>
            </w:r>
          </w:p>
        </w:tc>
      </w:tr>
      <w:tr>
        <w:tblPrEx>
          <w:tblW w:w="9087" w:type="dxa"/>
          <w:tblInd w:w="55" w:type="dxa"/>
          <w:tblLayout w:type="fixed"/>
          <w:tblCellMar>
            <w:left w:w="70" w:type="dxa"/>
            <w:right w:w="70" w:type="dxa"/>
          </w:tblCellMar>
          <w:tblLook w:val="04A0"/>
        </w:tblPrEx>
        <w:trPr>
          <w:trHeight w:val="261"/>
        </w:trPr>
        <w:tc>
          <w:tcPr>
            <w:tcW w:w="214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 xml:space="preserve">   700 kapitálové výdavky</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424 737</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476 990</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6 850 000</w:t>
            </w:r>
          </w:p>
        </w:tc>
        <w:tc>
          <w:tcPr>
            <w:tcW w:w="99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7 241 759</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10 903 000</w:t>
            </w:r>
          </w:p>
        </w:tc>
        <w:tc>
          <w:tcPr>
            <w:tcW w:w="99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13 798 000</w:t>
            </w:r>
          </w:p>
        </w:tc>
        <w:tc>
          <w:tcPr>
            <w:tcW w:w="993"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2 998 000</w:t>
            </w:r>
          </w:p>
        </w:tc>
      </w:tr>
    </w:tbl>
    <w:p w:rsidR="009D2A34" w:rsidRPr="007E0D85" w:rsidP="009D2A34">
      <w:pPr>
        <w:bidi w:val="0"/>
        <w:ind w:firstLine="708"/>
        <w:jc w:val="both"/>
        <w:rPr>
          <w:rFonts w:ascii="Times New Roman" w:hAnsi="Times New Roman" w:cs="Times New Roman"/>
          <w:highlight w:val="yellow"/>
        </w:rPr>
      </w:pPr>
    </w:p>
    <w:p w:rsidR="009D2A34" w:rsidRPr="00D71578" w:rsidP="009D2A34">
      <w:pPr>
        <w:bidi w:val="0"/>
        <w:ind w:firstLine="708"/>
        <w:jc w:val="both"/>
        <w:rPr>
          <w:rFonts w:ascii="Times New Roman" w:hAnsi="Times New Roman" w:cs="Times New Roman"/>
        </w:rPr>
      </w:pPr>
      <w:r w:rsidR="00953EAF">
        <w:rPr>
          <w:rFonts w:ascii="Times New Roman" w:hAnsi="Times New Roman" w:cs="Times New Roman"/>
        </w:rPr>
        <w:t>Na</w:t>
      </w:r>
      <w:r w:rsidRPr="00D71578">
        <w:rPr>
          <w:rFonts w:ascii="Times New Roman" w:hAnsi="Times New Roman" w:cs="Times New Roman"/>
        </w:rPr>
        <w:t xml:space="preserve"> väzenstvo sa rozpočtujú výdavky v sume 15</w:t>
      </w:r>
      <w:r>
        <w:rPr>
          <w:rFonts w:ascii="Times New Roman" w:hAnsi="Times New Roman" w:cs="Times New Roman"/>
        </w:rPr>
        <w:t>5</w:t>
      </w:r>
      <w:r w:rsidRPr="00D71578">
        <w:rPr>
          <w:rFonts w:ascii="Times New Roman" w:hAnsi="Times New Roman" w:cs="Times New Roman"/>
        </w:rPr>
        <w:t xml:space="preserve"> mil. eur. V porovnaní so schváleným rozpočtom roku 2012 sú výdavky </w:t>
      </w:r>
      <w:r>
        <w:rPr>
          <w:rFonts w:ascii="Times New Roman" w:hAnsi="Times New Roman" w:cs="Times New Roman"/>
        </w:rPr>
        <w:t>väzenstva v roku 2013 vyššie o 5</w:t>
      </w:r>
      <w:r w:rsidRPr="00D71578">
        <w:rPr>
          <w:rFonts w:ascii="Times New Roman" w:hAnsi="Times New Roman" w:cs="Times New Roman"/>
        </w:rPr>
        <w:t>,</w:t>
      </w:r>
      <w:r>
        <w:rPr>
          <w:rFonts w:ascii="Times New Roman" w:hAnsi="Times New Roman" w:cs="Times New Roman"/>
        </w:rPr>
        <w:t>33</w:t>
      </w:r>
      <w:r w:rsidRPr="00D71578">
        <w:rPr>
          <w:rFonts w:ascii="Times New Roman" w:hAnsi="Times New Roman" w:cs="Times New Roman"/>
        </w:rPr>
        <w:t xml:space="preserve"> %, nakoľko sa rozpočtujú v roku 2013 kapitálové výdavky na rekonštrukciu 5-tich objektov väzenstva a bežné výdavky potrebné na prevádzku novovytvorených kapacít v objektoch väzenstva. Výdavky na riešenie potrieb väzenstva pokrývajú základné zabezpečenie výkonu väzby a výkonu trestu odňatia slobody, vrátane súvisiacej ochrany a stráženia objektov, ako aj zabezpečenia ochrany poriadku a bezpečnosti v súdnych objektoch.</w:t>
      </w:r>
    </w:p>
    <w:p w:rsidR="009D2A34" w:rsidRPr="00D71578" w:rsidP="009D2A34">
      <w:pPr>
        <w:tabs>
          <w:tab w:val="left" w:pos="360"/>
        </w:tabs>
        <w:bidi w:val="0"/>
        <w:jc w:val="both"/>
        <w:rPr>
          <w:rFonts w:ascii="Times New Roman" w:hAnsi="Times New Roman" w:cs="Times New Roman"/>
          <w:b/>
        </w:rPr>
      </w:pPr>
    </w:p>
    <w:p w:rsidR="009D2A34" w:rsidRPr="00D71578" w:rsidP="009D2A34">
      <w:pPr>
        <w:bidi w:val="0"/>
        <w:ind w:firstLine="708"/>
        <w:jc w:val="both"/>
        <w:rPr>
          <w:rFonts w:ascii="Times New Roman" w:hAnsi="Times New Roman" w:cs="Times New Roman"/>
        </w:rPr>
      </w:pPr>
      <w:r w:rsidRPr="00D71578">
        <w:rPr>
          <w:rFonts w:ascii="Times New Roman" w:hAnsi="Times New Roman" w:cs="Times New Roman"/>
        </w:rPr>
        <w:t xml:space="preserve">Základným negatívom väzenstva je prudký nárast väznených osôb, kde sa v roku 2013 oproti schválenému rozpočtu roku 2012 očakáva 5,36% nárast väznených osôb. </w:t>
      </w:r>
    </w:p>
    <w:p w:rsidR="009D2A34" w:rsidRPr="007E0D85" w:rsidP="009D2A34">
      <w:pPr>
        <w:bidi w:val="0"/>
        <w:jc w:val="both"/>
        <w:rPr>
          <w:rFonts w:ascii="Times New Roman" w:hAnsi="Times New Roman" w:cs="Times New Roman"/>
          <w:highlight w:val="yellow"/>
        </w:rPr>
      </w:pPr>
    </w:p>
    <w:tbl>
      <w:tblPr>
        <w:tblStyle w:val="TableNormal"/>
        <w:tblW w:w="9072" w:type="dxa"/>
        <w:jc w:val="center"/>
        <w:tblCellMar>
          <w:left w:w="70" w:type="dxa"/>
          <w:right w:w="70" w:type="dxa"/>
        </w:tblCellMar>
        <w:tblLook w:val="04A0"/>
      </w:tblPr>
      <w:tblGrid>
        <w:gridCol w:w="2480"/>
        <w:gridCol w:w="941"/>
        <w:gridCol w:w="942"/>
        <w:gridCol w:w="942"/>
        <w:gridCol w:w="941"/>
        <w:gridCol w:w="942"/>
        <w:gridCol w:w="942"/>
        <w:gridCol w:w="942"/>
      </w:tblGrid>
      <w:tr>
        <w:tblPrEx>
          <w:tblW w:w="9072" w:type="dxa"/>
          <w:jc w:val="center"/>
          <w:tblCellMar>
            <w:left w:w="70" w:type="dxa"/>
            <w:right w:w="70" w:type="dxa"/>
          </w:tblCellMar>
          <w:tblLook w:val="04A0"/>
        </w:tblPrEx>
        <w:trPr>
          <w:trHeight w:val="261"/>
          <w:jc w:val="center"/>
        </w:trPr>
        <w:tc>
          <w:tcPr>
            <w:tcW w:w="248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9D2A34" w:rsidRPr="00D71578" w:rsidP="006338E5">
            <w:pPr>
              <w:bidi w:val="0"/>
              <w:rPr>
                <w:rFonts w:ascii="Times New Roman" w:hAnsi="Times New Roman" w:cs="Times New Roman"/>
                <w:b/>
                <w:bCs/>
                <w:sz w:val="14"/>
                <w:szCs w:val="14"/>
                <w:lang w:eastAsia="sk-SK"/>
              </w:rPr>
            </w:pPr>
            <w:r w:rsidRPr="00D71578">
              <w:rPr>
                <w:rFonts w:ascii="Times New Roman" w:hAnsi="Times New Roman" w:cs="Times New Roman"/>
                <w:b/>
                <w:bCs/>
                <w:sz w:val="14"/>
                <w:szCs w:val="14"/>
                <w:lang w:eastAsia="sk-SK"/>
              </w:rPr>
              <w:t>Priemerný počet osôb</w:t>
            </w:r>
          </w:p>
        </w:tc>
        <w:tc>
          <w:tcPr>
            <w:tcW w:w="94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2010 S</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2011 S</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2012 R</w:t>
            </w:r>
          </w:p>
        </w:tc>
        <w:tc>
          <w:tcPr>
            <w:tcW w:w="94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2012 OS</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953EAF">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lang w:eastAsia="sk-SK"/>
              </w:rPr>
              <w:t xml:space="preserve">2013 </w:t>
            </w:r>
            <w:r w:rsidR="00953EAF">
              <w:rPr>
                <w:rFonts w:ascii="Times New Roman" w:hAnsi="Times New Roman" w:cs="Times New Roman"/>
                <w:b/>
                <w:bCs/>
                <w:color w:val="000000"/>
                <w:sz w:val="14"/>
                <w:szCs w:val="14"/>
                <w:lang w:eastAsia="sk-SK"/>
              </w:rPr>
              <w:t>N</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2014 N</w:t>
            </w:r>
          </w:p>
        </w:tc>
        <w:tc>
          <w:tcPr>
            <w:tcW w:w="94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2015 N</w:t>
            </w:r>
          </w:p>
        </w:tc>
      </w:tr>
      <w:tr>
        <w:tblPrEx>
          <w:tblW w:w="9072" w:type="dxa"/>
          <w:jc w:val="center"/>
          <w:tblCellMar>
            <w:left w:w="70" w:type="dxa"/>
            <w:right w:w="70" w:type="dxa"/>
          </w:tblCellMar>
          <w:tblLook w:val="04A0"/>
        </w:tblPrEx>
        <w:trPr>
          <w:trHeight w:val="261"/>
          <w:jc w:val="center"/>
        </w:trPr>
        <w:tc>
          <w:tcPr>
            <w:tcW w:w="2480"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D71578" w:rsidP="006338E5">
            <w:pPr>
              <w:bidi w:val="0"/>
              <w:rPr>
                <w:rFonts w:ascii="Times New Roman" w:hAnsi="Times New Roman" w:cs="Times New Roman"/>
                <w:sz w:val="14"/>
                <w:szCs w:val="14"/>
                <w:lang w:eastAsia="sk-SK"/>
              </w:rPr>
            </w:pPr>
            <w:r w:rsidRPr="00D71578">
              <w:rPr>
                <w:rFonts w:ascii="Times New Roman" w:hAnsi="Times New Roman" w:cs="Times New Roman"/>
                <w:sz w:val="14"/>
                <w:szCs w:val="14"/>
                <w:lang w:eastAsia="sk-SK"/>
              </w:rPr>
              <w:t>Obvinení</w:t>
            </w:r>
          </w:p>
        </w:tc>
        <w:tc>
          <w:tcPr>
            <w:tcW w:w="941"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1 596</w:t>
            </w:r>
          </w:p>
        </w:tc>
        <w:tc>
          <w:tcPr>
            <w:tcW w:w="94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1 465</w:t>
            </w:r>
          </w:p>
        </w:tc>
        <w:tc>
          <w:tcPr>
            <w:tcW w:w="94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1 580</w:t>
            </w:r>
          </w:p>
        </w:tc>
        <w:tc>
          <w:tcPr>
            <w:tcW w:w="941"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1 585</w:t>
            </w:r>
          </w:p>
        </w:tc>
        <w:tc>
          <w:tcPr>
            <w:tcW w:w="94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1 595</w:t>
            </w:r>
          </w:p>
        </w:tc>
        <w:tc>
          <w:tcPr>
            <w:tcW w:w="94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1 688</w:t>
            </w:r>
          </w:p>
        </w:tc>
        <w:tc>
          <w:tcPr>
            <w:tcW w:w="94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1 688</w:t>
            </w:r>
          </w:p>
        </w:tc>
      </w:tr>
      <w:tr>
        <w:tblPrEx>
          <w:tblW w:w="9072" w:type="dxa"/>
          <w:jc w:val="center"/>
          <w:tblCellMar>
            <w:left w:w="70" w:type="dxa"/>
            <w:right w:w="70" w:type="dxa"/>
          </w:tblCellMar>
          <w:tblLook w:val="04A0"/>
        </w:tblPrEx>
        <w:trPr>
          <w:trHeight w:val="261"/>
          <w:jc w:val="center"/>
        </w:trPr>
        <w:tc>
          <w:tcPr>
            <w:tcW w:w="2480"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D71578" w:rsidP="006338E5">
            <w:pPr>
              <w:bidi w:val="0"/>
              <w:rPr>
                <w:rFonts w:ascii="Times New Roman" w:hAnsi="Times New Roman" w:cs="Times New Roman"/>
                <w:sz w:val="14"/>
                <w:szCs w:val="14"/>
                <w:lang w:eastAsia="sk-SK"/>
              </w:rPr>
            </w:pPr>
            <w:r w:rsidRPr="00D71578">
              <w:rPr>
                <w:rFonts w:ascii="Times New Roman" w:hAnsi="Times New Roman" w:cs="Times New Roman"/>
                <w:sz w:val="14"/>
                <w:szCs w:val="14"/>
                <w:lang w:eastAsia="sk-SK"/>
              </w:rPr>
              <w:t>Odsúdení</w:t>
            </w:r>
          </w:p>
        </w:tc>
        <w:tc>
          <w:tcPr>
            <w:tcW w:w="941"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8 339</w:t>
            </w:r>
          </w:p>
        </w:tc>
        <w:tc>
          <w:tcPr>
            <w:tcW w:w="94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9 146</w:t>
            </w:r>
          </w:p>
        </w:tc>
        <w:tc>
          <w:tcPr>
            <w:tcW w:w="94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9 717</w:t>
            </w:r>
          </w:p>
        </w:tc>
        <w:tc>
          <w:tcPr>
            <w:tcW w:w="941"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9 961</w:t>
            </w:r>
          </w:p>
        </w:tc>
        <w:tc>
          <w:tcPr>
            <w:tcW w:w="94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10 307</w:t>
            </w:r>
          </w:p>
        </w:tc>
        <w:tc>
          <w:tcPr>
            <w:tcW w:w="94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10 910</w:t>
            </w:r>
          </w:p>
        </w:tc>
        <w:tc>
          <w:tcPr>
            <w:tcW w:w="94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10 910</w:t>
            </w:r>
          </w:p>
        </w:tc>
      </w:tr>
      <w:tr>
        <w:tblPrEx>
          <w:tblW w:w="9072" w:type="dxa"/>
          <w:jc w:val="center"/>
          <w:tblCellMar>
            <w:left w:w="70" w:type="dxa"/>
            <w:right w:w="70" w:type="dxa"/>
          </w:tblCellMar>
          <w:tblLook w:val="04A0"/>
        </w:tblPrEx>
        <w:trPr>
          <w:trHeight w:val="261"/>
          <w:jc w:val="center"/>
        </w:trPr>
        <w:tc>
          <w:tcPr>
            <w:tcW w:w="248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9D2A34" w:rsidRPr="00D71578" w:rsidP="006338E5">
            <w:pPr>
              <w:bidi w:val="0"/>
              <w:rPr>
                <w:rFonts w:ascii="Times New Roman" w:hAnsi="Times New Roman" w:cs="Times New Roman"/>
                <w:b/>
                <w:bCs/>
                <w:sz w:val="14"/>
                <w:szCs w:val="14"/>
                <w:lang w:eastAsia="sk-SK"/>
              </w:rPr>
            </w:pPr>
            <w:r w:rsidRPr="00D71578">
              <w:rPr>
                <w:rFonts w:ascii="Times New Roman" w:hAnsi="Times New Roman" w:cs="Times New Roman"/>
                <w:b/>
                <w:bCs/>
                <w:sz w:val="14"/>
                <w:szCs w:val="14"/>
                <w:lang w:eastAsia="sk-SK"/>
              </w:rPr>
              <w:t>Obvinení a odsúdení spolu</w:t>
            </w:r>
          </w:p>
        </w:tc>
        <w:tc>
          <w:tcPr>
            <w:tcW w:w="94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sz w:val="14"/>
                <w:szCs w:val="14"/>
              </w:rPr>
            </w:pPr>
            <w:r w:rsidRPr="00D71578">
              <w:rPr>
                <w:rFonts w:ascii="Times New Roman" w:hAnsi="Times New Roman" w:cs="Times New Roman"/>
                <w:b/>
                <w:bCs/>
                <w:sz w:val="14"/>
                <w:szCs w:val="14"/>
              </w:rPr>
              <w:t>9 935</w:t>
            </w:r>
          </w:p>
        </w:tc>
        <w:tc>
          <w:tcPr>
            <w:tcW w:w="94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sz w:val="14"/>
                <w:szCs w:val="14"/>
              </w:rPr>
            </w:pPr>
            <w:r w:rsidRPr="00D71578">
              <w:rPr>
                <w:rFonts w:ascii="Times New Roman" w:hAnsi="Times New Roman" w:cs="Times New Roman"/>
                <w:b/>
                <w:bCs/>
                <w:sz w:val="14"/>
                <w:szCs w:val="14"/>
              </w:rPr>
              <w:t>10 611</w:t>
            </w:r>
          </w:p>
        </w:tc>
        <w:tc>
          <w:tcPr>
            <w:tcW w:w="94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sz w:val="14"/>
                <w:szCs w:val="14"/>
              </w:rPr>
            </w:pPr>
            <w:r w:rsidRPr="00D71578">
              <w:rPr>
                <w:rFonts w:ascii="Times New Roman" w:hAnsi="Times New Roman" w:cs="Times New Roman"/>
                <w:b/>
                <w:bCs/>
                <w:sz w:val="14"/>
                <w:szCs w:val="14"/>
              </w:rPr>
              <w:t>11 297</w:t>
            </w:r>
          </w:p>
        </w:tc>
        <w:tc>
          <w:tcPr>
            <w:tcW w:w="94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sz w:val="14"/>
                <w:szCs w:val="14"/>
              </w:rPr>
            </w:pPr>
            <w:r w:rsidRPr="00D71578">
              <w:rPr>
                <w:rFonts w:ascii="Times New Roman" w:hAnsi="Times New Roman" w:cs="Times New Roman"/>
                <w:b/>
                <w:bCs/>
                <w:sz w:val="14"/>
                <w:szCs w:val="14"/>
              </w:rPr>
              <w:t>11 546</w:t>
            </w:r>
          </w:p>
        </w:tc>
        <w:tc>
          <w:tcPr>
            <w:tcW w:w="94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sz w:val="14"/>
                <w:szCs w:val="14"/>
              </w:rPr>
            </w:pPr>
            <w:r w:rsidRPr="00D71578">
              <w:rPr>
                <w:rFonts w:ascii="Times New Roman" w:hAnsi="Times New Roman" w:cs="Times New Roman"/>
                <w:b/>
                <w:bCs/>
                <w:sz w:val="14"/>
                <w:szCs w:val="14"/>
              </w:rPr>
              <w:t>11 902</w:t>
            </w:r>
          </w:p>
        </w:tc>
        <w:tc>
          <w:tcPr>
            <w:tcW w:w="94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sz w:val="14"/>
                <w:szCs w:val="14"/>
              </w:rPr>
            </w:pPr>
            <w:r w:rsidRPr="00D71578">
              <w:rPr>
                <w:rFonts w:ascii="Times New Roman" w:hAnsi="Times New Roman" w:cs="Times New Roman"/>
                <w:b/>
                <w:bCs/>
                <w:sz w:val="14"/>
                <w:szCs w:val="14"/>
              </w:rPr>
              <w:t>12 598</w:t>
            </w:r>
          </w:p>
        </w:tc>
        <w:tc>
          <w:tcPr>
            <w:tcW w:w="94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sz w:val="14"/>
                <w:szCs w:val="14"/>
              </w:rPr>
            </w:pPr>
            <w:r w:rsidRPr="00D71578">
              <w:rPr>
                <w:rFonts w:ascii="Times New Roman" w:hAnsi="Times New Roman" w:cs="Times New Roman"/>
                <w:b/>
                <w:bCs/>
                <w:sz w:val="14"/>
                <w:szCs w:val="14"/>
              </w:rPr>
              <w:t>12 598</w:t>
            </w:r>
          </w:p>
        </w:tc>
      </w:tr>
    </w:tbl>
    <w:p w:rsidR="009D2A34" w:rsidRPr="00D71578" w:rsidP="009D2A34">
      <w:pPr>
        <w:bidi w:val="0"/>
        <w:jc w:val="both"/>
        <w:rPr>
          <w:rFonts w:ascii="Times New Roman" w:hAnsi="Times New Roman" w:cs="Times New Roman"/>
        </w:rPr>
      </w:pPr>
    </w:p>
    <w:p w:rsidR="009D2A34" w:rsidRPr="00D71578" w:rsidP="009D2A34">
      <w:pPr>
        <w:bidi w:val="0"/>
        <w:ind w:firstLine="708"/>
        <w:jc w:val="both"/>
        <w:rPr>
          <w:rFonts w:ascii="Times New Roman" w:hAnsi="Times New Roman" w:cs="Times New Roman"/>
        </w:rPr>
      </w:pPr>
      <w:r w:rsidRPr="00D71578">
        <w:rPr>
          <w:rFonts w:ascii="Times New Roman" w:hAnsi="Times New Roman" w:cs="Times New Roman"/>
        </w:rPr>
        <w:t xml:space="preserve">V ústavoch na výkon väzby a v ústavoch na výkon trestu odňatia slobody bolo k </w:t>
        <w:br/>
        <w:t xml:space="preserve">1. </w:t>
      </w:r>
      <w:r>
        <w:rPr>
          <w:rFonts w:ascii="Times New Roman" w:hAnsi="Times New Roman" w:cs="Times New Roman"/>
        </w:rPr>
        <w:t>októbru</w:t>
      </w:r>
      <w:r w:rsidRPr="00D71578">
        <w:rPr>
          <w:rFonts w:ascii="Times New Roman" w:hAnsi="Times New Roman" w:cs="Times New Roman"/>
        </w:rPr>
        <w:t xml:space="preserve"> 2012 umiestnených spolu 11 0</w:t>
      </w:r>
      <w:r>
        <w:rPr>
          <w:rFonts w:ascii="Times New Roman" w:hAnsi="Times New Roman" w:cs="Times New Roman"/>
        </w:rPr>
        <w:t>24</w:t>
      </w:r>
      <w:r w:rsidRPr="00D71578">
        <w:rPr>
          <w:rFonts w:ascii="Times New Roman" w:hAnsi="Times New Roman" w:cs="Times New Roman"/>
        </w:rPr>
        <w:t xml:space="preserve"> osôb, z toho 1 </w:t>
      </w:r>
      <w:r>
        <w:rPr>
          <w:rFonts w:ascii="Times New Roman" w:hAnsi="Times New Roman" w:cs="Times New Roman"/>
        </w:rPr>
        <w:t>383</w:t>
      </w:r>
      <w:r w:rsidRPr="00D71578">
        <w:rPr>
          <w:rFonts w:ascii="Times New Roman" w:hAnsi="Times New Roman" w:cs="Times New Roman"/>
        </w:rPr>
        <w:t xml:space="preserve"> obvinených a 9 64</w:t>
      </w:r>
      <w:r>
        <w:rPr>
          <w:rFonts w:ascii="Times New Roman" w:hAnsi="Times New Roman" w:cs="Times New Roman"/>
        </w:rPr>
        <w:t>1</w:t>
      </w:r>
      <w:r w:rsidRPr="00D71578">
        <w:rPr>
          <w:rFonts w:ascii="Times New Roman" w:hAnsi="Times New Roman" w:cs="Times New Roman"/>
        </w:rPr>
        <w:t xml:space="preserve"> odsúdených. </w:t>
      </w:r>
    </w:p>
    <w:p w:rsidR="009D2A34" w:rsidRPr="00D71578" w:rsidP="009D2A34">
      <w:pPr>
        <w:bidi w:val="0"/>
        <w:ind w:firstLine="708"/>
        <w:jc w:val="both"/>
        <w:rPr>
          <w:rFonts w:ascii="Times New Roman" w:hAnsi="Times New Roman" w:cs="Times New Roman"/>
        </w:rPr>
      </w:pPr>
      <w:r w:rsidRPr="00D71578">
        <w:rPr>
          <w:rFonts w:ascii="Times New Roman" w:hAnsi="Times New Roman" w:cs="Times New Roman"/>
        </w:rPr>
        <w:t xml:space="preserve">Výdavky na väzenstvo sú ovplyvňované dynamikou rastu počtu obvinených a odsúdených. Pokiaľ bude pokračovať nárast aj v budúcnosti, vyvolá to problém nielen v ubytovacej kapacite väzenstva, ale aj vo výdavkoch, ktoré sú rozpočtované a určené na zabezpečenie chodu a ochrany v ústavoch na výkon väzby a v ústavoch na výkon trestu odňatia slobody. </w:t>
      </w:r>
    </w:p>
    <w:p w:rsidR="009D2A34" w:rsidRPr="00D71578" w:rsidP="009D2A34">
      <w:pPr>
        <w:bidi w:val="0"/>
        <w:jc w:val="both"/>
        <w:rPr>
          <w:rFonts w:ascii="Times New Roman" w:hAnsi="Times New Roman" w:cs="Times New Roman"/>
        </w:rPr>
      </w:pPr>
    </w:p>
    <w:p w:rsidR="009D2A34" w:rsidRPr="00D71578" w:rsidP="009D2A34">
      <w:pPr>
        <w:bidi w:val="0"/>
        <w:ind w:firstLine="708"/>
        <w:jc w:val="both"/>
        <w:rPr>
          <w:rFonts w:ascii="Times New Roman" w:hAnsi="Times New Roman" w:cs="Times New Roman"/>
        </w:rPr>
      </w:pPr>
      <w:r w:rsidRPr="00D71578">
        <w:rPr>
          <w:rFonts w:ascii="Times New Roman" w:hAnsi="Times New Roman" w:cs="Times New Roman"/>
        </w:rPr>
        <w:t xml:space="preserve">Za týmto účelom sa v kapitole rozpočtujú prostriedky na rekonštrukcie stavieb 5-tich ústavov väzenstva s tým, že sa vytvoria nové ubytovacie kapacity väzenstva v objeme </w:t>
      </w:r>
      <w:r>
        <w:rPr>
          <w:rFonts w:ascii="Times New Roman" w:hAnsi="Times New Roman" w:cs="Times New Roman"/>
        </w:rPr>
        <w:t>931</w:t>
      </w:r>
      <w:r w:rsidRPr="00D71578">
        <w:rPr>
          <w:rFonts w:ascii="Times New Roman" w:hAnsi="Times New Roman" w:cs="Times New Roman"/>
        </w:rPr>
        <w:t xml:space="preserve"> nových miest pre obvinených a odsúdených.</w:t>
      </w:r>
    </w:p>
    <w:p w:rsidR="009D2A34" w:rsidRPr="007E0D85" w:rsidP="009D2A34">
      <w:pPr>
        <w:bidi w:val="0"/>
        <w:ind w:firstLine="708"/>
        <w:jc w:val="both"/>
        <w:rPr>
          <w:rFonts w:ascii="Times New Roman" w:hAnsi="Times New Roman" w:cs="Times New Roman"/>
          <w:highlight w:val="yellow"/>
        </w:rPr>
      </w:pPr>
    </w:p>
    <w:tbl>
      <w:tblPr>
        <w:tblStyle w:val="TableNormal"/>
        <w:tblW w:w="9388" w:type="dxa"/>
        <w:tblInd w:w="65" w:type="dxa"/>
        <w:tblLayout w:type="fixed"/>
        <w:tblCellMar>
          <w:left w:w="70" w:type="dxa"/>
          <w:right w:w="70" w:type="dxa"/>
        </w:tblCellMar>
        <w:tblLook w:val="04A0"/>
      </w:tblPr>
      <w:tblGrid>
        <w:gridCol w:w="2982"/>
        <w:gridCol w:w="800"/>
        <w:gridCol w:w="801"/>
        <w:gridCol w:w="801"/>
        <w:gridCol w:w="801"/>
        <w:gridCol w:w="800"/>
        <w:gridCol w:w="801"/>
        <w:gridCol w:w="801"/>
        <w:gridCol w:w="801"/>
      </w:tblGrid>
      <w:tr>
        <w:tblPrEx>
          <w:tblW w:w="9388" w:type="dxa"/>
          <w:tblInd w:w="65" w:type="dxa"/>
          <w:tblLayout w:type="fixed"/>
          <w:tblCellMar>
            <w:left w:w="70" w:type="dxa"/>
            <w:right w:w="70" w:type="dxa"/>
          </w:tblCellMar>
          <w:tblLook w:val="04A0"/>
        </w:tblPrEx>
        <w:trPr>
          <w:trHeight w:val="255"/>
        </w:trPr>
        <w:tc>
          <w:tcPr>
            <w:tcW w:w="2982"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Investičné výdavky na 5 ústavov v eurách</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2012</w:t>
            </w:r>
          </w:p>
        </w:tc>
        <w:tc>
          <w:tcPr>
            <w:tcW w:w="80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nové</w:t>
            </w:r>
          </w:p>
        </w:tc>
        <w:tc>
          <w:tcPr>
            <w:tcW w:w="801"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2013</w:t>
            </w:r>
          </w:p>
        </w:tc>
        <w:tc>
          <w:tcPr>
            <w:tcW w:w="80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nové</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2014</w:t>
            </w:r>
          </w:p>
        </w:tc>
        <w:tc>
          <w:tcPr>
            <w:tcW w:w="80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Nové</w:t>
            </w:r>
          </w:p>
        </w:tc>
        <w:tc>
          <w:tcPr>
            <w:tcW w:w="801" w:type="dxa"/>
            <w:vMerge w:val="restar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2015</w:t>
            </w:r>
          </w:p>
        </w:tc>
        <w:tc>
          <w:tcPr>
            <w:tcW w:w="80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nové</w:t>
            </w:r>
          </w:p>
        </w:tc>
      </w:tr>
      <w:tr>
        <w:tblPrEx>
          <w:tblW w:w="9388" w:type="dxa"/>
          <w:tblInd w:w="65" w:type="dxa"/>
          <w:tblLayout w:type="fixed"/>
          <w:tblCellMar>
            <w:left w:w="70" w:type="dxa"/>
            <w:right w:w="70" w:type="dxa"/>
          </w:tblCellMar>
          <w:tblLook w:val="04A0"/>
        </w:tblPrEx>
        <w:trPr>
          <w:trHeight w:val="255"/>
        </w:trPr>
        <w:tc>
          <w:tcPr>
            <w:tcW w:w="2982" w:type="dxa"/>
            <w:vMerge/>
            <w:tcBorders>
              <w:top w:val="single" w:sz="4" w:space="0" w:color="auto"/>
              <w:left w:val="single" w:sz="4" w:space="0" w:color="auto"/>
              <w:bottom w:val="single" w:sz="4" w:space="0" w:color="auto"/>
              <w:right w:val="single" w:sz="4" w:space="0" w:color="auto"/>
            </w:tcBorders>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p>
        </w:tc>
        <w:tc>
          <w:tcPr>
            <w:tcW w:w="800" w:type="dxa"/>
            <w:vMerge/>
            <w:tcBorders>
              <w:top w:val="single" w:sz="4" w:space="0" w:color="auto"/>
              <w:left w:val="single" w:sz="4" w:space="0" w:color="auto"/>
              <w:bottom w:val="single" w:sz="4" w:space="0" w:color="auto"/>
              <w:right w:val="single" w:sz="4" w:space="0" w:color="auto"/>
            </w:tcBorders>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p>
        </w:tc>
        <w:tc>
          <w:tcPr>
            <w:tcW w:w="801" w:type="dxa"/>
            <w:tcBorders>
              <w:top w:val="nil"/>
              <w:left w:val="nil"/>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kapacity</w:t>
            </w:r>
          </w:p>
        </w:tc>
        <w:tc>
          <w:tcPr>
            <w:tcW w:w="801" w:type="dxa"/>
            <w:vMerge/>
            <w:tcBorders>
              <w:top w:val="single" w:sz="4" w:space="0" w:color="auto"/>
              <w:left w:val="single" w:sz="4" w:space="0" w:color="auto"/>
              <w:bottom w:val="single" w:sz="4" w:space="0" w:color="auto"/>
              <w:right w:val="single" w:sz="4" w:space="0" w:color="auto"/>
            </w:tcBorders>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p>
        </w:tc>
        <w:tc>
          <w:tcPr>
            <w:tcW w:w="801" w:type="dxa"/>
            <w:tcBorders>
              <w:top w:val="nil"/>
              <w:left w:val="nil"/>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kapacity</w:t>
            </w:r>
          </w:p>
        </w:tc>
        <w:tc>
          <w:tcPr>
            <w:tcW w:w="800" w:type="dxa"/>
            <w:vMerge/>
            <w:tcBorders>
              <w:top w:val="single" w:sz="4" w:space="0" w:color="auto"/>
              <w:left w:val="single" w:sz="4" w:space="0" w:color="auto"/>
              <w:bottom w:val="single" w:sz="4" w:space="0" w:color="auto"/>
              <w:right w:val="single" w:sz="4" w:space="0" w:color="auto"/>
            </w:tcBorders>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p>
        </w:tc>
        <w:tc>
          <w:tcPr>
            <w:tcW w:w="801" w:type="dxa"/>
            <w:tcBorders>
              <w:top w:val="nil"/>
              <w:left w:val="nil"/>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Kapacity</w:t>
            </w:r>
          </w:p>
        </w:tc>
        <w:tc>
          <w:tcPr>
            <w:tcW w:w="801" w:type="dxa"/>
            <w:vMerge/>
            <w:tcBorders>
              <w:top w:val="single" w:sz="4" w:space="0" w:color="auto"/>
              <w:left w:val="single" w:sz="4" w:space="0" w:color="auto"/>
              <w:bottom w:val="single" w:sz="4" w:space="0" w:color="auto"/>
              <w:right w:val="single" w:sz="4" w:space="0" w:color="auto"/>
            </w:tcBorders>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p>
        </w:tc>
        <w:tc>
          <w:tcPr>
            <w:tcW w:w="801" w:type="dxa"/>
            <w:tcBorders>
              <w:top w:val="nil"/>
              <w:left w:val="nil"/>
              <w:bottom w:val="single" w:sz="4" w:space="0" w:color="auto"/>
              <w:right w:val="single" w:sz="4" w:space="0" w:color="auto"/>
            </w:tcBorders>
            <w:shd w:val="clear" w:color="000000"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kapacity</w:t>
            </w:r>
          </w:p>
        </w:tc>
      </w:tr>
      <w:tr>
        <w:tblPrEx>
          <w:tblW w:w="9388" w:type="dxa"/>
          <w:tblInd w:w="65" w:type="dxa"/>
          <w:tblLayout w:type="fixed"/>
          <w:tblCellMar>
            <w:left w:w="70" w:type="dxa"/>
            <w:right w:w="70" w:type="dxa"/>
          </w:tblCellMar>
          <w:tblLook w:val="04A0"/>
        </w:tblPrEx>
        <w:trPr>
          <w:trHeight w:val="255"/>
        </w:trPr>
        <w:tc>
          <w:tcPr>
            <w:tcW w:w="298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rekonštrukcia objektu č. 19 Leopoldov</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1 000 000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1 000 000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1 000 000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250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r>
      <w:tr>
        <w:tblPrEx>
          <w:tblW w:w="9388" w:type="dxa"/>
          <w:tblInd w:w="65" w:type="dxa"/>
          <w:tblLayout w:type="fixed"/>
          <w:tblCellMar>
            <w:left w:w="70" w:type="dxa"/>
            <w:right w:w="70" w:type="dxa"/>
          </w:tblCellMar>
          <w:tblLook w:val="04A0"/>
        </w:tblPrEx>
        <w:trPr>
          <w:trHeight w:val="255"/>
        </w:trPr>
        <w:tc>
          <w:tcPr>
            <w:tcW w:w="298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rekonštrukcia objektov č. 7 Košice Šaca</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350 000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85</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r>
      <w:tr>
        <w:tblPrEx>
          <w:tblW w:w="9388" w:type="dxa"/>
          <w:tblInd w:w="65" w:type="dxa"/>
          <w:tblLayout w:type="fixed"/>
          <w:tblCellMar>
            <w:left w:w="70" w:type="dxa"/>
            <w:right w:w="70" w:type="dxa"/>
          </w:tblCellMar>
          <w:tblLook w:val="04A0"/>
        </w:tblPrEx>
        <w:trPr>
          <w:trHeight w:val="255"/>
        </w:trPr>
        <w:tc>
          <w:tcPr>
            <w:tcW w:w="298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prístavba objektu "C" Košice Šaca</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500 000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2 600 000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w:t>
            </w:r>
            <w:r w:rsidRPr="00D71578">
              <w:rPr>
                <w:rFonts w:ascii="Times New Roman" w:hAnsi="Times New Roman" w:cs="Times New Roman"/>
                <w:color w:val="000000"/>
                <w:sz w:val="14"/>
                <w:szCs w:val="14"/>
                <w:lang w:eastAsia="sk-SK"/>
              </w:rPr>
              <w:t>20</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2 500 000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1 936 400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r>
      <w:tr>
        <w:tblPrEx>
          <w:tblW w:w="9388" w:type="dxa"/>
          <w:tblInd w:w="65" w:type="dxa"/>
          <w:tblLayout w:type="fixed"/>
          <w:tblCellMar>
            <w:left w:w="70" w:type="dxa"/>
            <w:right w:w="70" w:type="dxa"/>
          </w:tblCellMar>
          <w:tblLook w:val="04A0"/>
        </w:tblPrEx>
        <w:trPr>
          <w:trHeight w:val="255"/>
        </w:trPr>
        <w:tc>
          <w:tcPr>
            <w:tcW w:w="298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nadstavba objektov A a B Košice Šaca</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500 000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1 563 600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w:t>
            </w:r>
            <w:r>
              <w:rPr>
                <w:rFonts w:ascii="Times New Roman" w:hAnsi="Times New Roman" w:cs="Times New Roman"/>
                <w:color w:val="000000"/>
                <w:sz w:val="14"/>
                <w:szCs w:val="14"/>
                <w:lang w:eastAsia="sk-SK"/>
              </w:rPr>
              <w:t>16</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r>
      <w:tr>
        <w:tblPrEx>
          <w:tblW w:w="9388" w:type="dxa"/>
          <w:tblInd w:w="65" w:type="dxa"/>
          <w:tblLayout w:type="fixed"/>
          <w:tblCellMar>
            <w:left w:w="70" w:type="dxa"/>
            <w:right w:w="70" w:type="dxa"/>
          </w:tblCellMar>
          <w:tblLook w:val="04A0"/>
        </w:tblPrEx>
        <w:trPr>
          <w:trHeight w:val="255"/>
        </w:trPr>
        <w:tc>
          <w:tcPr>
            <w:tcW w:w="298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rekonštrukcia objektov Dubnica nad Váhom, SBT</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1 400 000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3 000 000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160</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1 820 000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r>
      <w:tr>
        <w:tblPrEx>
          <w:tblW w:w="9388" w:type="dxa"/>
          <w:tblInd w:w="65" w:type="dxa"/>
          <w:tblLayout w:type="fixed"/>
          <w:tblCellMar>
            <w:left w:w="70" w:type="dxa"/>
            <w:right w:w="70" w:type="dxa"/>
          </w:tblCellMar>
          <w:tblLook w:val="04A0"/>
        </w:tblPrEx>
        <w:trPr>
          <w:trHeight w:val="255"/>
        </w:trPr>
        <w:tc>
          <w:tcPr>
            <w:tcW w:w="2982"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asanácia a výstavba ubytovne Nitra Chrenová</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1C7CC8" w:rsidP="006338E5">
            <w:pPr>
              <w:bidi w:val="0"/>
              <w:jc w:val="right"/>
              <w:rPr>
                <w:rFonts w:ascii="Times New Roman" w:hAnsi="Times New Roman" w:cs="Times New Roman"/>
                <w:color w:val="000000"/>
                <w:sz w:val="14"/>
                <w:szCs w:val="14"/>
              </w:rPr>
            </w:pPr>
            <w:r w:rsidRPr="001C7CC8">
              <w:rPr>
                <w:rFonts w:ascii="Times New Roman" w:hAnsi="Times New Roman" w:cs="Times New Roman"/>
                <w:color w:val="000000"/>
                <w:sz w:val="14"/>
                <w:szCs w:val="14"/>
              </w:rPr>
              <w:t>98 500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1 555 700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r>
      <w:tr>
        <w:tblPrEx>
          <w:tblW w:w="9388" w:type="dxa"/>
          <w:tblInd w:w="65" w:type="dxa"/>
          <w:tblLayout w:type="fixed"/>
          <w:tblCellMar>
            <w:left w:w="70" w:type="dxa"/>
            <w:right w:w="70" w:type="dxa"/>
          </w:tblCellMar>
          <w:tblLook w:val="04A0"/>
        </w:tblPrEx>
        <w:trPr>
          <w:trHeight w:val="255"/>
        </w:trPr>
        <w:tc>
          <w:tcPr>
            <w:tcW w:w="298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rekonštrukcia ÚVV Bratislava</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1C7CC8" w:rsidP="006338E5">
            <w:pPr>
              <w:bidi w:val="0"/>
              <w:jc w:val="right"/>
              <w:rPr>
                <w:rFonts w:ascii="Times New Roman" w:hAnsi="Times New Roman" w:cs="Times New Roman"/>
                <w:color w:val="000000"/>
                <w:sz w:val="14"/>
                <w:szCs w:val="14"/>
              </w:rPr>
            </w:pPr>
            <w:r w:rsidRPr="001C7CC8">
              <w:rPr>
                <w:rFonts w:ascii="Times New Roman" w:hAnsi="Times New Roman" w:cs="Times New Roman"/>
                <w:color w:val="000000"/>
                <w:sz w:val="14"/>
                <w:szCs w:val="14"/>
              </w:rPr>
              <w:t>1 200 000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0"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2 300 000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987 700</w:t>
            </w:r>
          </w:p>
        </w:tc>
        <w:tc>
          <w:tcPr>
            <w:tcW w:w="801"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r>
      <w:tr>
        <w:tblPrEx>
          <w:tblW w:w="9388" w:type="dxa"/>
          <w:tblInd w:w="65" w:type="dxa"/>
          <w:tblLayout w:type="fixed"/>
          <w:tblCellMar>
            <w:left w:w="70" w:type="dxa"/>
            <w:right w:w="70" w:type="dxa"/>
          </w:tblCellMar>
          <w:tblLook w:val="04A0"/>
        </w:tblPrEx>
        <w:trPr>
          <w:trHeight w:val="255"/>
        </w:trPr>
        <w:tc>
          <w:tcPr>
            <w:tcW w:w="298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Spolu</w:t>
            </w:r>
          </w:p>
        </w:tc>
        <w:tc>
          <w:tcPr>
            <w:tcW w:w="80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3 850 000</w:t>
            </w:r>
          </w:p>
        </w:tc>
        <w:tc>
          <w:tcPr>
            <w:tcW w:w="80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85</w:t>
            </w:r>
          </w:p>
        </w:tc>
        <w:tc>
          <w:tcPr>
            <w:tcW w:w="80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1C7CC8" w:rsidP="006338E5">
            <w:pPr>
              <w:bidi w:val="0"/>
              <w:jc w:val="right"/>
              <w:rPr>
                <w:rFonts w:ascii="Times New Roman" w:hAnsi="Times New Roman" w:cs="Times New Roman"/>
                <w:b/>
                <w:bCs/>
                <w:color w:val="000000"/>
                <w:sz w:val="14"/>
                <w:szCs w:val="14"/>
              </w:rPr>
            </w:pPr>
            <w:r w:rsidRPr="001C7CC8">
              <w:rPr>
                <w:rFonts w:ascii="Times New Roman" w:hAnsi="Times New Roman" w:cs="Times New Roman"/>
                <w:b/>
                <w:bCs/>
                <w:color w:val="000000"/>
                <w:sz w:val="14"/>
                <w:szCs w:val="14"/>
              </w:rPr>
              <w:t>7 898 500</w:t>
            </w:r>
          </w:p>
        </w:tc>
        <w:tc>
          <w:tcPr>
            <w:tcW w:w="80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3</w:t>
            </w:r>
            <w:r w:rsidRPr="00D71578">
              <w:rPr>
                <w:rFonts w:ascii="Times New Roman" w:hAnsi="Times New Roman" w:cs="Times New Roman"/>
                <w:b/>
                <w:bCs/>
                <w:color w:val="000000"/>
                <w:sz w:val="14"/>
                <w:szCs w:val="14"/>
                <w:lang w:eastAsia="sk-SK"/>
              </w:rPr>
              <w:t>80</w:t>
            </w:r>
          </w:p>
        </w:tc>
        <w:tc>
          <w:tcPr>
            <w:tcW w:w="80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10 739 300</w:t>
            </w:r>
          </w:p>
        </w:tc>
        <w:tc>
          <w:tcPr>
            <w:tcW w:w="80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4</w:t>
            </w:r>
            <w:r>
              <w:rPr>
                <w:rFonts w:ascii="Times New Roman" w:hAnsi="Times New Roman" w:cs="Times New Roman"/>
                <w:b/>
                <w:bCs/>
                <w:color w:val="000000"/>
                <w:sz w:val="14"/>
                <w:szCs w:val="14"/>
                <w:lang w:eastAsia="sk-SK"/>
              </w:rPr>
              <w:t>66</w:t>
            </w:r>
          </w:p>
        </w:tc>
        <w:tc>
          <w:tcPr>
            <w:tcW w:w="80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2 924 100</w:t>
            </w:r>
          </w:p>
        </w:tc>
        <w:tc>
          <w:tcPr>
            <w:tcW w:w="801"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0</w:t>
            </w:r>
          </w:p>
        </w:tc>
      </w:tr>
    </w:tbl>
    <w:p w:rsidR="009D2A34" w:rsidRPr="00D71578" w:rsidP="009D2A34">
      <w:pPr>
        <w:bidi w:val="0"/>
        <w:ind w:firstLine="708"/>
        <w:jc w:val="both"/>
        <w:rPr>
          <w:rFonts w:ascii="Times New Roman" w:hAnsi="Times New Roman" w:cs="Times New Roman"/>
        </w:rPr>
      </w:pPr>
    </w:p>
    <w:p w:rsidR="009D2A34" w:rsidRPr="00D71578" w:rsidP="009D2A34">
      <w:pPr>
        <w:bidi w:val="0"/>
        <w:ind w:firstLine="708"/>
        <w:jc w:val="both"/>
        <w:rPr>
          <w:rFonts w:ascii="Times New Roman" w:hAnsi="Times New Roman" w:cs="Times New Roman"/>
        </w:rPr>
      </w:pPr>
      <w:r w:rsidRPr="00D71578">
        <w:rPr>
          <w:rFonts w:ascii="Times New Roman" w:hAnsi="Times New Roman" w:cs="Times New Roman"/>
        </w:rPr>
        <w:t>Pre kapitolu sa k uvedeným novovytvoreným ubytovacím kapacitám pre obvinených a odsúdených rozpočtujú aj nevyhnutné počty zamestnancov a osobné a ostatné prevádzkové výdavky, ktoré sú rozpísané v tabuľke.</w:t>
      </w:r>
    </w:p>
    <w:p w:rsidR="009D2A34" w:rsidRPr="007E0D85" w:rsidP="009D2A34">
      <w:pPr>
        <w:bidi w:val="0"/>
        <w:ind w:firstLine="708"/>
        <w:jc w:val="both"/>
        <w:rPr>
          <w:rFonts w:ascii="Times New Roman" w:hAnsi="Times New Roman" w:cs="Times New Roman"/>
          <w:highlight w:val="yellow"/>
        </w:rPr>
      </w:pPr>
    </w:p>
    <w:tbl>
      <w:tblPr>
        <w:tblStyle w:val="TableNormal"/>
        <w:tblW w:w="9229" w:type="dxa"/>
        <w:tblInd w:w="55" w:type="dxa"/>
        <w:tblLayout w:type="fixed"/>
        <w:tblCellMar>
          <w:left w:w="70" w:type="dxa"/>
          <w:right w:w="70" w:type="dxa"/>
        </w:tblCellMar>
        <w:tblLook w:val="04A0"/>
      </w:tblPr>
      <w:tblGrid>
        <w:gridCol w:w="2567"/>
        <w:gridCol w:w="1665"/>
        <w:gridCol w:w="1666"/>
        <w:gridCol w:w="1665"/>
        <w:gridCol w:w="1666"/>
      </w:tblGrid>
      <w:tr>
        <w:tblPrEx>
          <w:tblW w:w="9229" w:type="dxa"/>
          <w:tblInd w:w="55" w:type="dxa"/>
          <w:tblLayout w:type="fixed"/>
          <w:tblCellMar>
            <w:left w:w="70" w:type="dxa"/>
            <w:right w:w="70" w:type="dxa"/>
          </w:tblCellMar>
          <w:tblLook w:val="04A0"/>
        </w:tblPrEx>
        <w:trPr>
          <w:trHeight w:val="261"/>
        </w:trPr>
        <w:tc>
          <w:tcPr>
            <w:tcW w:w="25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v eurách</w:t>
            </w:r>
          </w:p>
        </w:tc>
        <w:tc>
          <w:tcPr>
            <w:tcW w:w="1665"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2012</w:t>
            </w:r>
          </w:p>
        </w:tc>
        <w:tc>
          <w:tcPr>
            <w:tcW w:w="1666"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2013</w:t>
            </w:r>
          </w:p>
        </w:tc>
        <w:tc>
          <w:tcPr>
            <w:tcW w:w="1665"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2014</w:t>
            </w:r>
          </w:p>
        </w:tc>
        <w:tc>
          <w:tcPr>
            <w:tcW w:w="1666"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2015</w:t>
            </w:r>
          </w:p>
        </w:tc>
      </w:tr>
      <w:tr>
        <w:tblPrEx>
          <w:tblW w:w="9229" w:type="dxa"/>
          <w:tblInd w:w="55" w:type="dxa"/>
          <w:tblLayout w:type="fixed"/>
          <w:tblCellMar>
            <w:left w:w="70" w:type="dxa"/>
            <w:right w:w="70" w:type="dxa"/>
          </w:tblCellMar>
          <w:tblLook w:val="04A0"/>
        </w:tblPrEx>
        <w:trPr>
          <w:trHeight w:val="261"/>
        </w:trPr>
        <w:tc>
          <w:tcPr>
            <w:tcW w:w="25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 xml:space="preserve">počet zamestnancov </w:t>
            </w:r>
          </w:p>
        </w:tc>
        <w:tc>
          <w:tcPr>
            <w:tcW w:w="1665"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10</w:t>
            </w:r>
          </w:p>
        </w:tc>
        <w:tc>
          <w:tcPr>
            <w:tcW w:w="1666"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203</w:t>
            </w:r>
          </w:p>
        </w:tc>
        <w:tc>
          <w:tcPr>
            <w:tcW w:w="1665"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159</w:t>
            </w:r>
          </w:p>
        </w:tc>
        <w:tc>
          <w:tcPr>
            <w:tcW w:w="1666"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0</w:t>
            </w:r>
          </w:p>
        </w:tc>
      </w:tr>
      <w:tr>
        <w:tblPrEx>
          <w:tblW w:w="9229" w:type="dxa"/>
          <w:tblInd w:w="55" w:type="dxa"/>
          <w:tblLayout w:type="fixed"/>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610 – mzdy</w:t>
            </w:r>
          </w:p>
        </w:tc>
        <w:tc>
          <w:tcPr>
            <w:tcW w:w="1665"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69 216</w:t>
            </w:r>
          </w:p>
        </w:tc>
        <w:tc>
          <w:tcPr>
            <w:tcW w:w="1666"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2 846 153</w:t>
            </w:r>
          </w:p>
        </w:tc>
        <w:tc>
          <w:tcPr>
            <w:tcW w:w="1665"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5 002 193</w:t>
            </w:r>
          </w:p>
        </w:tc>
        <w:tc>
          <w:tcPr>
            <w:tcW w:w="1666"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5 002 193</w:t>
            </w:r>
          </w:p>
        </w:tc>
      </w:tr>
      <w:tr>
        <w:tblPrEx>
          <w:tblW w:w="9229" w:type="dxa"/>
          <w:tblInd w:w="55" w:type="dxa"/>
          <w:tblLayout w:type="fixed"/>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620 – poistné</w:t>
            </w:r>
          </w:p>
        </w:tc>
        <w:tc>
          <w:tcPr>
            <w:tcW w:w="1665"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22 980</w:t>
            </w:r>
          </w:p>
        </w:tc>
        <w:tc>
          <w:tcPr>
            <w:tcW w:w="1666"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916 461</w:t>
            </w:r>
          </w:p>
        </w:tc>
        <w:tc>
          <w:tcPr>
            <w:tcW w:w="1665"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1 610 706</w:t>
            </w:r>
          </w:p>
        </w:tc>
        <w:tc>
          <w:tcPr>
            <w:tcW w:w="1666"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1 610 706</w:t>
            </w:r>
          </w:p>
        </w:tc>
      </w:tr>
      <w:tr>
        <w:tblPrEx>
          <w:tblW w:w="9229" w:type="dxa"/>
          <w:tblInd w:w="55" w:type="dxa"/>
          <w:tblLayout w:type="fixed"/>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630 – prevádzkové výdavky</w:t>
            </w:r>
          </w:p>
        </w:tc>
        <w:tc>
          <w:tcPr>
            <w:tcW w:w="1665"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2 295 142</w:t>
            </w:r>
          </w:p>
        </w:tc>
        <w:tc>
          <w:tcPr>
            <w:tcW w:w="1666"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3 267 375</w:t>
            </w:r>
          </w:p>
        </w:tc>
        <w:tc>
          <w:tcPr>
            <w:tcW w:w="1665"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4 552 112</w:t>
            </w:r>
          </w:p>
        </w:tc>
        <w:tc>
          <w:tcPr>
            <w:tcW w:w="1666"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4 552 112</w:t>
            </w:r>
          </w:p>
        </w:tc>
      </w:tr>
      <w:tr>
        <w:tblPrEx>
          <w:tblW w:w="9229" w:type="dxa"/>
          <w:tblInd w:w="55" w:type="dxa"/>
          <w:tblLayout w:type="fixed"/>
          <w:tblCellMar>
            <w:left w:w="70" w:type="dxa"/>
            <w:right w:w="70" w:type="dxa"/>
          </w:tblCellMar>
          <w:tblLook w:val="04A0"/>
        </w:tblPrEx>
        <w:trPr>
          <w:trHeight w:val="261"/>
        </w:trPr>
        <w:tc>
          <w:tcPr>
            <w:tcW w:w="25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Spolu</w:t>
            </w:r>
          </w:p>
        </w:tc>
        <w:tc>
          <w:tcPr>
            <w:tcW w:w="1665"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2 387 338</w:t>
            </w:r>
          </w:p>
        </w:tc>
        <w:tc>
          <w:tcPr>
            <w:tcW w:w="1666"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7 029 989</w:t>
            </w:r>
          </w:p>
        </w:tc>
        <w:tc>
          <w:tcPr>
            <w:tcW w:w="1665"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11 165 011</w:t>
            </w:r>
          </w:p>
        </w:tc>
        <w:tc>
          <w:tcPr>
            <w:tcW w:w="1666"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D71578" w:rsidP="006338E5">
            <w:pPr>
              <w:bidi w:val="0"/>
              <w:jc w:val="right"/>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11 165 011</w:t>
            </w:r>
          </w:p>
        </w:tc>
      </w:tr>
    </w:tbl>
    <w:p w:rsidR="009D2A34" w:rsidRPr="007E0D85" w:rsidP="009D2A34">
      <w:pPr>
        <w:bidi w:val="0"/>
        <w:jc w:val="both"/>
        <w:rPr>
          <w:rFonts w:ascii="Times New Roman" w:hAnsi="Times New Roman" w:cs="Times New Roman"/>
          <w:highlight w:val="yellow"/>
        </w:rPr>
      </w:pPr>
    </w:p>
    <w:tbl>
      <w:tblPr>
        <w:tblStyle w:val="TableNormal"/>
        <w:tblW w:w="9229" w:type="dxa"/>
        <w:tblInd w:w="55" w:type="dxa"/>
        <w:tblCellMar>
          <w:left w:w="70" w:type="dxa"/>
          <w:right w:w="70" w:type="dxa"/>
        </w:tblCellMar>
        <w:tblLook w:val="04A0"/>
      </w:tblPr>
      <w:tblGrid>
        <w:gridCol w:w="2567"/>
        <w:gridCol w:w="951"/>
        <w:gridCol w:w="952"/>
        <w:gridCol w:w="952"/>
        <w:gridCol w:w="951"/>
        <w:gridCol w:w="952"/>
        <w:gridCol w:w="952"/>
        <w:gridCol w:w="952"/>
      </w:tblGrid>
      <w:tr>
        <w:tblPrEx>
          <w:tblW w:w="9229" w:type="dxa"/>
          <w:tblInd w:w="55" w:type="dxa"/>
          <w:tblCellMar>
            <w:left w:w="70" w:type="dxa"/>
            <w:right w:w="70" w:type="dxa"/>
          </w:tblCellMar>
          <w:tblLook w:val="04A0"/>
        </w:tblPrEx>
        <w:trPr>
          <w:trHeight w:val="261"/>
        </w:trPr>
        <w:tc>
          <w:tcPr>
            <w:tcW w:w="2567"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Celková ubytovacia kapacita k 31.12.</w:t>
            </w:r>
          </w:p>
        </w:tc>
        <w:tc>
          <w:tcPr>
            <w:tcW w:w="95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2010 S</w:t>
            </w:r>
          </w:p>
        </w:tc>
        <w:tc>
          <w:tcPr>
            <w:tcW w:w="95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2011 S</w:t>
            </w:r>
          </w:p>
        </w:tc>
        <w:tc>
          <w:tcPr>
            <w:tcW w:w="95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2012 R</w:t>
            </w:r>
          </w:p>
        </w:tc>
        <w:tc>
          <w:tcPr>
            <w:tcW w:w="95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2012 OS</w:t>
            </w:r>
          </w:p>
        </w:tc>
        <w:tc>
          <w:tcPr>
            <w:tcW w:w="95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2013 R</w:t>
            </w:r>
          </w:p>
        </w:tc>
        <w:tc>
          <w:tcPr>
            <w:tcW w:w="95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2014 N</w:t>
            </w:r>
          </w:p>
        </w:tc>
        <w:tc>
          <w:tcPr>
            <w:tcW w:w="95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2015 N</w:t>
            </w:r>
          </w:p>
        </w:tc>
      </w:tr>
      <w:tr>
        <w:tblPrEx>
          <w:tblW w:w="9229" w:type="dxa"/>
          <w:tblInd w:w="55" w:type="dxa"/>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osoba / m²</w:t>
            </w:r>
          </w:p>
        </w:tc>
        <w:tc>
          <w:tcPr>
            <w:tcW w:w="951"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lang w:eastAsia="sk-SK"/>
              </w:rPr>
            </w:pPr>
            <w:r w:rsidRPr="00D71578">
              <w:rPr>
                <w:rFonts w:ascii="Times New Roman" w:hAnsi="Times New Roman" w:cs="Times New Roman"/>
                <w:sz w:val="14"/>
                <w:szCs w:val="14"/>
                <w:lang w:eastAsia="sk-SK"/>
              </w:rPr>
              <w:t>3,5</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lang w:eastAsia="sk-SK"/>
              </w:rPr>
            </w:pPr>
            <w:r w:rsidRPr="00D71578">
              <w:rPr>
                <w:rFonts w:ascii="Times New Roman" w:hAnsi="Times New Roman" w:cs="Times New Roman"/>
                <w:sz w:val="14"/>
                <w:szCs w:val="14"/>
                <w:lang w:eastAsia="sk-SK"/>
              </w:rPr>
              <w:t>3,5</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lang w:eastAsia="sk-SK"/>
              </w:rPr>
            </w:pPr>
            <w:r w:rsidRPr="00D71578">
              <w:rPr>
                <w:rFonts w:ascii="Times New Roman" w:hAnsi="Times New Roman" w:cs="Times New Roman"/>
                <w:sz w:val="14"/>
                <w:szCs w:val="14"/>
                <w:lang w:eastAsia="sk-SK"/>
              </w:rPr>
              <w:t>3,5</w:t>
            </w:r>
          </w:p>
        </w:tc>
        <w:tc>
          <w:tcPr>
            <w:tcW w:w="951"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3,5</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3,5</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3,5</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sz w:val="14"/>
                <w:szCs w:val="14"/>
              </w:rPr>
            </w:pPr>
            <w:r w:rsidRPr="00D71578">
              <w:rPr>
                <w:rFonts w:ascii="Times New Roman" w:hAnsi="Times New Roman" w:cs="Times New Roman"/>
                <w:sz w:val="14"/>
                <w:szCs w:val="14"/>
              </w:rPr>
              <w:t>3,5</w:t>
            </w:r>
          </w:p>
        </w:tc>
      </w:tr>
      <w:tr>
        <w:tblPrEx>
          <w:tblW w:w="9229" w:type="dxa"/>
          <w:tblInd w:w="55" w:type="dxa"/>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Obvinení</w:t>
            </w:r>
          </w:p>
        </w:tc>
        <w:tc>
          <w:tcPr>
            <w:tcW w:w="951"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2 336</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2 336</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2 336</w:t>
            </w:r>
          </w:p>
        </w:tc>
        <w:tc>
          <w:tcPr>
            <w:tcW w:w="951"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2 336</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2 336</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2 336</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2 336</w:t>
            </w:r>
          </w:p>
        </w:tc>
      </w:tr>
      <w:tr>
        <w:tblPrEx>
          <w:tblW w:w="9229" w:type="dxa"/>
          <w:tblInd w:w="55" w:type="dxa"/>
          <w:tblCellMar>
            <w:left w:w="70" w:type="dxa"/>
            <w:right w:w="70" w:type="dxa"/>
          </w:tblCellMar>
          <w:tblLook w:val="04A0"/>
        </w:tblPrEx>
        <w:trPr>
          <w:trHeight w:val="261"/>
        </w:trPr>
        <w:tc>
          <w:tcPr>
            <w:tcW w:w="2567"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D71578" w:rsidP="006338E5">
            <w:pPr>
              <w:bidi w:val="0"/>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Odsúdení</w:t>
            </w:r>
          </w:p>
        </w:tc>
        <w:tc>
          <w:tcPr>
            <w:tcW w:w="951"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8 279</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8 333</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color w:val="000000"/>
                <w:sz w:val="14"/>
                <w:szCs w:val="14"/>
                <w:lang w:eastAsia="sk-SK"/>
              </w:rPr>
            </w:pPr>
            <w:r w:rsidRPr="00D71578">
              <w:rPr>
                <w:rFonts w:ascii="Times New Roman" w:hAnsi="Times New Roman" w:cs="Times New Roman"/>
                <w:color w:val="000000"/>
                <w:sz w:val="14"/>
                <w:szCs w:val="14"/>
                <w:lang w:eastAsia="sk-SK"/>
              </w:rPr>
              <w:t>8 364</w:t>
            </w:r>
          </w:p>
        </w:tc>
        <w:tc>
          <w:tcPr>
            <w:tcW w:w="951" w:type="dxa"/>
            <w:tcBorders>
              <w:top w:val="nil"/>
              <w:left w:val="nil"/>
              <w:bottom w:val="single" w:sz="4" w:space="0" w:color="auto"/>
              <w:right w:val="single" w:sz="4" w:space="0" w:color="auto"/>
            </w:tcBorders>
            <w:shd w:val="clear" w:color="000000" w:fill="FFFFFF"/>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8 449</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9D58D4" w:rsidP="006338E5">
            <w:pPr>
              <w:bidi w:val="0"/>
              <w:jc w:val="right"/>
              <w:rPr>
                <w:rFonts w:ascii="Times New Roman" w:hAnsi="Times New Roman" w:cs="Times New Roman"/>
                <w:color w:val="000000"/>
                <w:sz w:val="14"/>
                <w:szCs w:val="14"/>
              </w:rPr>
            </w:pPr>
            <w:r w:rsidRPr="009D58D4">
              <w:rPr>
                <w:rFonts w:ascii="Times New Roman" w:hAnsi="Times New Roman" w:cs="Times New Roman"/>
                <w:color w:val="000000"/>
                <w:sz w:val="14"/>
                <w:szCs w:val="14"/>
              </w:rPr>
              <w:t>8 829</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9D58D4" w:rsidP="006338E5">
            <w:pPr>
              <w:bidi w:val="0"/>
              <w:jc w:val="right"/>
              <w:rPr>
                <w:rFonts w:ascii="Times New Roman" w:hAnsi="Times New Roman" w:cs="Times New Roman"/>
                <w:color w:val="000000"/>
                <w:sz w:val="14"/>
                <w:szCs w:val="14"/>
              </w:rPr>
            </w:pPr>
            <w:r w:rsidRPr="009D58D4">
              <w:rPr>
                <w:rFonts w:ascii="Times New Roman" w:hAnsi="Times New Roman" w:cs="Times New Roman"/>
                <w:color w:val="000000"/>
                <w:sz w:val="14"/>
                <w:szCs w:val="14"/>
              </w:rPr>
              <w:t>9 295</w:t>
            </w:r>
          </w:p>
        </w:tc>
        <w:tc>
          <w:tcPr>
            <w:tcW w:w="952" w:type="dxa"/>
            <w:tcBorders>
              <w:top w:val="nil"/>
              <w:left w:val="nil"/>
              <w:bottom w:val="single" w:sz="4" w:space="0" w:color="auto"/>
              <w:right w:val="single" w:sz="4" w:space="0" w:color="auto"/>
            </w:tcBorders>
            <w:shd w:val="clear" w:color="000000" w:fill="FFFFFF"/>
            <w:textDirection w:val="lrTb"/>
            <w:vAlign w:val="center"/>
            <w:hideMark/>
          </w:tcPr>
          <w:p w:rsidR="009D2A34" w:rsidRPr="009D58D4" w:rsidP="006338E5">
            <w:pPr>
              <w:bidi w:val="0"/>
              <w:jc w:val="right"/>
              <w:rPr>
                <w:rFonts w:ascii="Times New Roman" w:hAnsi="Times New Roman" w:cs="Times New Roman"/>
                <w:color w:val="000000"/>
                <w:sz w:val="14"/>
                <w:szCs w:val="14"/>
              </w:rPr>
            </w:pPr>
            <w:r w:rsidRPr="009D58D4">
              <w:rPr>
                <w:rFonts w:ascii="Times New Roman" w:hAnsi="Times New Roman" w:cs="Times New Roman"/>
                <w:color w:val="000000"/>
                <w:sz w:val="14"/>
                <w:szCs w:val="14"/>
              </w:rPr>
              <w:t>9 295</w:t>
            </w:r>
          </w:p>
        </w:tc>
      </w:tr>
      <w:tr>
        <w:tblPrEx>
          <w:tblW w:w="9229" w:type="dxa"/>
          <w:tblInd w:w="55" w:type="dxa"/>
          <w:tblCellMar>
            <w:left w:w="70" w:type="dxa"/>
            <w:right w:w="70" w:type="dxa"/>
          </w:tblCellMar>
          <w:tblLook w:val="04A0"/>
        </w:tblPrEx>
        <w:trPr>
          <w:trHeight w:val="261"/>
        </w:trPr>
        <w:tc>
          <w:tcPr>
            <w:tcW w:w="25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9D2A34" w:rsidRPr="00D71578" w:rsidP="006338E5">
            <w:pPr>
              <w:bidi w:val="0"/>
              <w:rPr>
                <w:rFonts w:ascii="Times New Roman" w:hAnsi="Times New Roman" w:cs="Times New Roman"/>
                <w:b/>
                <w:bCs/>
                <w:color w:val="000000"/>
                <w:sz w:val="14"/>
                <w:szCs w:val="14"/>
                <w:lang w:eastAsia="sk-SK"/>
              </w:rPr>
            </w:pPr>
            <w:r w:rsidRPr="00D71578">
              <w:rPr>
                <w:rFonts w:ascii="Times New Roman" w:hAnsi="Times New Roman" w:cs="Times New Roman"/>
                <w:b/>
                <w:bCs/>
                <w:color w:val="000000"/>
                <w:sz w:val="14"/>
                <w:szCs w:val="14"/>
                <w:lang w:eastAsia="sk-SK"/>
              </w:rPr>
              <w:t>Obvinení a odsúdení spolu</w:t>
            </w:r>
          </w:p>
        </w:tc>
        <w:tc>
          <w:tcPr>
            <w:tcW w:w="95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sz w:val="14"/>
                <w:szCs w:val="14"/>
                <w:lang w:eastAsia="sk-SK"/>
              </w:rPr>
            </w:pPr>
            <w:r w:rsidRPr="00D71578">
              <w:rPr>
                <w:rFonts w:ascii="Times New Roman" w:hAnsi="Times New Roman" w:cs="Times New Roman"/>
                <w:b/>
                <w:bCs/>
                <w:sz w:val="14"/>
                <w:szCs w:val="14"/>
                <w:lang w:eastAsia="sk-SK"/>
              </w:rPr>
              <w:t>10 615</w:t>
            </w:r>
          </w:p>
        </w:tc>
        <w:tc>
          <w:tcPr>
            <w:tcW w:w="95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sz w:val="14"/>
                <w:szCs w:val="14"/>
                <w:lang w:eastAsia="sk-SK"/>
              </w:rPr>
            </w:pPr>
            <w:r w:rsidRPr="00D71578">
              <w:rPr>
                <w:rFonts w:ascii="Times New Roman" w:hAnsi="Times New Roman" w:cs="Times New Roman"/>
                <w:b/>
                <w:bCs/>
                <w:sz w:val="14"/>
                <w:szCs w:val="14"/>
                <w:lang w:eastAsia="sk-SK"/>
              </w:rPr>
              <w:t>10 669</w:t>
            </w:r>
          </w:p>
        </w:tc>
        <w:tc>
          <w:tcPr>
            <w:tcW w:w="95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sz w:val="14"/>
                <w:szCs w:val="14"/>
                <w:lang w:eastAsia="sk-SK"/>
              </w:rPr>
            </w:pPr>
            <w:r w:rsidRPr="00D71578">
              <w:rPr>
                <w:rFonts w:ascii="Times New Roman" w:hAnsi="Times New Roman" w:cs="Times New Roman"/>
                <w:b/>
                <w:bCs/>
                <w:sz w:val="14"/>
                <w:szCs w:val="14"/>
                <w:lang w:eastAsia="sk-SK"/>
              </w:rPr>
              <w:t>10 700</w:t>
            </w:r>
          </w:p>
        </w:tc>
        <w:tc>
          <w:tcPr>
            <w:tcW w:w="95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sz w:val="14"/>
                <w:szCs w:val="14"/>
              </w:rPr>
            </w:pPr>
            <w:r w:rsidRPr="00D71578">
              <w:rPr>
                <w:rFonts w:ascii="Times New Roman" w:hAnsi="Times New Roman" w:cs="Times New Roman"/>
                <w:b/>
                <w:bCs/>
                <w:sz w:val="14"/>
                <w:szCs w:val="14"/>
              </w:rPr>
              <w:t>10 785</w:t>
            </w:r>
          </w:p>
        </w:tc>
        <w:tc>
          <w:tcPr>
            <w:tcW w:w="95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9D58D4" w:rsidP="006338E5">
            <w:pPr>
              <w:bidi w:val="0"/>
              <w:jc w:val="right"/>
              <w:rPr>
                <w:rFonts w:ascii="Times New Roman" w:hAnsi="Times New Roman" w:cs="Times New Roman"/>
                <w:b/>
                <w:bCs/>
                <w:color w:val="000000"/>
                <w:sz w:val="14"/>
                <w:szCs w:val="14"/>
              </w:rPr>
            </w:pPr>
            <w:r w:rsidRPr="009D58D4">
              <w:rPr>
                <w:rFonts w:ascii="Times New Roman" w:hAnsi="Times New Roman" w:cs="Times New Roman"/>
                <w:b/>
                <w:bCs/>
                <w:color w:val="000000"/>
                <w:sz w:val="14"/>
                <w:szCs w:val="14"/>
              </w:rPr>
              <w:t>11 165</w:t>
            </w:r>
          </w:p>
        </w:tc>
        <w:tc>
          <w:tcPr>
            <w:tcW w:w="95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9D58D4" w:rsidP="006338E5">
            <w:pPr>
              <w:bidi w:val="0"/>
              <w:jc w:val="right"/>
              <w:rPr>
                <w:rFonts w:ascii="Times New Roman" w:hAnsi="Times New Roman" w:cs="Times New Roman"/>
                <w:b/>
                <w:bCs/>
                <w:color w:val="000000"/>
                <w:sz w:val="14"/>
                <w:szCs w:val="14"/>
              </w:rPr>
            </w:pPr>
            <w:r w:rsidRPr="009D58D4">
              <w:rPr>
                <w:rFonts w:ascii="Times New Roman" w:hAnsi="Times New Roman" w:cs="Times New Roman"/>
                <w:b/>
                <w:bCs/>
                <w:color w:val="000000"/>
                <w:sz w:val="14"/>
                <w:szCs w:val="14"/>
              </w:rPr>
              <w:t>11 631</w:t>
            </w:r>
          </w:p>
        </w:tc>
        <w:tc>
          <w:tcPr>
            <w:tcW w:w="95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9D58D4" w:rsidP="006338E5">
            <w:pPr>
              <w:bidi w:val="0"/>
              <w:jc w:val="right"/>
              <w:rPr>
                <w:rFonts w:ascii="Times New Roman" w:hAnsi="Times New Roman" w:cs="Times New Roman"/>
                <w:b/>
                <w:bCs/>
                <w:color w:val="000000"/>
                <w:sz w:val="14"/>
                <w:szCs w:val="14"/>
              </w:rPr>
            </w:pPr>
            <w:r w:rsidRPr="009D58D4">
              <w:rPr>
                <w:rFonts w:ascii="Times New Roman" w:hAnsi="Times New Roman" w:cs="Times New Roman"/>
                <w:b/>
                <w:bCs/>
                <w:color w:val="000000"/>
                <w:sz w:val="14"/>
                <w:szCs w:val="14"/>
              </w:rPr>
              <w:t>11 631</w:t>
            </w:r>
          </w:p>
        </w:tc>
      </w:tr>
    </w:tbl>
    <w:p w:rsidR="009D2A34" w:rsidRPr="007E0D85" w:rsidP="009D2A34">
      <w:pPr>
        <w:tabs>
          <w:tab w:val="left" w:pos="360"/>
        </w:tabs>
        <w:bidi w:val="0"/>
        <w:jc w:val="both"/>
        <w:rPr>
          <w:rFonts w:ascii="Times New Roman" w:hAnsi="Times New Roman" w:cs="Times New Roman"/>
          <w:highlight w:val="yellow"/>
        </w:rPr>
      </w:pPr>
    </w:p>
    <w:p w:rsidR="009D2A34" w:rsidRPr="00D71578" w:rsidP="009D2A34">
      <w:pPr>
        <w:bidi w:val="0"/>
        <w:ind w:firstLine="708"/>
        <w:jc w:val="both"/>
        <w:rPr>
          <w:rFonts w:ascii="Times New Roman" w:hAnsi="Times New Roman" w:cs="Times New Roman"/>
        </w:rPr>
      </w:pPr>
      <w:r w:rsidRPr="00D71578">
        <w:rPr>
          <w:rFonts w:ascii="Times New Roman" w:hAnsi="Times New Roman" w:cs="Times New Roman"/>
        </w:rPr>
        <w:t>Prehľad o základných výdavkoch rozpočtovaných na väzenstvo dáva nasledovná tabuľka.</w:t>
      </w:r>
    </w:p>
    <w:p w:rsidR="009D2A34" w:rsidRPr="007E0D85" w:rsidP="009D2A34">
      <w:pPr>
        <w:bidi w:val="0"/>
        <w:jc w:val="both"/>
        <w:rPr>
          <w:rFonts w:ascii="Times New Roman" w:hAnsi="Times New Roman" w:cs="Times New Roman"/>
          <w:highlight w:val="yellow"/>
        </w:rPr>
      </w:pPr>
    </w:p>
    <w:tbl>
      <w:tblPr>
        <w:tblStyle w:val="TableNormal"/>
        <w:tblW w:w="9219" w:type="dxa"/>
        <w:tblInd w:w="65" w:type="dxa"/>
        <w:tblLayout w:type="fixed"/>
        <w:tblCellMar>
          <w:left w:w="70" w:type="dxa"/>
          <w:right w:w="70" w:type="dxa"/>
        </w:tblCellMar>
        <w:tblLook w:val="04A0"/>
      </w:tblPr>
      <w:tblGrid>
        <w:gridCol w:w="2132"/>
        <w:gridCol w:w="1012"/>
        <w:gridCol w:w="1012"/>
        <w:gridCol w:w="1013"/>
        <w:gridCol w:w="1012"/>
        <w:gridCol w:w="1013"/>
        <w:gridCol w:w="1012"/>
        <w:gridCol w:w="1013"/>
      </w:tblGrid>
      <w:tr>
        <w:tblPrEx>
          <w:tblW w:w="9219" w:type="dxa"/>
          <w:tblInd w:w="65" w:type="dxa"/>
          <w:tblLayout w:type="fixed"/>
          <w:tblCellMar>
            <w:left w:w="70" w:type="dxa"/>
            <w:right w:w="70" w:type="dxa"/>
          </w:tblCellMar>
          <w:tblLook w:val="04A0"/>
        </w:tblPrEx>
        <w:trPr>
          <w:trHeight w:val="261"/>
        </w:trPr>
        <w:tc>
          <w:tcPr>
            <w:tcW w:w="213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D71578" w:rsidP="006338E5">
            <w:pPr>
              <w:bidi w:val="0"/>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v eurách</w:t>
            </w:r>
          </w:p>
        </w:tc>
        <w:tc>
          <w:tcPr>
            <w:tcW w:w="101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2010 S</w:t>
            </w:r>
          </w:p>
        </w:tc>
        <w:tc>
          <w:tcPr>
            <w:tcW w:w="101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2011 S</w:t>
            </w:r>
          </w:p>
        </w:tc>
        <w:tc>
          <w:tcPr>
            <w:tcW w:w="101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2012 R</w:t>
            </w:r>
          </w:p>
        </w:tc>
        <w:tc>
          <w:tcPr>
            <w:tcW w:w="101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2012 OS</w:t>
            </w:r>
          </w:p>
        </w:tc>
        <w:tc>
          <w:tcPr>
            <w:tcW w:w="101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lang w:eastAsia="sk-SK"/>
              </w:rPr>
              <w:t>2013 R</w:t>
            </w:r>
          </w:p>
        </w:tc>
        <w:tc>
          <w:tcPr>
            <w:tcW w:w="101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2014 N</w:t>
            </w:r>
          </w:p>
        </w:tc>
        <w:tc>
          <w:tcPr>
            <w:tcW w:w="101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D71578" w:rsidP="006338E5">
            <w:pPr>
              <w:bidi w:val="0"/>
              <w:jc w:val="center"/>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2015 N</w:t>
            </w:r>
          </w:p>
        </w:tc>
      </w:tr>
      <w:tr>
        <w:tblPrEx>
          <w:tblW w:w="9219" w:type="dxa"/>
          <w:tblInd w:w="65" w:type="dxa"/>
          <w:tblLayout w:type="fixed"/>
          <w:tblCellMar>
            <w:left w:w="70" w:type="dxa"/>
            <w:right w:w="70" w:type="dxa"/>
          </w:tblCellMar>
          <w:tblLook w:val="04A0"/>
        </w:tblPrEx>
        <w:trPr>
          <w:trHeight w:val="261"/>
        </w:trPr>
        <w:tc>
          <w:tcPr>
            <w:tcW w:w="213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D71578" w:rsidP="006338E5">
            <w:pPr>
              <w:bidi w:val="0"/>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väzenstvo spolu</w:t>
            </w:r>
          </w:p>
        </w:tc>
        <w:tc>
          <w:tcPr>
            <w:tcW w:w="101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136 240 017</w:t>
            </w:r>
          </w:p>
        </w:tc>
        <w:tc>
          <w:tcPr>
            <w:tcW w:w="101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139 146 855</w:t>
            </w:r>
          </w:p>
        </w:tc>
        <w:tc>
          <w:tcPr>
            <w:tcW w:w="1013"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146 758 996</w:t>
            </w:r>
          </w:p>
        </w:tc>
        <w:tc>
          <w:tcPr>
            <w:tcW w:w="101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147 392 872</w:t>
            </w:r>
          </w:p>
        </w:tc>
        <w:tc>
          <w:tcPr>
            <w:tcW w:w="1013"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b/>
                <w:bCs/>
                <w:color w:val="000000"/>
                <w:sz w:val="14"/>
                <w:szCs w:val="14"/>
              </w:rPr>
            </w:pPr>
            <w:r w:rsidRPr="00105665">
              <w:rPr>
                <w:rFonts w:ascii="Times New Roman" w:hAnsi="Times New Roman" w:cs="Times New Roman"/>
                <w:b/>
                <w:bCs/>
                <w:color w:val="000000"/>
                <w:sz w:val="14"/>
                <w:szCs w:val="14"/>
              </w:rPr>
              <w:t>154 583</w:t>
            </w:r>
            <w:r>
              <w:rPr>
                <w:rFonts w:ascii="Times New Roman" w:hAnsi="Times New Roman" w:cs="Times New Roman"/>
                <w:b/>
                <w:bCs/>
                <w:color w:val="000000"/>
                <w:sz w:val="14"/>
                <w:szCs w:val="14"/>
              </w:rPr>
              <w:t> </w:t>
            </w:r>
            <w:r w:rsidRPr="00105665">
              <w:rPr>
                <w:rFonts w:ascii="Times New Roman" w:hAnsi="Times New Roman" w:cs="Times New Roman"/>
                <w:b/>
                <w:bCs/>
                <w:color w:val="000000"/>
                <w:sz w:val="14"/>
                <w:szCs w:val="14"/>
              </w:rPr>
              <w:t>604</w:t>
            </w:r>
          </w:p>
        </w:tc>
        <w:tc>
          <w:tcPr>
            <w:tcW w:w="101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b/>
                <w:bCs/>
                <w:color w:val="000000"/>
                <w:sz w:val="14"/>
                <w:szCs w:val="14"/>
              </w:rPr>
            </w:pPr>
            <w:r w:rsidRPr="00105665">
              <w:rPr>
                <w:rFonts w:ascii="Times New Roman" w:hAnsi="Times New Roman" w:cs="Times New Roman"/>
                <w:b/>
                <w:bCs/>
                <w:color w:val="000000"/>
                <w:sz w:val="14"/>
                <w:szCs w:val="14"/>
              </w:rPr>
              <w:t>160 630 851</w:t>
            </w:r>
          </w:p>
        </w:tc>
        <w:tc>
          <w:tcPr>
            <w:tcW w:w="1013"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b/>
                <w:bCs/>
                <w:color w:val="000000"/>
                <w:sz w:val="14"/>
                <w:szCs w:val="14"/>
              </w:rPr>
            </w:pPr>
            <w:r w:rsidRPr="00105665">
              <w:rPr>
                <w:rFonts w:ascii="Times New Roman" w:hAnsi="Times New Roman" w:cs="Times New Roman"/>
                <w:b/>
                <w:bCs/>
                <w:color w:val="000000"/>
                <w:sz w:val="14"/>
                <w:szCs w:val="14"/>
              </w:rPr>
              <w:t>150 184 097</w:t>
            </w:r>
          </w:p>
        </w:tc>
      </w:tr>
      <w:tr>
        <w:tblPrEx>
          <w:tblW w:w="9219" w:type="dxa"/>
          <w:tblInd w:w="65" w:type="dxa"/>
          <w:tblLayout w:type="fixed"/>
          <w:tblCellMar>
            <w:left w:w="70" w:type="dxa"/>
            <w:right w:w="70" w:type="dxa"/>
          </w:tblCellMar>
          <w:tblLook w:val="04A0"/>
        </w:tblPrEx>
        <w:trPr>
          <w:trHeight w:val="261"/>
        </w:trPr>
        <w:tc>
          <w:tcPr>
            <w:tcW w:w="213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rPr>
            </w:pPr>
            <w:r w:rsidRPr="00D71578">
              <w:rPr>
                <w:rFonts w:ascii="Times New Roman" w:hAnsi="Times New Roman" w:cs="Times New Roman"/>
                <w:color w:val="000000"/>
                <w:sz w:val="14"/>
                <w:szCs w:val="14"/>
              </w:rPr>
              <w:t>Kap. výdavky na nové kapacity</w:t>
            </w:r>
          </w:p>
        </w:tc>
        <w:tc>
          <w:tcPr>
            <w:tcW w:w="101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0</w:t>
            </w:r>
          </w:p>
        </w:tc>
        <w:tc>
          <w:tcPr>
            <w:tcW w:w="101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0</w:t>
            </w:r>
          </w:p>
        </w:tc>
        <w:tc>
          <w:tcPr>
            <w:tcW w:w="1013"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-3 850 000</w:t>
            </w:r>
          </w:p>
        </w:tc>
        <w:tc>
          <w:tcPr>
            <w:tcW w:w="1012" w:type="dxa"/>
            <w:tcBorders>
              <w:top w:val="nil"/>
              <w:left w:val="nil"/>
              <w:bottom w:val="single" w:sz="4" w:space="0" w:color="auto"/>
              <w:right w:val="single" w:sz="4" w:space="0" w:color="auto"/>
            </w:tcBorders>
            <w:noWrap/>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-3 850 000</w:t>
            </w:r>
          </w:p>
        </w:tc>
        <w:tc>
          <w:tcPr>
            <w:tcW w:w="1013" w:type="dxa"/>
            <w:tcBorders>
              <w:top w:val="nil"/>
              <w:left w:val="nil"/>
              <w:bottom w:val="single" w:sz="4" w:space="0" w:color="auto"/>
              <w:right w:val="single" w:sz="4" w:space="0" w:color="auto"/>
            </w:tcBorders>
            <w:noWrap/>
            <w:textDirection w:val="lrTb"/>
            <w:vAlign w:val="center"/>
            <w:hideMark/>
          </w:tcPr>
          <w:p w:rsidR="009D2A34" w:rsidRPr="001C7CC8" w:rsidP="006338E5">
            <w:pPr>
              <w:bidi w:val="0"/>
              <w:jc w:val="right"/>
              <w:rPr>
                <w:rFonts w:ascii="Times New Roman" w:hAnsi="Times New Roman" w:cs="Times New Roman"/>
                <w:color w:val="000000"/>
                <w:sz w:val="14"/>
                <w:szCs w:val="14"/>
              </w:rPr>
            </w:pPr>
            <w:r w:rsidRPr="001C7CC8">
              <w:rPr>
                <w:rFonts w:ascii="Times New Roman" w:hAnsi="Times New Roman" w:cs="Times New Roman"/>
                <w:color w:val="000000"/>
                <w:sz w:val="14"/>
                <w:szCs w:val="14"/>
              </w:rPr>
              <w:t>-7 898 500</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-10 739 300</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-2 924 100</w:t>
            </w:r>
          </w:p>
        </w:tc>
      </w:tr>
      <w:tr>
        <w:tblPrEx>
          <w:tblW w:w="9219" w:type="dxa"/>
          <w:tblInd w:w="65" w:type="dxa"/>
          <w:tblLayout w:type="fixed"/>
          <w:tblCellMar>
            <w:left w:w="70" w:type="dxa"/>
            <w:right w:w="70" w:type="dxa"/>
          </w:tblCellMar>
          <w:tblLook w:val="04A0"/>
        </w:tblPrEx>
        <w:trPr>
          <w:trHeight w:val="261"/>
        </w:trPr>
        <w:tc>
          <w:tcPr>
            <w:tcW w:w="213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color w:val="000000"/>
                <w:sz w:val="14"/>
                <w:szCs w:val="14"/>
              </w:rPr>
            </w:pPr>
            <w:r w:rsidRPr="00D71578">
              <w:rPr>
                <w:rFonts w:ascii="Times New Roman" w:hAnsi="Times New Roman" w:cs="Times New Roman"/>
                <w:color w:val="000000"/>
                <w:sz w:val="14"/>
                <w:szCs w:val="14"/>
              </w:rPr>
              <w:t>dotácia osobitného účtu</w:t>
            </w:r>
          </w:p>
        </w:tc>
        <w:tc>
          <w:tcPr>
            <w:tcW w:w="101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-7 218 279</w:t>
            </w:r>
          </w:p>
        </w:tc>
        <w:tc>
          <w:tcPr>
            <w:tcW w:w="101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-8 266 743</w:t>
            </w:r>
          </w:p>
        </w:tc>
        <w:tc>
          <w:tcPr>
            <w:tcW w:w="1013"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-9 801 843</w:t>
            </w:r>
          </w:p>
        </w:tc>
        <w:tc>
          <w:tcPr>
            <w:tcW w:w="101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-9 590 000</w:t>
            </w:r>
          </w:p>
        </w:tc>
        <w:tc>
          <w:tcPr>
            <w:tcW w:w="1013" w:type="dxa"/>
            <w:tcBorders>
              <w:top w:val="nil"/>
              <w:left w:val="nil"/>
              <w:bottom w:val="single" w:sz="4" w:space="0" w:color="auto"/>
              <w:right w:val="single" w:sz="4" w:space="0" w:color="auto"/>
            </w:tcBorders>
            <w:textDirection w:val="lrTb"/>
            <w:vAlign w:val="center"/>
            <w:hideMark/>
          </w:tcPr>
          <w:p w:rsidR="009D2A34" w:rsidRPr="001C7CC8" w:rsidP="006338E5">
            <w:pPr>
              <w:bidi w:val="0"/>
              <w:jc w:val="right"/>
              <w:rPr>
                <w:rFonts w:ascii="Times New Roman" w:hAnsi="Times New Roman" w:cs="Times New Roman"/>
                <w:color w:val="000000"/>
                <w:sz w:val="14"/>
                <w:szCs w:val="14"/>
              </w:rPr>
            </w:pPr>
            <w:r w:rsidRPr="001C7CC8">
              <w:rPr>
                <w:rFonts w:ascii="Times New Roman" w:hAnsi="Times New Roman" w:cs="Times New Roman"/>
                <w:color w:val="000000"/>
                <w:sz w:val="14"/>
                <w:szCs w:val="14"/>
              </w:rPr>
              <w:t>-9 249 519</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-8 266 743</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-8 619 989</w:t>
            </w:r>
          </w:p>
        </w:tc>
      </w:tr>
      <w:tr>
        <w:tblPrEx>
          <w:tblW w:w="9219" w:type="dxa"/>
          <w:tblInd w:w="65" w:type="dxa"/>
          <w:tblLayout w:type="fixed"/>
          <w:tblCellMar>
            <w:left w:w="70" w:type="dxa"/>
            <w:right w:w="70" w:type="dxa"/>
          </w:tblCellMar>
          <w:tblLook w:val="04A0"/>
        </w:tblPrEx>
        <w:trPr>
          <w:trHeight w:val="261"/>
        </w:trPr>
        <w:tc>
          <w:tcPr>
            <w:tcW w:w="213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základné výdavky väzenstva</w:t>
            </w:r>
          </w:p>
        </w:tc>
        <w:tc>
          <w:tcPr>
            <w:tcW w:w="1012" w:type="dxa"/>
            <w:tcBorders>
              <w:top w:val="single" w:sz="4" w:space="0" w:color="auto"/>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129 021 738</w:t>
            </w:r>
          </w:p>
        </w:tc>
        <w:tc>
          <w:tcPr>
            <w:tcW w:w="1012" w:type="dxa"/>
            <w:tcBorders>
              <w:top w:val="single" w:sz="4" w:space="0" w:color="auto"/>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130 880 112</w:t>
            </w:r>
          </w:p>
        </w:tc>
        <w:tc>
          <w:tcPr>
            <w:tcW w:w="1013" w:type="dxa"/>
            <w:tcBorders>
              <w:top w:val="single" w:sz="4" w:space="0" w:color="auto"/>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133 107 153</w:t>
            </w:r>
          </w:p>
        </w:tc>
        <w:tc>
          <w:tcPr>
            <w:tcW w:w="1012" w:type="dxa"/>
            <w:tcBorders>
              <w:top w:val="single" w:sz="4" w:space="0" w:color="auto"/>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133 952 872</w:t>
            </w:r>
          </w:p>
        </w:tc>
        <w:tc>
          <w:tcPr>
            <w:tcW w:w="1013" w:type="dxa"/>
            <w:tcBorders>
              <w:top w:val="single" w:sz="4" w:space="0" w:color="auto"/>
              <w:left w:val="nil"/>
              <w:bottom w:val="single" w:sz="4" w:space="0" w:color="auto"/>
              <w:right w:val="single" w:sz="4" w:space="0" w:color="auto"/>
            </w:tcBorders>
            <w:textDirection w:val="lrTb"/>
            <w:vAlign w:val="center"/>
            <w:hideMark/>
          </w:tcPr>
          <w:p w:rsidR="009D2A34" w:rsidRPr="001C7CC8" w:rsidP="006338E5">
            <w:pPr>
              <w:bidi w:val="0"/>
              <w:jc w:val="right"/>
              <w:rPr>
                <w:rFonts w:ascii="Times New Roman" w:hAnsi="Times New Roman" w:cs="Times New Roman"/>
                <w:b/>
                <w:bCs/>
                <w:color w:val="000000"/>
                <w:sz w:val="14"/>
                <w:szCs w:val="14"/>
              </w:rPr>
            </w:pPr>
            <w:r w:rsidRPr="001C7CC8">
              <w:rPr>
                <w:rFonts w:ascii="Times New Roman" w:hAnsi="Times New Roman" w:cs="Times New Roman"/>
                <w:b/>
                <w:bCs/>
                <w:color w:val="000000"/>
                <w:sz w:val="14"/>
                <w:szCs w:val="14"/>
              </w:rPr>
              <w:t>137 435 585</w:t>
            </w:r>
          </w:p>
        </w:tc>
        <w:tc>
          <w:tcPr>
            <w:tcW w:w="1012" w:type="dxa"/>
            <w:tcBorders>
              <w:top w:val="single" w:sz="4" w:space="0" w:color="auto"/>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b/>
                <w:bCs/>
                <w:color w:val="000000"/>
                <w:sz w:val="14"/>
                <w:szCs w:val="14"/>
              </w:rPr>
            </w:pPr>
            <w:r w:rsidRPr="00105665">
              <w:rPr>
                <w:rFonts w:ascii="Times New Roman" w:hAnsi="Times New Roman" w:cs="Times New Roman"/>
                <w:b/>
                <w:bCs/>
                <w:color w:val="000000"/>
                <w:sz w:val="14"/>
                <w:szCs w:val="14"/>
              </w:rPr>
              <w:t>141 624 808</w:t>
            </w:r>
          </w:p>
        </w:tc>
        <w:tc>
          <w:tcPr>
            <w:tcW w:w="1013" w:type="dxa"/>
            <w:tcBorders>
              <w:top w:val="single" w:sz="4" w:space="0" w:color="auto"/>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b/>
                <w:bCs/>
                <w:color w:val="000000"/>
                <w:sz w:val="14"/>
                <w:szCs w:val="14"/>
              </w:rPr>
            </w:pPr>
            <w:r w:rsidRPr="00105665">
              <w:rPr>
                <w:rFonts w:ascii="Times New Roman" w:hAnsi="Times New Roman" w:cs="Times New Roman"/>
                <w:b/>
                <w:bCs/>
                <w:color w:val="000000"/>
                <w:sz w:val="14"/>
                <w:szCs w:val="14"/>
              </w:rPr>
              <w:t>138 640 008</w:t>
            </w:r>
          </w:p>
        </w:tc>
      </w:tr>
      <w:tr>
        <w:tblPrEx>
          <w:tblW w:w="9219" w:type="dxa"/>
          <w:tblInd w:w="65" w:type="dxa"/>
          <w:tblLayout w:type="fixed"/>
          <w:tblCellMar>
            <w:left w:w="70" w:type="dxa"/>
            <w:right w:w="70" w:type="dxa"/>
          </w:tblCellMar>
          <w:tblLook w:val="04A0"/>
        </w:tblPrEx>
        <w:trPr>
          <w:trHeight w:val="261"/>
        </w:trPr>
        <w:tc>
          <w:tcPr>
            <w:tcW w:w="2132" w:type="dxa"/>
            <w:tcBorders>
              <w:top w:val="nil"/>
              <w:left w:val="single" w:sz="4" w:space="0" w:color="auto"/>
              <w:bottom w:val="single" w:sz="4" w:space="0" w:color="auto"/>
              <w:right w:val="single" w:sz="4" w:space="0" w:color="auto"/>
            </w:tcBorders>
            <w:textDirection w:val="lrTb"/>
            <w:vAlign w:val="center"/>
            <w:hideMark/>
          </w:tcPr>
          <w:p w:rsidR="009D2A34" w:rsidRPr="00D71578" w:rsidP="006338E5">
            <w:pPr>
              <w:bidi w:val="0"/>
              <w:rPr>
                <w:rFonts w:ascii="Times New Roman" w:hAnsi="Times New Roman" w:cs="Times New Roman"/>
                <w:color w:val="000000"/>
                <w:sz w:val="14"/>
                <w:szCs w:val="14"/>
              </w:rPr>
            </w:pPr>
            <w:r w:rsidRPr="00D71578">
              <w:rPr>
                <w:rFonts w:ascii="Times New Roman" w:hAnsi="Times New Roman" w:cs="Times New Roman"/>
                <w:color w:val="000000"/>
                <w:sz w:val="14"/>
                <w:szCs w:val="14"/>
              </w:rPr>
              <w:t>obvinení a odsúdení spolu</w:t>
            </w:r>
          </w:p>
        </w:tc>
        <w:tc>
          <w:tcPr>
            <w:tcW w:w="101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9 935</w:t>
            </w:r>
          </w:p>
        </w:tc>
        <w:tc>
          <w:tcPr>
            <w:tcW w:w="101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10 611</w:t>
            </w:r>
          </w:p>
        </w:tc>
        <w:tc>
          <w:tcPr>
            <w:tcW w:w="1013"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11 297</w:t>
            </w:r>
          </w:p>
        </w:tc>
        <w:tc>
          <w:tcPr>
            <w:tcW w:w="101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color w:val="000000"/>
                <w:sz w:val="14"/>
                <w:szCs w:val="14"/>
              </w:rPr>
            </w:pPr>
            <w:r w:rsidRPr="00D71578">
              <w:rPr>
                <w:rFonts w:ascii="Times New Roman" w:hAnsi="Times New Roman" w:cs="Times New Roman"/>
                <w:color w:val="000000"/>
                <w:sz w:val="14"/>
                <w:szCs w:val="14"/>
              </w:rPr>
              <w:t>11 546</w:t>
            </w:r>
          </w:p>
        </w:tc>
        <w:tc>
          <w:tcPr>
            <w:tcW w:w="1013" w:type="dxa"/>
            <w:tcBorders>
              <w:top w:val="nil"/>
              <w:left w:val="nil"/>
              <w:bottom w:val="single" w:sz="4" w:space="0" w:color="auto"/>
              <w:right w:val="single" w:sz="4" w:space="0" w:color="auto"/>
            </w:tcBorders>
            <w:textDirection w:val="lrTb"/>
            <w:vAlign w:val="center"/>
            <w:hideMark/>
          </w:tcPr>
          <w:p w:rsidR="009D2A34" w:rsidRPr="001C7CC8" w:rsidP="006338E5">
            <w:pPr>
              <w:bidi w:val="0"/>
              <w:jc w:val="right"/>
              <w:rPr>
                <w:rFonts w:ascii="Times New Roman" w:hAnsi="Times New Roman" w:cs="Times New Roman"/>
                <w:color w:val="000000"/>
                <w:sz w:val="14"/>
                <w:szCs w:val="14"/>
              </w:rPr>
            </w:pPr>
            <w:r w:rsidRPr="001C7CC8">
              <w:rPr>
                <w:rFonts w:ascii="Times New Roman" w:hAnsi="Times New Roman" w:cs="Times New Roman"/>
                <w:color w:val="000000"/>
                <w:sz w:val="14"/>
                <w:szCs w:val="14"/>
              </w:rPr>
              <w:t>11 902</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12 598</w:t>
            </w:r>
          </w:p>
        </w:tc>
        <w:tc>
          <w:tcPr>
            <w:tcW w:w="1013"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12 598</w:t>
            </w:r>
          </w:p>
        </w:tc>
      </w:tr>
      <w:tr>
        <w:tblPrEx>
          <w:tblW w:w="9219" w:type="dxa"/>
          <w:tblInd w:w="65" w:type="dxa"/>
          <w:tblLayout w:type="fixed"/>
          <w:tblCellMar>
            <w:left w:w="70" w:type="dxa"/>
            <w:right w:w="70" w:type="dxa"/>
          </w:tblCellMar>
          <w:tblLook w:val="04A0"/>
        </w:tblPrEx>
        <w:trPr>
          <w:trHeight w:val="261"/>
        </w:trPr>
        <w:tc>
          <w:tcPr>
            <w:tcW w:w="2132" w:type="dxa"/>
            <w:tcBorders>
              <w:top w:val="nil"/>
              <w:left w:val="single" w:sz="4" w:space="0" w:color="auto"/>
              <w:bottom w:val="single" w:sz="4" w:space="0" w:color="auto"/>
              <w:right w:val="single" w:sz="4" w:space="0" w:color="auto"/>
            </w:tcBorders>
            <w:noWrap/>
            <w:textDirection w:val="lrTb"/>
            <w:vAlign w:val="center"/>
            <w:hideMark/>
          </w:tcPr>
          <w:p w:rsidR="009D2A34" w:rsidRPr="00D71578" w:rsidP="006338E5">
            <w:pPr>
              <w:bidi w:val="0"/>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základné výdavky na väzňa</w:t>
            </w:r>
          </w:p>
        </w:tc>
        <w:tc>
          <w:tcPr>
            <w:tcW w:w="101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12 987</w:t>
            </w:r>
          </w:p>
        </w:tc>
        <w:tc>
          <w:tcPr>
            <w:tcW w:w="101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12 334</w:t>
            </w:r>
          </w:p>
        </w:tc>
        <w:tc>
          <w:tcPr>
            <w:tcW w:w="1013"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11 783</w:t>
            </w:r>
          </w:p>
        </w:tc>
        <w:tc>
          <w:tcPr>
            <w:tcW w:w="1012" w:type="dxa"/>
            <w:tcBorders>
              <w:top w:val="nil"/>
              <w:left w:val="nil"/>
              <w:bottom w:val="single" w:sz="4" w:space="0" w:color="auto"/>
              <w:right w:val="single" w:sz="4" w:space="0" w:color="auto"/>
            </w:tcBorders>
            <w:textDirection w:val="lrTb"/>
            <w:vAlign w:val="center"/>
            <w:hideMark/>
          </w:tcPr>
          <w:p w:rsidR="009D2A34" w:rsidRPr="00D71578" w:rsidP="006338E5">
            <w:pPr>
              <w:bidi w:val="0"/>
              <w:jc w:val="right"/>
              <w:rPr>
                <w:rFonts w:ascii="Times New Roman" w:hAnsi="Times New Roman" w:cs="Times New Roman"/>
                <w:b/>
                <w:bCs/>
                <w:color w:val="000000"/>
                <w:sz w:val="14"/>
                <w:szCs w:val="14"/>
              </w:rPr>
            </w:pPr>
            <w:r w:rsidRPr="00D71578">
              <w:rPr>
                <w:rFonts w:ascii="Times New Roman" w:hAnsi="Times New Roman" w:cs="Times New Roman"/>
                <w:b/>
                <w:bCs/>
                <w:color w:val="000000"/>
                <w:sz w:val="14"/>
                <w:szCs w:val="14"/>
              </w:rPr>
              <w:t>11 602</w:t>
            </w:r>
          </w:p>
        </w:tc>
        <w:tc>
          <w:tcPr>
            <w:tcW w:w="1013" w:type="dxa"/>
            <w:tcBorders>
              <w:top w:val="nil"/>
              <w:left w:val="nil"/>
              <w:bottom w:val="single" w:sz="4" w:space="0" w:color="auto"/>
              <w:right w:val="single" w:sz="4" w:space="0" w:color="auto"/>
            </w:tcBorders>
            <w:textDirection w:val="lrTb"/>
            <w:vAlign w:val="center"/>
            <w:hideMark/>
          </w:tcPr>
          <w:p w:rsidR="009D2A34" w:rsidRPr="001C7CC8" w:rsidP="006338E5">
            <w:pPr>
              <w:bidi w:val="0"/>
              <w:jc w:val="right"/>
              <w:rPr>
                <w:rFonts w:ascii="Times New Roman" w:hAnsi="Times New Roman" w:cs="Times New Roman"/>
                <w:b/>
                <w:bCs/>
                <w:color w:val="000000"/>
                <w:sz w:val="14"/>
                <w:szCs w:val="14"/>
              </w:rPr>
            </w:pPr>
            <w:r w:rsidRPr="001C7CC8">
              <w:rPr>
                <w:rFonts w:ascii="Times New Roman" w:hAnsi="Times New Roman" w:cs="Times New Roman"/>
                <w:b/>
                <w:bCs/>
                <w:color w:val="000000"/>
                <w:sz w:val="14"/>
                <w:szCs w:val="14"/>
              </w:rPr>
              <w:t>11 547</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b/>
                <w:bCs/>
                <w:color w:val="000000"/>
                <w:sz w:val="14"/>
                <w:szCs w:val="14"/>
              </w:rPr>
            </w:pPr>
            <w:r w:rsidRPr="00105665">
              <w:rPr>
                <w:rFonts w:ascii="Times New Roman" w:hAnsi="Times New Roman" w:cs="Times New Roman"/>
                <w:b/>
                <w:bCs/>
                <w:color w:val="000000"/>
                <w:sz w:val="14"/>
                <w:szCs w:val="14"/>
              </w:rPr>
              <w:t>11 242</w:t>
            </w:r>
          </w:p>
        </w:tc>
        <w:tc>
          <w:tcPr>
            <w:tcW w:w="1013"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b/>
                <w:bCs/>
                <w:color w:val="000000"/>
                <w:sz w:val="14"/>
                <w:szCs w:val="14"/>
              </w:rPr>
            </w:pPr>
            <w:r w:rsidRPr="00105665">
              <w:rPr>
                <w:rFonts w:ascii="Times New Roman" w:hAnsi="Times New Roman" w:cs="Times New Roman"/>
                <w:b/>
                <w:bCs/>
                <w:color w:val="000000"/>
                <w:sz w:val="14"/>
                <w:szCs w:val="14"/>
              </w:rPr>
              <w:t>11 005</w:t>
            </w:r>
          </w:p>
        </w:tc>
      </w:tr>
    </w:tbl>
    <w:p w:rsidR="009D2A34" w:rsidRPr="007E0D85" w:rsidP="009D2A34">
      <w:pPr>
        <w:bidi w:val="0"/>
        <w:jc w:val="both"/>
        <w:rPr>
          <w:rFonts w:ascii="Times New Roman" w:hAnsi="Times New Roman" w:cs="Times New Roman"/>
          <w:highlight w:val="yellow"/>
        </w:rPr>
      </w:pPr>
    </w:p>
    <w:p w:rsidR="009D2A34" w:rsidRPr="00105665" w:rsidP="009D2A34">
      <w:pPr>
        <w:bidi w:val="0"/>
        <w:ind w:firstLine="708"/>
        <w:jc w:val="both"/>
        <w:rPr>
          <w:rFonts w:ascii="Times New Roman" w:hAnsi="Times New Roman" w:cs="Times New Roman"/>
        </w:rPr>
      </w:pPr>
      <w:r w:rsidRPr="00105665">
        <w:rPr>
          <w:rFonts w:ascii="Times New Roman" w:hAnsi="Times New Roman" w:cs="Times New Roman"/>
        </w:rPr>
        <w:t>Priemerné základné výdavky na jednu väznenú osobu od roku 2010 postupne klesajú, v dôsledku stúpajúcej úrovne priemerného počtu obvinených a odsúdených osôb. Celkové výdavky na väzenstvo sú očistené o kapitálové výdavky na nové kapacity ústavov, ktoré sa vytvoria prostredníctvom rozpočtovaných investičných nákladov na rekonštrukciu 5-tich ústavov väzenstva a o dotáciu na osobitný účet väzenstva, ktorá je rozpočtovaná z titulu zabezpečenia vyrovnaného hospodárenia Zboru väzenskej a justičnej stráže. Základné výdavky väzenstva sa prepočítavajú na priemerné počty obvinených a odsúdených osôb, z čoho vyplývajú základné výdavky na väzňa.</w:t>
      </w:r>
    </w:p>
    <w:p w:rsidR="009D2A34" w:rsidRPr="00105665" w:rsidP="009D2A34">
      <w:pPr>
        <w:bidi w:val="0"/>
        <w:jc w:val="both"/>
        <w:rPr>
          <w:rFonts w:ascii="Times New Roman" w:hAnsi="Times New Roman" w:cs="Times New Roman"/>
        </w:rPr>
      </w:pPr>
    </w:p>
    <w:p w:rsidR="009D2A34" w:rsidRPr="00105665" w:rsidP="009D2A34">
      <w:pPr>
        <w:bidi w:val="0"/>
        <w:jc w:val="both"/>
        <w:rPr>
          <w:rFonts w:ascii="Times New Roman" w:hAnsi="Times New Roman" w:cs="Times New Roman"/>
        </w:rPr>
      </w:pPr>
      <w:r w:rsidRPr="00105665">
        <w:rPr>
          <w:rFonts w:ascii="Times New Roman" w:hAnsi="Times New Roman" w:cs="Times New Roman"/>
        </w:rPr>
        <w:tab/>
        <w:t xml:space="preserve">V oblasti väzenstva treba venovať zvýšenú pozornosť problematike osobitného účtu v zmysle zákona č. 328/2002 Z. z. o sociálnom zabezpečení policajtov a vojakov, ktorý slúži na zabezpečenie sociálnych nárokov príslušníkov väzenstva a justičnej stráže. </w:t>
      </w:r>
    </w:p>
    <w:p w:rsidR="009D2A34" w:rsidRPr="007E0D85" w:rsidP="009D2A34">
      <w:pPr>
        <w:bidi w:val="0"/>
        <w:jc w:val="both"/>
        <w:rPr>
          <w:rFonts w:ascii="Times New Roman" w:hAnsi="Times New Roman" w:cs="Times New Roman"/>
          <w:highlight w:val="yellow"/>
        </w:rPr>
      </w:pPr>
    </w:p>
    <w:tbl>
      <w:tblPr>
        <w:tblStyle w:val="TableNormal"/>
        <w:tblW w:w="9140" w:type="dxa"/>
        <w:tblInd w:w="55" w:type="dxa"/>
        <w:tblCellMar>
          <w:left w:w="70" w:type="dxa"/>
          <w:right w:w="70" w:type="dxa"/>
        </w:tblCellMar>
        <w:tblLook w:val="04A0"/>
      </w:tblPr>
      <w:tblGrid>
        <w:gridCol w:w="2420"/>
        <w:gridCol w:w="960"/>
        <w:gridCol w:w="960"/>
        <w:gridCol w:w="960"/>
        <w:gridCol w:w="960"/>
        <w:gridCol w:w="960"/>
        <w:gridCol w:w="960"/>
        <w:gridCol w:w="960"/>
      </w:tblGrid>
      <w:tr>
        <w:tblPrEx>
          <w:tblW w:w="9140" w:type="dxa"/>
          <w:tblInd w:w="55" w:type="dxa"/>
          <w:tblCellMar>
            <w:left w:w="70" w:type="dxa"/>
            <w:right w:w="70" w:type="dxa"/>
          </w:tblCellMar>
          <w:tblLook w:val="04A0"/>
        </w:tblPrEx>
        <w:trPr>
          <w:trHeight w:val="261"/>
        </w:trPr>
        <w:tc>
          <w:tcPr>
            <w:tcW w:w="24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105665" w:rsidP="006338E5">
            <w:pPr>
              <w:bidi w:val="0"/>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Osobitný účet ZVJS  (v eurách)</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2010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2011 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2012 R</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2012 OS</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2013 R</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2014 N</w:t>
            </w:r>
          </w:p>
        </w:tc>
        <w:tc>
          <w:tcPr>
            <w:tcW w:w="96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2015 N</w:t>
            </w:r>
          </w:p>
        </w:tc>
      </w:tr>
      <w:tr>
        <w:tblPrEx>
          <w:tblW w:w="9140" w:type="dxa"/>
          <w:tblInd w:w="55" w:type="dxa"/>
          <w:tblCellMar>
            <w:left w:w="70" w:type="dxa"/>
            <w:right w:w="70" w:type="dxa"/>
          </w:tblCellMar>
          <w:tblLook w:val="04A0"/>
        </w:tblPrEx>
        <w:trPr>
          <w:trHeight w:val="261"/>
        </w:trPr>
        <w:tc>
          <w:tcPr>
            <w:tcW w:w="2420" w:type="dxa"/>
            <w:tcBorders>
              <w:top w:val="nil"/>
              <w:left w:val="single" w:sz="4" w:space="0" w:color="auto"/>
              <w:bottom w:val="single" w:sz="4" w:space="0" w:color="auto"/>
              <w:right w:val="single" w:sz="4" w:space="0" w:color="auto"/>
            </w:tcBorders>
            <w:noWrap/>
            <w:textDirection w:val="lrTb"/>
            <w:vAlign w:val="center"/>
            <w:hideMark/>
          </w:tcPr>
          <w:p w:rsidR="009D2A34" w:rsidRPr="00105665" w:rsidP="006338E5">
            <w:pPr>
              <w:bidi w:val="0"/>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príjmy osobitného účtu</w:t>
            </w:r>
          </w:p>
        </w:tc>
        <w:tc>
          <w:tcPr>
            <w:tcW w:w="960"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22 795 173</w:t>
            </w:r>
          </w:p>
        </w:tc>
        <w:tc>
          <w:tcPr>
            <w:tcW w:w="960"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22 822 384</w:t>
            </w:r>
          </w:p>
        </w:tc>
        <w:tc>
          <w:tcPr>
            <w:tcW w:w="960"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21 169 746</w:t>
            </w:r>
          </w:p>
        </w:tc>
        <w:tc>
          <w:tcPr>
            <w:tcW w:w="960"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21 169 746</w:t>
            </w:r>
          </w:p>
        </w:tc>
        <w:tc>
          <w:tcPr>
            <w:tcW w:w="960"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21 839 302</w:t>
            </w:r>
          </w:p>
        </w:tc>
        <w:tc>
          <w:tcPr>
            <w:tcW w:w="960"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22 549 717</w:t>
            </w:r>
          </w:p>
        </w:tc>
        <w:tc>
          <w:tcPr>
            <w:tcW w:w="960"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22 549 717</w:t>
            </w:r>
          </w:p>
        </w:tc>
      </w:tr>
      <w:tr>
        <w:tblPrEx>
          <w:tblW w:w="9140" w:type="dxa"/>
          <w:tblInd w:w="55" w:type="dxa"/>
          <w:tblCellMar>
            <w:left w:w="70" w:type="dxa"/>
            <w:right w:w="70" w:type="dxa"/>
          </w:tblCellMar>
          <w:tblLook w:val="04A0"/>
        </w:tblPrEx>
        <w:trPr>
          <w:trHeight w:val="261"/>
        </w:trPr>
        <w:tc>
          <w:tcPr>
            <w:tcW w:w="2420" w:type="dxa"/>
            <w:tcBorders>
              <w:top w:val="nil"/>
              <w:left w:val="single" w:sz="4" w:space="0" w:color="auto"/>
              <w:bottom w:val="single" w:sz="4" w:space="0" w:color="auto"/>
              <w:right w:val="single" w:sz="4" w:space="0" w:color="auto"/>
            </w:tcBorders>
            <w:noWrap/>
            <w:textDirection w:val="lrTb"/>
            <w:vAlign w:val="center"/>
            <w:hideMark/>
          </w:tcPr>
          <w:p w:rsidR="009D2A34" w:rsidRPr="00105665" w:rsidP="006338E5">
            <w:pPr>
              <w:bidi w:val="0"/>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výdavky osobitného účtu</w:t>
            </w:r>
          </w:p>
        </w:tc>
        <w:tc>
          <w:tcPr>
            <w:tcW w:w="960"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30 013 452</w:t>
            </w:r>
          </w:p>
        </w:tc>
        <w:tc>
          <w:tcPr>
            <w:tcW w:w="960"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30 911 588</w:t>
            </w:r>
          </w:p>
        </w:tc>
        <w:tc>
          <w:tcPr>
            <w:tcW w:w="960"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30 971 589</w:t>
            </w:r>
          </w:p>
        </w:tc>
        <w:tc>
          <w:tcPr>
            <w:tcW w:w="960"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30 971 589</w:t>
            </w:r>
          </w:p>
        </w:tc>
        <w:tc>
          <w:tcPr>
            <w:tcW w:w="960"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32 649 417</w:t>
            </w:r>
          </w:p>
        </w:tc>
        <w:tc>
          <w:tcPr>
            <w:tcW w:w="960"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33 772 218</w:t>
            </w:r>
          </w:p>
        </w:tc>
        <w:tc>
          <w:tcPr>
            <w:tcW w:w="960"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35 136 022</w:t>
            </w:r>
          </w:p>
        </w:tc>
      </w:tr>
      <w:tr>
        <w:tblPrEx>
          <w:tblW w:w="9140" w:type="dxa"/>
          <w:tblInd w:w="55" w:type="dxa"/>
          <w:tblCellMar>
            <w:left w:w="70" w:type="dxa"/>
            <w:right w:w="70" w:type="dxa"/>
          </w:tblCellMar>
          <w:tblLook w:val="04A0"/>
        </w:tblPrEx>
        <w:trPr>
          <w:trHeight w:val="261"/>
        </w:trPr>
        <w:tc>
          <w:tcPr>
            <w:tcW w:w="24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105665" w:rsidP="006338E5">
            <w:pPr>
              <w:bidi w:val="0"/>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dotácia zo štátneho rozpočtu</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7 218 279</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8 089 204</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9 801 843</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9 801 843</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9 249 519</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8 266 743</w:t>
            </w:r>
          </w:p>
        </w:tc>
        <w:tc>
          <w:tcPr>
            <w:tcW w:w="960"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8 619 989</w:t>
            </w:r>
          </w:p>
        </w:tc>
      </w:tr>
    </w:tbl>
    <w:p w:rsidR="009D2A34" w:rsidRPr="007E0D85" w:rsidP="009D2A34">
      <w:pPr>
        <w:tabs>
          <w:tab w:val="left" w:pos="360"/>
        </w:tabs>
        <w:bidi w:val="0"/>
        <w:jc w:val="both"/>
        <w:rPr>
          <w:rFonts w:ascii="Times New Roman" w:hAnsi="Times New Roman" w:cs="Times New Roman"/>
          <w:highlight w:val="yellow"/>
        </w:rPr>
      </w:pPr>
    </w:p>
    <w:p w:rsidR="009D2A34" w:rsidRPr="00105665" w:rsidP="00832AC4">
      <w:pPr>
        <w:tabs>
          <w:tab w:val="left" w:pos="360"/>
        </w:tabs>
        <w:bidi w:val="0"/>
        <w:jc w:val="both"/>
        <w:rPr>
          <w:rFonts w:ascii="Times New Roman" w:hAnsi="Times New Roman" w:cs="Times New Roman"/>
          <w:b/>
        </w:rPr>
      </w:pPr>
      <w:r w:rsidRPr="00105665">
        <w:rPr>
          <w:rFonts w:ascii="Times New Roman" w:hAnsi="Times New Roman" w:cs="Times New Roman"/>
          <w:b/>
        </w:rPr>
        <w:t>Súdnictvo</w:t>
      </w:r>
    </w:p>
    <w:p w:rsidR="009D2A34" w:rsidRPr="007E0D85" w:rsidP="009D2A34">
      <w:pPr>
        <w:bidi w:val="0"/>
        <w:jc w:val="both"/>
        <w:rPr>
          <w:rFonts w:ascii="Times New Roman" w:hAnsi="Times New Roman" w:cs="Times New Roman"/>
          <w:highlight w:val="yellow"/>
        </w:rPr>
      </w:pPr>
    </w:p>
    <w:tbl>
      <w:tblPr>
        <w:tblStyle w:val="TableNormal"/>
        <w:tblW w:w="9077" w:type="dxa"/>
        <w:tblInd w:w="65" w:type="dxa"/>
        <w:tblLayout w:type="fixed"/>
        <w:tblCellMar>
          <w:left w:w="70" w:type="dxa"/>
          <w:right w:w="70" w:type="dxa"/>
        </w:tblCellMar>
        <w:tblLook w:val="04A0"/>
      </w:tblPr>
      <w:tblGrid>
        <w:gridCol w:w="1990"/>
        <w:gridCol w:w="1012"/>
        <w:gridCol w:w="1012"/>
        <w:gridCol w:w="1013"/>
        <w:gridCol w:w="1012"/>
        <w:gridCol w:w="1013"/>
        <w:gridCol w:w="1012"/>
        <w:gridCol w:w="1013"/>
      </w:tblGrid>
      <w:tr>
        <w:tblPrEx>
          <w:tblW w:w="9077" w:type="dxa"/>
          <w:tblInd w:w="65" w:type="dxa"/>
          <w:tblLayout w:type="fixed"/>
          <w:tblCellMar>
            <w:left w:w="70" w:type="dxa"/>
            <w:right w:w="70" w:type="dxa"/>
          </w:tblCellMar>
          <w:tblLook w:val="04A0"/>
        </w:tblPrEx>
        <w:trPr>
          <w:trHeight w:val="255"/>
        </w:trPr>
        <w:tc>
          <w:tcPr>
            <w:tcW w:w="199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105665" w:rsidP="006338E5">
            <w:pPr>
              <w:bidi w:val="0"/>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 v eurách</w:t>
            </w:r>
          </w:p>
        </w:tc>
        <w:tc>
          <w:tcPr>
            <w:tcW w:w="101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2010 S</w:t>
            </w:r>
          </w:p>
        </w:tc>
        <w:tc>
          <w:tcPr>
            <w:tcW w:w="101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2011 S</w:t>
            </w:r>
          </w:p>
        </w:tc>
        <w:tc>
          <w:tcPr>
            <w:tcW w:w="1013" w:type="dxa"/>
            <w:tcBorders>
              <w:top w:val="single" w:sz="4" w:space="0" w:color="auto"/>
              <w:left w:val="nil"/>
              <w:bottom w:val="single" w:sz="4" w:space="0" w:color="auto"/>
              <w:right w:val="single" w:sz="4" w:space="0" w:color="auto"/>
            </w:tcBorders>
            <w:shd w:val="clear" w:color="000000" w:fill="A5A5A5"/>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2012 R</w:t>
            </w:r>
          </w:p>
        </w:tc>
        <w:tc>
          <w:tcPr>
            <w:tcW w:w="1012" w:type="dxa"/>
            <w:tcBorders>
              <w:top w:val="single" w:sz="4" w:space="0" w:color="auto"/>
              <w:left w:val="nil"/>
              <w:bottom w:val="single" w:sz="4" w:space="0" w:color="auto"/>
              <w:right w:val="single" w:sz="4" w:space="0" w:color="auto"/>
            </w:tcBorders>
            <w:shd w:val="clear" w:color="000000" w:fill="A5A5A5"/>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2012 OS</w:t>
            </w:r>
          </w:p>
        </w:tc>
        <w:tc>
          <w:tcPr>
            <w:tcW w:w="1013"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105665" w:rsidP="00953EAF">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 xml:space="preserve">2013 </w:t>
            </w:r>
            <w:r w:rsidR="00953EAF">
              <w:rPr>
                <w:rFonts w:ascii="Times New Roman" w:hAnsi="Times New Roman" w:cs="Times New Roman"/>
                <w:b/>
                <w:bCs/>
                <w:color w:val="000000"/>
                <w:sz w:val="14"/>
                <w:szCs w:val="14"/>
                <w:lang w:eastAsia="sk-SK"/>
              </w:rPr>
              <w:t>N</w:t>
            </w:r>
          </w:p>
        </w:tc>
        <w:tc>
          <w:tcPr>
            <w:tcW w:w="1012"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2014 N</w:t>
            </w:r>
          </w:p>
        </w:tc>
        <w:tc>
          <w:tcPr>
            <w:tcW w:w="1013"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105665" w:rsidP="006338E5">
            <w:pPr>
              <w:bidi w:val="0"/>
              <w:jc w:val="center"/>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2015 N</w:t>
            </w:r>
          </w:p>
        </w:tc>
      </w:tr>
      <w:tr>
        <w:tblPrEx>
          <w:tblW w:w="9077" w:type="dxa"/>
          <w:tblInd w:w="65" w:type="dxa"/>
          <w:tblLayout w:type="fixed"/>
          <w:tblCellMar>
            <w:left w:w="70" w:type="dxa"/>
            <w:right w:w="70" w:type="dxa"/>
          </w:tblCellMar>
          <w:tblLook w:val="04A0"/>
        </w:tblPrEx>
        <w:trPr>
          <w:trHeight w:val="255"/>
        </w:trPr>
        <w:tc>
          <w:tcPr>
            <w:tcW w:w="199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105665" w:rsidP="006338E5">
            <w:pPr>
              <w:bidi w:val="0"/>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Súdnictvo</w:t>
            </w:r>
          </w:p>
        </w:tc>
        <w:tc>
          <w:tcPr>
            <w:tcW w:w="101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155 600 618</w:t>
            </w:r>
          </w:p>
        </w:tc>
        <w:tc>
          <w:tcPr>
            <w:tcW w:w="101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145 210 292</w:t>
            </w:r>
          </w:p>
        </w:tc>
        <w:tc>
          <w:tcPr>
            <w:tcW w:w="1013"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146 476 367</w:t>
            </w:r>
          </w:p>
        </w:tc>
        <w:tc>
          <w:tcPr>
            <w:tcW w:w="101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b/>
                <w:bCs/>
                <w:color w:val="000000"/>
                <w:sz w:val="14"/>
                <w:szCs w:val="14"/>
                <w:lang w:eastAsia="sk-SK"/>
              </w:rPr>
            </w:pPr>
            <w:r w:rsidRPr="00105665">
              <w:rPr>
                <w:rFonts w:ascii="Times New Roman" w:hAnsi="Times New Roman" w:cs="Times New Roman"/>
                <w:b/>
                <w:bCs/>
                <w:color w:val="000000"/>
                <w:sz w:val="14"/>
                <w:szCs w:val="14"/>
                <w:lang w:eastAsia="sk-SK"/>
              </w:rPr>
              <w:t>159 131 692</w:t>
            </w:r>
          </w:p>
        </w:tc>
        <w:tc>
          <w:tcPr>
            <w:tcW w:w="1013"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b/>
                <w:bCs/>
                <w:sz w:val="14"/>
                <w:szCs w:val="14"/>
              </w:rPr>
            </w:pPr>
            <w:r w:rsidRPr="00105665">
              <w:rPr>
                <w:rFonts w:ascii="Times New Roman" w:hAnsi="Times New Roman" w:cs="Times New Roman"/>
                <w:b/>
                <w:bCs/>
                <w:sz w:val="14"/>
                <w:szCs w:val="14"/>
              </w:rPr>
              <w:t>150 414 654</w:t>
            </w:r>
          </w:p>
        </w:tc>
        <w:tc>
          <w:tcPr>
            <w:tcW w:w="101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b/>
                <w:bCs/>
                <w:sz w:val="14"/>
                <w:szCs w:val="14"/>
              </w:rPr>
            </w:pPr>
            <w:r w:rsidRPr="00105665">
              <w:rPr>
                <w:rFonts w:ascii="Times New Roman" w:hAnsi="Times New Roman" w:cs="Times New Roman"/>
                <w:b/>
                <w:bCs/>
                <w:sz w:val="14"/>
                <w:szCs w:val="14"/>
              </w:rPr>
              <w:t>152 652 637</w:t>
            </w:r>
          </w:p>
        </w:tc>
        <w:tc>
          <w:tcPr>
            <w:tcW w:w="1013"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05665" w:rsidP="006338E5">
            <w:pPr>
              <w:bidi w:val="0"/>
              <w:jc w:val="right"/>
              <w:rPr>
                <w:rFonts w:ascii="Times New Roman" w:hAnsi="Times New Roman" w:cs="Times New Roman"/>
                <w:b/>
                <w:bCs/>
                <w:sz w:val="14"/>
                <w:szCs w:val="14"/>
              </w:rPr>
            </w:pPr>
            <w:r w:rsidRPr="00105665">
              <w:rPr>
                <w:rFonts w:ascii="Times New Roman" w:hAnsi="Times New Roman" w:cs="Times New Roman"/>
                <w:b/>
                <w:bCs/>
                <w:sz w:val="14"/>
                <w:szCs w:val="14"/>
              </w:rPr>
              <w:t>155 512 644</w:t>
            </w:r>
          </w:p>
        </w:tc>
      </w:tr>
      <w:tr>
        <w:tblPrEx>
          <w:tblW w:w="9077" w:type="dxa"/>
          <w:tblInd w:w="65" w:type="dxa"/>
          <w:tblLayout w:type="fixed"/>
          <w:tblCellMar>
            <w:left w:w="70" w:type="dxa"/>
            <w:right w:w="70" w:type="dxa"/>
          </w:tblCellMar>
          <w:tblLook w:val="04A0"/>
        </w:tblPrEx>
        <w:trPr>
          <w:trHeight w:val="255"/>
        </w:trPr>
        <w:tc>
          <w:tcPr>
            <w:tcW w:w="1990" w:type="dxa"/>
            <w:tcBorders>
              <w:top w:val="nil"/>
              <w:left w:val="single" w:sz="4" w:space="0" w:color="auto"/>
              <w:bottom w:val="single" w:sz="4" w:space="0" w:color="auto"/>
              <w:right w:val="single" w:sz="4" w:space="0" w:color="auto"/>
            </w:tcBorders>
            <w:noWrap/>
            <w:textDirection w:val="lrTb"/>
            <w:vAlign w:val="center"/>
            <w:hideMark/>
          </w:tcPr>
          <w:p w:rsidR="009D2A34" w:rsidRPr="00105665" w:rsidP="006338E5">
            <w:pPr>
              <w:bidi w:val="0"/>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 xml:space="preserve">   610 mzdy</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84 191 720</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81 793 230</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81 616 497</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87 467 097</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86 854 546</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88 588 138</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90 804 887</w:t>
            </w:r>
          </w:p>
        </w:tc>
      </w:tr>
      <w:tr>
        <w:tblPrEx>
          <w:tblW w:w="9077" w:type="dxa"/>
          <w:tblInd w:w="65" w:type="dxa"/>
          <w:tblLayout w:type="fixed"/>
          <w:tblCellMar>
            <w:left w:w="70" w:type="dxa"/>
            <w:right w:w="70" w:type="dxa"/>
          </w:tblCellMar>
          <w:tblLook w:val="04A0"/>
        </w:tblPrEx>
        <w:trPr>
          <w:trHeight w:val="255"/>
        </w:trPr>
        <w:tc>
          <w:tcPr>
            <w:tcW w:w="1990" w:type="dxa"/>
            <w:tcBorders>
              <w:top w:val="nil"/>
              <w:left w:val="single" w:sz="4" w:space="0" w:color="auto"/>
              <w:bottom w:val="single" w:sz="4" w:space="0" w:color="auto"/>
              <w:right w:val="single" w:sz="4" w:space="0" w:color="auto"/>
            </w:tcBorders>
            <w:noWrap/>
            <w:textDirection w:val="lrTb"/>
            <w:vAlign w:val="center"/>
            <w:hideMark/>
          </w:tcPr>
          <w:p w:rsidR="009D2A34" w:rsidRPr="00105665" w:rsidP="006338E5">
            <w:pPr>
              <w:bidi w:val="0"/>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 xml:space="preserve">   620 odvody</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24 717 184</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24 880 384</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26 224 343</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27 954 991</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27 667 969</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28 171 023</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28 814 281</w:t>
            </w:r>
          </w:p>
        </w:tc>
      </w:tr>
      <w:tr>
        <w:tblPrEx>
          <w:tblW w:w="9077" w:type="dxa"/>
          <w:tblInd w:w="65" w:type="dxa"/>
          <w:tblLayout w:type="fixed"/>
          <w:tblCellMar>
            <w:left w:w="70" w:type="dxa"/>
            <w:right w:w="70" w:type="dxa"/>
          </w:tblCellMar>
          <w:tblLook w:val="04A0"/>
        </w:tblPrEx>
        <w:trPr>
          <w:trHeight w:val="255"/>
        </w:trPr>
        <w:tc>
          <w:tcPr>
            <w:tcW w:w="1990" w:type="dxa"/>
            <w:tcBorders>
              <w:top w:val="nil"/>
              <w:left w:val="single" w:sz="4" w:space="0" w:color="auto"/>
              <w:bottom w:val="single" w:sz="4" w:space="0" w:color="auto"/>
              <w:right w:val="single" w:sz="4" w:space="0" w:color="auto"/>
            </w:tcBorders>
            <w:noWrap/>
            <w:textDirection w:val="lrTb"/>
            <w:vAlign w:val="center"/>
            <w:hideMark/>
          </w:tcPr>
          <w:p w:rsidR="009D2A34" w:rsidRPr="00105665" w:rsidP="006338E5">
            <w:pPr>
              <w:bidi w:val="0"/>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 xml:space="preserve">   630 tovary a služby</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41 359 221</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32 896 612</w:t>
            </w:r>
          </w:p>
        </w:tc>
        <w:tc>
          <w:tcPr>
            <w:tcW w:w="1013"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30 247 229</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29 877 042</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26 095 841</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26 097 178</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26 097 178</w:t>
            </w:r>
          </w:p>
        </w:tc>
      </w:tr>
      <w:tr>
        <w:tblPrEx>
          <w:tblW w:w="9077" w:type="dxa"/>
          <w:tblInd w:w="65" w:type="dxa"/>
          <w:tblLayout w:type="fixed"/>
          <w:tblCellMar>
            <w:left w:w="70" w:type="dxa"/>
            <w:right w:w="70" w:type="dxa"/>
          </w:tblCellMar>
          <w:tblLook w:val="04A0"/>
        </w:tblPrEx>
        <w:trPr>
          <w:trHeight w:val="255"/>
        </w:trPr>
        <w:tc>
          <w:tcPr>
            <w:tcW w:w="1990" w:type="dxa"/>
            <w:tcBorders>
              <w:top w:val="nil"/>
              <w:left w:val="single" w:sz="4" w:space="0" w:color="auto"/>
              <w:bottom w:val="single" w:sz="4" w:space="0" w:color="auto"/>
              <w:right w:val="single" w:sz="4" w:space="0" w:color="auto"/>
            </w:tcBorders>
            <w:noWrap/>
            <w:textDirection w:val="lrTb"/>
            <w:vAlign w:val="center"/>
            <w:hideMark/>
          </w:tcPr>
          <w:p w:rsidR="009D2A34" w:rsidRPr="00105665" w:rsidP="006338E5">
            <w:pPr>
              <w:bidi w:val="0"/>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 xml:space="preserve">   640 bežné transfery</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3 289 803</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2 583 578</w:t>
            </w:r>
          </w:p>
        </w:tc>
        <w:tc>
          <w:tcPr>
            <w:tcW w:w="1013"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1 388 298</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1 758 485</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2 796 298</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2 796 298</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2 796 298</w:t>
            </w:r>
          </w:p>
        </w:tc>
      </w:tr>
      <w:tr>
        <w:tblPrEx>
          <w:tblW w:w="9077" w:type="dxa"/>
          <w:tblInd w:w="65" w:type="dxa"/>
          <w:tblLayout w:type="fixed"/>
          <w:tblCellMar>
            <w:left w:w="70" w:type="dxa"/>
            <w:right w:w="70" w:type="dxa"/>
          </w:tblCellMar>
          <w:tblLook w:val="04A0"/>
        </w:tblPrEx>
        <w:trPr>
          <w:trHeight w:val="255"/>
        </w:trPr>
        <w:tc>
          <w:tcPr>
            <w:tcW w:w="1990" w:type="dxa"/>
            <w:tcBorders>
              <w:top w:val="nil"/>
              <w:left w:val="single" w:sz="4" w:space="0" w:color="auto"/>
              <w:bottom w:val="single" w:sz="4" w:space="0" w:color="auto"/>
              <w:right w:val="single" w:sz="4" w:space="0" w:color="auto"/>
            </w:tcBorders>
            <w:noWrap/>
            <w:textDirection w:val="lrTb"/>
            <w:vAlign w:val="center"/>
            <w:hideMark/>
          </w:tcPr>
          <w:p w:rsidR="009D2A34" w:rsidRPr="00105665" w:rsidP="006338E5">
            <w:pPr>
              <w:bidi w:val="0"/>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 xml:space="preserve">   700 kapitálové výdavky</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2 042 690</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3 056 488</w:t>
            </w:r>
          </w:p>
        </w:tc>
        <w:tc>
          <w:tcPr>
            <w:tcW w:w="1013"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7 000 000</w:t>
            </w:r>
          </w:p>
        </w:tc>
        <w:tc>
          <w:tcPr>
            <w:tcW w:w="1012" w:type="dxa"/>
            <w:tcBorders>
              <w:top w:val="nil"/>
              <w:left w:val="nil"/>
              <w:bottom w:val="single" w:sz="4" w:space="0" w:color="auto"/>
              <w:right w:val="single" w:sz="4" w:space="0" w:color="auto"/>
            </w:tcBorders>
            <w:textDirection w:val="lrTb"/>
            <w:vAlign w:val="center"/>
            <w:hideMark/>
          </w:tcPr>
          <w:p w:rsidR="009D2A34" w:rsidRPr="00105665" w:rsidP="006338E5">
            <w:pPr>
              <w:bidi w:val="0"/>
              <w:jc w:val="right"/>
              <w:rPr>
                <w:rFonts w:ascii="Times New Roman" w:hAnsi="Times New Roman" w:cs="Times New Roman"/>
                <w:color w:val="000000"/>
                <w:sz w:val="14"/>
                <w:szCs w:val="14"/>
                <w:lang w:eastAsia="sk-SK"/>
              </w:rPr>
            </w:pPr>
            <w:r w:rsidRPr="00105665">
              <w:rPr>
                <w:rFonts w:ascii="Times New Roman" w:hAnsi="Times New Roman" w:cs="Times New Roman"/>
                <w:color w:val="000000"/>
                <w:sz w:val="14"/>
                <w:szCs w:val="14"/>
                <w:lang w:eastAsia="sk-SK"/>
              </w:rPr>
              <w:t>12 074 077</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7 000 000</w:t>
            </w:r>
          </w:p>
        </w:tc>
        <w:tc>
          <w:tcPr>
            <w:tcW w:w="1012"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7 000 000</w:t>
            </w:r>
          </w:p>
        </w:tc>
        <w:tc>
          <w:tcPr>
            <w:tcW w:w="1013" w:type="dxa"/>
            <w:tcBorders>
              <w:top w:val="nil"/>
              <w:left w:val="nil"/>
              <w:bottom w:val="single" w:sz="4" w:space="0" w:color="auto"/>
              <w:right w:val="single" w:sz="4" w:space="0" w:color="auto"/>
            </w:tcBorders>
            <w:noWrap/>
            <w:textDirection w:val="lrTb"/>
            <w:vAlign w:val="center"/>
            <w:hideMark/>
          </w:tcPr>
          <w:p w:rsidR="009D2A34" w:rsidRPr="00105665" w:rsidP="006338E5">
            <w:pPr>
              <w:bidi w:val="0"/>
              <w:jc w:val="right"/>
              <w:rPr>
                <w:rFonts w:ascii="Times New Roman" w:hAnsi="Times New Roman" w:cs="Times New Roman"/>
                <w:color w:val="000000"/>
                <w:sz w:val="14"/>
                <w:szCs w:val="14"/>
              </w:rPr>
            </w:pPr>
            <w:r w:rsidRPr="00105665">
              <w:rPr>
                <w:rFonts w:ascii="Times New Roman" w:hAnsi="Times New Roman" w:cs="Times New Roman"/>
                <w:color w:val="000000"/>
                <w:sz w:val="14"/>
                <w:szCs w:val="14"/>
              </w:rPr>
              <w:t>7 000 000</w:t>
            </w:r>
          </w:p>
        </w:tc>
      </w:tr>
    </w:tbl>
    <w:p w:rsidR="009D2A34" w:rsidRPr="007E0D85" w:rsidP="009D2A34">
      <w:pPr>
        <w:bidi w:val="0"/>
        <w:jc w:val="both"/>
        <w:rPr>
          <w:rFonts w:ascii="Times New Roman" w:hAnsi="Times New Roman" w:cs="Times New Roman"/>
          <w:highlight w:val="yellow"/>
        </w:rPr>
      </w:pPr>
    </w:p>
    <w:p w:rsidR="009D2A34" w:rsidRPr="00105665" w:rsidP="009D2A34">
      <w:pPr>
        <w:bidi w:val="0"/>
        <w:ind w:firstLine="708"/>
        <w:jc w:val="both"/>
        <w:rPr>
          <w:rFonts w:ascii="Times New Roman" w:hAnsi="Times New Roman" w:cs="Times New Roman"/>
        </w:rPr>
      </w:pPr>
      <w:r w:rsidRPr="00105665">
        <w:rPr>
          <w:rFonts w:ascii="Times New Roman" w:hAnsi="Times New Roman" w:cs="Times New Roman"/>
        </w:rPr>
        <w:t>Na personálne a materiálno–technické zabezpečenie činnosti súdov, ostatných rozpočtových organizácií a na efektívny výkon okresných a krajských súdov sa na rok 2013 rozpočtujú výdavky v sume 150 mil. eur. V porovnaní so schváleným rozpočtom roku 2012 sa na súdnictvo v roku 2013 rozpočtujú výdavky o 2,</w:t>
      </w:r>
      <w:r>
        <w:rPr>
          <w:rFonts w:ascii="Times New Roman" w:hAnsi="Times New Roman" w:cs="Times New Roman"/>
        </w:rPr>
        <w:t>69</w:t>
      </w:r>
      <w:r w:rsidRPr="00105665">
        <w:rPr>
          <w:rFonts w:ascii="Times New Roman" w:hAnsi="Times New Roman" w:cs="Times New Roman"/>
        </w:rPr>
        <w:t xml:space="preserve"> % vyššie.</w:t>
      </w:r>
    </w:p>
    <w:p w:rsidR="009D2A34" w:rsidRPr="00105665" w:rsidP="009D2A34">
      <w:pPr>
        <w:bidi w:val="0"/>
        <w:jc w:val="both"/>
        <w:rPr>
          <w:rFonts w:ascii="Times New Roman" w:hAnsi="Times New Roman" w:cs="Times New Roman"/>
        </w:rPr>
      </w:pPr>
    </w:p>
    <w:p w:rsidR="009D2A34" w:rsidRPr="00105665" w:rsidP="009D2A34">
      <w:pPr>
        <w:bidi w:val="0"/>
        <w:ind w:firstLine="708"/>
        <w:jc w:val="both"/>
        <w:rPr>
          <w:rFonts w:ascii="Times New Roman" w:hAnsi="Times New Roman" w:cs="Times New Roman"/>
        </w:rPr>
      </w:pPr>
      <w:r w:rsidRPr="00105665">
        <w:rPr>
          <w:rFonts w:ascii="Times New Roman" w:hAnsi="Times New Roman" w:cs="Times New Roman"/>
        </w:rPr>
        <w:t>Osobné výdavky oproti schválenému rozpočtu roku 2012 stúpajú o 6,2 % z dôvodu valorizácie platov sudcov okresných a krajských súdov. Tovary a služby oproti schválenému rozpočtu roku 2012 klesajú o 13,7 % v nadväznosti na celoplošné zníženie prevádzkových výdavkov. Na rok 2013 kapitola presunula z kategórie tovary a služby 900 tis. eur do bežných transferov, na vyplatenie príplatku k nemocenskému, k materstvu a k dôchodku sudcov. Na základe uvedeného bežné transfery rastú o </w:t>
      </w:r>
      <w:r>
        <w:rPr>
          <w:rFonts w:ascii="Times New Roman" w:hAnsi="Times New Roman" w:cs="Times New Roman"/>
        </w:rPr>
        <w:t>102</w:t>
      </w:r>
      <w:r w:rsidRPr="00105665">
        <w:rPr>
          <w:rFonts w:ascii="Times New Roman" w:hAnsi="Times New Roman" w:cs="Times New Roman"/>
        </w:rPr>
        <w:t xml:space="preserve"> %.</w:t>
      </w:r>
    </w:p>
    <w:p w:rsidR="009D2A34" w:rsidRPr="007E0D85" w:rsidP="009D2A34">
      <w:pPr>
        <w:bidi w:val="0"/>
        <w:jc w:val="both"/>
        <w:rPr>
          <w:rFonts w:ascii="Times New Roman" w:hAnsi="Times New Roman" w:cs="Times New Roman"/>
          <w:highlight w:val="yellow"/>
        </w:rPr>
      </w:pPr>
    </w:p>
    <w:p w:rsidR="009D2A34" w:rsidRPr="00466672" w:rsidP="009D2A34">
      <w:pPr>
        <w:bidi w:val="0"/>
        <w:ind w:firstLine="708"/>
        <w:jc w:val="both"/>
        <w:rPr>
          <w:rFonts w:ascii="Times New Roman" w:hAnsi="Times New Roman" w:cs="Times New Roman"/>
        </w:rPr>
      </w:pPr>
      <w:r w:rsidRPr="00466672">
        <w:rPr>
          <w:rFonts w:ascii="Times New Roman" w:hAnsi="Times New Roman" w:cs="Times New Roman"/>
        </w:rPr>
        <w:t xml:space="preserve">V zmysle zákona č. 327/2005 Z. z. o poskytovaní právnej pomoci osobám v materiálnej núdzi sa súdnictvu rozpočtujú náklady v rámci tovarov a služieb na rok 2013 v sume 468 tis. eur, </w:t>
      </w:r>
      <w:r w:rsidR="007E4B5C">
        <w:rPr>
          <w:rFonts w:ascii="Times New Roman" w:hAnsi="Times New Roman" w:cs="Times New Roman"/>
        </w:rPr>
        <w:t>na rok 2014 v sume 468 tis. eur</w:t>
      </w:r>
      <w:r w:rsidRPr="00466672">
        <w:rPr>
          <w:rFonts w:ascii="Times New Roman" w:hAnsi="Times New Roman" w:cs="Times New Roman"/>
        </w:rPr>
        <w:t xml:space="preserve"> a na rok 2015 v sume 468 tis. eur. </w:t>
      </w:r>
    </w:p>
    <w:p w:rsidR="009D2A34" w:rsidRPr="00466672" w:rsidP="009D2A34">
      <w:pPr>
        <w:bidi w:val="0"/>
        <w:jc w:val="both"/>
        <w:rPr>
          <w:rFonts w:ascii="Times New Roman" w:hAnsi="Times New Roman" w:cs="Times New Roman"/>
        </w:rPr>
      </w:pPr>
    </w:p>
    <w:p w:rsidR="009D2A34" w:rsidRPr="00466672" w:rsidP="009D2A34">
      <w:pPr>
        <w:bidi w:val="0"/>
        <w:ind w:firstLine="708"/>
        <w:jc w:val="both"/>
        <w:rPr>
          <w:rFonts w:ascii="Times New Roman" w:hAnsi="Times New Roman" w:cs="Times New Roman"/>
        </w:rPr>
      </w:pPr>
      <w:r w:rsidRPr="00466672">
        <w:rPr>
          <w:rFonts w:ascii="Times New Roman" w:hAnsi="Times New Roman" w:cs="Times New Roman"/>
        </w:rPr>
        <w:t xml:space="preserve">Kapitálové výdavky na rok 2013 v sume 7,00 mil. eur sa rozpočtujú na úrovni schváleného rozpočtu roku 2012. </w:t>
      </w:r>
    </w:p>
    <w:p w:rsidR="00D83F50" w:rsidRPr="007E0D85" w:rsidP="009D2A34">
      <w:pPr>
        <w:bidi w:val="0"/>
        <w:rPr>
          <w:rFonts w:ascii="Times New Roman" w:hAnsi="Times New Roman" w:cs="Times New Roman"/>
          <w:highlight w:val="yellow"/>
        </w:rPr>
      </w:pPr>
    </w:p>
    <w:p w:rsidR="009D2A34" w:rsidRPr="00466672" w:rsidP="009D2A34">
      <w:pPr>
        <w:bidi w:val="0"/>
        <w:jc w:val="both"/>
        <w:rPr>
          <w:rFonts w:ascii="Times New Roman" w:hAnsi="Times New Roman" w:cs="Times New Roman"/>
          <w:i/>
          <w:u w:val="single"/>
        </w:rPr>
      </w:pPr>
      <w:r w:rsidRPr="00466672">
        <w:rPr>
          <w:rFonts w:ascii="Times New Roman" w:hAnsi="Times New Roman" w:cs="Times New Roman"/>
          <w:i/>
          <w:u w:val="single"/>
        </w:rPr>
        <w:t>Odmeny a náhrady za služby</w:t>
      </w:r>
    </w:p>
    <w:p w:rsidR="009D2A34" w:rsidRPr="00466672" w:rsidP="009D2A34">
      <w:pPr>
        <w:bidi w:val="0"/>
        <w:ind w:firstLine="708"/>
        <w:jc w:val="both"/>
        <w:rPr>
          <w:rFonts w:ascii="Times New Roman" w:hAnsi="Times New Roman" w:cs="Times New Roman"/>
          <w:b/>
        </w:rPr>
      </w:pPr>
    </w:p>
    <w:p w:rsidR="009D2A34" w:rsidRPr="00466672" w:rsidP="009D2A34">
      <w:pPr>
        <w:bidi w:val="0"/>
        <w:ind w:firstLine="708"/>
        <w:jc w:val="both"/>
        <w:rPr>
          <w:rFonts w:ascii="Times New Roman" w:hAnsi="Times New Roman" w:cs="Times New Roman"/>
        </w:rPr>
      </w:pPr>
      <w:r w:rsidRPr="00466672">
        <w:rPr>
          <w:rFonts w:ascii="Times New Roman" w:hAnsi="Times New Roman" w:cs="Times New Roman"/>
        </w:rPr>
        <w:t xml:space="preserve">V rámci odmien a náhrad za služby sú rozpočtované prostriedky pre advokátov, notárov, exekútorov, svedkov, tlmočníkov, prekladateľov a znalcov. Rast výdavkov, ktorý medzi rokmi 2009 a 2010 vznikol z toho dôvodu, že kapitola spravodlivosti vyplatila ex offo odmeny a náhrady za služby v roku 2010 aj za odmeny a náhrady za služby z rokov 2008 a 2009.   </w:t>
      </w:r>
    </w:p>
    <w:p w:rsidR="009D2A34" w:rsidRPr="00466672" w:rsidP="009D2A34">
      <w:pPr>
        <w:bidi w:val="0"/>
        <w:jc w:val="both"/>
        <w:rPr>
          <w:rFonts w:ascii="Times New Roman" w:hAnsi="Times New Roman" w:cs="Times New Roman"/>
        </w:rPr>
      </w:pPr>
    </w:p>
    <w:tbl>
      <w:tblPr>
        <w:tblStyle w:val="TableNormal"/>
        <w:tblW w:w="9087" w:type="dxa"/>
        <w:tblInd w:w="55" w:type="dxa"/>
        <w:tblLayout w:type="fixed"/>
        <w:tblCellMar>
          <w:left w:w="70" w:type="dxa"/>
          <w:right w:w="70" w:type="dxa"/>
        </w:tblCellMar>
        <w:tblLook w:val="04A0"/>
      </w:tblPr>
      <w:tblGrid>
        <w:gridCol w:w="1858"/>
        <w:gridCol w:w="903"/>
        <w:gridCol w:w="904"/>
        <w:gridCol w:w="903"/>
        <w:gridCol w:w="904"/>
        <w:gridCol w:w="904"/>
        <w:gridCol w:w="903"/>
        <w:gridCol w:w="904"/>
        <w:gridCol w:w="904"/>
      </w:tblGrid>
      <w:tr>
        <w:tblPrEx>
          <w:tblW w:w="9087" w:type="dxa"/>
          <w:tblInd w:w="55" w:type="dxa"/>
          <w:tblLayout w:type="fixed"/>
          <w:tblCellMar>
            <w:left w:w="70" w:type="dxa"/>
            <w:right w:w="70" w:type="dxa"/>
          </w:tblCellMar>
          <w:tblLook w:val="04A0"/>
        </w:tblPrEx>
        <w:trPr>
          <w:trHeight w:val="261"/>
        </w:trPr>
        <w:tc>
          <w:tcPr>
            <w:tcW w:w="1858"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9D2A34" w:rsidRPr="00466672" w:rsidP="006338E5">
            <w:pPr>
              <w:bidi w:val="0"/>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 v eurách</w:t>
            </w:r>
          </w:p>
        </w:tc>
        <w:tc>
          <w:tcPr>
            <w:tcW w:w="90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2009 S</w:t>
            </w:r>
          </w:p>
        </w:tc>
        <w:tc>
          <w:tcPr>
            <w:tcW w:w="90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2010 S</w:t>
            </w:r>
          </w:p>
        </w:tc>
        <w:tc>
          <w:tcPr>
            <w:tcW w:w="90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2011 S</w:t>
            </w:r>
          </w:p>
        </w:tc>
        <w:tc>
          <w:tcPr>
            <w:tcW w:w="90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2012 R</w:t>
            </w:r>
          </w:p>
        </w:tc>
        <w:tc>
          <w:tcPr>
            <w:tcW w:w="90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2012 OS</w:t>
            </w:r>
          </w:p>
        </w:tc>
        <w:tc>
          <w:tcPr>
            <w:tcW w:w="90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7E4B5C">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 xml:space="preserve">2013 </w:t>
            </w:r>
            <w:r w:rsidR="007E4B5C">
              <w:rPr>
                <w:rFonts w:ascii="Times New Roman" w:hAnsi="Times New Roman" w:cs="Times New Roman"/>
                <w:b/>
                <w:bCs/>
                <w:color w:val="000000"/>
                <w:sz w:val="14"/>
                <w:szCs w:val="14"/>
                <w:lang w:eastAsia="sk-SK"/>
              </w:rPr>
              <w:t>N</w:t>
            </w:r>
          </w:p>
        </w:tc>
        <w:tc>
          <w:tcPr>
            <w:tcW w:w="90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2014 N</w:t>
            </w:r>
          </w:p>
        </w:tc>
        <w:tc>
          <w:tcPr>
            <w:tcW w:w="90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2015 N</w:t>
            </w:r>
          </w:p>
        </w:tc>
      </w:tr>
      <w:tr>
        <w:tblPrEx>
          <w:tblW w:w="9087" w:type="dxa"/>
          <w:tblInd w:w="55" w:type="dxa"/>
          <w:tblLayout w:type="fixed"/>
          <w:tblCellMar>
            <w:left w:w="70" w:type="dxa"/>
            <w:right w:w="70" w:type="dxa"/>
          </w:tblCellMar>
          <w:tblLook w:val="04A0"/>
        </w:tblPrEx>
        <w:trPr>
          <w:trHeight w:val="261"/>
        </w:trPr>
        <w:tc>
          <w:tcPr>
            <w:tcW w:w="1858" w:type="dxa"/>
            <w:tcBorders>
              <w:top w:val="nil"/>
              <w:left w:val="single" w:sz="4" w:space="0" w:color="auto"/>
              <w:bottom w:val="single" w:sz="4" w:space="0" w:color="auto"/>
              <w:right w:val="single" w:sz="4" w:space="0" w:color="auto"/>
            </w:tcBorders>
            <w:textDirection w:val="lrTb"/>
            <w:vAlign w:val="center"/>
            <w:hideMark/>
          </w:tcPr>
          <w:p w:rsidR="009D2A34" w:rsidRPr="00466672" w:rsidP="006338E5">
            <w:pPr>
              <w:bidi w:val="0"/>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Odmeny a náhrady za služby*</w:t>
            </w:r>
          </w:p>
        </w:tc>
        <w:tc>
          <w:tcPr>
            <w:tcW w:w="903"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3 135 092</w:t>
            </w:r>
          </w:p>
        </w:tc>
        <w:tc>
          <w:tcPr>
            <w:tcW w:w="904"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17 450 779</w:t>
            </w:r>
          </w:p>
        </w:tc>
        <w:tc>
          <w:tcPr>
            <w:tcW w:w="903"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9 881 323</w:t>
            </w:r>
          </w:p>
        </w:tc>
        <w:tc>
          <w:tcPr>
            <w:tcW w:w="904"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8 423 000</w:t>
            </w:r>
          </w:p>
        </w:tc>
        <w:tc>
          <w:tcPr>
            <w:tcW w:w="904"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13 700 000</w:t>
            </w:r>
          </w:p>
        </w:tc>
        <w:tc>
          <w:tcPr>
            <w:tcW w:w="903"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 xml:space="preserve">7 </w:t>
            </w:r>
            <w:r>
              <w:rPr>
                <w:rFonts w:ascii="Times New Roman" w:hAnsi="Times New Roman" w:cs="Times New Roman"/>
                <w:color w:val="000000"/>
                <w:sz w:val="14"/>
                <w:szCs w:val="14"/>
                <w:lang w:eastAsia="sk-SK"/>
              </w:rPr>
              <w:t>7</w:t>
            </w:r>
            <w:r w:rsidRPr="00466672">
              <w:rPr>
                <w:rFonts w:ascii="Times New Roman" w:hAnsi="Times New Roman" w:cs="Times New Roman"/>
                <w:color w:val="000000"/>
                <w:sz w:val="14"/>
                <w:szCs w:val="14"/>
                <w:lang w:eastAsia="sk-SK"/>
              </w:rPr>
              <w:t>80 700</w:t>
            </w:r>
          </w:p>
        </w:tc>
        <w:tc>
          <w:tcPr>
            <w:tcW w:w="904"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 xml:space="preserve">7 </w:t>
            </w:r>
            <w:r>
              <w:rPr>
                <w:rFonts w:ascii="Times New Roman" w:hAnsi="Times New Roman" w:cs="Times New Roman"/>
                <w:color w:val="000000"/>
                <w:sz w:val="14"/>
                <w:szCs w:val="14"/>
                <w:lang w:eastAsia="sk-SK"/>
              </w:rPr>
              <w:t>7</w:t>
            </w:r>
            <w:r w:rsidRPr="00466672">
              <w:rPr>
                <w:rFonts w:ascii="Times New Roman" w:hAnsi="Times New Roman" w:cs="Times New Roman"/>
                <w:color w:val="000000"/>
                <w:sz w:val="14"/>
                <w:szCs w:val="14"/>
                <w:lang w:eastAsia="sk-SK"/>
              </w:rPr>
              <w:t>80 700</w:t>
            </w:r>
          </w:p>
        </w:tc>
        <w:tc>
          <w:tcPr>
            <w:tcW w:w="904"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 xml:space="preserve">7 </w:t>
            </w:r>
            <w:r>
              <w:rPr>
                <w:rFonts w:ascii="Times New Roman" w:hAnsi="Times New Roman" w:cs="Times New Roman"/>
                <w:color w:val="000000"/>
                <w:sz w:val="14"/>
                <w:szCs w:val="14"/>
                <w:lang w:eastAsia="sk-SK"/>
              </w:rPr>
              <w:t>7</w:t>
            </w:r>
            <w:r w:rsidRPr="00466672">
              <w:rPr>
                <w:rFonts w:ascii="Times New Roman" w:hAnsi="Times New Roman" w:cs="Times New Roman"/>
                <w:color w:val="000000"/>
                <w:sz w:val="14"/>
                <w:szCs w:val="14"/>
                <w:lang w:eastAsia="sk-SK"/>
              </w:rPr>
              <w:t>80 700</w:t>
            </w:r>
          </w:p>
        </w:tc>
      </w:tr>
    </w:tbl>
    <w:p w:rsidR="009D2A34" w:rsidRPr="00466672" w:rsidP="009D2A34">
      <w:pPr>
        <w:bidi w:val="0"/>
        <w:jc w:val="both"/>
        <w:rPr>
          <w:rFonts w:ascii="Times New Roman" w:hAnsi="Times New Roman" w:cs="Times New Roman"/>
          <w:sz w:val="14"/>
          <w:szCs w:val="14"/>
        </w:rPr>
      </w:pPr>
      <w:r w:rsidRPr="00466672">
        <w:rPr>
          <w:rFonts w:ascii="Times New Roman" w:hAnsi="Times New Roman" w:cs="Times New Roman"/>
          <w:sz w:val="14"/>
          <w:szCs w:val="14"/>
        </w:rPr>
        <w:t>*Výdavky na odmeny a náhrady pre advokátov, notárov, exekútorov, svedkov, tlmočníkov, prekladateľov, znalcov</w:t>
      </w:r>
    </w:p>
    <w:p w:rsidR="009D2A34" w:rsidRPr="00466672" w:rsidP="009D2A34">
      <w:pPr>
        <w:bidi w:val="0"/>
        <w:ind w:firstLine="708"/>
        <w:jc w:val="both"/>
        <w:rPr>
          <w:rFonts w:ascii="Times New Roman" w:hAnsi="Times New Roman" w:cs="Times New Roman"/>
        </w:rPr>
      </w:pPr>
    </w:p>
    <w:p w:rsidR="009D2A34" w:rsidRPr="00466672" w:rsidP="009D2A34">
      <w:pPr>
        <w:bidi w:val="0"/>
        <w:ind w:firstLine="708"/>
        <w:jc w:val="both"/>
        <w:rPr>
          <w:rFonts w:ascii="Times New Roman" w:hAnsi="Times New Roman" w:cs="Times New Roman"/>
        </w:rPr>
      </w:pPr>
      <w:r w:rsidRPr="00466672">
        <w:rPr>
          <w:rFonts w:ascii="Times New Roman" w:hAnsi="Times New Roman" w:cs="Times New Roman"/>
        </w:rPr>
        <w:t xml:space="preserve">Kapitola rozpočtuje pre advokátov, notárov, exekútorov, svedkov, tlmočníkov, prekladateľov a znalcov na odmeny a náhrady za služby na roky 2013 až 2015 sumu </w:t>
      </w:r>
      <w:r w:rsidR="007E4B5C">
        <w:rPr>
          <w:rFonts w:ascii="Times New Roman" w:hAnsi="Times New Roman" w:cs="Times New Roman"/>
        </w:rPr>
        <w:br/>
      </w:r>
      <w:r w:rsidRPr="00466672">
        <w:rPr>
          <w:rFonts w:ascii="Times New Roman" w:hAnsi="Times New Roman" w:cs="Times New Roman"/>
        </w:rPr>
        <w:t>7,</w:t>
      </w:r>
      <w:r>
        <w:rPr>
          <w:rFonts w:ascii="Times New Roman" w:hAnsi="Times New Roman" w:cs="Times New Roman"/>
        </w:rPr>
        <w:t>7</w:t>
      </w:r>
      <w:r w:rsidRPr="00466672">
        <w:rPr>
          <w:rFonts w:ascii="Times New Roman" w:hAnsi="Times New Roman" w:cs="Times New Roman"/>
        </w:rPr>
        <w:t>8 mil. eur.</w:t>
      </w:r>
    </w:p>
    <w:p w:rsidR="009D2A34" w:rsidRPr="00466672" w:rsidP="009D2A34">
      <w:pPr>
        <w:bidi w:val="0"/>
        <w:jc w:val="both"/>
        <w:rPr>
          <w:rFonts w:ascii="Times New Roman" w:hAnsi="Times New Roman" w:cs="Times New Roman"/>
        </w:rPr>
      </w:pPr>
    </w:p>
    <w:p w:rsidR="009D2A34" w:rsidRPr="00466672" w:rsidP="009D2A34">
      <w:pPr>
        <w:bidi w:val="0"/>
        <w:jc w:val="both"/>
        <w:rPr>
          <w:rFonts w:ascii="Times New Roman" w:hAnsi="Times New Roman" w:cs="Times New Roman"/>
          <w:i/>
          <w:u w:val="single"/>
        </w:rPr>
      </w:pPr>
      <w:r w:rsidRPr="00466672">
        <w:rPr>
          <w:rFonts w:ascii="Times New Roman" w:hAnsi="Times New Roman" w:cs="Times New Roman"/>
          <w:i/>
          <w:u w:val="single"/>
        </w:rPr>
        <w:t>Odškodňovanie v súdnictve</w:t>
      </w:r>
    </w:p>
    <w:p w:rsidR="009D2A34" w:rsidRPr="00466672" w:rsidP="009D2A34">
      <w:pPr>
        <w:bidi w:val="0"/>
        <w:jc w:val="both"/>
        <w:rPr>
          <w:rFonts w:ascii="Times New Roman" w:hAnsi="Times New Roman" w:cs="Times New Roman"/>
          <w:b/>
        </w:rPr>
      </w:pPr>
    </w:p>
    <w:p w:rsidR="009D2A34" w:rsidRPr="00466672" w:rsidP="009D2A34">
      <w:pPr>
        <w:bidi w:val="0"/>
        <w:ind w:firstLine="708"/>
        <w:jc w:val="both"/>
        <w:rPr>
          <w:rFonts w:ascii="Times New Roman" w:hAnsi="Times New Roman" w:cs="Times New Roman"/>
        </w:rPr>
      </w:pPr>
      <w:r w:rsidRPr="00466672">
        <w:rPr>
          <w:rFonts w:ascii="Times New Roman" w:hAnsi="Times New Roman" w:cs="Times New Roman"/>
        </w:rPr>
        <w:t>Kapitola rozpočtuje v oblasti súdnictva výdavky na odškodňovanie určené na nálezy Ústavného súdu Slovenskej republiky za prieťahy v súdnom konaní.</w:t>
      </w:r>
    </w:p>
    <w:p w:rsidR="009D2A34" w:rsidRPr="00466672" w:rsidP="009D2A34">
      <w:pPr>
        <w:bidi w:val="0"/>
        <w:jc w:val="both"/>
        <w:rPr>
          <w:rFonts w:ascii="Times New Roman" w:hAnsi="Times New Roman" w:cs="Times New Roman"/>
        </w:rPr>
      </w:pPr>
    </w:p>
    <w:tbl>
      <w:tblPr>
        <w:tblStyle w:val="TableNormal"/>
        <w:tblW w:w="9087" w:type="dxa"/>
        <w:tblInd w:w="55" w:type="dxa"/>
        <w:tblCellMar>
          <w:left w:w="70" w:type="dxa"/>
          <w:right w:w="70" w:type="dxa"/>
        </w:tblCellMar>
        <w:tblLook w:val="04A0"/>
      </w:tblPr>
      <w:tblGrid>
        <w:gridCol w:w="2560"/>
        <w:gridCol w:w="932"/>
        <w:gridCol w:w="932"/>
        <w:gridCol w:w="933"/>
        <w:gridCol w:w="932"/>
        <w:gridCol w:w="933"/>
        <w:gridCol w:w="932"/>
        <w:gridCol w:w="933"/>
      </w:tblGrid>
      <w:tr>
        <w:tblPrEx>
          <w:tblW w:w="9087" w:type="dxa"/>
          <w:tblInd w:w="55" w:type="dxa"/>
          <w:tblCellMar>
            <w:left w:w="70" w:type="dxa"/>
            <w:right w:w="70" w:type="dxa"/>
          </w:tblCellMar>
          <w:tblLook w:val="04A0"/>
        </w:tblPrEx>
        <w:trPr>
          <w:trHeight w:val="261"/>
        </w:trPr>
        <w:tc>
          <w:tcPr>
            <w:tcW w:w="256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466672" w:rsidP="006338E5">
            <w:pPr>
              <w:bidi w:val="0"/>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 v eurách</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2010 S</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2011 S</w:t>
            </w:r>
          </w:p>
        </w:tc>
        <w:tc>
          <w:tcPr>
            <w:tcW w:w="93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2012 R</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2012 OS</w:t>
            </w:r>
          </w:p>
        </w:tc>
        <w:tc>
          <w:tcPr>
            <w:tcW w:w="93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7E4B5C">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 xml:space="preserve">2013 </w:t>
            </w:r>
            <w:r w:rsidR="007E4B5C">
              <w:rPr>
                <w:rFonts w:ascii="Times New Roman" w:hAnsi="Times New Roman" w:cs="Times New Roman"/>
                <w:b/>
                <w:bCs/>
                <w:color w:val="000000"/>
                <w:sz w:val="14"/>
                <w:szCs w:val="14"/>
                <w:lang w:eastAsia="sk-SK"/>
              </w:rPr>
              <w:t>N</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2014 N</w:t>
            </w:r>
          </w:p>
        </w:tc>
        <w:tc>
          <w:tcPr>
            <w:tcW w:w="93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2015 N</w:t>
            </w:r>
          </w:p>
        </w:tc>
      </w:tr>
      <w:tr>
        <w:tblPrEx>
          <w:tblW w:w="9087" w:type="dxa"/>
          <w:tblInd w:w="55" w:type="dxa"/>
          <w:tblCellMar>
            <w:left w:w="70" w:type="dxa"/>
            <w:right w:w="70" w:type="dxa"/>
          </w:tblCellMar>
          <w:tblLook w:val="04A0"/>
        </w:tblPrEx>
        <w:trPr>
          <w:trHeight w:val="261"/>
        </w:trPr>
        <w:tc>
          <w:tcPr>
            <w:tcW w:w="2560" w:type="dxa"/>
            <w:tcBorders>
              <w:top w:val="nil"/>
              <w:left w:val="single" w:sz="4" w:space="0" w:color="auto"/>
              <w:bottom w:val="single" w:sz="4" w:space="0" w:color="auto"/>
              <w:right w:val="single" w:sz="4" w:space="0" w:color="auto"/>
            </w:tcBorders>
            <w:textDirection w:val="lrTb"/>
            <w:vAlign w:val="center"/>
            <w:hideMark/>
          </w:tcPr>
          <w:p w:rsidR="009D2A34" w:rsidRPr="00466672" w:rsidP="006338E5">
            <w:pPr>
              <w:bidi w:val="0"/>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Odškodňovanie v oblasti súdnictvo</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1 112 984</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754 766</w:t>
            </w:r>
          </w:p>
        </w:tc>
        <w:tc>
          <w:tcPr>
            <w:tcW w:w="933"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296 155</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514 046</w:t>
            </w:r>
          </w:p>
        </w:tc>
        <w:tc>
          <w:tcPr>
            <w:tcW w:w="933"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w:t>
            </w:r>
            <w:r w:rsidRPr="00466672">
              <w:rPr>
                <w:rFonts w:ascii="Times New Roman" w:hAnsi="Times New Roman" w:cs="Times New Roman"/>
                <w:color w:val="000000"/>
                <w:sz w:val="14"/>
                <w:szCs w:val="14"/>
                <w:lang w:eastAsia="sk-SK"/>
              </w:rPr>
              <w:t>03 684</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w:t>
            </w:r>
            <w:r w:rsidRPr="00466672">
              <w:rPr>
                <w:rFonts w:ascii="Times New Roman" w:hAnsi="Times New Roman" w:cs="Times New Roman"/>
                <w:color w:val="000000"/>
                <w:sz w:val="14"/>
                <w:szCs w:val="14"/>
                <w:lang w:eastAsia="sk-SK"/>
              </w:rPr>
              <w:t>03 684</w:t>
            </w:r>
          </w:p>
        </w:tc>
        <w:tc>
          <w:tcPr>
            <w:tcW w:w="933"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w:t>
            </w:r>
            <w:r w:rsidRPr="00466672">
              <w:rPr>
                <w:rFonts w:ascii="Times New Roman" w:hAnsi="Times New Roman" w:cs="Times New Roman"/>
                <w:color w:val="000000"/>
                <w:sz w:val="14"/>
                <w:szCs w:val="14"/>
                <w:lang w:eastAsia="sk-SK"/>
              </w:rPr>
              <w:t>03 684</w:t>
            </w:r>
          </w:p>
        </w:tc>
      </w:tr>
    </w:tbl>
    <w:p w:rsidR="009D2A34" w:rsidRPr="00466672" w:rsidP="009D2A34">
      <w:pPr>
        <w:bidi w:val="0"/>
        <w:jc w:val="both"/>
        <w:rPr>
          <w:rFonts w:ascii="Times New Roman" w:hAnsi="Times New Roman" w:cs="Times New Roman"/>
        </w:rPr>
      </w:pPr>
    </w:p>
    <w:p w:rsidR="009D2A34" w:rsidRPr="00466672" w:rsidP="009D2A34">
      <w:pPr>
        <w:bidi w:val="0"/>
        <w:jc w:val="both"/>
        <w:rPr>
          <w:rFonts w:ascii="Times New Roman" w:hAnsi="Times New Roman" w:cs="Times New Roman"/>
        </w:rPr>
      </w:pPr>
      <w:r w:rsidRPr="00466672">
        <w:rPr>
          <w:rFonts w:ascii="Times New Roman" w:hAnsi="Times New Roman" w:cs="Times New Roman"/>
          <w:b/>
        </w:rPr>
        <w:t>Administratíva</w:t>
      </w:r>
    </w:p>
    <w:p w:rsidR="009D2A34" w:rsidRPr="00466672" w:rsidP="009D2A34">
      <w:pPr>
        <w:bidi w:val="0"/>
        <w:ind w:firstLine="708"/>
        <w:jc w:val="both"/>
        <w:rPr>
          <w:rFonts w:ascii="Times New Roman" w:hAnsi="Times New Roman" w:cs="Times New Roman"/>
        </w:rPr>
      </w:pPr>
    </w:p>
    <w:p w:rsidR="009D2A34" w:rsidRPr="00466672" w:rsidP="009D2A34">
      <w:pPr>
        <w:bidi w:val="0"/>
        <w:ind w:firstLine="708"/>
        <w:jc w:val="both"/>
        <w:rPr>
          <w:rFonts w:ascii="Times New Roman" w:hAnsi="Times New Roman" w:cs="Times New Roman"/>
        </w:rPr>
      </w:pPr>
      <w:r w:rsidRPr="00466672">
        <w:rPr>
          <w:rFonts w:ascii="Times New Roman" w:hAnsi="Times New Roman" w:cs="Times New Roman"/>
        </w:rPr>
        <w:t xml:space="preserve">Na zabezpečenie činnosti ústredného orgánu ministerstva spravodlivosti sa na rok 2013 rozpočtujú výdavky v sume 9,14 mil. eur, ktoré sú určené pre ekonomické, personálne, legislatívne a metodické riadenie organizácie. Úlohy v tejto oblasti sú zamerané aj na edičnú činnosť a realizáciu odškodňovania občanov v súlade s platnou legislatívou a činnosťou zástupcov Slovenskej republiky pred medzinárodnými súdnymi inštitúciami.  </w:t>
      </w:r>
    </w:p>
    <w:p w:rsidR="009D2A34" w:rsidRPr="007E0D85" w:rsidP="009D2A34">
      <w:pPr>
        <w:bidi w:val="0"/>
        <w:jc w:val="both"/>
        <w:rPr>
          <w:rFonts w:ascii="Times New Roman" w:hAnsi="Times New Roman" w:cs="Times New Roman"/>
          <w:highlight w:val="yellow"/>
        </w:rPr>
      </w:pPr>
    </w:p>
    <w:tbl>
      <w:tblPr>
        <w:tblStyle w:val="TableNormal"/>
        <w:tblW w:w="9077" w:type="dxa"/>
        <w:tblInd w:w="65" w:type="dxa"/>
        <w:tblLayout w:type="fixed"/>
        <w:tblCellMar>
          <w:left w:w="70" w:type="dxa"/>
          <w:right w:w="70" w:type="dxa"/>
        </w:tblCellMar>
        <w:tblLook w:val="04A0"/>
      </w:tblPr>
      <w:tblGrid>
        <w:gridCol w:w="2273"/>
        <w:gridCol w:w="972"/>
        <w:gridCol w:w="972"/>
        <w:gridCol w:w="972"/>
        <w:gridCol w:w="972"/>
        <w:gridCol w:w="972"/>
        <w:gridCol w:w="972"/>
        <w:gridCol w:w="972"/>
      </w:tblGrid>
      <w:tr>
        <w:tblPrEx>
          <w:tblW w:w="9077" w:type="dxa"/>
          <w:tblInd w:w="65" w:type="dxa"/>
          <w:tblLayout w:type="fixed"/>
          <w:tblCellMar>
            <w:left w:w="70" w:type="dxa"/>
            <w:right w:w="70" w:type="dxa"/>
          </w:tblCellMar>
          <w:tblLook w:val="04A0"/>
        </w:tblPrEx>
        <w:trPr>
          <w:trHeight w:val="255"/>
        </w:trPr>
        <w:tc>
          <w:tcPr>
            <w:tcW w:w="2273"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466672" w:rsidP="006338E5">
            <w:pPr>
              <w:bidi w:val="0"/>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 v eurách</w:t>
            </w:r>
          </w:p>
        </w:tc>
        <w:tc>
          <w:tcPr>
            <w:tcW w:w="97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2010 S</w:t>
            </w:r>
          </w:p>
        </w:tc>
        <w:tc>
          <w:tcPr>
            <w:tcW w:w="97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2011 S</w:t>
            </w:r>
          </w:p>
        </w:tc>
        <w:tc>
          <w:tcPr>
            <w:tcW w:w="972"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2012 R</w:t>
            </w:r>
          </w:p>
        </w:tc>
        <w:tc>
          <w:tcPr>
            <w:tcW w:w="972"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2012 OS</w:t>
            </w:r>
          </w:p>
        </w:tc>
        <w:tc>
          <w:tcPr>
            <w:tcW w:w="972"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466672" w:rsidP="007E4B5C">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 xml:space="preserve">2013 </w:t>
            </w:r>
            <w:r w:rsidR="007E4B5C">
              <w:rPr>
                <w:rFonts w:ascii="Times New Roman" w:hAnsi="Times New Roman" w:cs="Times New Roman"/>
                <w:b/>
                <w:bCs/>
                <w:color w:val="000000"/>
                <w:sz w:val="14"/>
                <w:szCs w:val="14"/>
                <w:lang w:eastAsia="sk-SK"/>
              </w:rPr>
              <w:t>N</w:t>
            </w:r>
          </w:p>
        </w:tc>
        <w:tc>
          <w:tcPr>
            <w:tcW w:w="972"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2014 N</w:t>
            </w:r>
          </w:p>
        </w:tc>
        <w:tc>
          <w:tcPr>
            <w:tcW w:w="972"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2015 N</w:t>
            </w:r>
          </w:p>
        </w:tc>
      </w:tr>
      <w:tr>
        <w:tblPrEx>
          <w:tblW w:w="9077" w:type="dxa"/>
          <w:tblInd w:w="65" w:type="dxa"/>
          <w:tblLayout w:type="fixed"/>
          <w:tblCellMar>
            <w:left w:w="70" w:type="dxa"/>
            <w:right w:w="70" w:type="dxa"/>
          </w:tblCellMar>
          <w:tblLook w:val="04A0"/>
        </w:tblPrEx>
        <w:trPr>
          <w:trHeight w:val="255"/>
        </w:trPr>
        <w:tc>
          <w:tcPr>
            <w:tcW w:w="227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466672" w:rsidP="006338E5">
            <w:pPr>
              <w:bidi w:val="0"/>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riadenie, kontrola a podpora</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10 213 454</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9 874 768</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9 567 133</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9 955 585</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9 138 541</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9 148 113</w:t>
            </w:r>
          </w:p>
        </w:tc>
        <w:tc>
          <w:tcPr>
            <w:tcW w:w="97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9 160 695</w:t>
            </w:r>
          </w:p>
        </w:tc>
      </w:tr>
      <w:tr>
        <w:tblPrEx>
          <w:tblW w:w="9077" w:type="dxa"/>
          <w:tblInd w:w="65" w:type="dxa"/>
          <w:tblLayout w:type="fixed"/>
          <w:tblCellMar>
            <w:left w:w="70" w:type="dxa"/>
            <w:right w:w="70" w:type="dxa"/>
          </w:tblCellMar>
          <w:tblLook w:val="04A0"/>
        </w:tblPrEx>
        <w:trPr>
          <w:trHeight w:val="255"/>
        </w:trPr>
        <w:tc>
          <w:tcPr>
            <w:tcW w:w="2273" w:type="dxa"/>
            <w:tcBorders>
              <w:top w:val="nil"/>
              <w:left w:val="single" w:sz="4" w:space="0" w:color="auto"/>
              <w:bottom w:val="single" w:sz="4" w:space="0" w:color="auto"/>
              <w:right w:val="single" w:sz="4" w:space="0" w:color="auto"/>
            </w:tcBorders>
            <w:noWrap/>
            <w:textDirection w:val="lrTb"/>
            <w:vAlign w:val="center"/>
            <w:hideMark/>
          </w:tcPr>
          <w:p w:rsidR="009D2A34" w:rsidRPr="00466672" w:rsidP="006338E5">
            <w:pPr>
              <w:bidi w:val="0"/>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 xml:space="preserve">   610 mzdy</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3 479 592</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3 375 982</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3 406 844</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3 406 844</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3 258 585</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3 261 950</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3 271 347</w:t>
            </w:r>
          </w:p>
        </w:tc>
      </w:tr>
      <w:tr>
        <w:tblPrEx>
          <w:tblW w:w="9077" w:type="dxa"/>
          <w:tblInd w:w="65" w:type="dxa"/>
          <w:tblLayout w:type="fixed"/>
          <w:tblCellMar>
            <w:left w:w="70" w:type="dxa"/>
            <w:right w:w="70" w:type="dxa"/>
          </w:tblCellMar>
          <w:tblLook w:val="04A0"/>
        </w:tblPrEx>
        <w:trPr>
          <w:trHeight w:val="255"/>
        </w:trPr>
        <w:tc>
          <w:tcPr>
            <w:tcW w:w="2273" w:type="dxa"/>
            <w:tcBorders>
              <w:top w:val="nil"/>
              <w:left w:val="single" w:sz="4" w:space="0" w:color="auto"/>
              <w:bottom w:val="single" w:sz="4" w:space="0" w:color="auto"/>
              <w:right w:val="single" w:sz="4" w:space="0" w:color="auto"/>
            </w:tcBorders>
            <w:noWrap/>
            <w:textDirection w:val="lrTb"/>
            <w:vAlign w:val="center"/>
            <w:hideMark/>
          </w:tcPr>
          <w:p w:rsidR="009D2A34" w:rsidRPr="00466672" w:rsidP="006338E5">
            <w:pPr>
              <w:bidi w:val="0"/>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 xml:space="preserve">   620 odvody</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1 144 391</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1 175 616</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1 197 844</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1 197 844</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1 123 485</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1 124 529</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1 127 714</w:t>
            </w:r>
          </w:p>
        </w:tc>
      </w:tr>
      <w:tr>
        <w:tblPrEx>
          <w:tblW w:w="9077" w:type="dxa"/>
          <w:tblInd w:w="65" w:type="dxa"/>
          <w:tblLayout w:type="fixed"/>
          <w:tblCellMar>
            <w:left w:w="70" w:type="dxa"/>
            <w:right w:w="70" w:type="dxa"/>
          </w:tblCellMar>
          <w:tblLook w:val="04A0"/>
        </w:tblPrEx>
        <w:trPr>
          <w:trHeight w:val="255"/>
        </w:trPr>
        <w:tc>
          <w:tcPr>
            <w:tcW w:w="2273" w:type="dxa"/>
            <w:tcBorders>
              <w:top w:val="nil"/>
              <w:left w:val="single" w:sz="4" w:space="0" w:color="auto"/>
              <w:bottom w:val="single" w:sz="4" w:space="0" w:color="auto"/>
              <w:right w:val="single" w:sz="4" w:space="0" w:color="auto"/>
            </w:tcBorders>
            <w:noWrap/>
            <w:textDirection w:val="lrTb"/>
            <w:vAlign w:val="center"/>
            <w:hideMark/>
          </w:tcPr>
          <w:p w:rsidR="009D2A34" w:rsidRPr="00466672" w:rsidP="006338E5">
            <w:pPr>
              <w:bidi w:val="0"/>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 xml:space="preserve">   630 tovary a služby</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1 833 699</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1 769 546</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1 909 445</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1 909 445</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1 706 471</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1 706 634</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1 706 634</w:t>
            </w:r>
          </w:p>
        </w:tc>
      </w:tr>
      <w:tr>
        <w:tblPrEx>
          <w:tblW w:w="9077" w:type="dxa"/>
          <w:tblInd w:w="65" w:type="dxa"/>
          <w:tblLayout w:type="fixed"/>
          <w:tblCellMar>
            <w:left w:w="70" w:type="dxa"/>
            <w:right w:w="70" w:type="dxa"/>
          </w:tblCellMar>
          <w:tblLook w:val="04A0"/>
        </w:tblPrEx>
        <w:trPr>
          <w:trHeight w:val="255"/>
        </w:trPr>
        <w:tc>
          <w:tcPr>
            <w:tcW w:w="2273" w:type="dxa"/>
            <w:tcBorders>
              <w:top w:val="nil"/>
              <w:left w:val="single" w:sz="4" w:space="0" w:color="auto"/>
              <w:bottom w:val="single" w:sz="4" w:space="0" w:color="auto"/>
              <w:right w:val="single" w:sz="4" w:space="0" w:color="auto"/>
            </w:tcBorders>
            <w:noWrap/>
            <w:textDirection w:val="lrTb"/>
            <w:vAlign w:val="center"/>
            <w:hideMark/>
          </w:tcPr>
          <w:p w:rsidR="009D2A34" w:rsidRPr="00466672" w:rsidP="006338E5">
            <w:pPr>
              <w:bidi w:val="0"/>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 xml:space="preserve">   640 bežné transfery</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3 267 535</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2 995 302</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2 830 000</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2 830 000</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2 830 000</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2 830 000</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2 830 000</w:t>
            </w:r>
          </w:p>
        </w:tc>
      </w:tr>
      <w:tr>
        <w:tblPrEx>
          <w:tblW w:w="9077" w:type="dxa"/>
          <w:tblInd w:w="65" w:type="dxa"/>
          <w:tblLayout w:type="fixed"/>
          <w:tblCellMar>
            <w:left w:w="70" w:type="dxa"/>
            <w:right w:w="70" w:type="dxa"/>
          </w:tblCellMar>
          <w:tblLook w:val="04A0"/>
        </w:tblPrEx>
        <w:trPr>
          <w:trHeight w:val="255"/>
        </w:trPr>
        <w:tc>
          <w:tcPr>
            <w:tcW w:w="2273" w:type="dxa"/>
            <w:tcBorders>
              <w:top w:val="nil"/>
              <w:left w:val="single" w:sz="4" w:space="0" w:color="auto"/>
              <w:bottom w:val="single" w:sz="4" w:space="0" w:color="auto"/>
              <w:right w:val="single" w:sz="4" w:space="0" w:color="auto"/>
            </w:tcBorders>
            <w:noWrap/>
            <w:textDirection w:val="lrTb"/>
            <w:vAlign w:val="center"/>
            <w:hideMark/>
          </w:tcPr>
          <w:p w:rsidR="009D2A34" w:rsidRPr="00466672" w:rsidP="006338E5">
            <w:pPr>
              <w:bidi w:val="0"/>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 xml:space="preserve">   700 kapitálové výdavky</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488 237</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558 322</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223 000</w:t>
            </w:r>
          </w:p>
        </w:tc>
        <w:tc>
          <w:tcPr>
            <w:tcW w:w="97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611 452</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220 000</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225 000</w:t>
            </w:r>
          </w:p>
        </w:tc>
        <w:tc>
          <w:tcPr>
            <w:tcW w:w="972" w:type="dxa"/>
            <w:tcBorders>
              <w:top w:val="nil"/>
              <w:left w:val="nil"/>
              <w:bottom w:val="single" w:sz="4" w:space="0" w:color="auto"/>
              <w:right w:val="single" w:sz="4" w:space="0" w:color="auto"/>
            </w:tcBorders>
            <w:noWrap/>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225 000</w:t>
            </w:r>
          </w:p>
        </w:tc>
      </w:tr>
    </w:tbl>
    <w:p w:rsidR="009D2A34" w:rsidRPr="007E0D85" w:rsidP="009D2A34">
      <w:pPr>
        <w:bidi w:val="0"/>
        <w:jc w:val="both"/>
        <w:rPr>
          <w:rFonts w:ascii="Times New Roman" w:hAnsi="Times New Roman" w:cs="Times New Roman"/>
          <w:highlight w:val="yellow"/>
        </w:rPr>
      </w:pPr>
    </w:p>
    <w:p w:rsidR="009D2A34" w:rsidRPr="00466672" w:rsidP="009D2A34">
      <w:pPr>
        <w:bidi w:val="0"/>
        <w:jc w:val="both"/>
        <w:rPr>
          <w:rFonts w:ascii="Times New Roman" w:hAnsi="Times New Roman" w:cs="Times New Roman"/>
          <w:i/>
          <w:u w:val="single"/>
        </w:rPr>
      </w:pPr>
      <w:r w:rsidRPr="00466672">
        <w:rPr>
          <w:rFonts w:ascii="Times New Roman" w:hAnsi="Times New Roman" w:cs="Times New Roman"/>
          <w:i/>
          <w:u w:val="single"/>
        </w:rPr>
        <w:t>Odškodňovanie v administratíve</w:t>
      </w:r>
    </w:p>
    <w:p w:rsidR="009D2A34" w:rsidRPr="00466672" w:rsidP="009D2A34">
      <w:pPr>
        <w:bidi w:val="0"/>
        <w:jc w:val="both"/>
        <w:rPr>
          <w:rFonts w:ascii="Times New Roman" w:hAnsi="Times New Roman" w:cs="Times New Roman"/>
        </w:rPr>
      </w:pPr>
    </w:p>
    <w:p w:rsidR="009D2A34" w:rsidRPr="00466672" w:rsidP="009D2A34">
      <w:pPr>
        <w:bidi w:val="0"/>
        <w:ind w:firstLine="708"/>
        <w:jc w:val="both"/>
        <w:rPr>
          <w:rFonts w:ascii="Times New Roman" w:hAnsi="Times New Roman" w:cs="Times New Roman"/>
        </w:rPr>
      </w:pPr>
      <w:r w:rsidRPr="00466672">
        <w:rPr>
          <w:rFonts w:ascii="Times New Roman" w:hAnsi="Times New Roman" w:cs="Times New Roman"/>
        </w:rPr>
        <w:t xml:space="preserve">V rámci administratívy sa na odškodnenie obetí deportácií do gulagov na území bývalého ZSSR, za zodpovednosť za škodu spôsobenú rozhodnutím orgánu štátu alebo jeho nesprávnym úradným postupom, za následky násilných trestných činov, spáchaných po </w:t>
        <w:br/>
        <w:t>1. máji 2006 o odškodňovaní osôb poškodených násilnými trestnými činmi, na zmiernenie niektorých krívd osobám deportovaným do nacistických koncentračných táborov a zajateckých táborov, príslušníkov československých zahraničných alebo spojeneckých armád, ako aj domáceho odboja v rokoch 1939 až 1945, obetí okupácie ČSSR vojskami ZSSR, NDR, PĽR, MĽR a BĽR v roku 1968 a na základe rozsudkov Európskeho súdu pre ľudské práva sa na roky 2013 až 2015 rozpočtuje suma 900 tis. eur.</w:t>
      </w:r>
    </w:p>
    <w:tbl>
      <w:tblPr>
        <w:tblStyle w:val="TableNormal"/>
        <w:tblW w:w="9087" w:type="dxa"/>
        <w:tblInd w:w="55" w:type="dxa"/>
        <w:tblCellMar>
          <w:left w:w="70" w:type="dxa"/>
          <w:right w:w="70" w:type="dxa"/>
        </w:tblCellMar>
        <w:tblLook w:val="04A0"/>
      </w:tblPr>
      <w:tblGrid>
        <w:gridCol w:w="2620"/>
        <w:gridCol w:w="923"/>
        <w:gridCol w:w="924"/>
        <w:gridCol w:w="924"/>
        <w:gridCol w:w="924"/>
        <w:gridCol w:w="924"/>
        <w:gridCol w:w="924"/>
        <w:gridCol w:w="924"/>
      </w:tblGrid>
      <w:tr>
        <w:tblPrEx>
          <w:tblW w:w="9087" w:type="dxa"/>
          <w:tblInd w:w="55" w:type="dxa"/>
          <w:tblCellMar>
            <w:left w:w="70" w:type="dxa"/>
            <w:right w:w="70" w:type="dxa"/>
          </w:tblCellMar>
          <w:tblLook w:val="04A0"/>
        </w:tblPrEx>
        <w:trPr>
          <w:trHeight w:val="261"/>
        </w:trPr>
        <w:tc>
          <w:tcPr>
            <w:tcW w:w="262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466672" w:rsidP="006338E5">
            <w:pPr>
              <w:bidi w:val="0"/>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v eurách</w:t>
            </w:r>
          </w:p>
        </w:tc>
        <w:tc>
          <w:tcPr>
            <w:tcW w:w="923"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2010 S</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2011 S</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2012 R</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2012 OS</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7E4B5C">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 xml:space="preserve">2013 </w:t>
            </w:r>
            <w:r w:rsidR="007E4B5C">
              <w:rPr>
                <w:rFonts w:ascii="Times New Roman" w:hAnsi="Times New Roman" w:cs="Times New Roman"/>
                <w:b/>
                <w:bCs/>
                <w:color w:val="000000"/>
                <w:sz w:val="14"/>
                <w:szCs w:val="14"/>
                <w:lang w:eastAsia="sk-SK"/>
              </w:rPr>
              <w:t>N</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2014 N</w:t>
            </w:r>
          </w:p>
        </w:tc>
        <w:tc>
          <w:tcPr>
            <w:tcW w:w="924"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466672" w:rsidP="006338E5">
            <w:pPr>
              <w:bidi w:val="0"/>
              <w:jc w:val="center"/>
              <w:rPr>
                <w:rFonts w:ascii="Times New Roman" w:hAnsi="Times New Roman" w:cs="Times New Roman"/>
                <w:b/>
                <w:bCs/>
                <w:color w:val="000000"/>
                <w:sz w:val="14"/>
                <w:szCs w:val="14"/>
                <w:lang w:eastAsia="sk-SK"/>
              </w:rPr>
            </w:pPr>
            <w:r w:rsidRPr="00466672">
              <w:rPr>
                <w:rFonts w:ascii="Times New Roman" w:hAnsi="Times New Roman" w:cs="Times New Roman"/>
                <w:b/>
                <w:bCs/>
                <w:color w:val="000000"/>
                <w:sz w:val="14"/>
                <w:szCs w:val="14"/>
                <w:lang w:eastAsia="sk-SK"/>
              </w:rPr>
              <w:t>2015 N</w:t>
            </w:r>
          </w:p>
        </w:tc>
      </w:tr>
      <w:tr>
        <w:tblPrEx>
          <w:tblW w:w="9087" w:type="dxa"/>
          <w:tblInd w:w="55" w:type="dxa"/>
          <w:tblCellMar>
            <w:left w:w="70" w:type="dxa"/>
            <w:right w:w="70" w:type="dxa"/>
          </w:tblCellMar>
          <w:tblLook w:val="04A0"/>
        </w:tblPrEx>
        <w:trPr>
          <w:trHeight w:val="261"/>
        </w:trPr>
        <w:tc>
          <w:tcPr>
            <w:tcW w:w="2620" w:type="dxa"/>
            <w:tcBorders>
              <w:top w:val="nil"/>
              <w:left w:val="single" w:sz="4" w:space="0" w:color="auto"/>
              <w:bottom w:val="single" w:sz="4" w:space="0" w:color="auto"/>
              <w:right w:val="single" w:sz="4" w:space="0" w:color="auto"/>
            </w:tcBorders>
            <w:textDirection w:val="lrTb"/>
            <w:vAlign w:val="center"/>
            <w:hideMark/>
          </w:tcPr>
          <w:p w:rsidR="009D2A34" w:rsidRPr="00466672" w:rsidP="006338E5">
            <w:pPr>
              <w:bidi w:val="0"/>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Odškodňovanie v oblasti administratíva</w:t>
            </w:r>
          </w:p>
        </w:tc>
        <w:tc>
          <w:tcPr>
            <w:tcW w:w="923"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1 719 299</w:t>
            </w:r>
          </w:p>
        </w:tc>
        <w:tc>
          <w:tcPr>
            <w:tcW w:w="924"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1 273 453</w:t>
            </w:r>
          </w:p>
        </w:tc>
        <w:tc>
          <w:tcPr>
            <w:tcW w:w="924"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1 110 000</w:t>
            </w:r>
          </w:p>
        </w:tc>
        <w:tc>
          <w:tcPr>
            <w:tcW w:w="924"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1 110 000</w:t>
            </w:r>
          </w:p>
        </w:tc>
        <w:tc>
          <w:tcPr>
            <w:tcW w:w="924"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900 000</w:t>
            </w:r>
          </w:p>
        </w:tc>
        <w:tc>
          <w:tcPr>
            <w:tcW w:w="924"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900 000</w:t>
            </w:r>
          </w:p>
        </w:tc>
        <w:tc>
          <w:tcPr>
            <w:tcW w:w="924"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lang w:eastAsia="sk-SK"/>
              </w:rPr>
            </w:pPr>
            <w:r w:rsidRPr="00466672">
              <w:rPr>
                <w:rFonts w:ascii="Times New Roman" w:hAnsi="Times New Roman" w:cs="Times New Roman"/>
                <w:color w:val="000000"/>
                <w:sz w:val="14"/>
                <w:szCs w:val="14"/>
                <w:lang w:eastAsia="sk-SK"/>
              </w:rPr>
              <w:t>900 000</w:t>
            </w:r>
          </w:p>
        </w:tc>
      </w:tr>
    </w:tbl>
    <w:p w:rsidR="009D2A34" w:rsidRPr="00466672" w:rsidP="009D2A34">
      <w:pPr>
        <w:bidi w:val="0"/>
        <w:jc w:val="both"/>
        <w:rPr>
          <w:rFonts w:ascii="Times New Roman" w:hAnsi="Times New Roman" w:cs="Times New Roman"/>
        </w:rPr>
      </w:pPr>
    </w:p>
    <w:p w:rsidR="009D2A34" w:rsidRPr="00466672" w:rsidP="009D2A34">
      <w:pPr>
        <w:bidi w:val="0"/>
        <w:ind w:firstLine="708"/>
        <w:jc w:val="both"/>
        <w:rPr>
          <w:rFonts w:ascii="Times New Roman" w:hAnsi="Times New Roman" w:cs="Times New Roman"/>
          <w:b/>
        </w:rPr>
      </w:pPr>
      <w:r w:rsidRPr="00466672">
        <w:rPr>
          <w:rFonts w:ascii="Times New Roman" w:hAnsi="Times New Roman" w:cs="Times New Roman"/>
        </w:rPr>
        <w:t xml:space="preserve">Agenda odškodňovania prebieha v zmysle platných zákonov a na základe súdnych rozhodnutí, až do obdobia rokov 2016 až 2017, pretože žiadosti, ktoré boli podané v zákonom stanovenej lehote nie sú časovo obmedzené a nárok na odškodnenie nezaniká, čiže je potrebné čakať na ukončenie právoplatných dedičských konaní. </w:t>
      </w:r>
    </w:p>
    <w:p w:rsidR="009D2A34" w:rsidRPr="00466672" w:rsidP="009D2A34">
      <w:pPr>
        <w:bidi w:val="0"/>
        <w:jc w:val="both"/>
        <w:rPr>
          <w:rFonts w:ascii="Times New Roman" w:hAnsi="Times New Roman" w:cs="Times New Roman"/>
        </w:rPr>
      </w:pPr>
    </w:p>
    <w:p w:rsidR="009D2A34" w:rsidRPr="00466672" w:rsidP="009D2A34">
      <w:pPr>
        <w:bidi w:val="0"/>
        <w:jc w:val="both"/>
        <w:rPr>
          <w:rFonts w:ascii="Times New Roman" w:hAnsi="Times New Roman" w:cs="Times New Roman"/>
          <w:b/>
        </w:rPr>
      </w:pPr>
      <w:r w:rsidRPr="00466672">
        <w:rPr>
          <w:rFonts w:ascii="Times New Roman" w:hAnsi="Times New Roman" w:cs="Times New Roman"/>
          <w:b/>
        </w:rPr>
        <w:t>Medzirezortné programy</w:t>
      </w:r>
    </w:p>
    <w:p w:rsidR="009D2A34" w:rsidRPr="00466672" w:rsidP="009D2A34">
      <w:pPr>
        <w:bidi w:val="0"/>
        <w:jc w:val="both"/>
        <w:rPr>
          <w:rFonts w:ascii="Times New Roman" w:hAnsi="Times New Roman" w:cs="Times New Roman"/>
        </w:rPr>
      </w:pPr>
    </w:p>
    <w:tbl>
      <w:tblPr>
        <w:tblStyle w:val="TableNormal"/>
        <w:tblW w:w="9077" w:type="dxa"/>
        <w:tblInd w:w="65" w:type="dxa"/>
        <w:tblLayout w:type="fixed"/>
        <w:tblCellMar>
          <w:left w:w="70" w:type="dxa"/>
          <w:right w:w="70" w:type="dxa"/>
        </w:tblCellMar>
        <w:tblLook w:val="04A0"/>
      </w:tblPr>
      <w:tblGrid>
        <w:gridCol w:w="2557"/>
        <w:gridCol w:w="931"/>
        <w:gridCol w:w="931"/>
        <w:gridCol w:w="932"/>
        <w:gridCol w:w="931"/>
        <w:gridCol w:w="932"/>
        <w:gridCol w:w="931"/>
        <w:gridCol w:w="932"/>
      </w:tblGrid>
      <w:tr>
        <w:tblPrEx>
          <w:tblW w:w="9077" w:type="dxa"/>
          <w:tblInd w:w="65" w:type="dxa"/>
          <w:tblLayout w:type="fixed"/>
          <w:tblCellMar>
            <w:left w:w="70" w:type="dxa"/>
            <w:right w:w="70" w:type="dxa"/>
          </w:tblCellMar>
          <w:tblLook w:val="04A0"/>
        </w:tblPrEx>
        <w:trPr>
          <w:trHeight w:val="262"/>
        </w:trPr>
        <w:tc>
          <w:tcPr>
            <w:tcW w:w="2557"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466672" w:rsidP="006338E5">
            <w:pPr>
              <w:bidi w:val="0"/>
              <w:rPr>
                <w:rFonts w:ascii="Times New Roman" w:hAnsi="Times New Roman" w:cs="Times New Roman"/>
                <w:color w:val="000000"/>
                <w:sz w:val="14"/>
                <w:szCs w:val="14"/>
              </w:rPr>
            </w:pPr>
            <w:r w:rsidRPr="00466672">
              <w:rPr>
                <w:rFonts w:ascii="Times New Roman" w:hAnsi="Times New Roman" w:cs="Times New Roman"/>
                <w:color w:val="000000"/>
                <w:sz w:val="14"/>
                <w:szCs w:val="14"/>
              </w:rPr>
              <w:t> </w:t>
            </w:r>
            <w:r w:rsidRPr="00466672">
              <w:rPr>
                <w:rFonts w:ascii="Times New Roman" w:hAnsi="Times New Roman" w:cs="Times New Roman"/>
                <w:b/>
                <w:bCs/>
                <w:color w:val="000000"/>
                <w:sz w:val="14"/>
                <w:szCs w:val="14"/>
              </w:rPr>
              <w:t>v eurách</w:t>
            </w:r>
          </w:p>
        </w:tc>
        <w:tc>
          <w:tcPr>
            <w:tcW w:w="93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466672" w:rsidP="006338E5">
            <w:pPr>
              <w:bidi w:val="0"/>
              <w:jc w:val="center"/>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2010 S</w:t>
            </w:r>
          </w:p>
        </w:tc>
        <w:tc>
          <w:tcPr>
            <w:tcW w:w="93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466672" w:rsidP="006338E5">
            <w:pPr>
              <w:bidi w:val="0"/>
              <w:jc w:val="center"/>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2011 S</w:t>
            </w:r>
          </w:p>
        </w:tc>
        <w:tc>
          <w:tcPr>
            <w:tcW w:w="93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466672" w:rsidP="006338E5">
            <w:pPr>
              <w:bidi w:val="0"/>
              <w:jc w:val="center"/>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2012 R</w:t>
            </w:r>
          </w:p>
        </w:tc>
        <w:tc>
          <w:tcPr>
            <w:tcW w:w="93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466672" w:rsidP="006338E5">
            <w:pPr>
              <w:bidi w:val="0"/>
              <w:jc w:val="center"/>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 xml:space="preserve">2012 OS </w:t>
            </w:r>
          </w:p>
        </w:tc>
        <w:tc>
          <w:tcPr>
            <w:tcW w:w="93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466672" w:rsidP="007E4B5C">
            <w:pPr>
              <w:bidi w:val="0"/>
              <w:jc w:val="center"/>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lang w:eastAsia="sk-SK"/>
              </w:rPr>
              <w:t xml:space="preserve">2013 </w:t>
            </w:r>
            <w:r w:rsidR="007E4B5C">
              <w:rPr>
                <w:rFonts w:ascii="Times New Roman" w:hAnsi="Times New Roman" w:cs="Times New Roman"/>
                <w:b/>
                <w:bCs/>
                <w:color w:val="000000"/>
                <w:sz w:val="14"/>
                <w:szCs w:val="14"/>
                <w:lang w:eastAsia="sk-SK"/>
              </w:rPr>
              <w:t>N</w:t>
            </w:r>
          </w:p>
        </w:tc>
        <w:tc>
          <w:tcPr>
            <w:tcW w:w="931"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466672" w:rsidP="006338E5">
            <w:pPr>
              <w:bidi w:val="0"/>
              <w:jc w:val="center"/>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2014 N</w:t>
            </w:r>
          </w:p>
        </w:tc>
        <w:tc>
          <w:tcPr>
            <w:tcW w:w="93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466672" w:rsidP="006338E5">
            <w:pPr>
              <w:bidi w:val="0"/>
              <w:jc w:val="center"/>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2015 N</w:t>
            </w:r>
          </w:p>
        </w:tc>
      </w:tr>
      <w:tr>
        <w:tblPrEx>
          <w:tblW w:w="9077" w:type="dxa"/>
          <w:tblInd w:w="65" w:type="dxa"/>
          <w:tblLayout w:type="fixed"/>
          <w:tblCellMar>
            <w:left w:w="70" w:type="dxa"/>
            <w:right w:w="70" w:type="dxa"/>
          </w:tblCellMar>
          <w:tblLook w:val="04A0"/>
        </w:tblPrEx>
        <w:trPr>
          <w:trHeight w:val="262"/>
        </w:trPr>
        <w:tc>
          <w:tcPr>
            <w:tcW w:w="255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466672" w:rsidP="006338E5">
            <w:pPr>
              <w:bidi w:val="0"/>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Medzirezortné programy spolu</w:t>
            </w:r>
          </w:p>
        </w:tc>
        <w:tc>
          <w:tcPr>
            <w:tcW w:w="93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192 534</w:t>
            </w:r>
          </w:p>
        </w:tc>
        <w:tc>
          <w:tcPr>
            <w:tcW w:w="93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17 533</w:t>
            </w:r>
          </w:p>
        </w:tc>
        <w:tc>
          <w:tcPr>
            <w:tcW w:w="93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31 300</w:t>
            </w:r>
          </w:p>
        </w:tc>
        <w:tc>
          <w:tcPr>
            <w:tcW w:w="93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53 000</w:t>
            </w:r>
          </w:p>
        </w:tc>
        <w:tc>
          <w:tcPr>
            <w:tcW w:w="93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29 800</w:t>
            </w:r>
          </w:p>
        </w:tc>
        <w:tc>
          <w:tcPr>
            <w:tcW w:w="931"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28 300</w:t>
            </w:r>
          </w:p>
        </w:tc>
        <w:tc>
          <w:tcPr>
            <w:tcW w:w="932"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466672" w:rsidP="006338E5">
            <w:pPr>
              <w:bidi w:val="0"/>
              <w:jc w:val="right"/>
              <w:rPr>
                <w:rFonts w:ascii="Times New Roman" w:hAnsi="Times New Roman" w:cs="Times New Roman"/>
                <w:b/>
                <w:bCs/>
                <w:color w:val="000000"/>
                <w:sz w:val="14"/>
                <w:szCs w:val="14"/>
              </w:rPr>
            </w:pPr>
            <w:r w:rsidRPr="00466672">
              <w:rPr>
                <w:rFonts w:ascii="Times New Roman" w:hAnsi="Times New Roman" w:cs="Times New Roman"/>
                <w:b/>
                <w:bCs/>
                <w:color w:val="000000"/>
                <w:sz w:val="14"/>
                <w:szCs w:val="14"/>
              </w:rPr>
              <w:t>28 300</w:t>
            </w:r>
          </w:p>
        </w:tc>
      </w:tr>
      <w:tr>
        <w:tblPrEx>
          <w:tblW w:w="9077" w:type="dxa"/>
          <w:tblInd w:w="65" w:type="dxa"/>
          <w:tblLayout w:type="fixed"/>
          <w:tblCellMar>
            <w:left w:w="70" w:type="dxa"/>
            <w:right w:w="70" w:type="dxa"/>
          </w:tblCellMar>
          <w:tblLook w:val="04A0"/>
        </w:tblPrEx>
        <w:trPr>
          <w:trHeight w:val="262"/>
        </w:trPr>
        <w:tc>
          <w:tcPr>
            <w:tcW w:w="2557" w:type="dxa"/>
            <w:tcBorders>
              <w:top w:val="nil"/>
              <w:left w:val="single" w:sz="4" w:space="0" w:color="auto"/>
              <w:bottom w:val="single" w:sz="4" w:space="0" w:color="auto"/>
              <w:right w:val="single" w:sz="4" w:space="0" w:color="auto"/>
            </w:tcBorders>
            <w:noWrap/>
            <w:textDirection w:val="lrTb"/>
            <w:vAlign w:val="center"/>
            <w:hideMark/>
          </w:tcPr>
          <w:p w:rsidR="009D2A34" w:rsidRPr="00466672" w:rsidP="006338E5">
            <w:pPr>
              <w:bidi w:val="0"/>
              <w:rPr>
                <w:rFonts w:ascii="Times New Roman" w:hAnsi="Times New Roman" w:cs="Times New Roman"/>
                <w:color w:val="000000"/>
                <w:sz w:val="14"/>
                <w:szCs w:val="14"/>
              </w:rPr>
            </w:pPr>
            <w:r w:rsidRPr="00466672">
              <w:rPr>
                <w:rFonts w:ascii="Times New Roman" w:hAnsi="Times New Roman" w:cs="Times New Roman"/>
                <w:color w:val="000000"/>
                <w:sz w:val="14"/>
                <w:szCs w:val="14"/>
              </w:rPr>
              <w:t>Ľudské zdroje</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174 589</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0</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0</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0</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0</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0</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0</w:t>
            </w:r>
          </w:p>
        </w:tc>
      </w:tr>
      <w:tr>
        <w:tblPrEx>
          <w:tblW w:w="9077" w:type="dxa"/>
          <w:tblInd w:w="65" w:type="dxa"/>
          <w:tblLayout w:type="fixed"/>
          <w:tblCellMar>
            <w:left w:w="70" w:type="dxa"/>
            <w:right w:w="70" w:type="dxa"/>
          </w:tblCellMar>
          <w:tblLook w:val="04A0"/>
        </w:tblPrEx>
        <w:trPr>
          <w:trHeight w:val="262"/>
        </w:trPr>
        <w:tc>
          <w:tcPr>
            <w:tcW w:w="2557" w:type="dxa"/>
            <w:tcBorders>
              <w:top w:val="nil"/>
              <w:left w:val="single" w:sz="4" w:space="0" w:color="auto"/>
              <w:bottom w:val="single" w:sz="4" w:space="0" w:color="auto"/>
              <w:right w:val="single" w:sz="4" w:space="0" w:color="auto"/>
            </w:tcBorders>
            <w:noWrap/>
            <w:textDirection w:val="lrTb"/>
            <w:vAlign w:val="center"/>
            <w:hideMark/>
          </w:tcPr>
          <w:p w:rsidR="009D2A34" w:rsidRPr="00466672" w:rsidP="006338E5">
            <w:pPr>
              <w:bidi w:val="0"/>
              <w:rPr>
                <w:rFonts w:ascii="Times New Roman" w:hAnsi="Times New Roman" w:cs="Times New Roman"/>
                <w:color w:val="000000"/>
                <w:sz w:val="14"/>
                <w:szCs w:val="14"/>
              </w:rPr>
            </w:pPr>
            <w:r w:rsidRPr="00466672">
              <w:rPr>
                <w:rFonts w:ascii="Times New Roman" w:hAnsi="Times New Roman" w:cs="Times New Roman"/>
                <w:color w:val="000000"/>
                <w:sz w:val="14"/>
                <w:szCs w:val="14"/>
              </w:rPr>
              <w:t>Hospodárska mobilizácia</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17 945</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17 533</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18 000</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18 000</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16 000</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14 500</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14 500</w:t>
            </w:r>
          </w:p>
        </w:tc>
      </w:tr>
      <w:tr>
        <w:tblPrEx>
          <w:tblW w:w="9077" w:type="dxa"/>
          <w:tblInd w:w="65" w:type="dxa"/>
          <w:tblLayout w:type="fixed"/>
          <w:tblCellMar>
            <w:left w:w="70" w:type="dxa"/>
            <w:right w:w="70" w:type="dxa"/>
          </w:tblCellMar>
          <w:tblLook w:val="04A0"/>
        </w:tblPrEx>
        <w:trPr>
          <w:trHeight w:val="262"/>
        </w:trPr>
        <w:tc>
          <w:tcPr>
            <w:tcW w:w="2557" w:type="dxa"/>
            <w:tcBorders>
              <w:top w:val="nil"/>
              <w:left w:val="single" w:sz="4" w:space="0" w:color="auto"/>
              <w:bottom w:val="single" w:sz="4" w:space="0" w:color="auto"/>
              <w:right w:val="single" w:sz="4" w:space="0" w:color="auto"/>
            </w:tcBorders>
            <w:noWrap/>
            <w:textDirection w:val="lrTb"/>
            <w:vAlign w:val="center"/>
            <w:hideMark/>
          </w:tcPr>
          <w:p w:rsidR="009D2A34" w:rsidRPr="00466672" w:rsidP="006338E5">
            <w:pPr>
              <w:bidi w:val="0"/>
              <w:rPr>
                <w:rFonts w:ascii="Times New Roman" w:hAnsi="Times New Roman" w:cs="Times New Roman"/>
                <w:color w:val="000000"/>
                <w:sz w:val="14"/>
                <w:szCs w:val="14"/>
              </w:rPr>
            </w:pPr>
            <w:r w:rsidRPr="00466672">
              <w:rPr>
                <w:rFonts w:ascii="Times New Roman" w:hAnsi="Times New Roman" w:cs="Times New Roman"/>
                <w:color w:val="000000"/>
                <w:sz w:val="14"/>
                <w:szCs w:val="14"/>
              </w:rPr>
              <w:t>Protidrogová politika</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0</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0</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13 300</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35 000</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13 800</w:t>
            </w:r>
          </w:p>
        </w:tc>
        <w:tc>
          <w:tcPr>
            <w:tcW w:w="931"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13 800</w:t>
            </w:r>
          </w:p>
        </w:tc>
        <w:tc>
          <w:tcPr>
            <w:tcW w:w="932" w:type="dxa"/>
            <w:tcBorders>
              <w:top w:val="nil"/>
              <w:left w:val="nil"/>
              <w:bottom w:val="single" w:sz="4" w:space="0" w:color="auto"/>
              <w:right w:val="single" w:sz="4" w:space="0" w:color="auto"/>
            </w:tcBorders>
            <w:textDirection w:val="lrTb"/>
            <w:vAlign w:val="center"/>
            <w:hideMark/>
          </w:tcPr>
          <w:p w:rsidR="009D2A34" w:rsidRPr="00466672" w:rsidP="006338E5">
            <w:pPr>
              <w:bidi w:val="0"/>
              <w:jc w:val="right"/>
              <w:rPr>
                <w:rFonts w:ascii="Times New Roman" w:hAnsi="Times New Roman" w:cs="Times New Roman"/>
                <w:color w:val="000000"/>
                <w:sz w:val="14"/>
                <w:szCs w:val="14"/>
              </w:rPr>
            </w:pPr>
            <w:r w:rsidRPr="00466672">
              <w:rPr>
                <w:rFonts w:ascii="Times New Roman" w:hAnsi="Times New Roman" w:cs="Times New Roman"/>
                <w:color w:val="000000"/>
                <w:sz w:val="14"/>
                <w:szCs w:val="14"/>
              </w:rPr>
              <w:t>13 800</w:t>
            </w:r>
          </w:p>
        </w:tc>
      </w:tr>
    </w:tbl>
    <w:p w:rsidR="009D2A34" w:rsidRPr="00466672" w:rsidP="009D2A34">
      <w:pPr>
        <w:bidi w:val="0"/>
        <w:jc w:val="both"/>
        <w:rPr>
          <w:rFonts w:ascii="Times New Roman" w:hAnsi="Times New Roman" w:cs="Times New Roman"/>
        </w:rPr>
      </w:pPr>
    </w:p>
    <w:p w:rsidR="009D2A34" w:rsidRPr="00466672" w:rsidP="009D2A34">
      <w:pPr>
        <w:bidi w:val="0"/>
        <w:ind w:firstLine="708"/>
        <w:jc w:val="both"/>
        <w:rPr>
          <w:rFonts w:ascii="Times New Roman" w:hAnsi="Times New Roman" w:cs="Times New Roman"/>
        </w:rPr>
      </w:pPr>
      <w:r w:rsidRPr="00466672">
        <w:rPr>
          <w:rFonts w:ascii="Times New Roman" w:hAnsi="Times New Roman" w:cs="Times New Roman"/>
        </w:rPr>
        <w:t xml:space="preserve">Na medzirezortný podprogram Ľudské zdroje sa nerozpočtujú prostriedky, pretože je to ovplyvnené prerozdeľovaním prostriedkov od kapitoly Ministerstva práce, sociálnych vecí a rodiny SR. Na medzirezortný podprogram Hospodárska mobilizácia kapitola rozpočtuje výdavky v sume 16,0 tis. eur, ktoré sú na mierne nižšej úrovni </w:t>
      </w:r>
      <w:r w:rsidR="00833BAB">
        <w:rPr>
          <w:rFonts w:ascii="Times New Roman" w:hAnsi="Times New Roman" w:cs="Times New Roman"/>
        </w:rPr>
        <w:t xml:space="preserve">oproti </w:t>
      </w:r>
      <w:r w:rsidRPr="00466672">
        <w:rPr>
          <w:rFonts w:ascii="Times New Roman" w:hAnsi="Times New Roman" w:cs="Times New Roman"/>
        </w:rPr>
        <w:t>minulý</w:t>
      </w:r>
      <w:r w:rsidR="00833BAB">
        <w:rPr>
          <w:rFonts w:ascii="Times New Roman" w:hAnsi="Times New Roman" w:cs="Times New Roman"/>
        </w:rPr>
        <w:t>m</w:t>
      </w:r>
      <w:r w:rsidRPr="00466672">
        <w:rPr>
          <w:rFonts w:ascii="Times New Roman" w:hAnsi="Times New Roman" w:cs="Times New Roman"/>
        </w:rPr>
        <w:t xml:space="preserve"> roko</w:t>
      </w:r>
      <w:r w:rsidR="00833BAB">
        <w:rPr>
          <w:rFonts w:ascii="Times New Roman" w:hAnsi="Times New Roman" w:cs="Times New Roman"/>
        </w:rPr>
        <w:t>m</w:t>
      </w:r>
      <w:r w:rsidRPr="00466672">
        <w:rPr>
          <w:rFonts w:ascii="Times New Roman" w:hAnsi="Times New Roman" w:cs="Times New Roman"/>
        </w:rPr>
        <w:t xml:space="preserve">. </w:t>
      </w:r>
    </w:p>
    <w:p w:rsidR="009D2A34" w:rsidRPr="00466672" w:rsidP="009D2A34">
      <w:pPr>
        <w:bidi w:val="0"/>
        <w:ind w:firstLine="708"/>
        <w:jc w:val="both"/>
        <w:rPr>
          <w:rFonts w:ascii="Times New Roman" w:hAnsi="Times New Roman" w:cs="Times New Roman"/>
        </w:rPr>
      </w:pPr>
    </w:p>
    <w:p w:rsidR="009D2A34" w:rsidRPr="00466672" w:rsidP="009D2A34">
      <w:pPr>
        <w:bidi w:val="0"/>
        <w:ind w:firstLine="708"/>
        <w:jc w:val="both"/>
        <w:rPr>
          <w:rFonts w:ascii="Times New Roman" w:hAnsi="Times New Roman" w:cs="Times New Roman"/>
        </w:rPr>
      </w:pPr>
      <w:r w:rsidRPr="00466672">
        <w:rPr>
          <w:rFonts w:ascii="Times New Roman" w:hAnsi="Times New Roman" w:cs="Times New Roman"/>
        </w:rPr>
        <w:t xml:space="preserve">V roku 2011 vznikol v kapitole spravodlivosti medzirezortný podprogram Protidrogová politika, ako súčasť štátneho rozpočtu s gestorstvom Úradu vlády SR, na ktorý sa v oblasti väzenstva rozpočtuje na roky 2013 až 2015 suma 13,8 tis. eur. </w:t>
      </w:r>
    </w:p>
    <w:p w:rsidR="009D2A34" w:rsidP="009D2A34">
      <w:pPr>
        <w:bidi w:val="0"/>
        <w:jc w:val="both"/>
        <w:rPr>
          <w:highlight w:val="yellow"/>
        </w:rPr>
      </w:pPr>
    </w:p>
    <w:p w:rsidR="009D2A34" w:rsidRPr="008A59D7" w:rsidP="009D2A34">
      <w:pPr>
        <w:pBdr>
          <w:bottom w:val="single" w:sz="4" w:space="1" w:color="auto"/>
        </w:pBdr>
        <w:bidi w:val="0"/>
        <w:jc w:val="both"/>
        <w:rPr>
          <w:rFonts w:ascii="Times New Roman" w:hAnsi="Times New Roman" w:cs="Times New Roman"/>
          <w:b/>
          <w:bCs/>
        </w:rPr>
      </w:pPr>
      <w:r w:rsidRPr="008A59D7">
        <w:rPr>
          <w:rFonts w:ascii="Times New Roman" w:hAnsi="Times New Roman" w:cs="Times New Roman"/>
          <w:b/>
          <w:bCs/>
        </w:rPr>
        <w:t xml:space="preserve">Ministerstvo hospodárstva SR </w:t>
      </w:r>
    </w:p>
    <w:p w:rsidR="009D2A34" w:rsidP="009D2A34">
      <w:pPr>
        <w:bidi w:val="0"/>
        <w:jc w:val="both"/>
        <w:rPr>
          <w:rFonts w:ascii="Times New Roman" w:hAnsi="Times New Roman" w:cs="Times New Roman"/>
          <w:highlight w:val="yellow"/>
        </w:rPr>
      </w:pPr>
    </w:p>
    <w:tbl>
      <w:tblPr>
        <w:tblStyle w:val="TableNormal"/>
        <w:tblW w:w="9367" w:type="dxa"/>
        <w:tblInd w:w="59" w:type="dxa"/>
        <w:tblLayout w:type="fixed"/>
        <w:tblCellMar>
          <w:left w:w="70" w:type="dxa"/>
          <w:right w:w="70" w:type="dxa"/>
        </w:tblCellMar>
        <w:tblLook w:val="04A0"/>
      </w:tblPr>
      <w:tblGrid>
        <w:gridCol w:w="2421"/>
        <w:gridCol w:w="992"/>
        <w:gridCol w:w="992"/>
        <w:gridCol w:w="992"/>
        <w:gridCol w:w="993"/>
        <w:gridCol w:w="992"/>
        <w:gridCol w:w="992"/>
        <w:gridCol w:w="993"/>
      </w:tblGrid>
      <w:tr>
        <w:tblPrEx>
          <w:tblW w:w="9367" w:type="dxa"/>
          <w:tblInd w:w="59" w:type="dxa"/>
          <w:tblLayout w:type="fixed"/>
          <w:tblCellMar>
            <w:left w:w="70" w:type="dxa"/>
            <w:right w:w="70" w:type="dxa"/>
          </w:tblCellMar>
          <w:tblLook w:val="04A0"/>
        </w:tblPrEx>
        <w:trPr>
          <w:trHeight w:val="259"/>
        </w:trPr>
        <w:tc>
          <w:tcPr>
            <w:tcW w:w="242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A15808" w:rsidP="006338E5">
            <w:pPr>
              <w:bidi w:val="0"/>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v eurách</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15808" w:rsidP="006338E5">
            <w:pPr>
              <w:bidi w:val="0"/>
              <w:jc w:val="center"/>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2010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15808" w:rsidP="006338E5">
            <w:pPr>
              <w:bidi w:val="0"/>
              <w:jc w:val="center"/>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2011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15808" w:rsidP="006338E5">
            <w:pPr>
              <w:bidi w:val="0"/>
              <w:jc w:val="center"/>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2012 R</w:t>
            </w:r>
          </w:p>
        </w:tc>
        <w:tc>
          <w:tcPr>
            <w:tcW w:w="993" w:type="dxa"/>
            <w:tcBorders>
              <w:top w:val="single" w:sz="4" w:space="0" w:color="auto"/>
              <w:left w:val="nil"/>
              <w:bottom w:val="single" w:sz="4" w:space="0" w:color="auto"/>
              <w:right w:val="single" w:sz="4" w:space="0" w:color="auto"/>
            </w:tcBorders>
            <w:shd w:val="clear" w:color="auto" w:fill="A6A6A6"/>
            <w:textDirection w:val="lrTb"/>
            <w:vAlign w:val="center"/>
          </w:tcPr>
          <w:p w:rsidR="009D2A34" w:rsidRPr="00A15808" w:rsidP="006338E5">
            <w:pPr>
              <w:bidi w:val="0"/>
              <w:jc w:val="center"/>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2012 OS</w:t>
            </w:r>
          </w:p>
        </w:tc>
        <w:tc>
          <w:tcPr>
            <w:tcW w:w="9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A15808" w:rsidP="006338E5">
            <w:pPr>
              <w:bidi w:val="0"/>
              <w:jc w:val="center"/>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2013 N</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15808" w:rsidP="006338E5">
            <w:pPr>
              <w:bidi w:val="0"/>
              <w:jc w:val="center"/>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2014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15808" w:rsidP="006338E5">
            <w:pPr>
              <w:bidi w:val="0"/>
              <w:jc w:val="center"/>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2015 N</w:t>
            </w:r>
          </w:p>
        </w:tc>
      </w:tr>
      <w:tr>
        <w:tblPrEx>
          <w:tblW w:w="9367" w:type="dxa"/>
          <w:tblInd w:w="59" w:type="dxa"/>
          <w:tblLayout w:type="fixed"/>
          <w:tblCellMar>
            <w:left w:w="70" w:type="dxa"/>
            <w:right w:w="70" w:type="dxa"/>
          </w:tblCellMar>
          <w:tblLook w:val="04A0"/>
        </w:tblPrEx>
        <w:trPr>
          <w:trHeight w:val="259"/>
        </w:trPr>
        <w:tc>
          <w:tcPr>
            <w:tcW w:w="2421"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9D2A34" w:rsidRPr="00A15808" w:rsidP="006338E5">
            <w:pPr>
              <w:bidi w:val="0"/>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Zdroje príslušnej kapitoly</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9D2A34" w:rsidRPr="00A15808" w:rsidP="006338E5">
            <w:pPr>
              <w:bidi w:val="0"/>
              <w:jc w:val="right"/>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286</w:t>
            </w:r>
            <w:r>
              <w:rPr>
                <w:rFonts w:ascii="Times New Roman" w:hAnsi="Times New Roman" w:cs="Times New Roman"/>
                <w:b/>
                <w:bCs/>
                <w:color w:val="000000"/>
                <w:sz w:val="14"/>
                <w:szCs w:val="14"/>
              </w:rPr>
              <w:t> 584 648</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9D2A34" w:rsidRPr="00A15808" w:rsidP="006338E5">
            <w:pPr>
              <w:bidi w:val="0"/>
              <w:jc w:val="right"/>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284</w:t>
            </w:r>
            <w:r>
              <w:rPr>
                <w:rFonts w:ascii="Times New Roman" w:hAnsi="Times New Roman" w:cs="Times New Roman"/>
                <w:b/>
                <w:bCs/>
                <w:color w:val="000000"/>
                <w:sz w:val="14"/>
                <w:szCs w:val="14"/>
              </w:rPr>
              <w:t> 699 574</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9D2A34" w:rsidRPr="00A15808" w:rsidP="006338E5">
            <w:pPr>
              <w:bidi w:val="0"/>
              <w:jc w:val="right"/>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214 503 979</w:t>
            </w:r>
          </w:p>
        </w:tc>
        <w:tc>
          <w:tcPr>
            <w:tcW w:w="993" w:type="dxa"/>
            <w:tcBorders>
              <w:top w:val="single" w:sz="4" w:space="0" w:color="auto"/>
              <w:left w:val="nil"/>
              <w:bottom w:val="single" w:sz="4" w:space="0" w:color="auto"/>
              <w:right w:val="single" w:sz="4" w:space="0" w:color="auto"/>
            </w:tcBorders>
            <w:shd w:val="clear" w:color="000000" w:fill="BFBFBF"/>
            <w:textDirection w:val="lrTb"/>
            <w:vAlign w:val="center"/>
          </w:tcPr>
          <w:p w:rsidR="009D2A34" w:rsidRPr="00A15808" w:rsidP="006338E5">
            <w:pPr>
              <w:bidi w:val="0"/>
              <w:jc w:val="right"/>
              <w:rPr>
                <w:rFonts w:ascii="Times New Roman" w:hAnsi="Times New Roman" w:cs="Times New Roman"/>
                <w:b/>
                <w:bCs/>
                <w:color w:val="000000"/>
                <w:sz w:val="14"/>
                <w:szCs w:val="14"/>
              </w:rPr>
            </w:pPr>
            <w:r w:rsidRPr="00A15808">
              <w:rPr>
                <w:rFonts w:ascii="Times New Roman" w:hAnsi="Times New Roman" w:cs="Times New Roman"/>
                <w:b/>
                <w:bCs/>
                <w:color w:val="000000"/>
                <w:sz w:val="14"/>
                <w:szCs w:val="14"/>
              </w:rPr>
              <w:t>248</w:t>
            </w:r>
            <w:r>
              <w:rPr>
                <w:rFonts w:ascii="Times New Roman" w:hAnsi="Times New Roman" w:cs="Times New Roman"/>
                <w:b/>
                <w:bCs/>
                <w:color w:val="000000"/>
                <w:sz w:val="14"/>
                <w:szCs w:val="14"/>
              </w:rPr>
              <w:t> </w:t>
            </w:r>
            <w:r w:rsidRPr="00A15808">
              <w:rPr>
                <w:rFonts w:ascii="Times New Roman" w:hAnsi="Times New Roman" w:cs="Times New Roman"/>
                <w:b/>
                <w:bCs/>
                <w:color w:val="000000"/>
                <w:sz w:val="14"/>
                <w:szCs w:val="14"/>
              </w:rPr>
              <w:t>20</w:t>
            </w:r>
            <w:r>
              <w:rPr>
                <w:rFonts w:ascii="Times New Roman" w:hAnsi="Times New Roman" w:cs="Times New Roman"/>
                <w:b/>
                <w:bCs/>
                <w:color w:val="000000"/>
                <w:sz w:val="14"/>
                <w:szCs w:val="14"/>
              </w:rPr>
              <w:t>4 115</w:t>
            </w:r>
          </w:p>
        </w:tc>
        <w:tc>
          <w:tcPr>
            <w:tcW w:w="992"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2D039C" w:rsidP="006338E5">
            <w:pPr>
              <w:bidi w:val="0"/>
              <w:jc w:val="right"/>
              <w:rPr>
                <w:rFonts w:ascii="Times New Roman" w:hAnsi="Times New Roman" w:cs="Times New Roman"/>
                <w:b/>
                <w:bCs/>
                <w:color w:val="000000"/>
                <w:sz w:val="14"/>
                <w:szCs w:val="14"/>
              </w:rPr>
            </w:pPr>
            <w:r w:rsidRPr="002D039C">
              <w:rPr>
                <w:rFonts w:ascii="Times New Roman" w:hAnsi="Times New Roman" w:cs="Times New Roman"/>
                <w:b/>
                <w:bCs/>
                <w:color w:val="000000"/>
                <w:sz w:val="14"/>
                <w:szCs w:val="14"/>
              </w:rPr>
              <w:t>301 956 939</w:t>
            </w:r>
          </w:p>
        </w:tc>
        <w:tc>
          <w:tcPr>
            <w:tcW w:w="992" w:type="dxa"/>
            <w:tcBorders>
              <w:top w:val="nil"/>
              <w:left w:val="nil"/>
              <w:bottom w:val="single" w:sz="4" w:space="0" w:color="auto"/>
              <w:right w:val="single" w:sz="4" w:space="0" w:color="auto"/>
            </w:tcBorders>
            <w:shd w:val="clear" w:color="000000" w:fill="BFBFBF"/>
            <w:noWrap/>
            <w:textDirection w:val="lrTb"/>
            <w:vAlign w:val="center"/>
            <w:hideMark/>
          </w:tcPr>
          <w:p w:rsidR="009D2A34" w:rsidRPr="002D039C" w:rsidP="006338E5">
            <w:pPr>
              <w:bidi w:val="0"/>
              <w:jc w:val="center"/>
              <w:rPr>
                <w:rFonts w:ascii="Times New Roman" w:hAnsi="Times New Roman" w:cs="Times New Roman"/>
                <w:b/>
                <w:bCs/>
                <w:color w:val="000000"/>
                <w:sz w:val="14"/>
                <w:szCs w:val="14"/>
              </w:rPr>
            </w:pPr>
            <w:r w:rsidRPr="002D039C">
              <w:rPr>
                <w:rFonts w:ascii="Times New Roman" w:hAnsi="Times New Roman" w:cs="Times New Roman"/>
                <w:b/>
                <w:bCs/>
                <w:color w:val="000000"/>
                <w:sz w:val="14"/>
                <w:szCs w:val="14"/>
              </w:rPr>
              <w:t>397 776 976</w:t>
            </w:r>
          </w:p>
        </w:tc>
        <w:tc>
          <w:tcPr>
            <w:tcW w:w="993" w:type="dxa"/>
            <w:tcBorders>
              <w:top w:val="nil"/>
              <w:left w:val="nil"/>
              <w:bottom w:val="single" w:sz="4" w:space="0" w:color="auto"/>
              <w:right w:val="single" w:sz="4" w:space="0" w:color="auto"/>
            </w:tcBorders>
            <w:shd w:val="clear" w:color="000000" w:fill="BFBFBF"/>
            <w:noWrap/>
            <w:textDirection w:val="lrTb"/>
            <w:vAlign w:val="center"/>
            <w:hideMark/>
          </w:tcPr>
          <w:p w:rsidR="009D2A34" w:rsidRPr="002D039C" w:rsidP="006338E5">
            <w:pPr>
              <w:bidi w:val="0"/>
              <w:jc w:val="center"/>
              <w:rPr>
                <w:rFonts w:ascii="Times New Roman" w:hAnsi="Times New Roman" w:cs="Times New Roman"/>
                <w:b/>
                <w:bCs/>
                <w:color w:val="000000"/>
                <w:sz w:val="14"/>
                <w:szCs w:val="14"/>
              </w:rPr>
            </w:pPr>
            <w:r w:rsidRPr="002D039C">
              <w:rPr>
                <w:rFonts w:ascii="Times New Roman" w:hAnsi="Times New Roman" w:cs="Times New Roman"/>
                <w:b/>
                <w:bCs/>
                <w:color w:val="000000"/>
                <w:sz w:val="14"/>
                <w:szCs w:val="14"/>
              </w:rPr>
              <w:t>209 822 270</w:t>
            </w:r>
          </w:p>
        </w:tc>
      </w:tr>
      <w:tr>
        <w:tblPrEx>
          <w:tblW w:w="9367" w:type="dxa"/>
          <w:tblInd w:w="59" w:type="dxa"/>
          <w:tblLayout w:type="fixed"/>
          <w:tblCellMar>
            <w:left w:w="70" w:type="dxa"/>
            <w:right w:w="70" w:type="dxa"/>
          </w:tblCellMar>
          <w:tblLook w:val="04A0"/>
        </w:tblPrEx>
        <w:trPr>
          <w:trHeight w:val="259"/>
        </w:trPr>
        <w:tc>
          <w:tcPr>
            <w:tcW w:w="2421" w:type="dxa"/>
            <w:tcBorders>
              <w:top w:val="nil"/>
              <w:left w:val="single" w:sz="4" w:space="0" w:color="auto"/>
              <w:bottom w:val="single" w:sz="4" w:space="0" w:color="auto"/>
              <w:right w:val="single" w:sz="4" w:space="0" w:color="auto"/>
            </w:tcBorders>
            <w:noWrap/>
            <w:textDirection w:val="lrTb"/>
            <w:vAlign w:val="center"/>
            <w:hideMark/>
          </w:tcPr>
          <w:p w:rsidR="009D2A34" w:rsidRPr="00AC6FB4" w:rsidP="006338E5">
            <w:pPr>
              <w:bidi w:val="0"/>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rozpočtové zdroje kapitoly</w:t>
            </w:r>
          </w:p>
        </w:tc>
        <w:tc>
          <w:tcPr>
            <w:tcW w:w="992" w:type="dxa"/>
            <w:tcBorders>
              <w:top w:val="nil"/>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118 586 981</w:t>
            </w:r>
          </w:p>
        </w:tc>
        <w:tc>
          <w:tcPr>
            <w:tcW w:w="992" w:type="dxa"/>
            <w:tcBorders>
              <w:top w:val="nil"/>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43 106 992</w:t>
            </w:r>
          </w:p>
        </w:tc>
        <w:tc>
          <w:tcPr>
            <w:tcW w:w="992" w:type="dxa"/>
            <w:tcBorders>
              <w:top w:val="nil"/>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70 988 119</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68 680 249</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b/>
                <w:color w:val="000000"/>
                <w:sz w:val="14"/>
                <w:szCs w:val="14"/>
              </w:rPr>
            </w:pPr>
            <w:r w:rsidRPr="002D039C">
              <w:rPr>
                <w:rFonts w:ascii="Times New Roman" w:hAnsi="Times New Roman" w:cs="Times New Roman"/>
                <w:b/>
                <w:color w:val="000000"/>
                <w:sz w:val="14"/>
                <w:szCs w:val="14"/>
              </w:rPr>
              <w:t>101 406 029</w:t>
            </w:r>
          </w:p>
        </w:tc>
        <w:tc>
          <w:tcPr>
            <w:tcW w:w="992"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b/>
                <w:color w:val="000000"/>
                <w:sz w:val="14"/>
                <w:szCs w:val="14"/>
              </w:rPr>
            </w:pPr>
            <w:r w:rsidRPr="002D039C">
              <w:rPr>
                <w:rFonts w:ascii="Times New Roman" w:hAnsi="Times New Roman" w:cs="Times New Roman"/>
                <w:b/>
                <w:color w:val="000000"/>
                <w:sz w:val="14"/>
                <w:szCs w:val="14"/>
              </w:rPr>
              <w:t>113 473 500</w:t>
            </w:r>
          </w:p>
        </w:tc>
        <w:tc>
          <w:tcPr>
            <w:tcW w:w="993"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b/>
                <w:color w:val="000000"/>
                <w:sz w:val="14"/>
                <w:szCs w:val="14"/>
              </w:rPr>
            </w:pPr>
            <w:r w:rsidRPr="002D039C">
              <w:rPr>
                <w:rFonts w:ascii="Times New Roman" w:hAnsi="Times New Roman" w:cs="Times New Roman"/>
                <w:b/>
                <w:color w:val="000000"/>
                <w:sz w:val="14"/>
                <w:szCs w:val="14"/>
              </w:rPr>
              <w:t>109 558 914</w:t>
            </w:r>
          </w:p>
        </w:tc>
      </w:tr>
      <w:tr>
        <w:tblPrEx>
          <w:tblW w:w="9367" w:type="dxa"/>
          <w:tblInd w:w="59" w:type="dxa"/>
          <w:tblLayout w:type="fixed"/>
          <w:tblCellMar>
            <w:left w:w="70" w:type="dxa"/>
            <w:right w:w="70" w:type="dxa"/>
          </w:tblCellMar>
          <w:tblLook w:val="04A0"/>
        </w:tblPrEx>
        <w:trPr>
          <w:trHeight w:val="259"/>
        </w:trPr>
        <w:tc>
          <w:tcPr>
            <w:tcW w:w="2421" w:type="dxa"/>
            <w:tcBorders>
              <w:top w:val="nil"/>
              <w:left w:val="single" w:sz="4" w:space="0" w:color="auto"/>
              <w:bottom w:val="single" w:sz="4" w:space="0" w:color="auto"/>
              <w:right w:val="single" w:sz="4" w:space="0" w:color="auto"/>
            </w:tcBorders>
            <w:noWrap/>
            <w:textDirection w:val="lrTb"/>
            <w:vAlign w:val="center"/>
            <w:hideMark/>
          </w:tcPr>
          <w:p w:rsidR="009D2A34" w:rsidRPr="00A15808" w:rsidP="006338E5">
            <w:pPr>
              <w:bidi w:val="0"/>
              <w:rPr>
                <w:rFonts w:ascii="Times New Roman" w:hAnsi="Times New Roman" w:cs="Times New Roman"/>
                <w:color w:val="000000"/>
                <w:sz w:val="14"/>
                <w:szCs w:val="14"/>
              </w:rPr>
            </w:pPr>
            <w:r w:rsidRPr="00A15808">
              <w:rPr>
                <w:rFonts w:ascii="Times New Roman" w:hAnsi="Times New Roman" w:cs="Times New Roman"/>
                <w:color w:val="000000"/>
                <w:sz w:val="14"/>
                <w:szCs w:val="14"/>
              </w:rPr>
              <w:t xml:space="preserve"> v tom:</w:t>
            </w:r>
            <w:r>
              <w:rPr>
                <w:rFonts w:ascii="Times New Roman" w:hAnsi="Times New Roman" w:cs="Times New Roman"/>
                <w:color w:val="000000"/>
                <w:sz w:val="14"/>
                <w:szCs w:val="14"/>
              </w:rPr>
              <w:t xml:space="preserve"> </w:t>
            </w:r>
            <w:r w:rsidRPr="00A15808">
              <w:rPr>
                <w:rFonts w:ascii="Times New Roman" w:hAnsi="Times New Roman" w:cs="Times New Roman"/>
                <w:color w:val="000000"/>
                <w:sz w:val="14"/>
                <w:szCs w:val="14"/>
              </w:rPr>
              <w:t xml:space="preserve"> bežné výdavky  600</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62 821 333</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37 540 480</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40 981 139</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38 703 312</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90 569 666</w:t>
            </w:r>
          </w:p>
        </w:tc>
        <w:tc>
          <w:tcPr>
            <w:tcW w:w="992"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104 106 936</w:t>
            </w:r>
          </w:p>
        </w:tc>
        <w:tc>
          <w:tcPr>
            <w:tcW w:w="993"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107 627 061</w:t>
            </w:r>
          </w:p>
        </w:tc>
      </w:tr>
      <w:tr>
        <w:tblPrEx>
          <w:tblW w:w="9367" w:type="dxa"/>
          <w:tblInd w:w="59" w:type="dxa"/>
          <w:tblLayout w:type="fixed"/>
          <w:tblCellMar>
            <w:left w:w="70" w:type="dxa"/>
            <w:right w:w="70" w:type="dxa"/>
          </w:tblCellMar>
          <w:tblLook w:val="04A0"/>
        </w:tblPrEx>
        <w:trPr>
          <w:trHeight w:val="259"/>
        </w:trPr>
        <w:tc>
          <w:tcPr>
            <w:tcW w:w="2421" w:type="dxa"/>
            <w:tcBorders>
              <w:top w:val="nil"/>
              <w:left w:val="single" w:sz="4" w:space="0" w:color="auto"/>
              <w:bottom w:val="single" w:sz="4" w:space="0" w:color="auto"/>
              <w:right w:val="single" w:sz="4" w:space="0" w:color="auto"/>
            </w:tcBorders>
            <w:noWrap/>
            <w:textDirection w:val="lrTb"/>
            <w:vAlign w:val="center"/>
            <w:hideMark/>
          </w:tcPr>
          <w:p w:rsidR="009D2A34" w:rsidRPr="00A15808" w:rsidP="006338E5">
            <w:pPr>
              <w:bidi w:val="0"/>
              <w:rPr>
                <w:rFonts w:ascii="Times New Roman" w:hAnsi="Times New Roman" w:cs="Times New Roman"/>
                <w:color w:val="000000"/>
                <w:sz w:val="14"/>
                <w:szCs w:val="14"/>
              </w:rPr>
            </w:pPr>
            <w:r w:rsidRPr="00A15808">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A15808">
              <w:rPr>
                <w:rFonts w:ascii="Times New Roman" w:hAnsi="Times New Roman" w:cs="Times New Roman"/>
                <w:color w:val="000000"/>
                <w:sz w:val="14"/>
                <w:szCs w:val="14"/>
              </w:rPr>
              <w:t xml:space="preserve">  610 mzdy</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16 063 039</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10 683 895</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10 676 936</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9 602 857</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9 353 978</w:t>
            </w:r>
          </w:p>
        </w:tc>
        <w:tc>
          <w:tcPr>
            <w:tcW w:w="992"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9 272 029</w:t>
            </w:r>
          </w:p>
        </w:tc>
        <w:tc>
          <w:tcPr>
            <w:tcW w:w="993"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9 284 030</w:t>
            </w:r>
          </w:p>
        </w:tc>
      </w:tr>
      <w:tr>
        <w:tblPrEx>
          <w:tblW w:w="9367" w:type="dxa"/>
          <w:tblInd w:w="59" w:type="dxa"/>
          <w:tblLayout w:type="fixed"/>
          <w:tblCellMar>
            <w:left w:w="70" w:type="dxa"/>
            <w:right w:w="70" w:type="dxa"/>
          </w:tblCellMar>
          <w:tblLook w:val="04A0"/>
        </w:tblPrEx>
        <w:trPr>
          <w:trHeight w:val="259"/>
        </w:trPr>
        <w:tc>
          <w:tcPr>
            <w:tcW w:w="2421" w:type="dxa"/>
            <w:tcBorders>
              <w:top w:val="nil"/>
              <w:left w:val="single" w:sz="4" w:space="0" w:color="auto"/>
              <w:bottom w:val="single" w:sz="4" w:space="0" w:color="auto"/>
              <w:right w:val="single" w:sz="4" w:space="0" w:color="auto"/>
            </w:tcBorders>
            <w:noWrap/>
            <w:textDirection w:val="lrTb"/>
            <w:vAlign w:val="center"/>
            <w:hideMark/>
          </w:tcPr>
          <w:p w:rsidR="009D2A34" w:rsidRPr="00A15808" w:rsidP="006338E5">
            <w:pPr>
              <w:bidi w:val="0"/>
              <w:rPr>
                <w:rFonts w:ascii="Times New Roman" w:hAnsi="Times New Roman" w:cs="Times New Roman"/>
                <w:color w:val="000000"/>
                <w:sz w:val="14"/>
                <w:szCs w:val="14"/>
              </w:rPr>
            </w:pPr>
            <w:r w:rsidRPr="00A15808">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A15808">
              <w:rPr>
                <w:rFonts w:ascii="Times New Roman" w:hAnsi="Times New Roman" w:cs="Times New Roman"/>
                <w:color w:val="000000"/>
                <w:sz w:val="14"/>
                <w:szCs w:val="14"/>
              </w:rPr>
              <w:t xml:space="preserve"> 620 odvody</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4 653 803</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3 870 076</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3 854 908</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3 481 290</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3 283 162</w:t>
            </w:r>
          </w:p>
        </w:tc>
        <w:tc>
          <w:tcPr>
            <w:tcW w:w="992"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3 253 223</w:t>
            </w:r>
          </w:p>
        </w:tc>
        <w:tc>
          <w:tcPr>
            <w:tcW w:w="993"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3 257 409</w:t>
            </w:r>
          </w:p>
        </w:tc>
      </w:tr>
      <w:tr>
        <w:tblPrEx>
          <w:tblW w:w="9367" w:type="dxa"/>
          <w:tblInd w:w="59" w:type="dxa"/>
          <w:tblLayout w:type="fixed"/>
          <w:tblCellMar>
            <w:left w:w="70" w:type="dxa"/>
            <w:right w:w="70" w:type="dxa"/>
          </w:tblCellMar>
          <w:tblLook w:val="04A0"/>
        </w:tblPrEx>
        <w:trPr>
          <w:trHeight w:val="259"/>
        </w:trPr>
        <w:tc>
          <w:tcPr>
            <w:tcW w:w="2421" w:type="dxa"/>
            <w:tcBorders>
              <w:top w:val="nil"/>
              <w:left w:val="single" w:sz="4" w:space="0" w:color="auto"/>
              <w:bottom w:val="single" w:sz="4" w:space="0" w:color="auto"/>
              <w:right w:val="single" w:sz="4" w:space="0" w:color="auto"/>
            </w:tcBorders>
            <w:noWrap/>
            <w:textDirection w:val="lrTb"/>
            <w:vAlign w:val="center"/>
            <w:hideMark/>
          </w:tcPr>
          <w:p w:rsidR="009D2A34" w:rsidRPr="00A15808" w:rsidP="006338E5">
            <w:pPr>
              <w:bidi w:val="0"/>
              <w:rPr>
                <w:rFonts w:ascii="Times New Roman" w:hAnsi="Times New Roman" w:cs="Times New Roman"/>
                <w:color w:val="000000"/>
                <w:sz w:val="14"/>
                <w:szCs w:val="14"/>
              </w:rPr>
            </w:pPr>
            <w:r w:rsidRPr="00A15808">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A15808">
              <w:rPr>
                <w:rFonts w:ascii="Times New Roman" w:hAnsi="Times New Roman" w:cs="Times New Roman"/>
                <w:color w:val="000000"/>
                <w:sz w:val="14"/>
                <w:szCs w:val="14"/>
              </w:rPr>
              <w:t xml:space="preserve">   630 tovary a služby</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15 401 852</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11 174 187</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13 985 510</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12 929 485</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10 417 647</w:t>
            </w:r>
          </w:p>
        </w:tc>
        <w:tc>
          <w:tcPr>
            <w:tcW w:w="992"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10 410 647</w:t>
            </w:r>
          </w:p>
        </w:tc>
        <w:tc>
          <w:tcPr>
            <w:tcW w:w="993"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10 534 874</w:t>
            </w:r>
          </w:p>
        </w:tc>
      </w:tr>
      <w:tr>
        <w:tblPrEx>
          <w:tblW w:w="9367" w:type="dxa"/>
          <w:tblInd w:w="59" w:type="dxa"/>
          <w:tblLayout w:type="fixed"/>
          <w:tblCellMar>
            <w:left w:w="70" w:type="dxa"/>
            <w:right w:w="70" w:type="dxa"/>
          </w:tblCellMar>
          <w:tblLook w:val="04A0"/>
        </w:tblPrEx>
        <w:trPr>
          <w:trHeight w:val="259"/>
        </w:trPr>
        <w:tc>
          <w:tcPr>
            <w:tcW w:w="2421" w:type="dxa"/>
            <w:tcBorders>
              <w:top w:val="nil"/>
              <w:left w:val="single" w:sz="4" w:space="0" w:color="auto"/>
              <w:bottom w:val="single" w:sz="4" w:space="0" w:color="auto"/>
              <w:right w:val="single" w:sz="4" w:space="0" w:color="auto"/>
            </w:tcBorders>
            <w:noWrap/>
            <w:textDirection w:val="lrTb"/>
            <w:vAlign w:val="center"/>
            <w:hideMark/>
          </w:tcPr>
          <w:p w:rsidR="009D2A34" w:rsidRPr="00A15808" w:rsidP="006338E5">
            <w:pPr>
              <w:bidi w:val="0"/>
              <w:rPr>
                <w:rFonts w:ascii="Times New Roman" w:hAnsi="Times New Roman" w:cs="Times New Roman"/>
                <w:color w:val="000000"/>
                <w:sz w:val="14"/>
                <w:szCs w:val="14"/>
              </w:rPr>
            </w:pPr>
            <w:r w:rsidRPr="00A15808">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A15808">
              <w:rPr>
                <w:rFonts w:ascii="Times New Roman" w:hAnsi="Times New Roman" w:cs="Times New Roman"/>
                <w:color w:val="000000"/>
                <w:sz w:val="14"/>
                <w:szCs w:val="14"/>
              </w:rPr>
              <w:t xml:space="preserve">       640 bežné transfery</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26 702 639</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11 812 322</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12 463 785</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12 689 680</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67 514 879</w:t>
            </w:r>
          </w:p>
        </w:tc>
        <w:tc>
          <w:tcPr>
            <w:tcW w:w="992"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81 171 037</w:t>
            </w:r>
          </w:p>
        </w:tc>
        <w:tc>
          <w:tcPr>
            <w:tcW w:w="993"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84 550 748</w:t>
            </w:r>
          </w:p>
        </w:tc>
      </w:tr>
      <w:tr>
        <w:tblPrEx>
          <w:tblW w:w="9367" w:type="dxa"/>
          <w:tblInd w:w="59" w:type="dxa"/>
          <w:tblLayout w:type="fixed"/>
          <w:tblCellMar>
            <w:left w:w="70" w:type="dxa"/>
            <w:right w:w="70" w:type="dxa"/>
          </w:tblCellMar>
          <w:tblLook w:val="04A0"/>
        </w:tblPrEx>
        <w:trPr>
          <w:trHeight w:val="259"/>
        </w:trPr>
        <w:tc>
          <w:tcPr>
            <w:tcW w:w="2421" w:type="dxa"/>
            <w:tcBorders>
              <w:top w:val="nil"/>
              <w:left w:val="single" w:sz="4" w:space="0" w:color="auto"/>
              <w:bottom w:val="single" w:sz="4" w:space="0" w:color="auto"/>
              <w:right w:val="single" w:sz="4" w:space="0" w:color="auto"/>
            </w:tcBorders>
            <w:noWrap/>
            <w:textDirection w:val="lrTb"/>
            <w:vAlign w:val="center"/>
            <w:hideMark/>
          </w:tcPr>
          <w:p w:rsidR="009D2A34" w:rsidRPr="00A15808" w:rsidP="006338E5">
            <w:pPr>
              <w:bidi w:val="0"/>
              <w:rPr>
                <w:rFonts w:ascii="Times New Roman" w:hAnsi="Times New Roman" w:cs="Times New Roman"/>
                <w:color w:val="000000"/>
                <w:sz w:val="14"/>
                <w:szCs w:val="14"/>
              </w:rPr>
            </w:pPr>
            <w:r w:rsidRPr="00A15808">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A15808">
              <w:rPr>
                <w:rFonts w:ascii="Times New Roman" w:hAnsi="Times New Roman" w:cs="Times New Roman"/>
                <w:color w:val="000000"/>
                <w:sz w:val="14"/>
                <w:szCs w:val="14"/>
              </w:rPr>
              <w:t>kapitálové výdavky 700</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55 765 648</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5 566 512</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30 006 980</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29 976 937</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10 836 363</w:t>
            </w:r>
          </w:p>
        </w:tc>
        <w:tc>
          <w:tcPr>
            <w:tcW w:w="992"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9 366 564</w:t>
            </w:r>
          </w:p>
        </w:tc>
        <w:tc>
          <w:tcPr>
            <w:tcW w:w="993" w:type="dxa"/>
            <w:tcBorders>
              <w:top w:val="nil"/>
              <w:left w:val="nil"/>
              <w:bottom w:val="single" w:sz="4" w:space="0" w:color="auto"/>
              <w:right w:val="single" w:sz="4" w:space="0" w:color="auto"/>
            </w:tcBorders>
            <w:noWrap/>
            <w:textDirection w:val="lrTb"/>
            <w:vAlign w:val="center"/>
            <w:hideMark/>
          </w:tcPr>
          <w:p w:rsidR="009D2A34" w:rsidRPr="002D039C" w:rsidP="006338E5">
            <w:pPr>
              <w:bidi w:val="0"/>
              <w:jc w:val="right"/>
              <w:rPr>
                <w:rFonts w:ascii="Times New Roman" w:hAnsi="Times New Roman" w:cs="Times New Roman"/>
                <w:color w:val="000000"/>
                <w:sz w:val="14"/>
                <w:szCs w:val="14"/>
              </w:rPr>
            </w:pPr>
            <w:r w:rsidRPr="002D039C">
              <w:rPr>
                <w:rFonts w:ascii="Times New Roman" w:hAnsi="Times New Roman" w:cs="Times New Roman"/>
                <w:color w:val="000000"/>
                <w:sz w:val="14"/>
                <w:szCs w:val="14"/>
              </w:rPr>
              <w:t>1 931 853</w:t>
            </w:r>
          </w:p>
        </w:tc>
      </w:tr>
      <w:tr>
        <w:tblPrEx>
          <w:tblW w:w="9367" w:type="dxa"/>
          <w:tblInd w:w="59" w:type="dxa"/>
          <w:tblLayout w:type="fixed"/>
          <w:tblCellMar>
            <w:left w:w="70" w:type="dxa"/>
            <w:right w:w="70" w:type="dxa"/>
          </w:tblCellMar>
          <w:tblLook w:val="04A0"/>
        </w:tblPrEx>
        <w:trPr>
          <w:trHeight w:val="259"/>
        </w:trPr>
        <w:tc>
          <w:tcPr>
            <w:tcW w:w="2421" w:type="dxa"/>
            <w:tcBorders>
              <w:top w:val="nil"/>
              <w:left w:val="single" w:sz="4" w:space="0" w:color="auto"/>
              <w:bottom w:val="single" w:sz="4" w:space="0" w:color="auto"/>
              <w:right w:val="single" w:sz="4" w:space="0" w:color="auto"/>
            </w:tcBorders>
            <w:noWrap/>
            <w:textDirection w:val="lrTb"/>
            <w:vAlign w:val="center"/>
            <w:hideMark/>
          </w:tcPr>
          <w:p w:rsidR="009D2A34" w:rsidRPr="00AC6FB4" w:rsidP="006338E5">
            <w:pPr>
              <w:bidi w:val="0"/>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zdroje EÚ vrátane spolufinan</w:t>
            </w:r>
            <w:r>
              <w:rPr>
                <w:rFonts w:ascii="Times New Roman" w:hAnsi="Times New Roman" w:cs="Times New Roman"/>
                <w:b/>
                <w:color w:val="000000"/>
                <w:sz w:val="14"/>
                <w:szCs w:val="14"/>
              </w:rPr>
              <w:t>covania</w:t>
            </w:r>
          </w:p>
        </w:tc>
        <w:tc>
          <w:tcPr>
            <w:tcW w:w="992" w:type="dxa"/>
            <w:tcBorders>
              <w:top w:val="nil"/>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7 085 128</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184 647 419</w:t>
            </w:r>
          </w:p>
        </w:tc>
        <w:tc>
          <w:tcPr>
            <w:tcW w:w="992" w:type="dxa"/>
            <w:tcBorders>
              <w:top w:val="nil"/>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143 515 860</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143 515 862</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200 550 910</w:t>
            </w:r>
          </w:p>
        </w:tc>
        <w:tc>
          <w:tcPr>
            <w:tcW w:w="992" w:type="dxa"/>
            <w:tcBorders>
              <w:top w:val="nil"/>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284 303 476</w:t>
            </w:r>
          </w:p>
        </w:tc>
        <w:tc>
          <w:tcPr>
            <w:tcW w:w="993" w:type="dxa"/>
            <w:tcBorders>
              <w:top w:val="nil"/>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100 263 356</w:t>
            </w:r>
          </w:p>
        </w:tc>
      </w:tr>
      <w:tr>
        <w:tblPrEx>
          <w:tblW w:w="9367" w:type="dxa"/>
          <w:tblInd w:w="59" w:type="dxa"/>
          <w:tblLayout w:type="fixed"/>
          <w:tblCellMar>
            <w:left w:w="70" w:type="dxa"/>
            <w:right w:w="70" w:type="dxa"/>
          </w:tblCellMar>
          <w:tblLook w:val="04A0"/>
        </w:tblPrEx>
        <w:trPr>
          <w:trHeight w:val="259"/>
        </w:trPr>
        <w:tc>
          <w:tcPr>
            <w:tcW w:w="2421" w:type="dxa"/>
            <w:tcBorders>
              <w:top w:val="nil"/>
              <w:left w:val="single" w:sz="4" w:space="0" w:color="auto"/>
              <w:bottom w:val="single" w:sz="4" w:space="0" w:color="auto"/>
              <w:right w:val="single" w:sz="4" w:space="0" w:color="auto"/>
            </w:tcBorders>
            <w:noWrap/>
            <w:textDirection w:val="lrTb"/>
            <w:vAlign w:val="center"/>
            <w:hideMark/>
          </w:tcPr>
          <w:p w:rsidR="009D2A34" w:rsidRPr="00A15808" w:rsidP="006338E5">
            <w:pPr>
              <w:bidi w:val="0"/>
              <w:rPr>
                <w:rFonts w:ascii="Times New Roman" w:hAnsi="Times New Roman" w:cs="Times New Roman"/>
                <w:color w:val="000000"/>
                <w:sz w:val="14"/>
                <w:szCs w:val="14"/>
              </w:rPr>
            </w:pPr>
            <w:r>
              <w:rPr>
                <w:rFonts w:ascii="Times New Roman" w:hAnsi="Times New Roman" w:cs="Times New Roman"/>
                <w:color w:val="000000"/>
                <w:sz w:val="14"/>
                <w:szCs w:val="14"/>
              </w:rPr>
              <w:t>v tom:   EÚ prostriedky</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6 792 762</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157 841 267</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123 359 552</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123 359 552</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9D2A34" w:rsidRPr="00635B97" w:rsidP="006338E5">
            <w:pPr>
              <w:bidi w:val="0"/>
              <w:jc w:val="right"/>
              <w:rPr>
                <w:rFonts w:ascii="Times New Roman" w:hAnsi="Times New Roman" w:cs="Times New Roman"/>
                <w:color w:val="000000"/>
                <w:sz w:val="14"/>
                <w:szCs w:val="14"/>
              </w:rPr>
            </w:pPr>
            <w:r w:rsidRPr="00635B97">
              <w:rPr>
                <w:rFonts w:ascii="Times New Roman" w:hAnsi="Times New Roman" w:cs="Times New Roman"/>
                <w:color w:val="000000"/>
                <w:sz w:val="14"/>
                <w:szCs w:val="14"/>
              </w:rPr>
              <w:t>173 847 201</w:t>
            </w:r>
          </w:p>
        </w:tc>
        <w:tc>
          <w:tcPr>
            <w:tcW w:w="992" w:type="dxa"/>
            <w:tcBorders>
              <w:top w:val="nil"/>
              <w:left w:val="nil"/>
              <w:bottom w:val="single" w:sz="4" w:space="0" w:color="auto"/>
              <w:right w:val="single" w:sz="4" w:space="0" w:color="auto"/>
            </w:tcBorders>
            <w:noWrap/>
            <w:textDirection w:val="lrTb"/>
            <w:vAlign w:val="center"/>
            <w:hideMark/>
          </w:tcPr>
          <w:p w:rsidR="009D2A34" w:rsidRPr="00635B97" w:rsidP="006338E5">
            <w:pPr>
              <w:bidi w:val="0"/>
              <w:jc w:val="right"/>
              <w:rPr>
                <w:rFonts w:ascii="Times New Roman" w:hAnsi="Times New Roman" w:cs="Times New Roman"/>
                <w:color w:val="000000"/>
                <w:sz w:val="14"/>
                <w:szCs w:val="14"/>
              </w:rPr>
            </w:pPr>
            <w:r w:rsidRPr="00635B97">
              <w:rPr>
                <w:rFonts w:ascii="Times New Roman" w:hAnsi="Times New Roman" w:cs="Times New Roman"/>
                <w:color w:val="000000"/>
                <w:sz w:val="14"/>
                <w:szCs w:val="14"/>
              </w:rPr>
              <w:t>243 003 890</w:t>
            </w:r>
          </w:p>
        </w:tc>
        <w:tc>
          <w:tcPr>
            <w:tcW w:w="993" w:type="dxa"/>
            <w:tcBorders>
              <w:top w:val="nil"/>
              <w:left w:val="nil"/>
              <w:bottom w:val="single" w:sz="4" w:space="0" w:color="auto"/>
              <w:right w:val="single" w:sz="4" w:space="0" w:color="auto"/>
            </w:tcBorders>
            <w:noWrap/>
            <w:textDirection w:val="lrTb"/>
            <w:vAlign w:val="center"/>
            <w:hideMark/>
          </w:tcPr>
          <w:p w:rsidR="009D2A34" w:rsidRPr="00635B97" w:rsidP="006338E5">
            <w:pPr>
              <w:bidi w:val="0"/>
              <w:jc w:val="right"/>
              <w:rPr>
                <w:rFonts w:ascii="Times New Roman" w:hAnsi="Times New Roman" w:cs="Times New Roman"/>
                <w:color w:val="000000"/>
                <w:sz w:val="14"/>
                <w:szCs w:val="14"/>
              </w:rPr>
            </w:pPr>
            <w:r w:rsidRPr="00635B97">
              <w:rPr>
                <w:rFonts w:ascii="Times New Roman" w:hAnsi="Times New Roman" w:cs="Times New Roman"/>
                <w:color w:val="000000"/>
                <w:sz w:val="14"/>
                <w:szCs w:val="14"/>
              </w:rPr>
              <w:t>85 527 371</w:t>
            </w:r>
          </w:p>
        </w:tc>
      </w:tr>
      <w:tr>
        <w:tblPrEx>
          <w:tblW w:w="9367" w:type="dxa"/>
          <w:tblInd w:w="59" w:type="dxa"/>
          <w:tblLayout w:type="fixed"/>
          <w:tblCellMar>
            <w:left w:w="70" w:type="dxa"/>
            <w:right w:w="70" w:type="dxa"/>
          </w:tblCellMar>
          <w:tblLook w:val="04A0"/>
        </w:tblPrEx>
        <w:trPr>
          <w:trHeight w:val="259"/>
        </w:trPr>
        <w:tc>
          <w:tcPr>
            <w:tcW w:w="2421" w:type="dxa"/>
            <w:tcBorders>
              <w:top w:val="nil"/>
              <w:left w:val="single" w:sz="4" w:space="0" w:color="auto"/>
              <w:bottom w:val="single" w:sz="4" w:space="0" w:color="auto"/>
              <w:right w:val="single" w:sz="4" w:space="0" w:color="auto"/>
            </w:tcBorders>
            <w:noWrap/>
            <w:textDirection w:val="lrTb"/>
            <w:vAlign w:val="center"/>
            <w:hideMark/>
          </w:tcPr>
          <w:p w:rsidR="009D2A34" w:rsidRPr="00A15808" w:rsidP="006338E5">
            <w:pPr>
              <w:bidi w:val="0"/>
              <w:rPr>
                <w:rFonts w:ascii="Times New Roman" w:hAnsi="Times New Roman" w:cs="Times New Roman"/>
                <w:color w:val="000000"/>
                <w:sz w:val="14"/>
                <w:szCs w:val="14"/>
              </w:rPr>
            </w:pPr>
            <w:r w:rsidRPr="00832EED">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832EED">
              <w:rPr>
                <w:rFonts w:ascii="Times New Roman" w:hAnsi="Times New Roman" w:cs="Times New Roman"/>
                <w:color w:val="000000"/>
                <w:sz w:val="14"/>
                <w:szCs w:val="14"/>
                <w:lang w:eastAsia="sk-SK"/>
              </w:rPr>
              <w:t xml:space="preserve"> spolufinancovanie zo ŠR</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292 366</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26 806 152</w:t>
            </w:r>
          </w:p>
        </w:tc>
        <w:tc>
          <w:tcPr>
            <w:tcW w:w="992" w:type="dxa"/>
            <w:tcBorders>
              <w:top w:val="nil"/>
              <w:left w:val="nil"/>
              <w:bottom w:val="single" w:sz="4" w:space="0" w:color="auto"/>
              <w:right w:val="single" w:sz="4" w:space="0" w:color="auto"/>
            </w:tcBorders>
            <w:noWrap/>
            <w:textDirection w:val="lrTb"/>
            <w:vAlign w:val="center"/>
            <w:hideMark/>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20 156 308</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A15808" w:rsidP="006338E5">
            <w:pPr>
              <w:bidi w:val="0"/>
              <w:jc w:val="right"/>
              <w:rPr>
                <w:rFonts w:ascii="Times New Roman" w:hAnsi="Times New Roman" w:cs="Times New Roman"/>
                <w:color w:val="000000"/>
                <w:sz w:val="14"/>
                <w:szCs w:val="14"/>
              </w:rPr>
            </w:pPr>
            <w:r w:rsidRPr="00A15808">
              <w:rPr>
                <w:rFonts w:ascii="Times New Roman" w:hAnsi="Times New Roman" w:cs="Times New Roman"/>
                <w:color w:val="000000"/>
                <w:sz w:val="14"/>
                <w:szCs w:val="14"/>
              </w:rPr>
              <w:t>20 156 310</w:t>
            </w:r>
          </w:p>
        </w:tc>
        <w:tc>
          <w:tcPr>
            <w:tcW w:w="992" w:type="dxa"/>
            <w:tcBorders>
              <w:top w:val="nil"/>
              <w:left w:val="single" w:sz="4" w:space="0" w:color="auto"/>
              <w:bottom w:val="single" w:sz="4" w:space="0" w:color="auto"/>
              <w:right w:val="single" w:sz="4" w:space="0" w:color="auto"/>
            </w:tcBorders>
            <w:noWrap/>
            <w:textDirection w:val="lrTb"/>
            <w:vAlign w:val="center"/>
            <w:hideMark/>
          </w:tcPr>
          <w:p w:rsidR="009D2A34" w:rsidRPr="00635B97" w:rsidP="006338E5">
            <w:pPr>
              <w:bidi w:val="0"/>
              <w:jc w:val="right"/>
              <w:rPr>
                <w:rFonts w:ascii="Times New Roman" w:hAnsi="Times New Roman" w:cs="Times New Roman"/>
                <w:color w:val="000000"/>
                <w:sz w:val="14"/>
                <w:szCs w:val="14"/>
              </w:rPr>
            </w:pPr>
            <w:r w:rsidRPr="00635B97">
              <w:rPr>
                <w:rFonts w:ascii="Times New Roman" w:hAnsi="Times New Roman" w:cs="Times New Roman"/>
                <w:color w:val="000000"/>
                <w:sz w:val="14"/>
                <w:szCs w:val="14"/>
              </w:rPr>
              <w:t>26 703 709</w:t>
            </w:r>
          </w:p>
        </w:tc>
        <w:tc>
          <w:tcPr>
            <w:tcW w:w="992" w:type="dxa"/>
            <w:tcBorders>
              <w:top w:val="nil"/>
              <w:left w:val="nil"/>
              <w:bottom w:val="single" w:sz="4" w:space="0" w:color="auto"/>
              <w:right w:val="single" w:sz="4" w:space="0" w:color="auto"/>
            </w:tcBorders>
            <w:noWrap/>
            <w:textDirection w:val="lrTb"/>
            <w:vAlign w:val="center"/>
            <w:hideMark/>
          </w:tcPr>
          <w:p w:rsidR="009D2A34" w:rsidRPr="00635B97" w:rsidP="006338E5">
            <w:pPr>
              <w:bidi w:val="0"/>
              <w:jc w:val="right"/>
              <w:rPr>
                <w:rFonts w:ascii="Times New Roman" w:hAnsi="Times New Roman" w:cs="Times New Roman"/>
                <w:color w:val="000000"/>
                <w:sz w:val="14"/>
                <w:szCs w:val="14"/>
              </w:rPr>
            </w:pPr>
            <w:r w:rsidRPr="00635B97">
              <w:rPr>
                <w:rFonts w:ascii="Times New Roman" w:hAnsi="Times New Roman" w:cs="Times New Roman"/>
                <w:color w:val="000000"/>
                <w:sz w:val="14"/>
                <w:szCs w:val="14"/>
              </w:rPr>
              <w:t>41 299 586</w:t>
            </w:r>
          </w:p>
        </w:tc>
        <w:tc>
          <w:tcPr>
            <w:tcW w:w="993" w:type="dxa"/>
            <w:tcBorders>
              <w:top w:val="nil"/>
              <w:left w:val="nil"/>
              <w:bottom w:val="single" w:sz="4" w:space="0" w:color="auto"/>
              <w:right w:val="single" w:sz="4" w:space="0" w:color="auto"/>
            </w:tcBorders>
            <w:noWrap/>
            <w:textDirection w:val="lrTb"/>
            <w:vAlign w:val="center"/>
            <w:hideMark/>
          </w:tcPr>
          <w:p w:rsidR="009D2A34" w:rsidRPr="00635B97" w:rsidP="006338E5">
            <w:pPr>
              <w:bidi w:val="0"/>
              <w:jc w:val="right"/>
              <w:rPr>
                <w:rFonts w:ascii="Times New Roman" w:hAnsi="Times New Roman" w:cs="Times New Roman"/>
                <w:color w:val="000000"/>
                <w:sz w:val="14"/>
                <w:szCs w:val="14"/>
              </w:rPr>
            </w:pPr>
            <w:r w:rsidRPr="00635B97">
              <w:rPr>
                <w:rFonts w:ascii="Times New Roman" w:hAnsi="Times New Roman" w:cs="Times New Roman"/>
                <w:color w:val="000000"/>
                <w:sz w:val="14"/>
                <w:szCs w:val="14"/>
              </w:rPr>
              <w:t>14 735 985</w:t>
            </w:r>
          </w:p>
        </w:tc>
      </w:tr>
      <w:tr>
        <w:tblPrEx>
          <w:tblW w:w="9367" w:type="dxa"/>
          <w:tblInd w:w="59" w:type="dxa"/>
          <w:tblLayout w:type="fixed"/>
          <w:tblCellMar>
            <w:left w:w="70" w:type="dxa"/>
            <w:right w:w="70" w:type="dxa"/>
          </w:tblCellMar>
          <w:tblLook w:val="04A0"/>
        </w:tblPrEx>
        <w:trPr>
          <w:trHeight w:val="259"/>
        </w:trPr>
        <w:tc>
          <w:tcPr>
            <w:tcW w:w="242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AC6FB4" w:rsidP="006338E5">
            <w:pPr>
              <w:bidi w:val="0"/>
              <w:rPr>
                <w:rFonts w:ascii="Times New Roman" w:hAnsi="Times New Roman" w:cs="Times New Roman"/>
                <w:b/>
                <w:bCs/>
                <w:sz w:val="14"/>
                <w:szCs w:val="16"/>
                <w:lang w:eastAsia="sk-SK"/>
              </w:rPr>
            </w:pPr>
            <w:r w:rsidRPr="00AC6FB4">
              <w:rPr>
                <w:rFonts w:ascii="Times New Roman" w:hAnsi="Times New Roman" w:cs="Times New Roman"/>
                <w:b/>
                <w:bCs/>
                <w:sz w:val="14"/>
                <w:szCs w:val="16"/>
                <w:lang w:eastAsia="sk-SK"/>
              </w:rPr>
              <w:t>presun z minulých rokov §</w:t>
            </w:r>
            <w:r w:rsidR="00833BAB">
              <w:rPr>
                <w:rFonts w:ascii="Times New Roman" w:hAnsi="Times New Roman" w:cs="Times New Roman"/>
                <w:b/>
                <w:bCs/>
                <w:sz w:val="14"/>
                <w:szCs w:val="16"/>
                <w:lang w:eastAsia="sk-SK"/>
              </w:rPr>
              <w:t xml:space="preserve"> </w:t>
            </w:r>
            <w:r w:rsidRPr="00AC6FB4">
              <w:rPr>
                <w:rFonts w:ascii="Times New Roman" w:hAnsi="Times New Roman" w:cs="Times New Roman"/>
                <w:b/>
                <w:bCs/>
                <w:sz w:val="14"/>
                <w:szCs w:val="16"/>
                <w:lang w:eastAsia="sk-SK"/>
              </w:rPr>
              <w:t>8</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160 912 539</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56 945 163</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0</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36 008 004</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bCs/>
                <w:color w:val="000000"/>
                <w:sz w:val="14"/>
                <w:szCs w:val="14"/>
              </w:rPr>
            </w:pPr>
            <w:r w:rsidRPr="00AC6FB4">
              <w:rPr>
                <w:rFonts w:ascii="Times New Roman" w:hAnsi="Times New Roman" w:cs="Times New Roman"/>
                <w:b/>
                <w:bCs/>
                <w:color w:val="000000"/>
                <w:sz w:val="14"/>
                <w:szCs w:val="14"/>
              </w:rPr>
              <w:t>0</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0</w:t>
            </w:r>
          </w:p>
        </w:tc>
        <w:tc>
          <w:tcPr>
            <w:tcW w:w="993" w:type="dxa"/>
            <w:tcBorders>
              <w:top w:val="single" w:sz="4" w:space="0" w:color="auto"/>
              <w:left w:val="nil"/>
              <w:bottom w:val="single" w:sz="4" w:space="0" w:color="auto"/>
              <w:right w:val="single" w:sz="4" w:space="0" w:color="auto"/>
            </w:tcBorders>
            <w:noWrap/>
            <w:textDirection w:val="lrTb"/>
            <w:vAlign w:val="center"/>
            <w:hideMark/>
          </w:tcPr>
          <w:p w:rsidR="009D2A34" w:rsidRPr="00AC6FB4" w:rsidP="006338E5">
            <w:pPr>
              <w:bidi w:val="0"/>
              <w:jc w:val="right"/>
              <w:rPr>
                <w:rFonts w:ascii="Times New Roman" w:hAnsi="Times New Roman" w:cs="Times New Roman"/>
                <w:b/>
                <w:color w:val="000000"/>
                <w:sz w:val="14"/>
                <w:szCs w:val="14"/>
              </w:rPr>
            </w:pPr>
            <w:r w:rsidRPr="00AC6FB4">
              <w:rPr>
                <w:rFonts w:ascii="Times New Roman" w:hAnsi="Times New Roman" w:cs="Times New Roman"/>
                <w:b/>
                <w:color w:val="000000"/>
                <w:sz w:val="14"/>
                <w:szCs w:val="14"/>
              </w:rPr>
              <w:t>0</w:t>
            </w:r>
          </w:p>
        </w:tc>
      </w:tr>
      <w:tr>
        <w:tblPrEx>
          <w:tblW w:w="9367" w:type="dxa"/>
          <w:tblInd w:w="59" w:type="dxa"/>
          <w:tblLayout w:type="fixed"/>
          <w:tblCellMar>
            <w:left w:w="70" w:type="dxa"/>
            <w:right w:w="70" w:type="dxa"/>
          </w:tblCellMar>
          <w:tblLook w:val="04A0"/>
        </w:tblPrEx>
        <w:trPr>
          <w:trHeight w:val="259"/>
        </w:trPr>
        <w:tc>
          <w:tcPr>
            <w:tcW w:w="242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832EED" w:rsidP="006338E5">
            <w:pPr>
              <w:bidi w:val="0"/>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v tom</w:t>
            </w:r>
            <w:r w:rsidRPr="00832EED">
              <w:rPr>
                <w:rFonts w:ascii="Times New Roman" w:hAnsi="Times New Roman" w:cs="Times New Roman"/>
                <w:color w:val="000000"/>
                <w:sz w:val="14"/>
                <w:szCs w:val="14"/>
                <w:lang w:eastAsia="sk-SK"/>
              </w:rPr>
              <w:t>:</w:t>
            </w:r>
            <w:r>
              <w:rPr>
                <w:rFonts w:ascii="Times New Roman" w:hAnsi="Times New Roman" w:cs="Times New Roman"/>
                <w:color w:val="000000"/>
                <w:sz w:val="14"/>
                <w:szCs w:val="14"/>
                <w:lang w:eastAsia="sk-SK"/>
              </w:rPr>
              <w:t xml:space="preserve">   štátny rozpočet</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59 723 684</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56 484 059</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35 726 386</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c>
          <w:tcPr>
            <w:tcW w:w="993"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r>
      <w:tr>
        <w:tblPrEx>
          <w:tblW w:w="9367" w:type="dxa"/>
          <w:tblInd w:w="59" w:type="dxa"/>
          <w:tblLayout w:type="fixed"/>
          <w:tblCellMar>
            <w:left w:w="70" w:type="dxa"/>
            <w:right w:w="70" w:type="dxa"/>
          </w:tblCellMar>
          <w:tblLook w:val="04A0"/>
        </w:tblPrEx>
        <w:trPr>
          <w:trHeight w:val="259"/>
        </w:trPr>
        <w:tc>
          <w:tcPr>
            <w:tcW w:w="242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832EED" w:rsidP="006338E5">
            <w:pPr>
              <w:bidi w:val="0"/>
              <w:rPr>
                <w:rFonts w:ascii="Times New Roman" w:hAnsi="Times New Roman" w:cs="Times New Roman"/>
                <w:color w:val="000000"/>
                <w:sz w:val="14"/>
                <w:szCs w:val="14"/>
                <w:lang w:eastAsia="sk-SK"/>
              </w:rPr>
            </w:pPr>
            <w:r w:rsidRPr="00832EED">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832EED">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E</w:t>
            </w:r>
            <w:r w:rsidR="00833BAB">
              <w:rPr>
                <w:rFonts w:ascii="Times New Roman" w:hAnsi="Times New Roman" w:cs="Times New Roman"/>
                <w:color w:val="000000"/>
                <w:sz w:val="14"/>
                <w:szCs w:val="14"/>
                <w:lang w:eastAsia="sk-SK"/>
              </w:rPr>
              <w:t>Ú</w:t>
            </w:r>
            <w:r w:rsidRPr="00832EED">
              <w:rPr>
                <w:rFonts w:ascii="Times New Roman" w:hAnsi="Times New Roman" w:cs="Times New Roman"/>
                <w:color w:val="000000"/>
                <w:sz w:val="14"/>
                <w:szCs w:val="14"/>
                <w:lang w:eastAsia="sk-SK"/>
              </w:rPr>
              <w:t xml:space="preserve"> prostriedky</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85 915 085</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391 938</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239 375</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c>
          <w:tcPr>
            <w:tcW w:w="993"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r>
      <w:tr>
        <w:tblPrEx>
          <w:tblW w:w="9367" w:type="dxa"/>
          <w:tblInd w:w="59" w:type="dxa"/>
          <w:tblLayout w:type="fixed"/>
          <w:tblCellMar>
            <w:left w:w="70" w:type="dxa"/>
            <w:right w:w="70" w:type="dxa"/>
          </w:tblCellMar>
          <w:tblLook w:val="04A0"/>
        </w:tblPrEx>
        <w:trPr>
          <w:trHeight w:val="259"/>
        </w:trPr>
        <w:tc>
          <w:tcPr>
            <w:tcW w:w="2421"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832EED" w:rsidP="006338E5">
            <w:pPr>
              <w:bidi w:val="0"/>
              <w:rPr>
                <w:rFonts w:ascii="Times New Roman" w:hAnsi="Times New Roman" w:cs="Times New Roman"/>
                <w:color w:val="000000"/>
                <w:sz w:val="14"/>
                <w:szCs w:val="14"/>
                <w:lang w:eastAsia="sk-SK"/>
              </w:rPr>
            </w:pPr>
            <w:r w:rsidRPr="00832EED">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832EED">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832EED">
              <w:rPr>
                <w:rFonts w:ascii="Times New Roman" w:hAnsi="Times New Roman" w:cs="Times New Roman"/>
                <w:color w:val="000000"/>
                <w:sz w:val="14"/>
                <w:szCs w:val="14"/>
                <w:lang w:eastAsia="sk-SK"/>
              </w:rPr>
              <w:t>spolufinancovanie zo ŠR</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15 273 770</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69 166</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c>
          <w:tcPr>
            <w:tcW w:w="993" w:type="dxa"/>
            <w:tcBorders>
              <w:top w:val="single" w:sz="4" w:space="0" w:color="auto"/>
              <w:left w:val="nil"/>
              <w:bottom w:val="single" w:sz="4" w:space="0" w:color="auto"/>
              <w:right w:val="single" w:sz="4" w:space="0" w:color="auto"/>
            </w:tcBorders>
            <w:textDirection w:val="lrTb"/>
            <w:vAlign w:val="center"/>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42 243</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c>
          <w:tcPr>
            <w:tcW w:w="992"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c>
          <w:tcPr>
            <w:tcW w:w="993" w:type="dxa"/>
            <w:tcBorders>
              <w:top w:val="single" w:sz="4" w:space="0" w:color="auto"/>
              <w:left w:val="nil"/>
              <w:bottom w:val="single" w:sz="4" w:space="0" w:color="auto"/>
              <w:right w:val="single" w:sz="4" w:space="0" w:color="auto"/>
            </w:tcBorders>
            <w:noWrap/>
            <w:textDirection w:val="lrTb"/>
            <w:vAlign w:val="center"/>
            <w:hideMark/>
          </w:tcPr>
          <w:p w:rsidR="009D2A34" w:rsidRPr="00C90432" w:rsidP="006338E5">
            <w:pPr>
              <w:bidi w:val="0"/>
              <w:jc w:val="right"/>
              <w:rPr>
                <w:rFonts w:ascii="Times New Roman" w:hAnsi="Times New Roman" w:cs="Times New Roman"/>
                <w:color w:val="000000"/>
                <w:sz w:val="14"/>
                <w:szCs w:val="14"/>
              </w:rPr>
            </w:pPr>
            <w:r w:rsidRPr="00C90432">
              <w:rPr>
                <w:rFonts w:ascii="Times New Roman" w:hAnsi="Times New Roman" w:cs="Times New Roman"/>
                <w:color w:val="000000"/>
                <w:sz w:val="14"/>
                <w:szCs w:val="14"/>
              </w:rPr>
              <w:t>0</w:t>
            </w:r>
          </w:p>
        </w:tc>
      </w:tr>
    </w:tbl>
    <w:p w:rsidR="009D2A34" w:rsidP="009D2A34">
      <w:pPr>
        <w:bidi w:val="0"/>
        <w:jc w:val="both"/>
        <w:rPr>
          <w:rFonts w:ascii="Times New Roman" w:hAnsi="Times New Roman" w:cs="Times New Roman"/>
        </w:rPr>
      </w:pPr>
    </w:p>
    <w:p w:rsidR="009D2A34" w:rsidRPr="002A256B" w:rsidP="009D2A34">
      <w:pPr>
        <w:bidi w:val="0"/>
        <w:ind w:firstLine="708"/>
        <w:jc w:val="both"/>
        <w:rPr>
          <w:rFonts w:ascii="Times New Roman" w:hAnsi="Times New Roman" w:cs="Times New Roman"/>
        </w:rPr>
      </w:pPr>
      <w:r w:rsidRPr="002A256B">
        <w:rPr>
          <w:rFonts w:ascii="Times New Roman" w:hAnsi="Times New Roman" w:cs="Times New Roman"/>
        </w:rPr>
        <w:t xml:space="preserve">Rezort Ministerstva hospodárstva SR (ďalej len „MH SR“) má v návrhu rozpočtu na rok 2013 navrhované výdavky vo výške </w:t>
      </w:r>
      <w:r>
        <w:rPr>
          <w:rFonts w:ascii="Times New Roman" w:hAnsi="Times New Roman" w:cs="Times New Roman"/>
        </w:rPr>
        <w:t>302</w:t>
      </w:r>
      <w:r w:rsidRPr="002A256B">
        <w:rPr>
          <w:rFonts w:ascii="Times New Roman" w:hAnsi="Times New Roman" w:cs="Times New Roman"/>
        </w:rPr>
        <w:t xml:space="preserve"> mil. eur, v tom rozpočtové prostriedky predstavujú sumu </w:t>
      </w:r>
      <w:r>
        <w:rPr>
          <w:rFonts w:ascii="Times New Roman" w:hAnsi="Times New Roman" w:cs="Times New Roman"/>
        </w:rPr>
        <w:t>101</w:t>
      </w:r>
      <w:r w:rsidRPr="002A256B">
        <w:rPr>
          <w:rFonts w:ascii="Times New Roman" w:hAnsi="Times New Roman" w:cs="Times New Roman"/>
        </w:rPr>
        <w:t xml:space="preserve"> mil. eur a výdavky EÚ a spolufinancovania zo štátneho rozpočtu sumu 201 mil. eur.</w:t>
      </w:r>
    </w:p>
    <w:p w:rsidR="009D2A34" w:rsidRPr="002A256B" w:rsidP="009D2A34">
      <w:pPr>
        <w:bidi w:val="0"/>
        <w:jc w:val="both"/>
        <w:rPr>
          <w:rFonts w:ascii="Times New Roman" w:hAnsi="Times New Roman" w:cs="Times New Roman"/>
        </w:rPr>
      </w:pPr>
    </w:p>
    <w:p w:rsidR="009D2A34" w:rsidRPr="002A256B" w:rsidP="009D2A34">
      <w:pPr>
        <w:bidi w:val="0"/>
        <w:ind w:firstLine="708"/>
        <w:jc w:val="both"/>
        <w:rPr>
          <w:rFonts w:ascii="Times New Roman" w:hAnsi="Times New Roman" w:cs="Times New Roman"/>
        </w:rPr>
      </w:pPr>
      <w:r w:rsidRPr="002A256B">
        <w:rPr>
          <w:rFonts w:ascii="Times New Roman" w:hAnsi="Times New Roman" w:cs="Times New Roman"/>
        </w:rPr>
        <w:t>Rozpočtové prostriedky kapitoly v návrhu rozpočtu na rok 2013 oproti schválen</w:t>
      </w:r>
      <w:r>
        <w:rPr>
          <w:rFonts w:ascii="Times New Roman" w:hAnsi="Times New Roman" w:cs="Times New Roman"/>
        </w:rPr>
        <w:t>ému rozpočtu na rok 2012 rastú o 42,8</w:t>
      </w:r>
      <w:r w:rsidRPr="002A256B">
        <w:rPr>
          <w:rFonts w:ascii="Times New Roman" w:hAnsi="Times New Roman" w:cs="Times New Roman"/>
        </w:rPr>
        <w:t xml:space="preserve"> %</w:t>
      </w:r>
      <w:r>
        <w:rPr>
          <w:rFonts w:ascii="Times New Roman" w:hAnsi="Times New Roman" w:cs="Times New Roman"/>
        </w:rPr>
        <w:t>, t</w:t>
      </w:r>
      <w:r w:rsidRPr="002A256B">
        <w:rPr>
          <w:rFonts w:ascii="Times New Roman" w:hAnsi="Times New Roman" w:cs="Times New Roman"/>
        </w:rPr>
        <w:t>.</w:t>
      </w:r>
      <w:r>
        <w:rPr>
          <w:rFonts w:ascii="Times New Roman" w:hAnsi="Times New Roman" w:cs="Times New Roman"/>
        </w:rPr>
        <w:t xml:space="preserve"> j. o 30,4</w:t>
      </w:r>
      <w:r w:rsidRPr="002A256B">
        <w:rPr>
          <w:rFonts w:ascii="Times New Roman" w:hAnsi="Times New Roman" w:cs="Times New Roman"/>
        </w:rPr>
        <w:t xml:space="preserve"> mil. eur</w:t>
      </w:r>
      <w:r>
        <w:rPr>
          <w:rFonts w:ascii="Times New Roman" w:hAnsi="Times New Roman" w:cs="Times New Roman"/>
        </w:rPr>
        <w:t>. Uvedený nárast ovplyvnil</w:t>
      </w:r>
      <w:r w:rsidRPr="002A256B">
        <w:rPr>
          <w:rFonts w:ascii="Times New Roman" w:hAnsi="Times New Roman" w:cs="Times New Roman"/>
        </w:rPr>
        <w:t xml:space="preserve"> </w:t>
      </w:r>
      <w:r>
        <w:rPr>
          <w:rFonts w:ascii="Times New Roman" w:hAnsi="Times New Roman" w:cs="Times New Roman"/>
        </w:rPr>
        <w:t>nárast bežných transferov vyplývajúci z pripravovanej novely zákona č. 238/2006 Z. z. o </w:t>
      </w:r>
      <w:r w:rsidR="00833BAB">
        <w:rPr>
          <w:rFonts w:ascii="Times New Roman" w:hAnsi="Times New Roman" w:cs="Times New Roman"/>
        </w:rPr>
        <w:t>N</w:t>
      </w:r>
      <w:r>
        <w:rPr>
          <w:rFonts w:ascii="Times New Roman" w:hAnsi="Times New Roman" w:cs="Times New Roman"/>
        </w:rPr>
        <w:t xml:space="preserve">árodnom jadrovom fonde </w:t>
      </w:r>
      <w:r w:rsidRPr="002D7E6B">
        <w:rPr>
          <w:rFonts w:ascii="Times New Roman" w:hAnsi="Times New Roman" w:cs="Times New Roman"/>
        </w:rPr>
        <w:t>na vyraďovanie jadrových zariadení a na nakladanie s vyhoretým jadrovým palivom a rádioaktívnymi odpadmi (ďalej len „NJF“)</w:t>
      </w:r>
      <w:r w:rsidRPr="002D039C">
        <w:rPr>
          <w:rFonts w:ascii="Times New Roman" w:hAnsi="Times New Roman" w:cs="Times New Roman"/>
        </w:rPr>
        <w:t>, ktorou sa mení systém odvodov od prevádzkovateľa prenosovej sústavy a prevádzkovateľov distribučných sústav. Tento odvod bude od roku 2013 príjmom štátneh</w:t>
      </w:r>
      <w:r w:rsidR="00833BAB">
        <w:rPr>
          <w:rFonts w:ascii="Times New Roman" w:hAnsi="Times New Roman" w:cs="Times New Roman"/>
        </w:rPr>
        <w:t>o rozpočtu kapitoly MH SR, ktorá</w:t>
      </w:r>
      <w:r w:rsidRPr="002D039C">
        <w:rPr>
          <w:rFonts w:ascii="Times New Roman" w:hAnsi="Times New Roman" w:cs="Times New Roman"/>
        </w:rPr>
        <w:t xml:space="preserve"> ho následne odvedie do príjmov NJF</w:t>
      </w:r>
      <w:r>
        <w:rPr>
          <w:rFonts w:ascii="Times New Roman" w:hAnsi="Times New Roman" w:cs="Times New Roman"/>
        </w:rPr>
        <w:t xml:space="preserve">. Úroveň rozpočtových prostriedkov na rok 2013 ovplyvnila aj delimitácia </w:t>
      </w:r>
      <w:r w:rsidRPr="008518C6">
        <w:rPr>
          <w:rFonts w:ascii="Times New Roman" w:hAnsi="Times New Roman" w:cs="Times New Roman"/>
        </w:rPr>
        <w:t>Úradu pre reguláciu sieťových odvetví (ďalej len „ÚRSO“)</w:t>
      </w:r>
      <w:r w:rsidRPr="00392F4F">
        <w:rPr>
          <w:rFonts w:ascii="Times New Roman" w:hAnsi="Times New Roman" w:cs="Times New Roman"/>
        </w:rPr>
        <w:t xml:space="preserve"> </w:t>
      </w:r>
      <w:r w:rsidRPr="002A256B">
        <w:rPr>
          <w:rFonts w:ascii="Times New Roman" w:hAnsi="Times New Roman" w:cs="Times New Roman"/>
        </w:rPr>
        <w:t>do novej rozpočtovej kapitoly</w:t>
      </w:r>
      <w:r>
        <w:rPr>
          <w:rFonts w:ascii="Times New Roman" w:hAnsi="Times New Roman" w:cs="Times New Roman"/>
        </w:rPr>
        <w:t>, viazani</w:t>
      </w:r>
      <w:r w:rsidR="00833BAB">
        <w:rPr>
          <w:rFonts w:ascii="Times New Roman" w:hAnsi="Times New Roman" w:cs="Times New Roman"/>
        </w:rPr>
        <w:t>e</w:t>
      </w:r>
      <w:r>
        <w:rPr>
          <w:rFonts w:ascii="Times New Roman" w:hAnsi="Times New Roman" w:cs="Times New Roman"/>
        </w:rPr>
        <w:t xml:space="preserve"> </w:t>
      </w:r>
      <w:r w:rsidRPr="002A256B">
        <w:rPr>
          <w:rFonts w:ascii="Times New Roman" w:hAnsi="Times New Roman" w:cs="Times New Roman"/>
        </w:rPr>
        <w:t xml:space="preserve">osobných výdavkov </w:t>
      </w:r>
      <w:r>
        <w:rPr>
          <w:rFonts w:ascii="Times New Roman" w:hAnsi="Times New Roman" w:cs="Times New Roman"/>
        </w:rPr>
        <w:t>a výdavkov na tovary a služ</w:t>
      </w:r>
      <w:r w:rsidRPr="002A256B">
        <w:rPr>
          <w:rFonts w:ascii="Times New Roman" w:hAnsi="Times New Roman" w:cs="Times New Roman"/>
        </w:rPr>
        <w:t>b</w:t>
      </w:r>
      <w:r>
        <w:rPr>
          <w:rFonts w:ascii="Times New Roman" w:hAnsi="Times New Roman" w:cs="Times New Roman"/>
        </w:rPr>
        <w:t>y</w:t>
      </w:r>
      <w:r w:rsidRPr="002A256B">
        <w:rPr>
          <w:rFonts w:ascii="Times New Roman" w:hAnsi="Times New Roman" w:cs="Times New Roman"/>
        </w:rPr>
        <w:t>, ukončovani</w:t>
      </w:r>
      <w:r w:rsidR="00833BAB">
        <w:rPr>
          <w:rFonts w:ascii="Times New Roman" w:hAnsi="Times New Roman" w:cs="Times New Roman"/>
        </w:rPr>
        <w:t>e</w:t>
      </w:r>
      <w:r w:rsidRPr="002A256B">
        <w:rPr>
          <w:rFonts w:ascii="Times New Roman" w:hAnsi="Times New Roman" w:cs="Times New Roman"/>
        </w:rPr>
        <w:t xml:space="preserve"> investičných projektov, nepremietnuti</w:t>
      </w:r>
      <w:r w:rsidR="00833BAB">
        <w:rPr>
          <w:rFonts w:ascii="Times New Roman" w:hAnsi="Times New Roman" w:cs="Times New Roman"/>
        </w:rPr>
        <w:t>e</w:t>
      </w:r>
      <w:r w:rsidRPr="002A256B">
        <w:rPr>
          <w:rFonts w:ascii="Times New Roman" w:hAnsi="Times New Roman" w:cs="Times New Roman"/>
        </w:rPr>
        <w:t xml:space="preserve"> priorít z roku 2012 do návrhu rozpočtu na rok 2013.</w:t>
      </w:r>
    </w:p>
    <w:p w:rsidR="009D2A34" w:rsidRPr="002A256B" w:rsidP="009D2A34">
      <w:pPr>
        <w:bidi w:val="0"/>
        <w:jc w:val="both"/>
        <w:rPr>
          <w:rFonts w:ascii="Times New Roman" w:hAnsi="Times New Roman" w:cs="Times New Roman"/>
        </w:rPr>
      </w:pPr>
    </w:p>
    <w:p w:rsidR="009D2A34" w:rsidRPr="002A256B" w:rsidP="009D2A34">
      <w:pPr>
        <w:bidi w:val="0"/>
        <w:ind w:firstLine="708"/>
        <w:jc w:val="both"/>
        <w:rPr>
          <w:rFonts w:ascii="Times New Roman" w:hAnsi="Times New Roman" w:cs="Times New Roman"/>
        </w:rPr>
      </w:pPr>
      <w:r w:rsidRPr="002A256B">
        <w:rPr>
          <w:rFonts w:ascii="Times New Roman" w:hAnsi="Times New Roman" w:cs="Times New Roman"/>
        </w:rPr>
        <w:t>Osobné výdavky na r</w:t>
      </w:r>
      <w:r>
        <w:rPr>
          <w:rFonts w:ascii="Times New Roman" w:hAnsi="Times New Roman" w:cs="Times New Roman"/>
        </w:rPr>
        <w:t>ok 2013 rozpočtované v sume 12,6</w:t>
      </w:r>
      <w:r w:rsidRPr="002A256B">
        <w:rPr>
          <w:rFonts w:ascii="Times New Roman" w:hAnsi="Times New Roman" w:cs="Times New Roman"/>
        </w:rPr>
        <w:t xml:space="preserve"> mil. eur klesajú oproti schvále</w:t>
      </w:r>
      <w:r>
        <w:rPr>
          <w:rFonts w:ascii="Times New Roman" w:hAnsi="Times New Roman" w:cs="Times New Roman"/>
        </w:rPr>
        <w:t>nému rozpočtu na rok 2012 o 13,0 %, t. j. o 1,89</w:t>
      </w:r>
      <w:r w:rsidRPr="002A256B">
        <w:rPr>
          <w:rFonts w:ascii="Times New Roman" w:hAnsi="Times New Roman" w:cs="Times New Roman"/>
        </w:rPr>
        <w:t xml:space="preserve"> mil. eur, z toho z dôvodu delimitácie zamestnancov a osobných výdavkov </w:t>
      </w:r>
      <w:r>
        <w:rPr>
          <w:rFonts w:ascii="Times New Roman" w:hAnsi="Times New Roman" w:cs="Times New Roman"/>
        </w:rPr>
        <w:t>ÚRSO</w:t>
      </w:r>
      <w:r w:rsidRPr="008518C6">
        <w:rPr>
          <w:rFonts w:ascii="Times New Roman" w:hAnsi="Times New Roman" w:cs="Times New Roman"/>
        </w:rPr>
        <w:t xml:space="preserve"> </w:t>
      </w:r>
      <w:r w:rsidRPr="002A256B">
        <w:rPr>
          <w:rFonts w:ascii="Times New Roman" w:hAnsi="Times New Roman" w:cs="Times New Roman"/>
        </w:rPr>
        <w:t>o 1,43 mil. eur. Pri abstrahovaní výdavkov na ÚRSO v schválenom rozpočte MH SR na rok 2012, osobné výdavky MH SR  v roku 2013 zaznam</w:t>
      </w:r>
      <w:r>
        <w:rPr>
          <w:rFonts w:ascii="Times New Roman" w:hAnsi="Times New Roman" w:cs="Times New Roman"/>
        </w:rPr>
        <w:t>enávajú medziročný pokles o 3,54 %, t. j. o 464</w:t>
      </w:r>
      <w:r w:rsidRPr="002A256B">
        <w:rPr>
          <w:rFonts w:ascii="Times New Roman" w:hAnsi="Times New Roman" w:cs="Times New Roman"/>
        </w:rPr>
        <w:t xml:space="preserve"> tis. eur.</w:t>
      </w:r>
    </w:p>
    <w:p w:rsidR="009D2A34" w:rsidRPr="002A256B" w:rsidP="009D2A34">
      <w:pPr>
        <w:bidi w:val="0"/>
        <w:jc w:val="both"/>
        <w:rPr>
          <w:rFonts w:ascii="Times New Roman" w:hAnsi="Times New Roman" w:cs="Times New Roman"/>
        </w:rPr>
      </w:pPr>
    </w:p>
    <w:p w:rsidR="009D2A34" w:rsidRPr="002A256B" w:rsidP="009D2A34">
      <w:pPr>
        <w:bidi w:val="0"/>
        <w:ind w:firstLine="708"/>
        <w:jc w:val="both"/>
        <w:rPr>
          <w:rFonts w:ascii="Times New Roman" w:hAnsi="Times New Roman" w:cs="Times New Roman"/>
        </w:rPr>
      </w:pPr>
      <w:r w:rsidRPr="002A256B">
        <w:rPr>
          <w:rFonts w:ascii="Times New Roman" w:hAnsi="Times New Roman" w:cs="Times New Roman"/>
        </w:rPr>
        <w:t xml:space="preserve">Výdavky na tovary a služby v návrhu rozpočtu na rok 2013 navrhované v sume </w:t>
        <w:br/>
        <w:t xml:space="preserve">10,4 mil. eur klesajú oproti schválenému rozpočtu na rok 2012 o 25,5 %, t. j. o 3,57 mil. eur. Výdavky v tejto oblasti poklesli z dôvodu delimitácie ÚRSO o 927 tis. eur, nižšieho rozpočtovania výdavkov na rok 2013 oproti schválenému rozpočtu na rok 2012 na znižovanie administratívneho bremena o 1,70 mil. eur, ktoré boli v  roku 2012 riešené z priorít, ako aj viazania </w:t>
      </w:r>
      <w:r>
        <w:rPr>
          <w:rFonts w:ascii="Times New Roman" w:hAnsi="Times New Roman" w:cs="Times New Roman"/>
        </w:rPr>
        <w:t xml:space="preserve">výdavkov </w:t>
      </w:r>
      <w:r w:rsidRPr="002A256B">
        <w:rPr>
          <w:rFonts w:ascii="Times New Roman" w:hAnsi="Times New Roman" w:cs="Times New Roman"/>
        </w:rPr>
        <w:t xml:space="preserve">v návrhu rozpočtu na roky 2013 </w:t>
      </w:r>
      <w:r>
        <w:rPr>
          <w:rFonts w:ascii="Times New Roman" w:hAnsi="Times New Roman" w:cs="Times New Roman"/>
        </w:rPr>
        <w:t>až</w:t>
      </w:r>
      <w:r w:rsidRPr="002A256B">
        <w:rPr>
          <w:rFonts w:ascii="Times New Roman" w:hAnsi="Times New Roman" w:cs="Times New Roman"/>
        </w:rPr>
        <w:t xml:space="preserve"> 2015. Pri abstrahovaní výdavkov na ÚRSO a na znižovanie administratívneho bremena v schválenom rozpočte na rok 2012, výdavky na tovary a služby v roku 2013 zaznamenávajú medziročný pokles o</w:t>
      </w:r>
      <w:r>
        <w:rPr>
          <w:rFonts w:ascii="Times New Roman" w:hAnsi="Times New Roman" w:cs="Times New Roman"/>
        </w:rPr>
        <w:t xml:space="preserve"> 8,28 %, </w:t>
      </w:r>
      <w:r w:rsidRPr="002A256B">
        <w:rPr>
          <w:rFonts w:ascii="Times New Roman" w:hAnsi="Times New Roman" w:cs="Times New Roman"/>
        </w:rPr>
        <w:t>t.</w:t>
      </w:r>
      <w:r>
        <w:rPr>
          <w:rFonts w:ascii="Times New Roman" w:hAnsi="Times New Roman" w:cs="Times New Roman"/>
        </w:rPr>
        <w:t xml:space="preserve"> </w:t>
      </w:r>
      <w:r w:rsidRPr="002A256B">
        <w:rPr>
          <w:rFonts w:ascii="Times New Roman" w:hAnsi="Times New Roman" w:cs="Times New Roman"/>
        </w:rPr>
        <w:t>j. o 941 tis. eur. Nižšiu úroveň viazania výdavkov na tovaroch a službách oproti uvažovanému 10% viazaniu, ktoré predstavuje sumu 1,30 mil. eur, premietlo MH SR do zníženia bežných transferov</w:t>
      </w:r>
      <w:r>
        <w:rPr>
          <w:rFonts w:ascii="Times New Roman" w:hAnsi="Times New Roman" w:cs="Times New Roman"/>
        </w:rPr>
        <w:t>,</w:t>
      </w:r>
      <w:r w:rsidRPr="002A256B">
        <w:rPr>
          <w:rFonts w:ascii="Times New Roman" w:hAnsi="Times New Roman" w:cs="Times New Roman"/>
        </w:rPr>
        <w:t xml:space="preserve"> ako aj kapitálových výdavkov.</w:t>
      </w:r>
    </w:p>
    <w:p w:rsidR="009D2A34" w:rsidRPr="002A256B" w:rsidP="009D2A34">
      <w:pPr>
        <w:bidi w:val="0"/>
        <w:jc w:val="both"/>
        <w:rPr>
          <w:rFonts w:ascii="Times New Roman" w:hAnsi="Times New Roman" w:cs="Times New Roman"/>
        </w:rPr>
      </w:pPr>
    </w:p>
    <w:p w:rsidR="009D2A34" w:rsidRPr="002A256B" w:rsidP="009D2A34">
      <w:pPr>
        <w:bidi w:val="0"/>
        <w:ind w:firstLine="708"/>
        <w:jc w:val="both"/>
        <w:rPr>
          <w:rFonts w:ascii="Times New Roman" w:hAnsi="Times New Roman" w:cs="Times New Roman"/>
        </w:rPr>
      </w:pPr>
      <w:r w:rsidRPr="002A256B">
        <w:rPr>
          <w:rFonts w:ascii="Times New Roman" w:hAnsi="Times New Roman" w:cs="Times New Roman"/>
        </w:rPr>
        <w:t>Bežné transfery v návrhu rozpočtu na r</w:t>
      </w:r>
      <w:r>
        <w:rPr>
          <w:rFonts w:ascii="Times New Roman" w:hAnsi="Times New Roman" w:cs="Times New Roman"/>
        </w:rPr>
        <w:t>ok 2013 rozpočtované v sume 67,5</w:t>
      </w:r>
      <w:r w:rsidRPr="002A256B">
        <w:rPr>
          <w:rFonts w:ascii="Times New Roman" w:hAnsi="Times New Roman" w:cs="Times New Roman"/>
        </w:rPr>
        <w:t xml:space="preserve"> mil. eur oproti schválenému rozpočtu na rok 2012 </w:t>
      </w:r>
      <w:r>
        <w:rPr>
          <w:rFonts w:ascii="Times New Roman" w:hAnsi="Times New Roman" w:cs="Times New Roman"/>
        </w:rPr>
        <w:t>rastú o 442</w:t>
      </w:r>
      <w:r w:rsidRPr="002A256B">
        <w:rPr>
          <w:rFonts w:ascii="Times New Roman" w:hAnsi="Times New Roman" w:cs="Times New Roman"/>
        </w:rPr>
        <w:t xml:space="preserve"> %, t. j. o</w:t>
      </w:r>
      <w:r>
        <w:rPr>
          <w:rFonts w:ascii="Times New Roman" w:hAnsi="Times New Roman" w:cs="Times New Roman"/>
        </w:rPr>
        <w:t> 55,1</w:t>
      </w:r>
      <w:r w:rsidRPr="002A256B">
        <w:rPr>
          <w:rFonts w:ascii="Times New Roman" w:hAnsi="Times New Roman" w:cs="Times New Roman"/>
        </w:rPr>
        <w:t xml:space="preserve"> mil. eur. Dôvodom medziročného </w:t>
      </w:r>
      <w:r>
        <w:rPr>
          <w:rFonts w:ascii="Times New Roman" w:hAnsi="Times New Roman" w:cs="Times New Roman"/>
        </w:rPr>
        <w:t>rastu transferov</w:t>
      </w:r>
      <w:r w:rsidRPr="002A256B">
        <w:rPr>
          <w:rFonts w:ascii="Times New Roman" w:hAnsi="Times New Roman" w:cs="Times New Roman"/>
        </w:rPr>
        <w:t xml:space="preserve"> </w:t>
      </w:r>
      <w:r>
        <w:rPr>
          <w:rFonts w:ascii="Times New Roman" w:hAnsi="Times New Roman" w:cs="Times New Roman"/>
        </w:rPr>
        <w:t>je rozpočtovanie transferu pre NJF v zmysle pripravovanej novely zákona  č. 238/2006 Z. z. o NJF v sume 58,3 mil. eur. Na úroveň bežných transferov v roku 2013 vplýva aj</w:t>
      </w:r>
      <w:r w:rsidRPr="002A256B">
        <w:rPr>
          <w:rFonts w:ascii="Times New Roman" w:hAnsi="Times New Roman" w:cs="Times New Roman"/>
        </w:rPr>
        <w:t xml:space="preserve"> nerozpočtovanie výdavkov na programy malého a stredného podnikania v sume  300 tis. eur, pokles bežných výdavkov na investíciu AU Optronics </w:t>
      </w:r>
      <w:r>
        <w:rPr>
          <w:rFonts w:ascii="Times New Roman" w:hAnsi="Times New Roman" w:cs="Times New Roman"/>
        </w:rPr>
        <w:br/>
      </w:r>
      <w:r w:rsidRPr="002A256B">
        <w:rPr>
          <w:rFonts w:ascii="Times New Roman" w:hAnsi="Times New Roman" w:cs="Times New Roman"/>
        </w:rPr>
        <w:t>o 928 tis. eur.</w:t>
      </w:r>
      <w:r>
        <w:rPr>
          <w:rFonts w:ascii="Times New Roman" w:hAnsi="Times New Roman" w:cs="Times New Roman"/>
        </w:rPr>
        <w:t xml:space="preserve"> a nižšie výdavky na SARIO v roku 2013 oproti schválenému rozpočtu na rok 2012 o 1,87 mil. eur.</w:t>
      </w:r>
    </w:p>
    <w:p w:rsidR="009D2A34" w:rsidRPr="002A256B" w:rsidP="009D2A34">
      <w:pPr>
        <w:bidi w:val="0"/>
        <w:jc w:val="both"/>
        <w:rPr>
          <w:rFonts w:ascii="Times New Roman" w:hAnsi="Times New Roman" w:cs="Times New Roman"/>
        </w:rPr>
      </w:pPr>
    </w:p>
    <w:p w:rsidR="009D2A34" w:rsidRPr="002A256B" w:rsidP="009D2A34">
      <w:pPr>
        <w:bidi w:val="0"/>
        <w:ind w:firstLine="708"/>
        <w:jc w:val="both"/>
        <w:rPr>
          <w:rFonts w:ascii="Times New Roman" w:hAnsi="Times New Roman" w:cs="Times New Roman"/>
        </w:rPr>
      </w:pPr>
      <w:r w:rsidRPr="002A256B">
        <w:rPr>
          <w:rFonts w:ascii="Times New Roman" w:hAnsi="Times New Roman" w:cs="Times New Roman"/>
        </w:rPr>
        <w:t>Kapitálové výdavky rozpočtované na rok 2013 v sume 10,8 mil. eur klesajú v porovnaní so  schváleným rozpočtom na rok 2012 o 63,9 %</w:t>
      </w:r>
      <w:r>
        <w:rPr>
          <w:rFonts w:ascii="Times New Roman" w:hAnsi="Times New Roman" w:cs="Times New Roman"/>
        </w:rPr>
        <w:t>,</w:t>
      </w:r>
      <w:r w:rsidRPr="002A256B">
        <w:rPr>
          <w:rFonts w:ascii="Times New Roman" w:hAnsi="Times New Roman" w:cs="Times New Roman"/>
        </w:rPr>
        <w:t xml:space="preserve">  t.</w:t>
      </w:r>
      <w:r>
        <w:rPr>
          <w:rFonts w:ascii="Times New Roman" w:hAnsi="Times New Roman" w:cs="Times New Roman"/>
        </w:rPr>
        <w:t xml:space="preserve"> </w:t>
      </w:r>
      <w:r w:rsidRPr="002A256B">
        <w:rPr>
          <w:rFonts w:ascii="Times New Roman" w:hAnsi="Times New Roman" w:cs="Times New Roman"/>
        </w:rPr>
        <w:t>j. o 19,2 mil. eur a to najmä z dôvodu poklesu výdavkov na investičné projekt</w:t>
      </w:r>
      <w:r>
        <w:rPr>
          <w:rFonts w:ascii="Times New Roman" w:hAnsi="Times New Roman" w:cs="Times New Roman"/>
        </w:rPr>
        <w:t>y o 15,2</w:t>
      </w:r>
      <w:r w:rsidRPr="002A256B">
        <w:rPr>
          <w:rFonts w:ascii="Times New Roman" w:hAnsi="Times New Roman" w:cs="Times New Roman"/>
        </w:rPr>
        <w:t xml:space="preserve"> mil. eur a výdavkov na regionálny rozvoj o 3,6 mil. eur.</w:t>
      </w:r>
    </w:p>
    <w:p w:rsidR="009D2A34" w:rsidRPr="002A256B" w:rsidP="009D2A34">
      <w:pPr>
        <w:bidi w:val="0"/>
        <w:jc w:val="both"/>
        <w:rPr>
          <w:rFonts w:ascii="Times New Roman" w:hAnsi="Times New Roman" w:cs="Times New Roman"/>
        </w:rPr>
      </w:pPr>
    </w:p>
    <w:p w:rsidR="009D2A34" w:rsidP="009D2A34">
      <w:pPr>
        <w:bidi w:val="0"/>
        <w:ind w:firstLine="708"/>
        <w:jc w:val="both"/>
        <w:rPr>
          <w:rFonts w:ascii="Times New Roman" w:hAnsi="Times New Roman" w:cs="Times New Roman"/>
        </w:rPr>
      </w:pPr>
      <w:r w:rsidRPr="002A256B">
        <w:rPr>
          <w:rFonts w:ascii="Times New Roman" w:hAnsi="Times New Roman" w:cs="Times New Roman"/>
        </w:rPr>
        <w:t>Výdavk</w:t>
      </w:r>
      <w:r>
        <w:rPr>
          <w:rFonts w:ascii="Times New Roman" w:hAnsi="Times New Roman" w:cs="Times New Roman"/>
        </w:rPr>
        <w:t>y EÚ a spolufinancovania</w:t>
      </w:r>
      <w:r w:rsidRPr="002A256B">
        <w:rPr>
          <w:rFonts w:ascii="Times New Roman" w:hAnsi="Times New Roman" w:cs="Times New Roman"/>
        </w:rPr>
        <w:t xml:space="preserve"> sú na rok 2013 rozpočtované v sume 201 mil. eur</w:t>
      </w:r>
      <w:r>
        <w:rPr>
          <w:rFonts w:ascii="Times New Roman" w:hAnsi="Times New Roman" w:cs="Times New Roman"/>
        </w:rPr>
        <w:t>,</w:t>
      </w:r>
      <w:r w:rsidRPr="002A256B">
        <w:rPr>
          <w:rFonts w:ascii="Times New Roman" w:hAnsi="Times New Roman" w:cs="Times New Roman"/>
        </w:rPr>
        <w:t xml:space="preserve"> oproti schválenému rozpočtu na rok 2012 vzrástli o 39,7 %</w:t>
      </w:r>
      <w:r>
        <w:rPr>
          <w:rFonts w:ascii="Times New Roman" w:hAnsi="Times New Roman" w:cs="Times New Roman"/>
        </w:rPr>
        <w:t>,</w:t>
      </w:r>
      <w:r w:rsidRPr="002A256B">
        <w:rPr>
          <w:rFonts w:ascii="Times New Roman" w:hAnsi="Times New Roman" w:cs="Times New Roman"/>
        </w:rPr>
        <w:t xml:space="preserve">  t.</w:t>
      </w:r>
      <w:r>
        <w:rPr>
          <w:rFonts w:ascii="Times New Roman" w:hAnsi="Times New Roman" w:cs="Times New Roman"/>
        </w:rPr>
        <w:t xml:space="preserve"> </w:t>
      </w:r>
      <w:r w:rsidRPr="002A256B">
        <w:rPr>
          <w:rFonts w:ascii="Times New Roman" w:hAnsi="Times New Roman" w:cs="Times New Roman"/>
        </w:rPr>
        <w:t xml:space="preserve">j. o 57,0 mil. eur. Dôvodom tohto nárastu je, že v návrhu rozpočtu kapitoly MH SR na roky 2013 </w:t>
      </w:r>
      <w:r>
        <w:rPr>
          <w:rFonts w:ascii="Times New Roman" w:hAnsi="Times New Roman" w:cs="Times New Roman"/>
        </w:rPr>
        <w:t>až</w:t>
      </w:r>
      <w:r w:rsidRPr="002A256B">
        <w:rPr>
          <w:rFonts w:ascii="Times New Roman" w:hAnsi="Times New Roman" w:cs="Times New Roman"/>
        </w:rPr>
        <w:t xml:space="preserve"> 2015 je premietnutá realokácia výdavkov EÚ a spolufinacovania zo štátneho rozpočtu </w:t>
      </w:r>
      <w:r w:rsidRPr="002A256B">
        <w:rPr>
          <w:rFonts w:ascii="Times New Roman" w:hAnsi="Times New Roman" w:cs="Times New Roman"/>
          <w:iCs/>
        </w:rPr>
        <w:t xml:space="preserve">v rámci operačných programov Národného strategického referenčného rámca </w:t>
      </w:r>
      <w:r w:rsidRPr="002A256B">
        <w:rPr>
          <w:rFonts w:ascii="Times New Roman" w:hAnsi="Times New Roman" w:cs="Times New Roman"/>
        </w:rPr>
        <w:t>na financovanie opatrení na zintenzívnenie podpory malých a stredných podnikov s cieľom zvýšiť rast a podporu tvorby pracovných miest, ako aj financovanie opatrení na riešenie otázky nezamestnanosti mladých ľudí.</w:t>
      </w:r>
    </w:p>
    <w:p w:rsidR="0059702E" w:rsidP="009D2A34">
      <w:pPr>
        <w:bidi w:val="0"/>
        <w:ind w:firstLine="708"/>
        <w:jc w:val="both"/>
        <w:rPr>
          <w:rFonts w:ascii="Times New Roman" w:hAnsi="Times New Roman" w:cs="Times New Roman"/>
        </w:rPr>
      </w:pPr>
    </w:p>
    <w:p w:rsidR="0059702E" w:rsidP="009D2A34">
      <w:pPr>
        <w:bidi w:val="0"/>
        <w:ind w:firstLine="708"/>
        <w:jc w:val="both"/>
        <w:rPr>
          <w:rFonts w:ascii="Times New Roman" w:hAnsi="Times New Roman" w:cs="Times New Roman"/>
        </w:rPr>
      </w:pPr>
    </w:p>
    <w:p w:rsidR="0059702E" w:rsidP="009D2A34">
      <w:pPr>
        <w:bidi w:val="0"/>
        <w:ind w:firstLine="708"/>
        <w:jc w:val="both"/>
        <w:rPr>
          <w:rFonts w:ascii="Times New Roman" w:hAnsi="Times New Roman" w:cs="Times New Roman"/>
        </w:rPr>
      </w:pPr>
    </w:p>
    <w:p w:rsidR="0059702E" w:rsidP="009D2A34">
      <w:pPr>
        <w:bidi w:val="0"/>
        <w:ind w:firstLine="708"/>
        <w:jc w:val="both"/>
        <w:rPr>
          <w:rFonts w:ascii="Times New Roman" w:hAnsi="Times New Roman" w:cs="Times New Roman"/>
        </w:rPr>
      </w:pPr>
    </w:p>
    <w:p w:rsidR="0059702E" w:rsidRPr="00810A90" w:rsidP="009D2A34">
      <w:pPr>
        <w:bidi w:val="0"/>
        <w:ind w:firstLine="708"/>
        <w:jc w:val="both"/>
        <w:rPr>
          <w:rFonts w:ascii="Times New Roman" w:hAnsi="Times New Roman" w:cs="Times New Roman"/>
        </w:rPr>
      </w:pPr>
    </w:p>
    <w:p w:rsidR="009D2A34" w:rsidRPr="002A256B" w:rsidP="009D2A34">
      <w:pPr>
        <w:bidi w:val="0"/>
        <w:jc w:val="both"/>
        <w:rPr>
          <w:rFonts w:ascii="Times New Roman" w:hAnsi="Times New Roman" w:cs="Times New Roman"/>
        </w:rPr>
      </w:pPr>
      <w:r w:rsidRPr="002A256B">
        <w:rPr>
          <w:rFonts w:ascii="Times New Roman" w:hAnsi="Times New Roman" w:cs="Times New Roman"/>
        </w:rPr>
        <w:tab/>
        <w:t xml:space="preserve">Výdavky </w:t>
      </w:r>
      <w:r>
        <w:rPr>
          <w:rFonts w:ascii="Times New Roman" w:hAnsi="Times New Roman" w:cs="Times New Roman"/>
        </w:rPr>
        <w:t>kapitoly smerujú do nasledovných oblastí.</w:t>
      </w:r>
    </w:p>
    <w:p w:rsidR="009D2A34" w:rsidP="009D2A34">
      <w:pPr>
        <w:bidi w:val="0"/>
        <w:jc w:val="both"/>
        <w:rPr>
          <w:rFonts w:ascii="Times New Roman" w:hAnsi="Times New Roman" w:cs="Times New Roman"/>
          <w:highlight w:val="yellow"/>
        </w:rPr>
      </w:pPr>
    </w:p>
    <w:tbl>
      <w:tblPr>
        <w:tblStyle w:val="TableNormal"/>
        <w:tblW w:w="9060" w:type="dxa"/>
        <w:tblInd w:w="59" w:type="dxa"/>
        <w:tblCellMar>
          <w:left w:w="70" w:type="dxa"/>
          <w:right w:w="70" w:type="dxa"/>
        </w:tblCellMar>
        <w:tblLook w:val="04A0"/>
      </w:tblPr>
      <w:tblGrid>
        <w:gridCol w:w="2125"/>
        <w:gridCol w:w="999"/>
        <w:gridCol w:w="999"/>
        <w:gridCol w:w="999"/>
        <w:gridCol w:w="941"/>
        <w:gridCol w:w="999"/>
        <w:gridCol w:w="999"/>
        <w:gridCol w:w="999"/>
      </w:tblGrid>
      <w:tr>
        <w:tblPrEx>
          <w:tblW w:w="9060" w:type="dxa"/>
          <w:tblInd w:w="59" w:type="dxa"/>
          <w:tblCellMar>
            <w:left w:w="70" w:type="dxa"/>
            <w:right w:w="70" w:type="dxa"/>
          </w:tblCellMar>
          <w:tblLook w:val="04A0"/>
        </w:tblPrEx>
        <w:trPr>
          <w:trHeight w:val="259"/>
        </w:trPr>
        <w:tc>
          <w:tcPr>
            <w:tcW w:w="212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BE2958" w:rsidP="006338E5">
            <w:pPr>
              <w:bidi w:val="0"/>
              <w:rPr>
                <w:rFonts w:ascii="Times New Roman" w:hAnsi="Times New Roman" w:cs="Times New Roman"/>
                <w:b/>
                <w:bCs/>
                <w:color w:val="000000"/>
                <w:sz w:val="14"/>
                <w:szCs w:val="14"/>
              </w:rPr>
            </w:pPr>
            <w:r w:rsidRPr="00BE2958">
              <w:rPr>
                <w:rFonts w:ascii="Times New Roman" w:hAnsi="Times New Roman" w:cs="Times New Roman"/>
                <w:color w:val="000000"/>
                <w:sz w:val="14"/>
                <w:szCs w:val="14"/>
                <w:lang w:eastAsia="sk-SK"/>
              </w:rPr>
              <w:t> </w:t>
            </w:r>
            <w:r w:rsidRPr="00BE2958">
              <w:rPr>
                <w:rFonts w:ascii="Times New Roman" w:hAnsi="Times New Roman" w:cs="Times New Roman"/>
                <w:b/>
                <w:bCs/>
                <w:color w:val="000000"/>
                <w:sz w:val="14"/>
                <w:szCs w:val="14"/>
                <w:lang w:eastAsia="sk-SK"/>
              </w:rPr>
              <w:t>v eurách</w:t>
            </w:r>
          </w:p>
        </w:tc>
        <w:tc>
          <w:tcPr>
            <w:tcW w:w="999" w:type="dxa"/>
            <w:tcBorders>
              <w:top w:val="single" w:sz="4" w:space="0" w:color="auto"/>
              <w:left w:val="nil"/>
              <w:bottom w:val="single" w:sz="4" w:space="0" w:color="auto"/>
              <w:right w:val="single" w:sz="4" w:space="0" w:color="auto"/>
            </w:tcBorders>
            <w:shd w:val="clear" w:color="auto" w:fill="A6A6A6"/>
            <w:textDirection w:val="lrTb"/>
            <w:vAlign w:val="center"/>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2010</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9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2011</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9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R</w:t>
            </w:r>
          </w:p>
        </w:tc>
        <w:tc>
          <w:tcPr>
            <w:tcW w:w="941" w:type="dxa"/>
            <w:tcBorders>
              <w:top w:val="single" w:sz="4" w:space="0" w:color="auto"/>
              <w:left w:val="nil"/>
              <w:bottom w:val="single" w:sz="4" w:space="0" w:color="auto"/>
              <w:right w:val="single" w:sz="4" w:space="0" w:color="auto"/>
            </w:tcBorders>
            <w:shd w:val="clear" w:color="auto" w:fill="A6A6A6"/>
            <w:textDirection w:val="lrTb"/>
            <w:vAlign w:val="center"/>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OS</w:t>
            </w:r>
          </w:p>
        </w:tc>
        <w:tc>
          <w:tcPr>
            <w:tcW w:w="99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2013 N</w:t>
            </w:r>
          </w:p>
        </w:tc>
        <w:tc>
          <w:tcPr>
            <w:tcW w:w="99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2014 N</w:t>
            </w:r>
          </w:p>
        </w:tc>
        <w:tc>
          <w:tcPr>
            <w:tcW w:w="99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2015 N</w:t>
            </w:r>
          </w:p>
        </w:tc>
      </w:tr>
      <w:tr>
        <w:tblPrEx>
          <w:tblW w:w="9060" w:type="dxa"/>
          <w:tblInd w:w="59" w:type="dxa"/>
          <w:tblCellMar>
            <w:left w:w="70" w:type="dxa"/>
            <w:right w:w="70" w:type="dxa"/>
          </w:tblCellMar>
          <w:tblLook w:val="04A0"/>
        </w:tblPrEx>
        <w:trPr>
          <w:trHeight w:val="259"/>
        </w:trPr>
        <w:tc>
          <w:tcPr>
            <w:tcW w:w="212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BE2958" w:rsidP="006338E5">
            <w:pPr>
              <w:bidi w:val="0"/>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Zdroje príslušnej kapitoly</w:t>
            </w:r>
          </w:p>
        </w:tc>
        <w:tc>
          <w:tcPr>
            <w:tcW w:w="999" w:type="dxa"/>
            <w:tcBorders>
              <w:top w:val="single" w:sz="4" w:space="0" w:color="auto"/>
              <w:left w:val="nil"/>
              <w:bottom w:val="single" w:sz="4" w:space="0" w:color="auto"/>
              <w:right w:val="single" w:sz="4" w:space="0" w:color="auto"/>
            </w:tcBorders>
            <w:shd w:val="clear" w:color="auto" w:fill="BFBFBF"/>
            <w:textDirection w:val="lrTb"/>
            <w:vAlign w:val="center"/>
          </w:tcPr>
          <w:p w:rsidR="009D2A34" w:rsidRPr="00BE2958" w:rsidP="006338E5">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286 584 648</w:t>
            </w:r>
          </w:p>
        </w:tc>
        <w:tc>
          <w:tcPr>
            <w:tcW w:w="999"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BE2958" w:rsidP="006338E5">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284 699 574</w:t>
            </w:r>
          </w:p>
        </w:tc>
        <w:tc>
          <w:tcPr>
            <w:tcW w:w="999"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BE2958" w:rsidP="006338E5">
            <w:pPr>
              <w:bidi w:val="0"/>
              <w:jc w:val="right"/>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214 503 979</w:t>
            </w:r>
          </w:p>
        </w:tc>
        <w:tc>
          <w:tcPr>
            <w:tcW w:w="941" w:type="dxa"/>
            <w:tcBorders>
              <w:top w:val="single" w:sz="4" w:space="0" w:color="auto"/>
              <w:left w:val="nil"/>
              <w:bottom w:val="single" w:sz="4" w:space="0" w:color="auto"/>
              <w:right w:val="single" w:sz="4" w:space="0" w:color="auto"/>
            </w:tcBorders>
            <w:shd w:val="clear" w:color="auto" w:fill="BFBFBF"/>
            <w:textDirection w:val="lrTb"/>
            <w:vAlign w:val="center"/>
          </w:tcPr>
          <w:p w:rsidR="009D2A34" w:rsidRPr="00735E67" w:rsidP="006338E5">
            <w:pPr>
              <w:bidi w:val="0"/>
              <w:jc w:val="right"/>
              <w:rPr>
                <w:rFonts w:ascii="Times New Roman" w:hAnsi="Times New Roman" w:cs="Times New Roman"/>
                <w:b/>
                <w:color w:val="000000"/>
                <w:sz w:val="14"/>
                <w:szCs w:val="14"/>
              </w:rPr>
            </w:pPr>
            <w:r>
              <w:rPr>
                <w:rFonts w:ascii="Times New Roman" w:hAnsi="Times New Roman" w:cs="Times New Roman"/>
                <w:b/>
                <w:color w:val="000000"/>
                <w:sz w:val="14"/>
                <w:szCs w:val="14"/>
              </w:rPr>
              <w:t>248 204 115</w:t>
            </w:r>
          </w:p>
        </w:tc>
        <w:tc>
          <w:tcPr>
            <w:tcW w:w="99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7B26AA" w:rsidP="006338E5">
            <w:pPr>
              <w:bidi w:val="0"/>
              <w:jc w:val="right"/>
              <w:rPr>
                <w:rFonts w:ascii="Times New Roman" w:hAnsi="Times New Roman" w:cs="Times New Roman"/>
                <w:b/>
                <w:bCs/>
                <w:color w:val="000000"/>
                <w:sz w:val="14"/>
                <w:szCs w:val="14"/>
              </w:rPr>
            </w:pPr>
            <w:r w:rsidRPr="007B26AA">
              <w:rPr>
                <w:rFonts w:ascii="Times New Roman" w:hAnsi="Times New Roman" w:cs="Times New Roman"/>
                <w:b/>
                <w:bCs/>
                <w:color w:val="000000"/>
                <w:sz w:val="14"/>
                <w:szCs w:val="14"/>
              </w:rPr>
              <w:t>301 956 939</w:t>
            </w:r>
          </w:p>
        </w:tc>
        <w:tc>
          <w:tcPr>
            <w:tcW w:w="999"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7B26AA" w:rsidP="006338E5">
            <w:pPr>
              <w:bidi w:val="0"/>
              <w:jc w:val="right"/>
              <w:rPr>
                <w:rFonts w:ascii="Times New Roman" w:hAnsi="Times New Roman" w:cs="Times New Roman"/>
                <w:b/>
                <w:bCs/>
                <w:color w:val="000000"/>
                <w:sz w:val="14"/>
                <w:szCs w:val="14"/>
              </w:rPr>
            </w:pPr>
            <w:r w:rsidRPr="007B26AA">
              <w:rPr>
                <w:rFonts w:ascii="Times New Roman" w:hAnsi="Times New Roman" w:cs="Times New Roman"/>
                <w:b/>
                <w:bCs/>
                <w:color w:val="000000"/>
                <w:sz w:val="14"/>
                <w:szCs w:val="14"/>
              </w:rPr>
              <w:t>397 776 976</w:t>
            </w:r>
          </w:p>
        </w:tc>
        <w:tc>
          <w:tcPr>
            <w:tcW w:w="999"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7B26AA" w:rsidP="006338E5">
            <w:pPr>
              <w:bidi w:val="0"/>
              <w:jc w:val="right"/>
              <w:rPr>
                <w:rFonts w:ascii="Times New Roman" w:hAnsi="Times New Roman" w:cs="Times New Roman"/>
                <w:b/>
                <w:bCs/>
                <w:color w:val="000000"/>
                <w:sz w:val="14"/>
                <w:szCs w:val="14"/>
              </w:rPr>
            </w:pPr>
            <w:r w:rsidRPr="007B26AA">
              <w:rPr>
                <w:rFonts w:ascii="Times New Roman" w:hAnsi="Times New Roman" w:cs="Times New Roman"/>
                <w:b/>
                <w:bCs/>
                <w:color w:val="000000"/>
                <w:sz w:val="14"/>
                <w:szCs w:val="14"/>
              </w:rPr>
              <w:t>209 822 270</w:t>
            </w:r>
          </w:p>
        </w:tc>
      </w:tr>
      <w:tr>
        <w:tblPrEx>
          <w:tblW w:w="9060" w:type="dxa"/>
          <w:tblInd w:w="59" w:type="dxa"/>
          <w:tblCellMar>
            <w:left w:w="70" w:type="dxa"/>
            <w:right w:w="70" w:type="dxa"/>
          </w:tblCellMar>
          <w:tblLook w:val="04A0"/>
        </w:tblPrEx>
        <w:trPr>
          <w:trHeight w:val="259"/>
        </w:trPr>
        <w:tc>
          <w:tcPr>
            <w:tcW w:w="212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Reštrukt. priem. odvetví</w:t>
            </w:r>
          </w:p>
        </w:tc>
        <w:tc>
          <w:tcPr>
            <w:tcW w:w="999" w:type="dxa"/>
            <w:tcBorders>
              <w:top w:val="single" w:sz="4" w:space="0" w:color="auto"/>
              <w:left w:val="nil"/>
              <w:bottom w:val="single" w:sz="4" w:space="0" w:color="auto"/>
              <w:right w:val="single" w:sz="4" w:space="0" w:color="auto"/>
            </w:tcBorders>
            <w:textDirection w:val="lrTb"/>
            <w:vAlign w:val="center"/>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10 813 292</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5 880 350</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2 915 039</w:t>
            </w:r>
          </w:p>
        </w:tc>
        <w:tc>
          <w:tcPr>
            <w:tcW w:w="941" w:type="dxa"/>
            <w:tcBorders>
              <w:top w:val="single" w:sz="4" w:space="0" w:color="auto"/>
              <w:left w:val="nil"/>
              <w:bottom w:val="single" w:sz="4" w:space="0" w:color="auto"/>
              <w:right w:val="single" w:sz="4" w:space="0" w:color="auto"/>
            </w:tcBorders>
            <w:textDirection w:val="lrTb"/>
            <w:vAlign w:val="center"/>
          </w:tcPr>
          <w:p w:rsidR="009D2A34" w:rsidRPr="00735E67" w:rsidP="006338E5">
            <w:pPr>
              <w:bidi w:val="0"/>
              <w:jc w:val="right"/>
              <w:rPr>
                <w:rFonts w:ascii="Times New Roman" w:hAnsi="Times New Roman" w:cs="Times New Roman"/>
                <w:color w:val="000000"/>
                <w:sz w:val="14"/>
                <w:szCs w:val="14"/>
              </w:rPr>
            </w:pPr>
            <w:r w:rsidRPr="00735E67">
              <w:rPr>
                <w:rFonts w:ascii="Times New Roman" w:hAnsi="Times New Roman" w:cs="Times New Roman"/>
                <w:color w:val="000000"/>
                <w:sz w:val="14"/>
                <w:szCs w:val="14"/>
              </w:rPr>
              <w:t>3 668 123</w:t>
            </w:r>
          </w:p>
        </w:tc>
        <w:tc>
          <w:tcPr>
            <w:tcW w:w="99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60 991 333</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76 029 939</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79 409 650</w:t>
            </w:r>
          </w:p>
        </w:tc>
      </w:tr>
      <w:tr>
        <w:tblPrEx>
          <w:tblW w:w="9060" w:type="dxa"/>
          <w:tblInd w:w="59" w:type="dxa"/>
          <w:tblCellMar>
            <w:left w:w="70" w:type="dxa"/>
            <w:right w:w="70" w:type="dxa"/>
          </w:tblCellMar>
          <w:tblLook w:val="04A0"/>
        </w:tblPrEx>
        <w:trPr>
          <w:trHeight w:val="259"/>
        </w:trPr>
        <w:tc>
          <w:tcPr>
            <w:tcW w:w="212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Podpora podnikania</w:t>
            </w:r>
          </w:p>
        </w:tc>
        <w:tc>
          <w:tcPr>
            <w:tcW w:w="999" w:type="dxa"/>
            <w:tcBorders>
              <w:top w:val="single" w:sz="4" w:space="0" w:color="auto"/>
              <w:left w:val="nil"/>
              <w:bottom w:val="single" w:sz="4" w:space="0" w:color="auto"/>
              <w:right w:val="single" w:sz="4" w:space="0" w:color="auto"/>
            </w:tcBorders>
            <w:textDirection w:val="lrTb"/>
            <w:vAlign w:val="center"/>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15 000 553</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13 069 756</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20 252 446</w:t>
            </w:r>
          </w:p>
        </w:tc>
        <w:tc>
          <w:tcPr>
            <w:tcW w:w="941" w:type="dxa"/>
            <w:tcBorders>
              <w:top w:val="single" w:sz="4" w:space="0" w:color="auto"/>
              <w:left w:val="nil"/>
              <w:bottom w:val="single" w:sz="4" w:space="0" w:color="auto"/>
              <w:right w:val="single" w:sz="4" w:space="0" w:color="auto"/>
            </w:tcBorders>
            <w:textDirection w:val="lrTb"/>
            <w:vAlign w:val="center"/>
          </w:tcPr>
          <w:p w:rsidR="009D2A34" w:rsidRPr="00735E67" w:rsidP="006338E5">
            <w:pPr>
              <w:bidi w:val="0"/>
              <w:jc w:val="right"/>
              <w:rPr>
                <w:rFonts w:ascii="Times New Roman" w:hAnsi="Times New Roman" w:cs="Times New Roman"/>
                <w:color w:val="000000"/>
                <w:sz w:val="14"/>
                <w:szCs w:val="14"/>
              </w:rPr>
            </w:pPr>
            <w:r w:rsidRPr="00735E67">
              <w:rPr>
                <w:rFonts w:ascii="Times New Roman" w:hAnsi="Times New Roman" w:cs="Times New Roman"/>
                <w:color w:val="000000"/>
                <w:sz w:val="14"/>
                <w:szCs w:val="14"/>
              </w:rPr>
              <w:t>20 272 446</w:t>
            </w:r>
          </w:p>
        </w:tc>
        <w:tc>
          <w:tcPr>
            <w:tcW w:w="99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29 004 724</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8 750 319</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846 395</w:t>
            </w:r>
          </w:p>
        </w:tc>
      </w:tr>
      <w:tr>
        <w:tblPrEx>
          <w:tblW w:w="9060" w:type="dxa"/>
          <w:tblInd w:w="59" w:type="dxa"/>
          <w:tblCellMar>
            <w:left w:w="70" w:type="dxa"/>
            <w:right w:w="70" w:type="dxa"/>
          </w:tblCellMar>
          <w:tblLook w:val="04A0"/>
        </w:tblPrEx>
        <w:trPr>
          <w:trHeight w:val="259"/>
        </w:trPr>
        <w:tc>
          <w:tcPr>
            <w:tcW w:w="212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Invest. stimuly, reg. rozvoj</w:t>
            </w:r>
          </w:p>
        </w:tc>
        <w:tc>
          <w:tcPr>
            <w:tcW w:w="999" w:type="dxa"/>
            <w:tcBorders>
              <w:top w:val="single" w:sz="4" w:space="0" w:color="auto"/>
              <w:left w:val="nil"/>
              <w:bottom w:val="single" w:sz="4" w:space="0" w:color="auto"/>
              <w:right w:val="single" w:sz="4" w:space="0" w:color="auto"/>
            </w:tcBorders>
            <w:textDirection w:val="lrTb"/>
            <w:vAlign w:val="center"/>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94 715 818</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60 961 287</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34 281 205</w:t>
            </w:r>
          </w:p>
        </w:tc>
        <w:tc>
          <w:tcPr>
            <w:tcW w:w="941" w:type="dxa"/>
            <w:tcBorders>
              <w:top w:val="single" w:sz="4" w:space="0" w:color="auto"/>
              <w:left w:val="nil"/>
              <w:bottom w:val="single" w:sz="4" w:space="0" w:color="auto"/>
              <w:right w:val="single" w:sz="4" w:space="0" w:color="auto"/>
            </w:tcBorders>
            <w:textDirection w:val="lrTb"/>
            <w:vAlign w:val="center"/>
          </w:tcPr>
          <w:p w:rsidR="009D2A34" w:rsidRPr="00735E67" w:rsidP="006338E5">
            <w:pPr>
              <w:bidi w:val="0"/>
              <w:jc w:val="right"/>
              <w:rPr>
                <w:rFonts w:ascii="Times New Roman" w:hAnsi="Times New Roman" w:cs="Times New Roman"/>
                <w:color w:val="000000"/>
                <w:sz w:val="14"/>
                <w:szCs w:val="14"/>
              </w:rPr>
            </w:pPr>
            <w:r w:rsidRPr="00735E67">
              <w:rPr>
                <w:rFonts w:ascii="Times New Roman" w:hAnsi="Times New Roman" w:cs="Times New Roman"/>
                <w:color w:val="000000"/>
                <w:sz w:val="14"/>
                <w:szCs w:val="14"/>
              </w:rPr>
              <w:t>68 654 507</w:t>
            </w:r>
          </w:p>
        </w:tc>
        <w:tc>
          <w:tcPr>
            <w:tcW w:w="99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12 403 001</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9 686 410</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2 251 699</w:t>
            </w:r>
          </w:p>
        </w:tc>
      </w:tr>
      <w:tr>
        <w:tblPrEx>
          <w:tblW w:w="9060" w:type="dxa"/>
          <w:tblInd w:w="59" w:type="dxa"/>
          <w:tblCellMar>
            <w:left w:w="70" w:type="dxa"/>
            <w:right w:w="70" w:type="dxa"/>
          </w:tblCellMar>
          <w:tblLook w:val="04A0"/>
        </w:tblPrEx>
        <w:trPr>
          <w:trHeight w:val="259"/>
        </w:trPr>
        <w:tc>
          <w:tcPr>
            <w:tcW w:w="212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Inovácie</w:t>
            </w:r>
          </w:p>
        </w:tc>
        <w:tc>
          <w:tcPr>
            <w:tcW w:w="999" w:type="dxa"/>
            <w:tcBorders>
              <w:top w:val="single" w:sz="4" w:space="0" w:color="auto"/>
              <w:left w:val="nil"/>
              <w:bottom w:val="single" w:sz="4" w:space="0" w:color="auto"/>
              <w:right w:val="single" w:sz="4" w:space="0" w:color="auto"/>
            </w:tcBorders>
            <w:textDirection w:val="lrTb"/>
            <w:vAlign w:val="center"/>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31 822 235</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91 890 806</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70 771 242</w:t>
            </w:r>
          </w:p>
        </w:tc>
        <w:tc>
          <w:tcPr>
            <w:tcW w:w="941" w:type="dxa"/>
            <w:tcBorders>
              <w:top w:val="single" w:sz="4" w:space="0" w:color="auto"/>
              <w:left w:val="nil"/>
              <w:bottom w:val="single" w:sz="4" w:space="0" w:color="auto"/>
              <w:right w:val="single" w:sz="4" w:space="0" w:color="auto"/>
            </w:tcBorders>
            <w:textDirection w:val="lrTb"/>
            <w:vAlign w:val="center"/>
          </w:tcPr>
          <w:p w:rsidR="009D2A34" w:rsidRPr="00735E67" w:rsidP="006338E5">
            <w:pPr>
              <w:bidi w:val="0"/>
              <w:jc w:val="right"/>
              <w:rPr>
                <w:rFonts w:ascii="Times New Roman" w:hAnsi="Times New Roman" w:cs="Times New Roman"/>
                <w:color w:val="000000"/>
                <w:sz w:val="14"/>
                <w:szCs w:val="14"/>
              </w:rPr>
            </w:pPr>
            <w:r w:rsidRPr="00735E67">
              <w:rPr>
                <w:rFonts w:ascii="Times New Roman" w:hAnsi="Times New Roman" w:cs="Times New Roman"/>
                <w:color w:val="000000"/>
                <w:sz w:val="14"/>
                <w:szCs w:val="14"/>
              </w:rPr>
              <w:t>70 829 465</w:t>
            </w:r>
          </w:p>
        </w:tc>
        <w:tc>
          <w:tcPr>
            <w:tcW w:w="99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85 980 163</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201 663 022</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61 708 235</w:t>
            </w:r>
          </w:p>
        </w:tc>
      </w:tr>
      <w:tr>
        <w:tblPrEx>
          <w:tblW w:w="9060" w:type="dxa"/>
          <w:tblInd w:w="59" w:type="dxa"/>
          <w:tblCellMar>
            <w:left w:w="70" w:type="dxa"/>
            <w:right w:w="70" w:type="dxa"/>
          </w:tblCellMar>
          <w:tblLook w:val="04A0"/>
        </w:tblPrEx>
        <w:trPr>
          <w:trHeight w:val="259"/>
        </w:trPr>
        <w:tc>
          <w:tcPr>
            <w:tcW w:w="212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Energetika</w:t>
            </w:r>
          </w:p>
        </w:tc>
        <w:tc>
          <w:tcPr>
            <w:tcW w:w="999" w:type="dxa"/>
            <w:tcBorders>
              <w:top w:val="single" w:sz="4" w:space="0" w:color="auto"/>
              <w:left w:val="nil"/>
              <w:bottom w:val="single" w:sz="4" w:space="0" w:color="auto"/>
              <w:right w:val="single" w:sz="4" w:space="0" w:color="auto"/>
            </w:tcBorders>
            <w:textDirection w:val="lrTb"/>
            <w:vAlign w:val="center"/>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23 814 949</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34 554 416</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32 037 318</w:t>
            </w:r>
          </w:p>
        </w:tc>
        <w:tc>
          <w:tcPr>
            <w:tcW w:w="941" w:type="dxa"/>
            <w:tcBorders>
              <w:top w:val="single" w:sz="4" w:space="0" w:color="auto"/>
              <w:left w:val="nil"/>
              <w:bottom w:val="single" w:sz="4" w:space="0" w:color="auto"/>
              <w:right w:val="single" w:sz="4" w:space="0" w:color="auto"/>
            </w:tcBorders>
            <w:textDirection w:val="lrTb"/>
            <w:vAlign w:val="center"/>
          </w:tcPr>
          <w:p w:rsidR="009D2A34" w:rsidRPr="00735E67" w:rsidP="006338E5">
            <w:pPr>
              <w:bidi w:val="0"/>
              <w:jc w:val="right"/>
              <w:rPr>
                <w:rFonts w:ascii="Times New Roman" w:hAnsi="Times New Roman" w:cs="Times New Roman"/>
                <w:color w:val="000000"/>
                <w:sz w:val="14"/>
                <w:szCs w:val="14"/>
              </w:rPr>
            </w:pPr>
            <w:r w:rsidRPr="00735E67">
              <w:rPr>
                <w:rFonts w:ascii="Times New Roman" w:hAnsi="Times New Roman" w:cs="Times New Roman"/>
                <w:color w:val="000000"/>
                <w:sz w:val="14"/>
                <w:szCs w:val="14"/>
              </w:rPr>
              <w:t>31 911 983</w:t>
            </w:r>
          </w:p>
        </w:tc>
        <w:tc>
          <w:tcPr>
            <w:tcW w:w="99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54 416 747</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21 835 503</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7 998 450</w:t>
            </w:r>
          </w:p>
        </w:tc>
      </w:tr>
      <w:tr>
        <w:tblPrEx>
          <w:tblW w:w="9060" w:type="dxa"/>
          <w:tblInd w:w="59" w:type="dxa"/>
          <w:tblCellMar>
            <w:left w:w="70" w:type="dxa"/>
            <w:right w:w="70" w:type="dxa"/>
          </w:tblCellMar>
          <w:tblLook w:val="04A0"/>
        </w:tblPrEx>
        <w:trPr>
          <w:trHeight w:val="259"/>
        </w:trPr>
        <w:tc>
          <w:tcPr>
            <w:tcW w:w="212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Cestovný ruch</w:t>
            </w:r>
          </w:p>
        </w:tc>
        <w:tc>
          <w:tcPr>
            <w:tcW w:w="999" w:type="dxa"/>
            <w:tcBorders>
              <w:top w:val="single" w:sz="4" w:space="0" w:color="auto"/>
              <w:left w:val="nil"/>
              <w:bottom w:val="single" w:sz="4" w:space="0" w:color="auto"/>
              <w:right w:val="single" w:sz="4" w:space="0" w:color="auto"/>
            </w:tcBorders>
            <w:textDirection w:val="lrTb"/>
            <w:vAlign w:val="center"/>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37 148 920</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43 410 448</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19 528 012</w:t>
            </w:r>
          </w:p>
        </w:tc>
        <w:tc>
          <w:tcPr>
            <w:tcW w:w="941" w:type="dxa"/>
            <w:tcBorders>
              <w:top w:val="single" w:sz="4" w:space="0" w:color="auto"/>
              <w:left w:val="nil"/>
              <w:bottom w:val="single" w:sz="4" w:space="0" w:color="auto"/>
              <w:right w:val="single" w:sz="4" w:space="0" w:color="auto"/>
            </w:tcBorders>
            <w:textDirection w:val="lrTb"/>
            <w:vAlign w:val="center"/>
          </w:tcPr>
          <w:p w:rsidR="009D2A34" w:rsidRPr="00735E67" w:rsidP="006338E5">
            <w:pPr>
              <w:bidi w:val="0"/>
              <w:jc w:val="right"/>
              <w:rPr>
                <w:rFonts w:ascii="Times New Roman" w:hAnsi="Times New Roman" w:cs="Times New Roman"/>
                <w:color w:val="000000"/>
                <w:sz w:val="14"/>
                <w:szCs w:val="14"/>
              </w:rPr>
            </w:pPr>
            <w:r w:rsidRPr="00735E67">
              <w:rPr>
                <w:rFonts w:ascii="Times New Roman" w:hAnsi="Times New Roman" w:cs="Times New Roman"/>
                <w:color w:val="000000"/>
                <w:sz w:val="14"/>
                <w:szCs w:val="14"/>
              </w:rPr>
              <w:t>19 625 124</w:t>
            </w:r>
          </w:p>
        </w:tc>
        <w:tc>
          <w:tcPr>
            <w:tcW w:w="999"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21 899 204</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49 440 211</w:t>
            </w:r>
          </w:p>
        </w:tc>
        <w:tc>
          <w:tcPr>
            <w:tcW w:w="999" w:type="dxa"/>
            <w:tcBorders>
              <w:top w:val="single" w:sz="4" w:space="0" w:color="auto"/>
              <w:left w:val="nil"/>
              <w:bottom w:val="single" w:sz="4" w:space="0" w:color="auto"/>
              <w:right w:val="single" w:sz="4" w:space="0" w:color="auto"/>
            </w:tcBorders>
            <w:noWrap/>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27 095 855</w:t>
            </w:r>
          </w:p>
        </w:tc>
      </w:tr>
      <w:tr>
        <w:tblPrEx>
          <w:tblW w:w="9060" w:type="dxa"/>
          <w:tblInd w:w="59" w:type="dxa"/>
          <w:tblCellMar>
            <w:left w:w="70" w:type="dxa"/>
            <w:right w:w="70" w:type="dxa"/>
          </w:tblCellMar>
          <w:tblLook w:val="04A0"/>
        </w:tblPrEx>
        <w:trPr>
          <w:trHeight w:val="259"/>
        </w:trPr>
        <w:tc>
          <w:tcPr>
            <w:tcW w:w="212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Administratíva</w:t>
            </w:r>
          </w:p>
        </w:tc>
        <w:tc>
          <w:tcPr>
            <w:tcW w:w="999" w:type="dxa"/>
            <w:tcBorders>
              <w:top w:val="single" w:sz="4" w:space="0" w:color="auto"/>
              <w:left w:val="nil"/>
              <w:bottom w:val="single" w:sz="4" w:space="0" w:color="auto"/>
              <w:right w:val="single" w:sz="4" w:space="0" w:color="auto"/>
            </w:tcBorders>
            <w:textDirection w:val="lrTb"/>
            <w:vAlign w:val="center"/>
          </w:tcPr>
          <w:p w:rsidR="009D2A34" w:rsidRPr="00FC0DCF" w:rsidP="006338E5">
            <w:pPr>
              <w:bidi w:val="0"/>
              <w:jc w:val="right"/>
              <w:rPr>
                <w:rFonts w:ascii="Times New Roman" w:hAnsi="Times New Roman" w:cs="Times New Roman"/>
                <w:bCs/>
                <w:sz w:val="14"/>
                <w:szCs w:val="14"/>
              </w:rPr>
            </w:pPr>
            <w:r w:rsidRPr="00FC0DCF">
              <w:rPr>
                <w:rFonts w:ascii="Times New Roman" w:hAnsi="Times New Roman" w:cs="Times New Roman"/>
                <w:bCs/>
                <w:sz w:val="14"/>
                <w:szCs w:val="14"/>
              </w:rPr>
              <w:t>46 992 377</w:t>
            </w:r>
          </w:p>
        </w:tc>
        <w:tc>
          <w:tcPr>
            <w:tcW w:w="999" w:type="dxa"/>
            <w:tcBorders>
              <w:top w:val="single" w:sz="4" w:space="0" w:color="auto"/>
              <w:left w:val="nil"/>
              <w:bottom w:val="single" w:sz="4" w:space="0" w:color="auto"/>
              <w:right w:val="single" w:sz="4" w:space="0" w:color="auto"/>
            </w:tcBorders>
            <w:textDirection w:val="lrTb"/>
            <w:vAlign w:val="center"/>
            <w:hideMark/>
          </w:tcPr>
          <w:p w:rsidR="009D2A34" w:rsidRPr="00FC0DCF" w:rsidP="006338E5">
            <w:pPr>
              <w:bidi w:val="0"/>
              <w:jc w:val="right"/>
              <w:rPr>
                <w:rFonts w:ascii="Times New Roman" w:hAnsi="Times New Roman" w:cs="Times New Roman"/>
                <w:bCs/>
                <w:sz w:val="14"/>
                <w:szCs w:val="14"/>
              </w:rPr>
            </w:pPr>
            <w:r w:rsidRPr="00FC0DCF">
              <w:rPr>
                <w:rFonts w:ascii="Times New Roman" w:hAnsi="Times New Roman" w:cs="Times New Roman"/>
                <w:bCs/>
                <w:sz w:val="14"/>
                <w:szCs w:val="14"/>
              </w:rPr>
              <w:t>34 932 510</w:t>
            </w:r>
          </w:p>
        </w:tc>
        <w:tc>
          <w:tcPr>
            <w:tcW w:w="999" w:type="dxa"/>
            <w:tcBorders>
              <w:top w:val="single" w:sz="4" w:space="0" w:color="auto"/>
              <w:left w:val="nil"/>
              <w:bottom w:val="single" w:sz="4" w:space="0" w:color="auto"/>
              <w:right w:val="single" w:sz="4" w:space="0" w:color="auto"/>
            </w:tcBorders>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34 718 717</w:t>
            </w:r>
          </w:p>
        </w:tc>
        <w:tc>
          <w:tcPr>
            <w:tcW w:w="941" w:type="dxa"/>
            <w:tcBorders>
              <w:top w:val="single" w:sz="4" w:space="0" w:color="auto"/>
              <w:left w:val="nil"/>
              <w:bottom w:val="single" w:sz="4" w:space="0" w:color="auto"/>
              <w:right w:val="single" w:sz="4" w:space="0" w:color="auto"/>
            </w:tcBorders>
            <w:textDirection w:val="lrTb"/>
            <w:vAlign w:val="center"/>
          </w:tcPr>
          <w:p w:rsidR="009D2A34" w:rsidRPr="00FC0DCF" w:rsidP="006338E5">
            <w:pPr>
              <w:bidi w:val="0"/>
              <w:jc w:val="right"/>
              <w:rPr>
                <w:rFonts w:ascii="Arial" w:hAnsi="Arial" w:cs="Arial"/>
                <w:bCs/>
                <w:sz w:val="14"/>
                <w:szCs w:val="14"/>
              </w:rPr>
            </w:pPr>
            <w:r w:rsidRPr="00FC0DCF">
              <w:rPr>
                <w:rFonts w:ascii="Arial" w:hAnsi="Arial" w:cs="Arial"/>
                <w:bCs/>
                <w:sz w:val="14"/>
                <w:szCs w:val="14"/>
              </w:rPr>
              <w:t>33 242 467</w:t>
            </w:r>
          </w:p>
        </w:tc>
        <w:tc>
          <w:tcPr>
            <w:tcW w:w="999"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37 261 767</w:t>
            </w:r>
          </w:p>
        </w:tc>
        <w:tc>
          <w:tcPr>
            <w:tcW w:w="999" w:type="dxa"/>
            <w:tcBorders>
              <w:top w:val="single" w:sz="4" w:space="0" w:color="auto"/>
              <w:left w:val="nil"/>
              <w:bottom w:val="single" w:sz="4" w:space="0" w:color="auto"/>
              <w:right w:val="single" w:sz="4" w:space="0" w:color="auto"/>
            </w:tcBorders>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30 371 572</w:t>
            </w:r>
          </w:p>
        </w:tc>
        <w:tc>
          <w:tcPr>
            <w:tcW w:w="999" w:type="dxa"/>
            <w:tcBorders>
              <w:top w:val="single" w:sz="4" w:space="0" w:color="auto"/>
              <w:left w:val="nil"/>
              <w:bottom w:val="single" w:sz="4" w:space="0" w:color="auto"/>
              <w:right w:val="single" w:sz="4" w:space="0" w:color="auto"/>
            </w:tcBorders>
            <w:textDirection w:val="lrTb"/>
            <w:vAlign w:val="center"/>
            <w:hideMark/>
          </w:tcPr>
          <w:p w:rsidR="009D2A34" w:rsidRPr="007B26AA" w:rsidP="006338E5">
            <w:pPr>
              <w:bidi w:val="0"/>
              <w:jc w:val="right"/>
              <w:rPr>
                <w:rFonts w:ascii="Times New Roman" w:hAnsi="Times New Roman" w:cs="Times New Roman"/>
                <w:color w:val="000000"/>
                <w:sz w:val="14"/>
                <w:szCs w:val="14"/>
              </w:rPr>
            </w:pPr>
            <w:r w:rsidRPr="007B26AA">
              <w:rPr>
                <w:rFonts w:ascii="Times New Roman" w:hAnsi="Times New Roman" w:cs="Times New Roman"/>
                <w:color w:val="000000"/>
                <w:sz w:val="14"/>
                <w:szCs w:val="14"/>
              </w:rPr>
              <w:t>30 511 986</w:t>
            </w:r>
          </w:p>
        </w:tc>
      </w:tr>
    </w:tbl>
    <w:p w:rsidR="009D2A34" w:rsidRPr="00CD37C6" w:rsidP="009D2A34">
      <w:pPr>
        <w:bidi w:val="0"/>
        <w:jc w:val="both"/>
        <w:rPr>
          <w:rFonts w:ascii="Times New Roman" w:hAnsi="Times New Roman" w:cs="Times New Roman"/>
          <w:highlight w:val="yellow"/>
        </w:rPr>
      </w:pPr>
    </w:p>
    <w:p w:rsidR="009D2A34" w:rsidRPr="00ED1739" w:rsidP="009D2A34">
      <w:pPr>
        <w:bidi w:val="0"/>
        <w:jc w:val="both"/>
        <w:rPr>
          <w:rFonts w:ascii="Times New Roman" w:hAnsi="Times New Roman" w:cs="Times New Roman"/>
          <w:b/>
        </w:rPr>
      </w:pPr>
      <w:r w:rsidRPr="00ED1739">
        <w:rPr>
          <w:rFonts w:ascii="Times New Roman" w:hAnsi="Times New Roman" w:cs="Times New Roman"/>
          <w:b/>
        </w:rPr>
        <w:t>Reštrukturalizácia priemyselných odvetví</w:t>
      </w:r>
    </w:p>
    <w:p w:rsidR="009D2A34" w:rsidRPr="00CD37C6" w:rsidP="009D2A34">
      <w:pPr>
        <w:bidi w:val="0"/>
        <w:jc w:val="both"/>
        <w:rPr>
          <w:rFonts w:ascii="Times New Roman" w:hAnsi="Times New Roman" w:cs="Times New Roman"/>
          <w:b/>
          <w:highlight w:val="yellow"/>
        </w:rPr>
      </w:pPr>
    </w:p>
    <w:tbl>
      <w:tblPr>
        <w:tblStyle w:val="TableNormal"/>
        <w:tblW w:w="9152" w:type="dxa"/>
        <w:tblInd w:w="60" w:type="dxa"/>
        <w:tblCellMar>
          <w:left w:w="70" w:type="dxa"/>
          <w:right w:w="70" w:type="dxa"/>
        </w:tblCellMar>
        <w:tblLook w:val="04A0"/>
      </w:tblPr>
      <w:tblGrid>
        <w:gridCol w:w="2301"/>
        <w:gridCol w:w="978"/>
        <w:gridCol w:w="978"/>
        <w:gridCol w:w="979"/>
        <w:gridCol w:w="979"/>
        <w:gridCol w:w="979"/>
        <w:gridCol w:w="979"/>
        <w:gridCol w:w="979"/>
      </w:tblGrid>
      <w:tr>
        <w:tblPrEx>
          <w:tblW w:w="9152" w:type="dxa"/>
          <w:tblInd w:w="60" w:type="dxa"/>
          <w:tblCellMar>
            <w:left w:w="70" w:type="dxa"/>
            <w:right w:w="70" w:type="dxa"/>
          </w:tblCellMar>
          <w:tblLook w:val="04A0"/>
        </w:tblPrEx>
        <w:trPr>
          <w:trHeight w:val="255"/>
        </w:trPr>
        <w:tc>
          <w:tcPr>
            <w:tcW w:w="23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BE2958" w:rsidP="006338E5">
            <w:pPr>
              <w:bidi w:val="0"/>
              <w:rPr>
                <w:rFonts w:ascii="Times New Roman" w:hAnsi="Times New Roman" w:cs="Times New Roman"/>
                <w:b/>
                <w:bCs/>
                <w:color w:val="000000"/>
                <w:sz w:val="14"/>
                <w:szCs w:val="14"/>
              </w:rPr>
            </w:pPr>
            <w:r w:rsidRPr="00BE2958">
              <w:rPr>
                <w:rFonts w:ascii="Times New Roman" w:hAnsi="Times New Roman" w:cs="Times New Roman"/>
                <w:color w:val="000000"/>
                <w:sz w:val="14"/>
                <w:szCs w:val="14"/>
                <w:lang w:eastAsia="sk-SK"/>
              </w:rPr>
              <w:t> </w:t>
            </w:r>
            <w:r w:rsidRPr="00BE2958">
              <w:rPr>
                <w:rFonts w:ascii="Times New Roman" w:hAnsi="Times New Roman" w:cs="Times New Roman"/>
                <w:b/>
                <w:bCs/>
                <w:color w:val="000000"/>
                <w:sz w:val="14"/>
                <w:szCs w:val="14"/>
                <w:lang w:eastAsia="sk-SK"/>
              </w:rPr>
              <w:t>v eurách</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2010</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2011</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7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R</w:t>
            </w:r>
          </w:p>
        </w:tc>
        <w:tc>
          <w:tcPr>
            <w:tcW w:w="97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OS</w:t>
            </w:r>
          </w:p>
        </w:tc>
        <w:tc>
          <w:tcPr>
            <w:tcW w:w="97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2013 N</w:t>
            </w:r>
          </w:p>
        </w:tc>
        <w:tc>
          <w:tcPr>
            <w:tcW w:w="97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2014 N</w:t>
            </w:r>
          </w:p>
        </w:tc>
        <w:tc>
          <w:tcPr>
            <w:tcW w:w="97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2015 N</w:t>
            </w:r>
          </w:p>
        </w:tc>
      </w:tr>
      <w:tr>
        <w:tblPrEx>
          <w:tblW w:w="9152" w:type="dxa"/>
          <w:tblInd w:w="60" w:type="dxa"/>
          <w:tblCellMar>
            <w:left w:w="70" w:type="dxa"/>
            <w:right w:w="70" w:type="dxa"/>
          </w:tblCellMar>
          <w:tblLook w:val="04A0"/>
        </w:tblPrEx>
        <w:trPr>
          <w:trHeight w:val="250"/>
        </w:trPr>
        <w:tc>
          <w:tcPr>
            <w:tcW w:w="230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BE2958" w:rsidP="006338E5">
            <w:pPr>
              <w:bidi w:val="0"/>
              <w:rPr>
                <w:rFonts w:ascii="Times New Roman" w:hAnsi="Times New Roman" w:cs="Times New Roman"/>
                <w:b/>
                <w:bCs/>
                <w:sz w:val="14"/>
                <w:szCs w:val="14"/>
                <w:lang w:eastAsia="sk-SK"/>
              </w:rPr>
            </w:pPr>
            <w:r w:rsidRPr="00BE2958">
              <w:rPr>
                <w:rFonts w:ascii="Times New Roman" w:hAnsi="Times New Roman" w:cs="Times New Roman"/>
                <w:b/>
                <w:bCs/>
                <w:sz w:val="14"/>
                <w:szCs w:val="14"/>
                <w:lang w:eastAsia="sk-SK"/>
              </w:rPr>
              <w:t>Reštruktur. priemyselných odvetví</w:t>
            </w:r>
          </w:p>
        </w:tc>
        <w:tc>
          <w:tcPr>
            <w:tcW w:w="97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lang w:eastAsia="sk-SK"/>
              </w:rPr>
            </w:pPr>
            <w:r w:rsidRPr="00BE2958">
              <w:rPr>
                <w:rFonts w:ascii="Times New Roman" w:hAnsi="Times New Roman" w:cs="Times New Roman"/>
                <w:b/>
                <w:bCs/>
                <w:sz w:val="14"/>
                <w:szCs w:val="14"/>
                <w:lang w:eastAsia="sk-SK"/>
              </w:rPr>
              <w:t>10 813 292</w:t>
            </w:r>
          </w:p>
        </w:tc>
        <w:tc>
          <w:tcPr>
            <w:tcW w:w="97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5 880 350</w:t>
            </w:r>
          </w:p>
        </w:tc>
        <w:tc>
          <w:tcPr>
            <w:tcW w:w="979"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2 915 039</w:t>
            </w:r>
          </w:p>
        </w:tc>
        <w:tc>
          <w:tcPr>
            <w:tcW w:w="979"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1F5A47" w:rsidP="006338E5">
            <w:pPr>
              <w:bidi w:val="0"/>
              <w:jc w:val="right"/>
              <w:rPr>
                <w:rFonts w:ascii="Times New Roman" w:hAnsi="Times New Roman" w:cs="Times New Roman"/>
                <w:b/>
                <w:sz w:val="14"/>
                <w:szCs w:val="14"/>
              </w:rPr>
            </w:pPr>
            <w:r w:rsidRPr="001F5A47">
              <w:rPr>
                <w:rFonts w:ascii="Times New Roman" w:hAnsi="Times New Roman" w:cs="Times New Roman"/>
                <w:b/>
                <w:sz w:val="14"/>
                <w:szCs w:val="14"/>
              </w:rPr>
              <w:t>3 668 123</w:t>
            </w:r>
          </w:p>
        </w:tc>
        <w:tc>
          <w:tcPr>
            <w:tcW w:w="979"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7B26AA" w:rsidP="006338E5">
            <w:pPr>
              <w:bidi w:val="0"/>
              <w:jc w:val="right"/>
              <w:rPr>
                <w:rFonts w:ascii="Times New Roman" w:hAnsi="Times New Roman" w:cs="Times New Roman"/>
                <w:b/>
                <w:bCs/>
                <w:sz w:val="14"/>
                <w:szCs w:val="14"/>
              </w:rPr>
            </w:pPr>
            <w:r w:rsidRPr="007B26AA">
              <w:rPr>
                <w:rFonts w:ascii="Times New Roman" w:hAnsi="Times New Roman" w:cs="Times New Roman"/>
                <w:b/>
                <w:bCs/>
                <w:sz w:val="14"/>
                <w:szCs w:val="14"/>
              </w:rPr>
              <w:t>60 991 333</w:t>
            </w:r>
          </w:p>
        </w:tc>
        <w:tc>
          <w:tcPr>
            <w:tcW w:w="979"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7B26AA" w:rsidP="006338E5">
            <w:pPr>
              <w:bidi w:val="0"/>
              <w:jc w:val="right"/>
              <w:rPr>
                <w:rFonts w:ascii="Times New Roman" w:hAnsi="Times New Roman" w:cs="Times New Roman"/>
                <w:b/>
                <w:bCs/>
                <w:sz w:val="14"/>
                <w:szCs w:val="14"/>
              </w:rPr>
            </w:pPr>
            <w:r w:rsidRPr="007B26AA">
              <w:rPr>
                <w:rFonts w:ascii="Times New Roman" w:hAnsi="Times New Roman" w:cs="Times New Roman"/>
                <w:b/>
                <w:bCs/>
                <w:sz w:val="14"/>
                <w:szCs w:val="14"/>
              </w:rPr>
              <w:t>76 029 939</w:t>
            </w:r>
          </w:p>
        </w:tc>
        <w:tc>
          <w:tcPr>
            <w:tcW w:w="979"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7B26AA" w:rsidP="006338E5">
            <w:pPr>
              <w:bidi w:val="0"/>
              <w:jc w:val="right"/>
              <w:rPr>
                <w:rFonts w:ascii="Times New Roman" w:hAnsi="Times New Roman" w:cs="Times New Roman"/>
                <w:b/>
                <w:bCs/>
                <w:sz w:val="14"/>
                <w:szCs w:val="14"/>
              </w:rPr>
            </w:pPr>
            <w:r w:rsidRPr="007B26AA">
              <w:rPr>
                <w:rFonts w:ascii="Times New Roman" w:hAnsi="Times New Roman" w:cs="Times New Roman"/>
                <w:b/>
                <w:bCs/>
                <w:sz w:val="14"/>
                <w:szCs w:val="14"/>
              </w:rPr>
              <w:t>79 409 650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lang w:eastAsia="sk-SK"/>
              </w:rPr>
            </w:pPr>
            <w:r w:rsidRPr="00BE2958">
              <w:rPr>
                <w:rFonts w:ascii="Times New Roman" w:hAnsi="Times New Roman" w:cs="Times New Roman"/>
                <w:sz w:val="14"/>
                <w:szCs w:val="14"/>
                <w:lang w:eastAsia="sk-SK"/>
              </w:rPr>
              <w:t xml:space="preserve">Uhoľné baníctvo </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lang w:eastAsia="sk-SK"/>
              </w:rPr>
            </w:pPr>
            <w:r w:rsidRPr="00BE2958">
              <w:rPr>
                <w:rFonts w:ascii="Times New Roman" w:hAnsi="Times New Roman" w:cs="Times New Roman"/>
                <w:sz w:val="14"/>
                <w:szCs w:val="14"/>
                <w:lang w:eastAsia="sk-SK"/>
              </w:rPr>
              <w:t>5 340 868</w:t>
            </w:r>
          </w:p>
        </w:tc>
        <w:tc>
          <w:tcPr>
            <w:tcW w:w="978"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395 330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472 100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472 100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452 000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473 318</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335 000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lang w:eastAsia="sk-SK"/>
              </w:rPr>
            </w:pPr>
            <w:r w:rsidRPr="00BE2958">
              <w:rPr>
                <w:rFonts w:ascii="Times New Roman" w:hAnsi="Times New Roman" w:cs="Times New Roman"/>
                <w:sz w:val="14"/>
                <w:szCs w:val="14"/>
                <w:lang w:eastAsia="sk-SK"/>
              </w:rPr>
              <w:t xml:space="preserve">Rudné baníctvo </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lang w:eastAsia="sk-SK"/>
              </w:rPr>
            </w:pPr>
            <w:r w:rsidRPr="00BE2958">
              <w:rPr>
                <w:rFonts w:ascii="Times New Roman" w:hAnsi="Times New Roman" w:cs="Times New Roman"/>
                <w:sz w:val="14"/>
                <w:szCs w:val="14"/>
                <w:lang w:eastAsia="sk-SK"/>
              </w:rPr>
              <w:t>1 927 757</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1 820 257</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2 011 000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2 011 000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1 761 000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1 761 000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1 761 000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lang w:eastAsia="sk-SK"/>
              </w:rPr>
            </w:pPr>
            <w:r w:rsidRPr="00BE2958">
              <w:rPr>
                <w:rFonts w:ascii="Times New Roman" w:hAnsi="Times New Roman" w:cs="Times New Roman"/>
                <w:sz w:val="14"/>
                <w:szCs w:val="14"/>
                <w:lang w:eastAsia="sk-SK"/>
              </w:rPr>
              <w:t>Podpora predaja motor. vozid.</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lang w:eastAsia="sk-SK"/>
              </w:rPr>
            </w:pPr>
            <w:r w:rsidRPr="00BE2958">
              <w:rPr>
                <w:rFonts w:ascii="Times New Roman" w:hAnsi="Times New Roman" w:cs="Times New Roman"/>
                <w:sz w:val="14"/>
                <w:szCs w:val="14"/>
                <w:lang w:eastAsia="sk-SK"/>
              </w:rPr>
              <w:t>1 512 000</w:t>
            </w:r>
          </w:p>
        </w:tc>
        <w:tc>
          <w:tcPr>
            <w:tcW w:w="978"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lang w:eastAsia="sk-SK"/>
              </w:rPr>
            </w:pPr>
            <w:r w:rsidRPr="00BE2958">
              <w:rPr>
                <w:rFonts w:ascii="Times New Roman" w:hAnsi="Times New Roman" w:cs="Times New Roman"/>
                <w:sz w:val="14"/>
                <w:szCs w:val="14"/>
                <w:lang w:eastAsia="sk-SK"/>
              </w:rPr>
              <w:t xml:space="preserve">Program využitia biomasy </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lang w:eastAsia="sk-SK"/>
              </w:rPr>
            </w:pPr>
            <w:r w:rsidRPr="00BE2958">
              <w:rPr>
                <w:rFonts w:ascii="Times New Roman" w:hAnsi="Times New Roman" w:cs="Times New Roman"/>
                <w:sz w:val="14"/>
                <w:szCs w:val="14"/>
                <w:lang w:eastAsia="sk-SK"/>
              </w:rPr>
              <w:t>1 858 070</w:t>
            </w:r>
          </w:p>
        </w:tc>
        <w:tc>
          <w:tcPr>
            <w:tcW w:w="978"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3 555 822</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753 084</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lang w:eastAsia="sk-SK"/>
              </w:rPr>
            </w:pPr>
            <w:r w:rsidRPr="00BE2958">
              <w:rPr>
                <w:rFonts w:ascii="Times New Roman" w:hAnsi="Times New Roman" w:cs="Times New Roman"/>
                <w:sz w:val="14"/>
                <w:szCs w:val="14"/>
                <w:lang w:eastAsia="sk-SK"/>
              </w:rPr>
              <w:t>Transfer do N</w:t>
            </w:r>
            <w:r>
              <w:rPr>
                <w:rFonts w:ascii="Times New Roman" w:hAnsi="Times New Roman" w:cs="Times New Roman"/>
                <w:sz w:val="14"/>
                <w:szCs w:val="14"/>
                <w:lang w:eastAsia="sk-SK"/>
              </w:rPr>
              <w:t>J</w:t>
            </w:r>
            <w:r w:rsidRPr="00BE2958">
              <w:rPr>
                <w:rFonts w:ascii="Times New Roman" w:hAnsi="Times New Roman" w:cs="Times New Roman"/>
                <w:sz w:val="14"/>
                <w:szCs w:val="14"/>
                <w:lang w:eastAsia="sk-SK"/>
              </w:rPr>
              <w:t>F</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lang w:eastAsia="sk-SK"/>
              </w:rPr>
            </w:pPr>
            <w:r w:rsidRPr="00BE2958">
              <w:rPr>
                <w:rFonts w:ascii="Times New Roman" w:hAnsi="Times New Roman" w:cs="Times New Roman"/>
                <w:sz w:val="14"/>
                <w:szCs w:val="14"/>
                <w:lang w:eastAsia="sk-SK"/>
              </w:rPr>
              <w:t>98 711</w:t>
            </w:r>
          </w:p>
        </w:tc>
        <w:tc>
          <w:tcPr>
            <w:tcW w:w="978"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108 941</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331 939</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331 939</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345 000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352 000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366 000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lang w:eastAsia="sk-SK"/>
              </w:rPr>
            </w:pPr>
            <w:r w:rsidRPr="00A73B73">
              <w:rPr>
                <w:rFonts w:ascii="Times New Roman" w:hAnsi="Times New Roman" w:cs="Times New Roman"/>
                <w:sz w:val="14"/>
                <w:szCs w:val="14"/>
                <w:lang w:eastAsia="sk-SK"/>
              </w:rPr>
              <w:t>NJF- od prev. prenos. a distr.</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0</w:t>
            </w:r>
          </w:p>
        </w:tc>
        <w:tc>
          <w:tcPr>
            <w:tcW w:w="978"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A73B73" w:rsidP="006338E5">
            <w:pPr>
              <w:bidi w:val="0"/>
              <w:jc w:val="right"/>
              <w:rPr>
                <w:rFonts w:ascii="Times New Roman" w:hAnsi="Times New Roman" w:cs="Times New Roman"/>
                <w:sz w:val="14"/>
                <w:szCs w:val="14"/>
              </w:rPr>
            </w:pPr>
            <w:r w:rsidRPr="00A73B73">
              <w:rPr>
                <w:rFonts w:ascii="Times New Roman" w:hAnsi="Times New Roman" w:cs="Times New Roman"/>
                <w:sz w:val="14"/>
                <w:szCs w:val="14"/>
              </w:rPr>
              <w:t>58 333 333</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A73B73" w:rsidP="006338E5">
            <w:pPr>
              <w:bidi w:val="0"/>
              <w:jc w:val="right"/>
              <w:rPr>
                <w:rFonts w:ascii="Times New Roman" w:hAnsi="Times New Roman" w:cs="Times New Roman"/>
                <w:sz w:val="14"/>
                <w:szCs w:val="14"/>
              </w:rPr>
            </w:pPr>
            <w:r w:rsidRPr="00A73B73">
              <w:rPr>
                <w:rFonts w:ascii="Times New Roman" w:hAnsi="Times New Roman" w:cs="Times New Roman"/>
                <w:sz w:val="14"/>
                <w:szCs w:val="14"/>
              </w:rPr>
              <w:t>73 343 621</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A73B73" w:rsidP="006338E5">
            <w:pPr>
              <w:bidi w:val="0"/>
              <w:jc w:val="right"/>
              <w:rPr>
                <w:rFonts w:ascii="Times New Roman" w:hAnsi="Times New Roman" w:cs="Times New Roman"/>
                <w:sz w:val="14"/>
                <w:szCs w:val="14"/>
              </w:rPr>
            </w:pPr>
            <w:r w:rsidRPr="00A73B73">
              <w:rPr>
                <w:rFonts w:ascii="Times New Roman" w:hAnsi="Times New Roman" w:cs="Times New Roman"/>
                <w:sz w:val="14"/>
                <w:szCs w:val="14"/>
              </w:rPr>
              <w:t>76 847 650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lang w:eastAsia="sk-SK"/>
              </w:rPr>
            </w:pPr>
            <w:r w:rsidRPr="00BE2958">
              <w:rPr>
                <w:rFonts w:ascii="Times New Roman" w:hAnsi="Times New Roman" w:cs="Times New Roman"/>
                <w:sz w:val="14"/>
                <w:szCs w:val="14"/>
                <w:lang w:eastAsia="sk-SK"/>
              </w:rPr>
              <w:t>Staré banské diela</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lang w:eastAsia="sk-SK"/>
              </w:rPr>
            </w:pPr>
            <w:r w:rsidRPr="00BE2958">
              <w:rPr>
                <w:rFonts w:ascii="Times New Roman" w:hAnsi="Times New Roman" w:cs="Times New Roman"/>
                <w:sz w:val="14"/>
                <w:szCs w:val="14"/>
                <w:lang w:eastAsia="sk-SK"/>
              </w:rPr>
              <w:t>0</w:t>
            </w:r>
          </w:p>
        </w:tc>
        <w:tc>
          <w:tcPr>
            <w:tcW w:w="978"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100 000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100 000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100 000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100 000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100 000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lang w:eastAsia="sk-SK"/>
              </w:rPr>
            </w:pPr>
            <w:r w:rsidRPr="00BE2958">
              <w:rPr>
                <w:rFonts w:ascii="Times New Roman" w:hAnsi="Times New Roman" w:cs="Times New Roman"/>
                <w:sz w:val="14"/>
                <w:szCs w:val="14"/>
                <w:lang w:eastAsia="sk-SK"/>
              </w:rPr>
              <w:t>Výdavky EÚ a spolufin.</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lang w:eastAsia="sk-SK"/>
              </w:rPr>
            </w:pPr>
            <w:r w:rsidRPr="00BE2958">
              <w:rPr>
                <w:rFonts w:ascii="Times New Roman" w:hAnsi="Times New Roman" w:cs="Times New Roman"/>
                <w:sz w:val="14"/>
                <w:szCs w:val="14"/>
                <w:lang w:eastAsia="sk-SK"/>
              </w:rPr>
              <w:t>75  886</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noWrap/>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noWrap/>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noWrap/>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noWrap/>
            <w:textDirection w:val="lrTb"/>
            <w:vAlign w:val="center"/>
            <w:hideMark/>
          </w:tcPr>
          <w:p w:rsidR="009D2A34" w:rsidRPr="00811A0B" w:rsidP="006338E5">
            <w:pPr>
              <w:bidi w:val="0"/>
              <w:jc w:val="right"/>
              <w:rPr>
                <w:rFonts w:ascii="Times New Roman" w:hAnsi="Times New Roman" w:cs="Times New Roman"/>
                <w:sz w:val="14"/>
                <w:szCs w:val="14"/>
              </w:rPr>
            </w:pPr>
            <w:r w:rsidRPr="00811A0B">
              <w:rPr>
                <w:rFonts w:ascii="Times New Roman" w:hAnsi="Times New Roman" w:cs="Times New Roman"/>
                <w:sz w:val="14"/>
                <w:szCs w:val="14"/>
              </w:rPr>
              <w:t>0</w:t>
            </w:r>
          </w:p>
        </w:tc>
      </w:tr>
    </w:tbl>
    <w:p w:rsidR="009D2A34" w:rsidP="009D2A34">
      <w:pPr>
        <w:bidi w:val="0"/>
        <w:ind w:firstLine="708"/>
        <w:jc w:val="both"/>
        <w:rPr>
          <w:rFonts w:ascii="Times New Roman" w:hAnsi="Times New Roman" w:cs="Times New Roman"/>
          <w:highlight w:val="yellow"/>
        </w:rPr>
      </w:pPr>
    </w:p>
    <w:p w:rsidR="009D2A34" w:rsidRPr="008518C6" w:rsidP="009D2A34">
      <w:pPr>
        <w:bidi w:val="0"/>
        <w:ind w:firstLine="708"/>
        <w:jc w:val="both"/>
        <w:rPr>
          <w:rFonts w:ascii="Times New Roman" w:hAnsi="Times New Roman" w:cs="Times New Roman"/>
        </w:rPr>
      </w:pPr>
      <w:r w:rsidRPr="008518C6">
        <w:rPr>
          <w:rFonts w:ascii="Times New Roman" w:hAnsi="Times New Roman" w:cs="Times New Roman"/>
        </w:rPr>
        <w:t xml:space="preserve">Celkové výdavky v tejto oblasti v návrhu rozpočtu na rok 2013 predstavujú </w:t>
      </w:r>
      <w:r>
        <w:rPr>
          <w:rFonts w:ascii="Times New Roman" w:hAnsi="Times New Roman" w:cs="Times New Roman"/>
        </w:rPr>
        <w:t xml:space="preserve">61 mil. eur a v porovnaní so schváleným rozpočtom rastú o 58,1 mil. eur. Uvedený nárast spôsobil transfer do NJF v zmysle pripravovanej novely zákona č. 238/2006 Z. z. o NJF v sume </w:t>
      </w:r>
      <w:r w:rsidR="007E79BD">
        <w:rPr>
          <w:rFonts w:ascii="Times New Roman" w:hAnsi="Times New Roman" w:cs="Times New Roman"/>
        </w:rPr>
        <w:br/>
      </w:r>
      <w:r>
        <w:rPr>
          <w:rFonts w:ascii="Times New Roman" w:hAnsi="Times New Roman" w:cs="Times New Roman"/>
        </w:rPr>
        <w:t xml:space="preserve">58,3 mil. eur. Pri abstrahovaní tohto transferu do NJF výdavky v tejto oblasti na rok 2013 </w:t>
      </w:r>
      <w:r w:rsidRPr="008518C6">
        <w:rPr>
          <w:rFonts w:ascii="Times New Roman" w:hAnsi="Times New Roman" w:cs="Times New Roman"/>
        </w:rPr>
        <w:t xml:space="preserve">oproti schválenému rozpočtu na rok 2012 klesajú o 8,82 %. </w:t>
      </w:r>
    </w:p>
    <w:p w:rsidR="009D2A34" w:rsidRPr="008518C6" w:rsidP="009D2A34">
      <w:pPr>
        <w:bidi w:val="0"/>
        <w:jc w:val="both"/>
        <w:rPr>
          <w:rFonts w:ascii="Times New Roman" w:hAnsi="Times New Roman" w:cs="Times New Roman"/>
        </w:rPr>
      </w:pPr>
    </w:p>
    <w:p w:rsidR="009D2A34" w:rsidRPr="008518C6" w:rsidP="009D2A34">
      <w:pPr>
        <w:bidi w:val="0"/>
        <w:ind w:firstLine="708"/>
        <w:jc w:val="both"/>
        <w:rPr>
          <w:rFonts w:ascii="Times New Roman" w:hAnsi="Times New Roman" w:cs="Times New Roman"/>
          <w:color w:val="000000"/>
        </w:rPr>
      </w:pPr>
      <w:r w:rsidRPr="008518C6">
        <w:rPr>
          <w:rFonts w:ascii="Times New Roman" w:hAnsi="Times New Roman" w:cs="Times New Roman"/>
        </w:rPr>
        <w:t xml:space="preserve">Výdavky v tejto oblasti na rok 2013 sú smerované </w:t>
      </w:r>
      <w:r>
        <w:rPr>
          <w:rFonts w:ascii="Times New Roman" w:hAnsi="Times New Roman" w:cs="Times New Roman"/>
        </w:rPr>
        <w:t xml:space="preserve">aj </w:t>
      </w:r>
      <w:r w:rsidRPr="008518C6">
        <w:rPr>
          <w:rFonts w:ascii="Times New Roman" w:hAnsi="Times New Roman" w:cs="Times New Roman"/>
        </w:rPr>
        <w:t>do oblasti uhoľného baníctva na deputátne uhlie pre dôchodcov a vdovy po baníkoch v sume 372  tis. eur a na útlm v bani Dolina a.s. Veľký Krtíš v sume 80 tis. eur. V oblasti  rudného baníctva sú výdavky na rok 2013 rozpočtované na technické práce na útlm v sume 1,16 mil. eur a na zákonné sociálne náklady v sume 600 tis. eur.</w:t>
      </w:r>
      <w:r w:rsidRPr="008518C6">
        <w:rPr>
          <w:rFonts w:ascii="Times New Roman" w:hAnsi="Times New Roman" w:cs="Times New Roman"/>
          <w:color w:val="000000"/>
        </w:rPr>
        <w:t xml:space="preserve"> Na zabezpečovanie alebo likvidáciu starých banských diel a ich následkov, ktoré ohrozujú verejný záujem je na rok 2013 rozpočtovaná suma 100 tis. eur. </w:t>
      </w:r>
    </w:p>
    <w:p w:rsidR="009D2A34" w:rsidRPr="008518C6" w:rsidP="009D2A34">
      <w:pPr>
        <w:bidi w:val="0"/>
        <w:ind w:firstLine="708"/>
        <w:jc w:val="both"/>
        <w:rPr>
          <w:rFonts w:ascii="Times New Roman" w:hAnsi="Times New Roman" w:cs="Times New Roman"/>
          <w:color w:val="000000"/>
        </w:rPr>
      </w:pPr>
    </w:p>
    <w:p w:rsidR="009D2A34" w:rsidRPr="00954415" w:rsidP="009D2A34">
      <w:pPr>
        <w:bidi w:val="0"/>
        <w:ind w:firstLine="708"/>
        <w:jc w:val="both"/>
        <w:rPr>
          <w:rFonts w:ascii="Times New Roman" w:hAnsi="Times New Roman" w:cs="Times New Roman"/>
          <w:color w:val="000000"/>
        </w:rPr>
      </w:pPr>
      <w:r>
        <w:rPr>
          <w:rFonts w:ascii="Times New Roman" w:hAnsi="Times New Roman" w:cs="Times New Roman"/>
          <w:color w:val="000000"/>
        </w:rPr>
        <w:t xml:space="preserve">Pre NJF je </w:t>
      </w:r>
      <w:r w:rsidRPr="008518C6">
        <w:rPr>
          <w:rFonts w:ascii="Times New Roman" w:hAnsi="Times New Roman" w:cs="Times New Roman"/>
          <w:color w:val="000000"/>
        </w:rPr>
        <w:t xml:space="preserve">na rok 2013 </w:t>
      </w:r>
      <w:r>
        <w:rPr>
          <w:rFonts w:ascii="Times New Roman" w:hAnsi="Times New Roman" w:cs="Times New Roman"/>
          <w:color w:val="000000"/>
        </w:rPr>
        <w:t>rozpočtovaná aj dotácia</w:t>
      </w:r>
      <w:r w:rsidRPr="008518C6">
        <w:rPr>
          <w:rFonts w:ascii="Times New Roman" w:hAnsi="Times New Roman" w:cs="Times New Roman"/>
          <w:color w:val="000000"/>
        </w:rPr>
        <w:t xml:space="preserve"> určená v zmysle zákona NR SR </w:t>
      </w:r>
      <w:r>
        <w:rPr>
          <w:rFonts w:ascii="Times New Roman" w:hAnsi="Times New Roman" w:cs="Times New Roman"/>
          <w:color w:val="000000"/>
        </w:rPr>
        <w:br/>
      </w:r>
      <w:r w:rsidRPr="008518C6">
        <w:rPr>
          <w:rFonts w:ascii="Times New Roman" w:hAnsi="Times New Roman" w:cs="Times New Roman"/>
          <w:color w:val="000000"/>
        </w:rPr>
        <w:t>č. 238/2006 Z.</w:t>
      </w:r>
      <w:r>
        <w:rPr>
          <w:rFonts w:ascii="Times New Roman" w:hAnsi="Times New Roman" w:cs="Times New Roman"/>
          <w:color w:val="000000"/>
        </w:rPr>
        <w:t xml:space="preserve"> </w:t>
      </w:r>
      <w:r w:rsidRPr="008518C6">
        <w:rPr>
          <w:rFonts w:ascii="Times New Roman" w:hAnsi="Times New Roman" w:cs="Times New Roman"/>
          <w:color w:val="000000"/>
        </w:rPr>
        <w:t>z. o NJF na úhradu nákladov vynaložených na nakladanie s jadrovým materiálom alebo rádioaktívnymi odpadmi, ktorých pôvodca nie je známy</w:t>
      </w:r>
      <w:r>
        <w:rPr>
          <w:rFonts w:ascii="Times New Roman" w:hAnsi="Times New Roman" w:cs="Times New Roman"/>
          <w:color w:val="000000"/>
        </w:rPr>
        <w:t>.</w:t>
      </w:r>
      <w:r w:rsidRPr="00954415">
        <w:rPr>
          <w:rFonts w:ascii="Times New Roman" w:hAnsi="Times New Roman" w:cs="Times New Roman"/>
          <w:color w:val="000000"/>
        </w:rPr>
        <w:t xml:space="preserve"> </w:t>
      </w:r>
    </w:p>
    <w:p w:rsidR="009D2A34" w:rsidRPr="00CD37C6" w:rsidP="00D83F50">
      <w:pPr>
        <w:bidi w:val="0"/>
        <w:spacing w:before="120" w:after="120"/>
        <w:jc w:val="both"/>
        <w:rPr>
          <w:rFonts w:ascii="Times New Roman" w:hAnsi="Times New Roman" w:cs="Times New Roman"/>
          <w:color w:val="000000"/>
          <w:highlight w:val="yellow"/>
        </w:rPr>
      </w:pPr>
      <w:r w:rsidRPr="00811A0B">
        <w:rPr>
          <w:rFonts w:ascii="Times New Roman" w:hAnsi="Times New Roman" w:cs="Times New Roman"/>
          <w:b/>
        </w:rPr>
        <w:t>Podpora podnikania</w:t>
      </w:r>
    </w:p>
    <w:tbl>
      <w:tblPr>
        <w:tblStyle w:val="TableNormal"/>
        <w:tblW w:w="9016" w:type="dxa"/>
        <w:tblInd w:w="55" w:type="dxa"/>
        <w:tblCellMar>
          <w:left w:w="70" w:type="dxa"/>
          <w:right w:w="70" w:type="dxa"/>
        </w:tblCellMar>
        <w:tblLook w:val="04A0"/>
      </w:tblPr>
      <w:tblGrid>
        <w:gridCol w:w="2268"/>
        <w:gridCol w:w="964"/>
        <w:gridCol w:w="964"/>
        <w:gridCol w:w="964"/>
        <w:gridCol w:w="964"/>
        <w:gridCol w:w="964"/>
        <w:gridCol w:w="964"/>
        <w:gridCol w:w="964"/>
      </w:tblGrid>
      <w:tr>
        <w:tblPrEx>
          <w:tblW w:w="9016" w:type="dxa"/>
          <w:tblInd w:w="55" w:type="dxa"/>
          <w:tblCellMar>
            <w:left w:w="70" w:type="dxa"/>
            <w:right w:w="70" w:type="dxa"/>
          </w:tblCellMar>
          <w:tblLook w:val="04A0"/>
        </w:tblPrEx>
        <w:trPr>
          <w:trHeight w:val="261"/>
        </w:trPr>
        <w:tc>
          <w:tcPr>
            <w:tcW w:w="226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1F5A47" w:rsidP="006338E5">
            <w:pPr>
              <w:bidi w:val="0"/>
              <w:rPr>
                <w:rFonts w:ascii="Times New Roman" w:hAnsi="Times New Roman" w:cs="Times New Roman"/>
                <w:b/>
                <w:sz w:val="14"/>
                <w:szCs w:val="14"/>
              </w:rPr>
            </w:pPr>
            <w:r w:rsidRPr="001F5A47">
              <w:rPr>
                <w:rFonts w:ascii="Times New Roman" w:hAnsi="Times New Roman" w:cs="Times New Roman"/>
                <w:b/>
                <w:sz w:val="14"/>
                <w:szCs w:val="14"/>
              </w:rPr>
              <w:t>v eurách</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2010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2011 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2012 R</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2012 OS</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2013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2014 N</w:t>
            </w:r>
          </w:p>
        </w:tc>
        <w:tc>
          <w:tcPr>
            <w:tcW w:w="964"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2015 N</w:t>
            </w:r>
          </w:p>
        </w:tc>
      </w:tr>
      <w:tr>
        <w:tblPrEx>
          <w:tblW w:w="9016" w:type="dxa"/>
          <w:tblInd w:w="55" w:type="dxa"/>
          <w:tblCellMar>
            <w:left w:w="70" w:type="dxa"/>
            <w:right w:w="70" w:type="dxa"/>
          </w:tblCellMar>
          <w:tblLook w:val="04A0"/>
        </w:tblPrEx>
        <w:trPr>
          <w:trHeight w:val="261"/>
        </w:trPr>
        <w:tc>
          <w:tcPr>
            <w:tcW w:w="226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Podpora podnikania</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15 000 553</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13 069 756</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20 252 446</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9B1FDF" w:rsidP="006338E5">
            <w:pPr>
              <w:bidi w:val="0"/>
              <w:jc w:val="right"/>
              <w:rPr>
                <w:rFonts w:ascii="Times New Roman" w:hAnsi="Times New Roman" w:cs="Times New Roman"/>
                <w:b/>
                <w:sz w:val="14"/>
                <w:szCs w:val="14"/>
              </w:rPr>
            </w:pPr>
            <w:r w:rsidRPr="009B1FDF">
              <w:rPr>
                <w:rFonts w:ascii="Times New Roman" w:hAnsi="Times New Roman" w:cs="Times New Roman"/>
                <w:b/>
                <w:sz w:val="14"/>
                <w:szCs w:val="14"/>
              </w:rPr>
              <w:t>20 272 446</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016B" w:rsidP="006338E5">
            <w:pPr>
              <w:bidi w:val="0"/>
              <w:jc w:val="right"/>
              <w:rPr>
                <w:rFonts w:ascii="Times New Roman" w:hAnsi="Times New Roman" w:cs="Times New Roman"/>
                <w:b/>
                <w:bCs/>
                <w:sz w:val="14"/>
                <w:szCs w:val="14"/>
              </w:rPr>
            </w:pPr>
            <w:r w:rsidRPr="000D016B">
              <w:rPr>
                <w:rFonts w:ascii="Times New Roman" w:hAnsi="Times New Roman" w:cs="Times New Roman"/>
                <w:b/>
                <w:bCs/>
                <w:sz w:val="14"/>
                <w:szCs w:val="14"/>
              </w:rPr>
              <w:t>29 004 724</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016B" w:rsidP="006338E5">
            <w:pPr>
              <w:bidi w:val="0"/>
              <w:jc w:val="right"/>
              <w:rPr>
                <w:rFonts w:ascii="Times New Roman" w:hAnsi="Times New Roman" w:cs="Times New Roman"/>
                <w:b/>
                <w:bCs/>
                <w:sz w:val="14"/>
                <w:szCs w:val="14"/>
              </w:rPr>
            </w:pPr>
            <w:r w:rsidRPr="000D016B">
              <w:rPr>
                <w:rFonts w:ascii="Times New Roman" w:hAnsi="Times New Roman" w:cs="Times New Roman"/>
                <w:b/>
                <w:bCs/>
                <w:sz w:val="14"/>
                <w:szCs w:val="14"/>
              </w:rPr>
              <w:t>8 750 319</w:t>
            </w:r>
          </w:p>
        </w:tc>
        <w:tc>
          <w:tcPr>
            <w:tcW w:w="96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016B" w:rsidP="006338E5">
            <w:pPr>
              <w:bidi w:val="0"/>
              <w:jc w:val="right"/>
              <w:rPr>
                <w:rFonts w:ascii="Times New Roman" w:hAnsi="Times New Roman" w:cs="Times New Roman"/>
                <w:b/>
                <w:bCs/>
                <w:sz w:val="14"/>
                <w:szCs w:val="14"/>
              </w:rPr>
            </w:pPr>
            <w:r w:rsidRPr="000D016B">
              <w:rPr>
                <w:rFonts w:ascii="Times New Roman" w:hAnsi="Times New Roman" w:cs="Times New Roman"/>
                <w:b/>
                <w:bCs/>
                <w:sz w:val="14"/>
                <w:szCs w:val="14"/>
              </w:rPr>
              <w:t>846 395</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Administrácia NARMSP</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882 764</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869 764</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725 619</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725 619</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713 619</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713 619</w:t>
            </w:r>
          </w:p>
        </w:tc>
        <w:tc>
          <w:tcPr>
            <w:tcW w:w="964" w:type="dxa"/>
            <w:tcBorders>
              <w:top w:val="nil"/>
              <w:left w:val="nil"/>
              <w:bottom w:val="single" w:sz="4" w:space="0" w:color="auto"/>
              <w:right w:val="single" w:sz="4" w:space="0" w:color="auto"/>
            </w:tcBorders>
            <w:shd w:val="clear" w:color="000000" w:fill="FFFFFF"/>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713 619</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Podporné programy MSP</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1 322 466</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732 466</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300 000</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340 000</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0</w:t>
            </w:r>
          </w:p>
        </w:tc>
        <w:tc>
          <w:tcPr>
            <w:tcW w:w="964" w:type="dxa"/>
            <w:tcBorders>
              <w:top w:val="nil"/>
              <w:left w:val="nil"/>
              <w:bottom w:val="single" w:sz="4" w:space="0" w:color="auto"/>
              <w:right w:val="single" w:sz="4" w:space="0" w:color="auto"/>
            </w:tcBorders>
            <w:shd w:val="clear" w:color="000000" w:fill="FFFFFF"/>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0</w:t>
            </w:r>
          </w:p>
        </w:tc>
        <w:tc>
          <w:tcPr>
            <w:tcW w:w="964" w:type="dxa"/>
            <w:tcBorders>
              <w:top w:val="nil"/>
              <w:left w:val="nil"/>
              <w:bottom w:val="single" w:sz="4" w:space="0" w:color="auto"/>
              <w:right w:val="single" w:sz="4" w:space="0" w:color="auto"/>
            </w:tcBorders>
            <w:shd w:val="clear" w:color="000000" w:fill="FFFFFF"/>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 xml:space="preserve">Program zvyš. produktivity </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198 593</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55 000</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64" w:type="dxa"/>
            <w:tcBorders>
              <w:top w:val="nil"/>
              <w:left w:val="nil"/>
              <w:bottom w:val="single" w:sz="4" w:space="0" w:color="auto"/>
              <w:right w:val="single" w:sz="4" w:space="0" w:color="auto"/>
            </w:tcBorders>
            <w:noWrap/>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0</w:t>
            </w:r>
          </w:p>
        </w:tc>
        <w:tc>
          <w:tcPr>
            <w:tcW w:w="964" w:type="dxa"/>
            <w:tcBorders>
              <w:top w:val="nil"/>
              <w:left w:val="nil"/>
              <w:bottom w:val="single" w:sz="4" w:space="0" w:color="auto"/>
              <w:right w:val="single" w:sz="4" w:space="0" w:color="auto"/>
            </w:tcBorders>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0</w:t>
            </w:r>
          </w:p>
        </w:tc>
        <w:tc>
          <w:tcPr>
            <w:tcW w:w="964" w:type="dxa"/>
            <w:tcBorders>
              <w:top w:val="nil"/>
              <w:left w:val="nil"/>
              <w:bottom w:val="single" w:sz="4" w:space="0" w:color="auto"/>
              <w:right w:val="single" w:sz="4" w:space="0" w:color="auto"/>
            </w:tcBorders>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0</w:t>
            </w:r>
          </w:p>
        </w:tc>
        <w:tc>
          <w:tcPr>
            <w:tcW w:w="964" w:type="dxa"/>
            <w:tcBorders>
              <w:top w:val="nil"/>
              <w:left w:val="nil"/>
              <w:bottom w:val="single" w:sz="4" w:space="0" w:color="auto"/>
              <w:right w:val="single" w:sz="4" w:space="0" w:color="auto"/>
            </w:tcBorders>
            <w:shd w:val="clear" w:color="000000" w:fill="FFFFFF"/>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 xml:space="preserve">Znižovanie admin. bremena </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501 262</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542 267</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1 832 776</w:t>
            </w:r>
          </w:p>
        </w:tc>
        <w:tc>
          <w:tcPr>
            <w:tcW w:w="964" w:type="dxa"/>
            <w:tcBorders>
              <w:top w:val="nil"/>
              <w:left w:val="nil"/>
              <w:bottom w:val="single" w:sz="4" w:space="0" w:color="auto"/>
              <w:right w:val="single" w:sz="4" w:space="0" w:color="auto"/>
            </w:tcBorders>
            <w:noWrap/>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1 792 776</w:t>
            </w:r>
          </w:p>
        </w:tc>
        <w:tc>
          <w:tcPr>
            <w:tcW w:w="964" w:type="dxa"/>
            <w:tcBorders>
              <w:top w:val="nil"/>
              <w:left w:val="nil"/>
              <w:bottom w:val="single" w:sz="4" w:space="0" w:color="auto"/>
              <w:right w:val="single" w:sz="4" w:space="0" w:color="auto"/>
            </w:tcBorders>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132 776</w:t>
            </w:r>
          </w:p>
        </w:tc>
        <w:tc>
          <w:tcPr>
            <w:tcW w:w="964" w:type="dxa"/>
            <w:tcBorders>
              <w:top w:val="nil"/>
              <w:left w:val="nil"/>
              <w:bottom w:val="single" w:sz="4" w:space="0" w:color="auto"/>
              <w:right w:val="single" w:sz="4" w:space="0" w:color="auto"/>
            </w:tcBorders>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132 776</w:t>
            </w:r>
          </w:p>
        </w:tc>
        <w:tc>
          <w:tcPr>
            <w:tcW w:w="964" w:type="dxa"/>
            <w:tcBorders>
              <w:top w:val="nil"/>
              <w:left w:val="nil"/>
              <w:bottom w:val="single" w:sz="4" w:space="0" w:color="auto"/>
              <w:right w:val="single" w:sz="4" w:space="0" w:color="auto"/>
            </w:tcBorders>
            <w:shd w:val="clear" w:color="000000" w:fill="FFFFFF"/>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132 776</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Podpora inov. projektov</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64" w:type="dxa"/>
            <w:tcBorders>
              <w:top w:val="nil"/>
              <w:left w:val="nil"/>
              <w:bottom w:val="single" w:sz="4" w:space="0" w:color="auto"/>
              <w:right w:val="single" w:sz="4" w:space="0" w:color="auto"/>
            </w:tcBorders>
            <w:noWrap/>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50 000</w:t>
            </w:r>
          </w:p>
        </w:tc>
        <w:tc>
          <w:tcPr>
            <w:tcW w:w="964" w:type="dxa"/>
            <w:tcBorders>
              <w:top w:val="nil"/>
              <w:left w:val="nil"/>
              <w:bottom w:val="single" w:sz="4" w:space="0" w:color="auto"/>
              <w:right w:val="single" w:sz="4" w:space="0" w:color="auto"/>
            </w:tcBorders>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0</w:t>
            </w:r>
          </w:p>
        </w:tc>
        <w:tc>
          <w:tcPr>
            <w:tcW w:w="964" w:type="dxa"/>
            <w:tcBorders>
              <w:top w:val="nil"/>
              <w:left w:val="nil"/>
              <w:bottom w:val="single" w:sz="4" w:space="0" w:color="auto"/>
              <w:right w:val="single" w:sz="4" w:space="0" w:color="auto"/>
            </w:tcBorders>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0</w:t>
            </w:r>
          </w:p>
        </w:tc>
        <w:tc>
          <w:tcPr>
            <w:tcW w:w="964" w:type="dxa"/>
            <w:tcBorders>
              <w:top w:val="nil"/>
              <w:left w:val="nil"/>
              <w:bottom w:val="single" w:sz="4" w:space="0" w:color="auto"/>
              <w:right w:val="single" w:sz="4" w:space="0" w:color="auto"/>
            </w:tcBorders>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0</w:t>
            </w:r>
          </w:p>
        </w:tc>
      </w:tr>
      <w:tr>
        <w:tblPrEx>
          <w:tblW w:w="9016" w:type="dxa"/>
          <w:tblInd w:w="55" w:type="dxa"/>
          <w:tblCellMar>
            <w:left w:w="70" w:type="dxa"/>
            <w:right w:w="70" w:type="dxa"/>
          </w:tblCellMar>
          <w:tblLook w:val="04A0"/>
        </w:tblPrEx>
        <w:trPr>
          <w:trHeight w:val="261"/>
        </w:trPr>
        <w:tc>
          <w:tcPr>
            <w:tcW w:w="2268" w:type="dxa"/>
            <w:tcBorders>
              <w:top w:val="nil"/>
              <w:left w:val="single" w:sz="4" w:space="0" w:color="auto"/>
              <w:bottom w:val="single" w:sz="4" w:space="0" w:color="auto"/>
              <w:right w:val="single" w:sz="4" w:space="0" w:color="auto"/>
            </w:tcBorders>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Výdavky EÚ a spolufinan.</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12 095 468</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10 870 259</w:t>
            </w:r>
          </w:p>
        </w:tc>
        <w:tc>
          <w:tcPr>
            <w:tcW w:w="964"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17 394 051</w:t>
            </w:r>
          </w:p>
        </w:tc>
        <w:tc>
          <w:tcPr>
            <w:tcW w:w="964" w:type="dxa"/>
            <w:tcBorders>
              <w:top w:val="nil"/>
              <w:left w:val="nil"/>
              <w:bottom w:val="single" w:sz="4" w:space="0" w:color="auto"/>
              <w:right w:val="single" w:sz="4" w:space="0" w:color="auto"/>
            </w:tcBorders>
            <w:noWrap/>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17 364 051</w:t>
            </w:r>
          </w:p>
        </w:tc>
        <w:tc>
          <w:tcPr>
            <w:tcW w:w="964" w:type="dxa"/>
            <w:tcBorders>
              <w:top w:val="nil"/>
              <w:left w:val="nil"/>
              <w:bottom w:val="single" w:sz="4" w:space="0" w:color="auto"/>
              <w:right w:val="single" w:sz="4" w:space="0" w:color="auto"/>
            </w:tcBorders>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28 158 329</w:t>
            </w:r>
          </w:p>
        </w:tc>
        <w:tc>
          <w:tcPr>
            <w:tcW w:w="964" w:type="dxa"/>
            <w:tcBorders>
              <w:top w:val="nil"/>
              <w:left w:val="nil"/>
              <w:bottom w:val="single" w:sz="4" w:space="0" w:color="auto"/>
              <w:right w:val="single" w:sz="4" w:space="0" w:color="auto"/>
            </w:tcBorders>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7 903 924</w:t>
            </w:r>
          </w:p>
        </w:tc>
        <w:tc>
          <w:tcPr>
            <w:tcW w:w="964" w:type="dxa"/>
            <w:tcBorders>
              <w:top w:val="nil"/>
              <w:left w:val="nil"/>
              <w:bottom w:val="single" w:sz="4" w:space="0" w:color="auto"/>
              <w:right w:val="single" w:sz="4" w:space="0" w:color="auto"/>
            </w:tcBorders>
            <w:noWrap/>
            <w:textDirection w:val="lrTb"/>
            <w:vAlign w:val="center"/>
            <w:hideMark/>
          </w:tcPr>
          <w:p w:rsidR="009D2A34" w:rsidRPr="000D016B" w:rsidP="006338E5">
            <w:pPr>
              <w:bidi w:val="0"/>
              <w:jc w:val="right"/>
              <w:rPr>
                <w:rFonts w:ascii="Times New Roman" w:hAnsi="Times New Roman" w:cs="Times New Roman"/>
                <w:sz w:val="14"/>
                <w:szCs w:val="14"/>
              </w:rPr>
            </w:pPr>
            <w:r w:rsidRPr="000D016B">
              <w:rPr>
                <w:rFonts w:ascii="Times New Roman" w:hAnsi="Times New Roman" w:cs="Times New Roman"/>
                <w:sz w:val="14"/>
                <w:szCs w:val="14"/>
              </w:rPr>
              <w:t>0</w:t>
            </w:r>
          </w:p>
        </w:tc>
      </w:tr>
    </w:tbl>
    <w:p w:rsidR="009D2A34" w:rsidRPr="008518C6" w:rsidP="009D2A34">
      <w:pPr>
        <w:bidi w:val="0"/>
        <w:ind w:firstLine="708"/>
        <w:jc w:val="both"/>
        <w:rPr>
          <w:rFonts w:ascii="Times New Roman" w:hAnsi="Times New Roman" w:cs="Times New Roman"/>
        </w:rPr>
      </w:pPr>
      <w:r w:rsidRPr="008518C6">
        <w:rPr>
          <w:rFonts w:ascii="Times New Roman" w:hAnsi="Times New Roman" w:cs="Times New Roman"/>
        </w:rPr>
        <w:t>Celkové výdavky v tejto oblasti v návrhu rozpočtu na rok 2013 sú rozpočtované v sume 29,0 mil. eur a oproti schválenému rozpočtu na rok 2012 rastú o 43,2 %</w:t>
      </w:r>
      <w:r>
        <w:rPr>
          <w:rFonts w:ascii="Times New Roman" w:hAnsi="Times New Roman" w:cs="Times New Roman"/>
        </w:rPr>
        <w:t>,</w:t>
      </w:r>
      <w:r w:rsidRPr="008518C6">
        <w:rPr>
          <w:rFonts w:ascii="Times New Roman" w:hAnsi="Times New Roman" w:cs="Times New Roman"/>
        </w:rPr>
        <w:t xml:space="preserve"> t.</w:t>
      </w:r>
      <w:r>
        <w:rPr>
          <w:rFonts w:ascii="Times New Roman" w:hAnsi="Times New Roman" w:cs="Times New Roman"/>
        </w:rPr>
        <w:t xml:space="preserve"> </w:t>
      </w:r>
      <w:r w:rsidRPr="008518C6">
        <w:rPr>
          <w:rFonts w:ascii="Times New Roman" w:hAnsi="Times New Roman" w:cs="Times New Roman"/>
        </w:rPr>
        <w:t xml:space="preserve">j. </w:t>
      </w:r>
      <w:r>
        <w:rPr>
          <w:rFonts w:ascii="Times New Roman" w:hAnsi="Times New Roman" w:cs="Times New Roman"/>
        </w:rPr>
        <w:br/>
      </w:r>
      <w:r w:rsidRPr="008518C6">
        <w:rPr>
          <w:rFonts w:ascii="Times New Roman" w:hAnsi="Times New Roman" w:cs="Times New Roman"/>
        </w:rPr>
        <w:t>o 8,75 mil. eur, čo je spôsobené zvýšením výdavkov EÚ a spolufinancovania o 10,8 mil. eur, poklesom výdavkov na znižovanie administratívneho bremena o 1,70 mil. eur a poklesom výdavkov na podporné programy malého a stredného podnikania o 300 tis. eur.</w:t>
      </w:r>
    </w:p>
    <w:p w:rsidR="009D2A34" w:rsidRPr="008518C6" w:rsidP="009D2A34">
      <w:pPr>
        <w:bidi w:val="0"/>
        <w:jc w:val="both"/>
        <w:rPr>
          <w:rFonts w:ascii="Times New Roman" w:hAnsi="Times New Roman" w:cs="Times New Roman"/>
        </w:rPr>
      </w:pPr>
    </w:p>
    <w:p w:rsidR="009D2A34" w:rsidRPr="008518C6" w:rsidP="009D2A34">
      <w:pPr>
        <w:bidi w:val="0"/>
        <w:ind w:firstLine="708"/>
        <w:jc w:val="both"/>
        <w:rPr>
          <w:rFonts w:ascii="Times New Roman" w:hAnsi="Times New Roman" w:cs="Times New Roman"/>
          <w:color w:val="000000"/>
        </w:rPr>
      </w:pPr>
      <w:r w:rsidRPr="008518C6">
        <w:rPr>
          <w:rFonts w:ascii="Times New Roman" w:hAnsi="Times New Roman" w:cs="Times New Roman"/>
          <w:color w:val="000000"/>
        </w:rPr>
        <w:t>V oblasti podpory podnikania sú výdavky navrhované na administráciu Národnej agentúry pre rozvoj malého a stredného podnikania na rok 2013 v sume  71</w:t>
      </w:r>
      <w:r>
        <w:rPr>
          <w:rFonts w:ascii="Times New Roman" w:hAnsi="Times New Roman" w:cs="Times New Roman"/>
          <w:color w:val="000000"/>
        </w:rPr>
        <w:t>4</w:t>
      </w:r>
      <w:r w:rsidRPr="008518C6">
        <w:rPr>
          <w:rFonts w:ascii="Times New Roman" w:hAnsi="Times New Roman" w:cs="Times New Roman"/>
          <w:color w:val="000000"/>
        </w:rPr>
        <w:t xml:space="preserve"> tis. eur. Na akčný plán znižovania administratívneho bremena je na rok 2013 rozpočtovaná suma </w:t>
      </w:r>
      <w:r>
        <w:rPr>
          <w:rFonts w:ascii="Times New Roman" w:hAnsi="Times New Roman" w:cs="Times New Roman"/>
          <w:color w:val="000000"/>
        </w:rPr>
        <w:br/>
      </w:r>
      <w:r w:rsidRPr="008518C6">
        <w:rPr>
          <w:rFonts w:ascii="Times New Roman" w:hAnsi="Times New Roman" w:cs="Times New Roman"/>
          <w:color w:val="000000"/>
        </w:rPr>
        <w:t xml:space="preserve">133 tis. eur. </w:t>
      </w:r>
    </w:p>
    <w:p w:rsidR="009D2A34" w:rsidRPr="00B232A0" w:rsidP="009D2A34">
      <w:pPr>
        <w:bidi w:val="0"/>
        <w:jc w:val="both"/>
        <w:rPr>
          <w:rFonts w:ascii="Times New Roman" w:hAnsi="Times New Roman" w:cs="Times New Roman"/>
          <w:color w:val="000000"/>
          <w:sz w:val="22"/>
        </w:rPr>
      </w:pPr>
    </w:p>
    <w:p w:rsidR="009D2A34" w:rsidRPr="007E52B4" w:rsidP="009D2A34">
      <w:pPr>
        <w:bidi w:val="0"/>
        <w:ind w:firstLine="708"/>
        <w:jc w:val="both"/>
        <w:rPr>
          <w:rFonts w:ascii="Times New Roman" w:hAnsi="Times New Roman" w:cs="Times New Roman"/>
          <w:color w:val="000000"/>
        </w:rPr>
      </w:pPr>
      <w:r w:rsidRPr="008518C6">
        <w:rPr>
          <w:rFonts w:ascii="Times New Roman" w:hAnsi="Times New Roman" w:cs="Times New Roman"/>
          <w:color w:val="000000"/>
        </w:rPr>
        <w:t xml:space="preserve">Výdavky EÚ a spolufinancovania sú rozpočtované na </w:t>
      </w:r>
      <w:r>
        <w:rPr>
          <w:rFonts w:ascii="Times New Roman" w:hAnsi="Times New Roman" w:cs="Times New Roman"/>
          <w:color w:val="000000"/>
        </w:rPr>
        <w:t>rok 2013 v sume 28,2  mil. eur</w:t>
      </w:r>
      <w:r w:rsidRPr="007E52B4">
        <w:rPr>
          <w:rFonts w:ascii="Times New Roman" w:hAnsi="Times New Roman" w:cs="Times New Roman"/>
          <w:color w:val="000000"/>
        </w:rPr>
        <w:t xml:space="preserve">. </w:t>
      </w:r>
    </w:p>
    <w:p w:rsidR="00515262" w:rsidRPr="00CD37C6" w:rsidP="009D2A34">
      <w:pPr>
        <w:bidi w:val="0"/>
        <w:jc w:val="both"/>
        <w:rPr>
          <w:rFonts w:ascii="Times New Roman" w:hAnsi="Times New Roman" w:cs="Times New Roman"/>
          <w:color w:val="000000"/>
          <w:highlight w:val="yellow"/>
        </w:rPr>
      </w:pPr>
    </w:p>
    <w:p w:rsidR="009D2A34" w:rsidRPr="00811A0B" w:rsidP="009D2A34">
      <w:pPr>
        <w:bidi w:val="0"/>
        <w:jc w:val="both"/>
        <w:rPr>
          <w:rFonts w:ascii="Times New Roman" w:hAnsi="Times New Roman" w:cs="Times New Roman"/>
          <w:b/>
        </w:rPr>
      </w:pPr>
      <w:r w:rsidRPr="00811A0B">
        <w:rPr>
          <w:rFonts w:ascii="Times New Roman" w:hAnsi="Times New Roman" w:cs="Times New Roman"/>
          <w:b/>
        </w:rPr>
        <w:t xml:space="preserve">Investičné stimuly </w:t>
      </w:r>
    </w:p>
    <w:p w:rsidR="009D2A34" w:rsidRPr="00602C76" w:rsidP="009D2A34">
      <w:pPr>
        <w:bidi w:val="0"/>
        <w:jc w:val="both"/>
        <w:rPr>
          <w:rFonts w:ascii="Times New Roman" w:hAnsi="Times New Roman" w:cs="Times New Roman"/>
          <w:color w:val="000000"/>
          <w:highlight w:val="yellow"/>
        </w:rPr>
      </w:pPr>
    </w:p>
    <w:tbl>
      <w:tblPr>
        <w:tblStyle w:val="TableNormal"/>
        <w:tblW w:w="9542" w:type="dxa"/>
        <w:tblInd w:w="60" w:type="dxa"/>
        <w:tblCellMar>
          <w:left w:w="70" w:type="dxa"/>
          <w:right w:w="70" w:type="dxa"/>
        </w:tblCellMar>
        <w:tblLook w:val="04A0"/>
      </w:tblPr>
      <w:tblGrid>
        <w:gridCol w:w="309"/>
        <w:gridCol w:w="2268"/>
        <w:gridCol w:w="987"/>
        <w:gridCol w:w="987"/>
        <w:gridCol w:w="987"/>
        <w:gridCol w:w="1043"/>
        <w:gridCol w:w="987"/>
        <w:gridCol w:w="987"/>
        <w:gridCol w:w="987"/>
      </w:tblGrid>
      <w:tr>
        <w:tblPrEx>
          <w:tblW w:w="9542" w:type="dxa"/>
          <w:tblInd w:w="60" w:type="dxa"/>
          <w:tblCellMar>
            <w:left w:w="70" w:type="dxa"/>
            <w:right w:w="70" w:type="dxa"/>
          </w:tblCellMar>
          <w:tblLook w:val="04A0"/>
        </w:tblPrEx>
        <w:trPr>
          <w:trHeight w:val="227"/>
        </w:trPr>
        <w:tc>
          <w:tcPr>
            <w:tcW w:w="309"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tcPr>
          <w:p w:rsidR="009D2A34" w:rsidRPr="00BE2958" w:rsidP="006338E5">
            <w:pPr>
              <w:bidi w:val="0"/>
              <w:rPr>
                <w:rFonts w:ascii="Times New Roman" w:hAnsi="Times New Roman" w:cs="Times New Roman"/>
                <w:b/>
                <w:bCs/>
                <w:color w:val="000000"/>
                <w:sz w:val="14"/>
                <w:szCs w:val="14"/>
              </w:rPr>
            </w:pPr>
          </w:p>
        </w:tc>
        <w:tc>
          <w:tcPr>
            <w:tcW w:w="2268"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1F5A47" w:rsidP="006338E5">
            <w:pPr>
              <w:bidi w:val="0"/>
              <w:rPr>
                <w:rFonts w:ascii="Times New Roman" w:hAnsi="Times New Roman" w:cs="Times New Roman"/>
                <w:b/>
                <w:sz w:val="14"/>
                <w:szCs w:val="14"/>
              </w:rPr>
            </w:pPr>
            <w:r w:rsidRPr="001F5A47">
              <w:rPr>
                <w:rFonts w:ascii="Times New Roman" w:hAnsi="Times New Roman" w:cs="Times New Roman"/>
                <w:b/>
                <w:sz w:val="14"/>
                <w:szCs w:val="14"/>
              </w:rPr>
              <w:t>v eurách</w:t>
            </w:r>
          </w:p>
        </w:tc>
        <w:tc>
          <w:tcPr>
            <w:tcW w:w="98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2010 S</w:t>
            </w:r>
          </w:p>
        </w:tc>
        <w:tc>
          <w:tcPr>
            <w:tcW w:w="98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2011 S</w:t>
            </w:r>
          </w:p>
        </w:tc>
        <w:tc>
          <w:tcPr>
            <w:tcW w:w="98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2012 R</w:t>
            </w:r>
          </w:p>
        </w:tc>
        <w:tc>
          <w:tcPr>
            <w:tcW w:w="1043"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2012 OS</w:t>
            </w:r>
          </w:p>
        </w:tc>
        <w:tc>
          <w:tcPr>
            <w:tcW w:w="98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2013 N</w:t>
            </w:r>
          </w:p>
        </w:tc>
        <w:tc>
          <w:tcPr>
            <w:tcW w:w="98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2014 N</w:t>
            </w:r>
          </w:p>
        </w:tc>
        <w:tc>
          <w:tcPr>
            <w:tcW w:w="98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1F5A47" w:rsidP="006338E5">
            <w:pPr>
              <w:bidi w:val="0"/>
              <w:jc w:val="center"/>
              <w:rPr>
                <w:rFonts w:ascii="Times New Roman" w:hAnsi="Times New Roman" w:cs="Times New Roman"/>
                <w:b/>
                <w:sz w:val="14"/>
                <w:szCs w:val="14"/>
              </w:rPr>
            </w:pPr>
            <w:r w:rsidRPr="001F5A47">
              <w:rPr>
                <w:rFonts w:ascii="Times New Roman" w:hAnsi="Times New Roman" w:cs="Times New Roman"/>
                <w:b/>
                <w:sz w:val="14"/>
                <w:szCs w:val="14"/>
              </w:rPr>
              <w:t>2015 N</w:t>
            </w:r>
          </w:p>
        </w:tc>
      </w:tr>
      <w:tr>
        <w:tblPrEx>
          <w:tblW w:w="9542" w:type="dxa"/>
          <w:tblInd w:w="60" w:type="dxa"/>
          <w:tblCellMar>
            <w:left w:w="70" w:type="dxa"/>
            <w:right w:w="70" w:type="dxa"/>
          </w:tblCellMar>
          <w:tblLook w:val="04A0"/>
        </w:tblPrEx>
        <w:trPr>
          <w:trHeight w:val="227"/>
        </w:trPr>
        <w:tc>
          <w:tcPr>
            <w:tcW w:w="309"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tcPr>
          <w:p w:rsidR="009D2A34" w:rsidRPr="00BE2958" w:rsidP="006338E5">
            <w:pPr>
              <w:bidi w:val="0"/>
              <w:rPr>
                <w:rFonts w:ascii="Times New Roman" w:hAnsi="Times New Roman" w:cs="Times New Roman"/>
                <w:b/>
                <w:bCs/>
                <w:color w:val="000000"/>
                <w:sz w:val="14"/>
                <w:szCs w:val="14"/>
              </w:rPr>
            </w:pPr>
          </w:p>
        </w:tc>
        <w:tc>
          <w:tcPr>
            <w:tcW w:w="2268"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Invest. stimuly, reg. rozvoj</w:t>
            </w:r>
          </w:p>
        </w:tc>
        <w:tc>
          <w:tcPr>
            <w:tcW w:w="98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94 715 818</w:t>
            </w:r>
          </w:p>
        </w:tc>
        <w:tc>
          <w:tcPr>
            <w:tcW w:w="98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60 961 287</w:t>
            </w:r>
          </w:p>
        </w:tc>
        <w:tc>
          <w:tcPr>
            <w:tcW w:w="98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34 281 205</w:t>
            </w:r>
          </w:p>
        </w:tc>
        <w:tc>
          <w:tcPr>
            <w:tcW w:w="1043"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1F5A47" w:rsidP="006338E5">
            <w:pPr>
              <w:bidi w:val="0"/>
              <w:jc w:val="right"/>
              <w:rPr>
                <w:rFonts w:ascii="Times New Roman" w:hAnsi="Times New Roman" w:cs="Times New Roman"/>
                <w:b/>
                <w:sz w:val="14"/>
                <w:szCs w:val="14"/>
              </w:rPr>
            </w:pPr>
            <w:r w:rsidRPr="001F5A47">
              <w:rPr>
                <w:rFonts w:ascii="Times New Roman" w:hAnsi="Times New Roman" w:cs="Times New Roman"/>
                <w:b/>
                <w:sz w:val="14"/>
                <w:szCs w:val="14"/>
              </w:rPr>
              <w:t>68 654 507</w:t>
            </w:r>
          </w:p>
        </w:tc>
        <w:tc>
          <w:tcPr>
            <w:tcW w:w="98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1</w:t>
            </w:r>
            <w:r>
              <w:rPr>
                <w:rFonts w:ascii="Times New Roman" w:hAnsi="Times New Roman" w:cs="Times New Roman"/>
                <w:b/>
                <w:bCs/>
                <w:sz w:val="14"/>
                <w:szCs w:val="14"/>
              </w:rPr>
              <w:t>2 403 001</w:t>
            </w:r>
          </w:p>
        </w:tc>
        <w:tc>
          <w:tcPr>
            <w:tcW w:w="98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9 686 410</w:t>
            </w:r>
          </w:p>
        </w:tc>
        <w:tc>
          <w:tcPr>
            <w:tcW w:w="98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2 251 699</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single" w:sz="4" w:space="0" w:color="auto"/>
              <w:right w:val="single" w:sz="4" w:space="0" w:color="auto"/>
            </w:tcBorders>
            <w:shd w:val="clear" w:color="000000" w:fill="FFFFFF"/>
            <w:textDirection w:val="lrTb"/>
            <w:vAlign w:val="center"/>
          </w:tcPr>
          <w:p w:rsidR="009D2A34" w:rsidRPr="00BE2958" w:rsidP="006338E5">
            <w:pPr>
              <w:bidi w:val="0"/>
              <w:jc w:val="right"/>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A.</w:t>
            </w: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 xml:space="preserve">SARIO </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2 441 138</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2 721 524</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5 268 524</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0D016B" w:rsidP="006338E5">
            <w:pPr>
              <w:bidi w:val="0"/>
              <w:jc w:val="right"/>
              <w:rPr>
                <w:rFonts w:ascii="Times New Roman" w:hAnsi="Times New Roman" w:cs="Times New Roman"/>
                <w:b/>
                <w:sz w:val="14"/>
                <w:szCs w:val="14"/>
              </w:rPr>
            </w:pPr>
            <w:r w:rsidRPr="000D016B">
              <w:rPr>
                <w:rFonts w:ascii="Times New Roman" w:hAnsi="Times New Roman" w:cs="Times New Roman"/>
                <w:b/>
                <w:sz w:val="14"/>
                <w:szCs w:val="14"/>
              </w:rPr>
              <w:t>5 173 524</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Pr>
                <w:rFonts w:ascii="Times New Roman" w:hAnsi="Times New Roman" w:cs="Times New Roman"/>
                <w:b/>
                <w:bCs/>
                <w:sz w:val="14"/>
                <w:szCs w:val="14"/>
              </w:rPr>
              <w:t>3 139 972</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1 873 524</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1 873 524</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single" w:sz="4" w:space="0" w:color="auto"/>
              <w:right w:val="single" w:sz="4" w:space="0" w:color="auto"/>
            </w:tcBorders>
            <w:shd w:val="clear" w:color="000000" w:fill="FFFFFF"/>
            <w:textDirection w:val="lrTb"/>
            <w:vAlign w:val="center"/>
          </w:tcPr>
          <w:p w:rsidR="009D2A34" w:rsidRPr="00BE2958" w:rsidP="006338E5">
            <w:pPr>
              <w:bidi w:val="0"/>
              <w:jc w:val="right"/>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B.</w:t>
            </w: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 xml:space="preserve">Podpora reg. rozvoja </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11 290 546</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2 189 622</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3 600 000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0D016B" w:rsidP="006338E5">
            <w:pPr>
              <w:bidi w:val="0"/>
              <w:jc w:val="right"/>
              <w:rPr>
                <w:rFonts w:ascii="Times New Roman" w:hAnsi="Times New Roman" w:cs="Times New Roman"/>
                <w:b/>
                <w:sz w:val="14"/>
                <w:szCs w:val="14"/>
              </w:rPr>
            </w:pPr>
            <w:r w:rsidRPr="000D016B">
              <w:rPr>
                <w:rFonts w:ascii="Times New Roman" w:hAnsi="Times New Roman" w:cs="Times New Roman"/>
                <w:b/>
                <w:sz w:val="14"/>
                <w:szCs w:val="14"/>
              </w:rPr>
              <w:t>8 386 464</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single" w:sz="4" w:space="0" w:color="auto"/>
              <w:right w:val="single" w:sz="4" w:space="0" w:color="auto"/>
            </w:tcBorders>
            <w:shd w:val="clear" w:color="000000" w:fill="FFFFFF"/>
            <w:textDirection w:val="lrTb"/>
            <w:vAlign w:val="center"/>
          </w:tcPr>
          <w:p w:rsidR="009D2A34" w:rsidRPr="00BE2958" w:rsidP="006338E5">
            <w:pPr>
              <w:bidi w:val="0"/>
              <w:jc w:val="right"/>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C.</w:t>
            </w: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KIA + Hyundai</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6 991 971</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23 112 505</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0D016B" w:rsidP="006338E5">
            <w:pPr>
              <w:bidi w:val="0"/>
              <w:jc w:val="right"/>
              <w:rPr>
                <w:rFonts w:ascii="Times New Roman" w:hAnsi="Times New Roman" w:cs="Times New Roman"/>
                <w:b/>
                <w:sz w:val="14"/>
                <w:szCs w:val="14"/>
              </w:rPr>
            </w:pPr>
            <w:r w:rsidRPr="000D016B">
              <w:rPr>
                <w:rFonts w:ascii="Times New Roman" w:hAnsi="Times New Roman" w:cs="Times New Roman"/>
                <w:b/>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single" w:sz="4" w:space="0" w:color="auto"/>
              <w:right w:val="single" w:sz="4" w:space="0" w:color="auto"/>
            </w:tcBorders>
            <w:shd w:val="clear" w:color="000000" w:fill="FFFFFF"/>
            <w:textDirection w:val="lrTb"/>
            <w:vAlign w:val="center"/>
          </w:tcPr>
          <w:p w:rsidR="009D2A34" w:rsidRPr="00BE2958" w:rsidP="006338E5">
            <w:pPr>
              <w:bidi w:val="0"/>
              <w:jc w:val="right"/>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D.</w:t>
            </w: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 xml:space="preserve">Samsung </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33 353 736</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15 553 146</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0D016B" w:rsidP="006338E5">
            <w:pPr>
              <w:bidi w:val="0"/>
              <w:jc w:val="right"/>
              <w:rPr>
                <w:rFonts w:ascii="Times New Roman" w:hAnsi="Times New Roman" w:cs="Times New Roman"/>
                <w:b/>
                <w:sz w:val="14"/>
                <w:szCs w:val="14"/>
              </w:rPr>
            </w:pPr>
            <w:r w:rsidRPr="000D016B">
              <w:rPr>
                <w:rFonts w:ascii="Times New Roman" w:hAnsi="Times New Roman" w:cs="Times New Roman"/>
                <w:b/>
                <w:sz w:val="14"/>
                <w:szCs w:val="14"/>
              </w:rPr>
              <w:t>2 268 118</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single" w:sz="4" w:space="0" w:color="auto"/>
              <w:right w:val="single" w:sz="4" w:space="0" w:color="auto"/>
            </w:tcBorders>
            <w:shd w:val="clear" w:color="000000" w:fill="FFFFFF"/>
            <w:textDirection w:val="lrTb"/>
            <w:vAlign w:val="center"/>
          </w:tcPr>
          <w:p w:rsidR="009D2A34" w:rsidRPr="00BE2958" w:rsidP="006338E5">
            <w:pPr>
              <w:bidi w:val="0"/>
              <w:jc w:val="right"/>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E.</w:t>
            </w: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 xml:space="preserve">KIA Motors - rozš. výroby </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4 634 614</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8 481 826</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0D016B" w:rsidP="006338E5">
            <w:pPr>
              <w:bidi w:val="0"/>
              <w:jc w:val="right"/>
              <w:rPr>
                <w:rFonts w:ascii="Times New Roman" w:hAnsi="Times New Roman" w:cs="Times New Roman"/>
                <w:b/>
                <w:sz w:val="14"/>
                <w:szCs w:val="14"/>
              </w:rPr>
            </w:pPr>
            <w:r w:rsidRPr="000D016B">
              <w:rPr>
                <w:rFonts w:ascii="Times New Roman" w:hAnsi="Times New Roman" w:cs="Times New Roman"/>
                <w:b/>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single" w:sz="4" w:space="0" w:color="auto"/>
              <w:right w:val="single" w:sz="4" w:space="0" w:color="auto"/>
            </w:tcBorders>
            <w:shd w:val="clear" w:color="000000" w:fill="FFFFFF"/>
            <w:textDirection w:val="lrTb"/>
            <w:vAlign w:val="center"/>
          </w:tcPr>
          <w:p w:rsidR="009D2A34" w:rsidRPr="00BE2958" w:rsidP="006338E5">
            <w:pPr>
              <w:bidi w:val="0"/>
              <w:jc w:val="right"/>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F.</w:t>
            </w: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AU Optronics</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24 465 140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3 669 000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8 551 000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0D016B" w:rsidP="006338E5">
            <w:pPr>
              <w:bidi w:val="0"/>
              <w:jc w:val="right"/>
              <w:rPr>
                <w:rFonts w:ascii="Times New Roman" w:hAnsi="Times New Roman" w:cs="Times New Roman"/>
                <w:b/>
                <w:sz w:val="14"/>
                <w:szCs w:val="14"/>
              </w:rPr>
            </w:pPr>
            <w:r w:rsidRPr="000D016B">
              <w:rPr>
                <w:rFonts w:ascii="Times New Roman" w:hAnsi="Times New Roman" w:cs="Times New Roman"/>
                <w:b/>
                <w:sz w:val="14"/>
                <w:szCs w:val="14"/>
              </w:rPr>
              <w:t>32 356 000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single" w:sz="4" w:space="0" w:color="auto"/>
              <w:right w:val="single" w:sz="4" w:space="0" w:color="auto"/>
            </w:tcBorders>
            <w:shd w:val="clear" w:color="000000" w:fill="FFFFFF"/>
            <w:textDirection w:val="lrTb"/>
            <w:vAlign w:val="center"/>
          </w:tcPr>
          <w:p w:rsidR="009D2A34" w:rsidRPr="00BE2958" w:rsidP="006338E5">
            <w:pPr>
              <w:bidi w:val="0"/>
              <w:jc w:val="right"/>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G.</w:t>
            </w: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Iné inv. stimuly spolu</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11 538 673</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5 233 664</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16 861 681</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0D016B" w:rsidP="006338E5">
            <w:pPr>
              <w:bidi w:val="0"/>
              <w:jc w:val="right"/>
              <w:rPr>
                <w:rFonts w:ascii="Times New Roman" w:hAnsi="Times New Roman" w:cs="Times New Roman"/>
                <w:b/>
                <w:sz w:val="14"/>
                <w:szCs w:val="14"/>
              </w:rPr>
            </w:pPr>
            <w:r w:rsidRPr="000D016B">
              <w:rPr>
                <w:rFonts w:ascii="Times New Roman" w:hAnsi="Times New Roman" w:cs="Times New Roman"/>
                <w:b/>
                <w:sz w:val="14"/>
                <w:szCs w:val="14"/>
              </w:rPr>
              <w:t>20 470 401</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9 263 029</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7 812 886</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b/>
                <w:bCs/>
                <w:sz w:val="14"/>
                <w:szCs w:val="14"/>
              </w:rPr>
            </w:pPr>
            <w:r w:rsidRPr="00535FA0">
              <w:rPr>
                <w:rFonts w:ascii="Times New Roman" w:hAnsi="Times New Roman" w:cs="Times New Roman"/>
                <w:b/>
                <w:bCs/>
                <w:sz w:val="14"/>
                <w:szCs w:val="14"/>
              </w:rPr>
              <w:t>378 175</w:t>
            </w:r>
          </w:p>
        </w:tc>
      </w:tr>
      <w:tr>
        <w:tblPrEx>
          <w:tblW w:w="9542" w:type="dxa"/>
          <w:tblInd w:w="60" w:type="dxa"/>
          <w:tblCellMar>
            <w:left w:w="70" w:type="dxa"/>
            <w:right w:w="70" w:type="dxa"/>
          </w:tblCellMar>
          <w:tblLook w:val="04A0"/>
        </w:tblPrEx>
        <w:trPr>
          <w:trHeight w:val="227"/>
        </w:trPr>
        <w:tc>
          <w:tcPr>
            <w:tcW w:w="309" w:type="dxa"/>
            <w:tcBorders>
              <w:top w:val="single" w:sz="4" w:space="0" w:color="auto"/>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z toho:</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color w:val="000000"/>
                <w:sz w:val="14"/>
                <w:szCs w:val="14"/>
              </w:rPr>
            </w:pPr>
            <w:r w:rsidRPr="00535FA0">
              <w:rPr>
                <w:rFonts w:ascii="Times New Roman" w:hAnsi="Times New Roman" w:cs="Times New Roman"/>
                <w:color w:val="000000"/>
                <w:sz w:val="14"/>
                <w:szCs w:val="14"/>
              </w:rPr>
              <w:t> </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color w:val="000000"/>
                <w:sz w:val="14"/>
                <w:szCs w:val="14"/>
              </w:rPr>
            </w:pPr>
            <w:r w:rsidRPr="00535FA0">
              <w:rPr>
                <w:rFonts w:ascii="Times New Roman" w:hAnsi="Times New Roman" w:cs="Times New Roman"/>
                <w:color w:val="000000"/>
                <w:sz w:val="14"/>
                <w:szCs w:val="14"/>
              </w:rPr>
              <w:t> </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color w:val="000000"/>
                <w:sz w:val="14"/>
                <w:szCs w:val="14"/>
              </w:rPr>
            </w:pPr>
            <w:r w:rsidRPr="00535FA0">
              <w:rPr>
                <w:rFonts w:ascii="Times New Roman" w:hAnsi="Times New Roman" w:cs="Times New Roman"/>
                <w:color w:val="000000"/>
                <w:sz w:val="14"/>
                <w:szCs w:val="14"/>
              </w:rPr>
              <w:t> </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ICU Medical Vráble</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1 394 282</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1 287 169</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108 550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IEE Sensing Slovakia</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88 999</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380 092</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Pr>
                <w:rFonts w:ascii="Times New Roman" w:hAnsi="Times New Roman" w:cs="Times New Roman"/>
                <w:sz w:val="14"/>
                <w:szCs w:val="14"/>
              </w:rPr>
              <w:t>30 907</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Sapa Profily</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247 271</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392 434</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Pr>
                <w:rFonts w:ascii="Times New Roman" w:hAnsi="Times New Roman" w:cs="Times New Roman"/>
                <w:sz w:val="14"/>
                <w:szCs w:val="14"/>
              </w:rPr>
              <w:t>269 926</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80 863</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Stawi</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475 054</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550 000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681 303</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Monocrystalex SK</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469 187</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Pr>
                <w:rFonts w:ascii="Times New Roman" w:hAnsi="Times New Roman" w:cs="Times New Roman"/>
                <w:sz w:val="14"/>
                <w:szCs w:val="14"/>
              </w:rPr>
              <w:t>2 063 807</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SKH Plastic</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4 119 119</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380 881</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ZKW</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257 981</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290 722</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CEIT</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38 230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309 001</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1 526 326</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674 533</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894 033</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Semecs</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829 000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829 000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246 000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425 000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Bodet &amp; Horst</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2 660 160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408 608</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1 316 840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1 558 042</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LVD Company</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253 783</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342 727</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1 084 171</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474 546</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Embraco Slovakia</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358 200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1 700 000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2 341 800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Dell</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311 226</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Johnson Controls Trenčín</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33 474</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1 437 588</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Muelbauer Technolog.</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1 340 131</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Ness Slovakia</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79 574</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ON Semiconductor Bratisl.</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10 034</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17 167</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RBD</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233 333</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Orava Skipark</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1 035 265</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485 583</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485 583</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Crown Bevcan Slovakia</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1 784 704</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Pr>
                <w:rFonts w:ascii="Times New Roman" w:hAnsi="Times New Roman" w:cs="Times New Roman"/>
                <w:sz w:val="14"/>
                <w:szCs w:val="14"/>
              </w:rPr>
              <w:t>0</w:t>
            </w:r>
            <w:r w:rsidRPr="009B1FDF">
              <w:rPr>
                <w:rFonts w:ascii="Times New Roman" w:hAnsi="Times New Roman" w:cs="Times New Roman"/>
                <w:sz w:val="14"/>
                <w:szCs w:val="14"/>
              </w:rPr>
              <w:t> </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color w:val="000000"/>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   Honeywell</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2 837 978</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2 837 978</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2 764 098</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5 915 378</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 xml:space="preserve">   Behr Slovakia</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Pr>
                <w:rFonts w:ascii="Times New Roman" w:hAnsi="Times New Roman" w:cs="Times New Roman"/>
                <w:sz w:val="14"/>
                <w:szCs w:val="14"/>
              </w:rPr>
              <w:t>0</w:t>
            </w:r>
            <w:r w:rsidRPr="00BE2958">
              <w:rPr>
                <w:rFonts w:ascii="Times New Roman" w:hAnsi="Times New Roman" w:cs="Times New Roman"/>
                <w:sz w:val="14"/>
                <w:szCs w:val="14"/>
              </w:rPr>
              <w:t> </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Pr>
                <w:rFonts w:ascii="Times New Roman" w:hAnsi="Times New Roman" w:cs="Times New Roman"/>
                <w:sz w:val="14"/>
                <w:szCs w:val="14"/>
              </w:rPr>
              <w:t>0</w:t>
            </w:r>
            <w:r w:rsidRPr="00BE2958">
              <w:rPr>
                <w:rFonts w:ascii="Times New Roman" w:hAnsi="Times New Roman" w:cs="Times New Roman"/>
                <w:sz w:val="14"/>
                <w:szCs w:val="14"/>
              </w:rPr>
              <w:t> </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412 000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219 472</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282 000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6 000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0 </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 xml:space="preserve">   PLASTIFLEX Slovakia</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361 446</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361 446</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84 337</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281 928</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72 289</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 xml:space="preserve">   Secop</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3 719 701</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2 123 301</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371 972</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289 311</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0 </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 xml:space="preserve">   ASPEL Slovakia</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244 794</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244 794</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261 426</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212 894</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150 886</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 xml:space="preserve">   Gallai&amp;Wolf</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1 666 871</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1 666 871</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958 754</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374 375</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0 </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none" w:sz="0"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 xml:space="preserve">   Johnson Controlls Lučenec</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218 000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218 000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345 000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308 000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155 000</w:t>
            </w:r>
          </w:p>
        </w:tc>
      </w:tr>
      <w:tr>
        <w:tblPrEx>
          <w:tblW w:w="9542" w:type="dxa"/>
          <w:tblInd w:w="60" w:type="dxa"/>
          <w:tblCellMar>
            <w:left w:w="70" w:type="dxa"/>
            <w:right w:w="70" w:type="dxa"/>
          </w:tblCellMar>
          <w:tblLook w:val="04A0"/>
        </w:tblPrEx>
        <w:trPr>
          <w:trHeight w:val="227"/>
        </w:trPr>
        <w:tc>
          <w:tcPr>
            <w:tcW w:w="309" w:type="dxa"/>
            <w:tcBorders>
              <w:top w:val="nil"/>
              <w:left w:val="single" w:sz="4" w:space="0" w:color="auto"/>
              <w:bottom w:val="single" w:sz="4" w:space="0" w:color="auto"/>
              <w:right w:val="single" w:sz="4" w:space="0" w:color="auto"/>
            </w:tcBorders>
            <w:shd w:val="clear" w:color="000000" w:fill="FFFFFF"/>
            <w:textDirection w:val="lrTb"/>
            <w:vAlign w:val="center"/>
          </w:tcPr>
          <w:p w:rsidR="009D2A34" w:rsidRPr="00BE2958" w:rsidP="006338E5">
            <w:pPr>
              <w:bidi w:val="0"/>
              <w:rPr>
                <w:rFonts w:ascii="Times New Roman" w:hAnsi="Times New Roman" w:cs="Times New Roman"/>
                <w:sz w:val="14"/>
                <w:szCs w:val="14"/>
              </w:rPr>
            </w:pPr>
          </w:p>
        </w:tc>
        <w:tc>
          <w:tcPr>
            <w:tcW w:w="2268"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 xml:space="preserve">   CELLTEX</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sz w:val="14"/>
                <w:szCs w:val="14"/>
              </w:rPr>
            </w:pPr>
            <w:r w:rsidRPr="009B1FDF">
              <w:rPr>
                <w:rFonts w:ascii="Times New Roman" w:hAnsi="Times New Roman" w:cs="Times New Roman"/>
                <w:sz w:val="14"/>
                <w:szCs w:val="14"/>
              </w:rPr>
              <w:t>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2 500 000</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0 </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535FA0" w:rsidP="006338E5">
            <w:pPr>
              <w:bidi w:val="0"/>
              <w:jc w:val="right"/>
              <w:rPr>
                <w:rFonts w:ascii="Times New Roman" w:hAnsi="Times New Roman" w:cs="Times New Roman"/>
                <w:sz w:val="14"/>
                <w:szCs w:val="14"/>
              </w:rPr>
            </w:pPr>
            <w:r w:rsidRPr="00535FA0">
              <w:rPr>
                <w:rFonts w:ascii="Times New Roman" w:hAnsi="Times New Roman" w:cs="Times New Roman"/>
                <w:sz w:val="14"/>
                <w:szCs w:val="14"/>
              </w:rPr>
              <w:t>0 </w:t>
            </w:r>
          </w:p>
        </w:tc>
      </w:tr>
    </w:tbl>
    <w:p w:rsidR="009D2A34" w:rsidRPr="00B81532" w:rsidP="009D2A34">
      <w:pPr>
        <w:bidi w:val="0"/>
        <w:jc w:val="both"/>
        <w:rPr>
          <w:rFonts w:ascii="Times New Roman" w:hAnsi="Times New Roman" w:cs="Times New Roman"/>
        </w:rPr>
      </w:pPr>
    </w:p>
    <w:p w:rsidR="009D2A34" w:rsidP="009D2A34">
      <w:pPr>
        <w:bidi w:val="0"/>
        <w:ind w:firstLine="708"/>
        <w:jc w:val="both"/>
        <w:rPr>
          <w:rFonts w:ascii="Times New Roman" w:hAnsi="Times New Roman" w:cs="Times New Roman"/>
        </w:rPr>
      </w:pPr>
      <w:r w:rsidRPr="00B81532">
        <w:rPr>
          <w:rFonts w:ascii="Times New Roman" w:hAnsi="Times New Roman" w:cs="Times New Roman"/>
        </w:rPr>
        <w:t>Výdavky v tejto oblasti sú na rok 2013 r</w:t>
      </w:r>
      <w:r>
        <w:rPr>
          <w:rFonts w:ascii="Times New Roman" w:hAnsi="Times New Roman" w:cs="Times New Roman"/>
        </w:rPr>
        <w:t>ozpočtované v celkovej sume 12,4</w:t>
      </w:r>
      <w:r w:rsidRPr="00B81532">
        <w:rPr>
          <w:rFonts w:ascii="Times New Roman" w:hAnsi="Times New Roman" w:cs="Times New Roman"/>
        </w:rPr>
        <w:t xml:space="preserve"> mil. eur, oproti schválenému roz</w:t>
      </w:r>
      <w:r>
        <w:rPr>
          <w:rFonts w:ascii="Times New Roman" w:hAnsi="Times New Roman" w:cs="Times New Roman"/>
        </w:rPr>
        <w:t>počtu na rok 2012 klesajú o 63,8</w:t>
      </w:r>
      <w:r w:rsidRPr="00B81532">
        <w:rPr>
          <w:rFonts w:ascii="Times New Roman" w:hAnsi="Times New Roman" w:cs="Times New Roman"/>
        </w:rPr>
        <w:t xml:space="preserve"> %</w:t>
      </w:r>
      <w:r>
        <w:rPr>
          <w:rFonts w:ascii="Times New Roman" w:hAnsi="Times New Roman" w:cs="Times New Roman"/>
        </w:rPr>
        <w:t>, t. j.</w:t>
      </w:r>
      <w:r w:rsidRPr="00B81532">
        <w:rPr>
          <w:rFonts w:ascii="Times New Roman" w:hAnsi="Times New Roman" w:cs="Times New Roman"/>
        </w:rPr>
        <w:t xml:space="preserve"> </w:t>
      </w:r>
      <w:r>
        <w:rPr>
          <w:rFonts w:ascii="Times New Roman" w:hAnsi="Times New Roman" w:cs="Times New Roman"/>
        </w:rPr>
        <w:t xml:space="preserve">o 21,9 mil. eur </w:t>
      </w:r>
      <w:r w:rsidRPr="00B81532">
        <w:rPr>
          <w:rFonts w:ascii="Times New Roman" w:hAnsi="Times New Roman" w:cs="Times New Roman"/>
        </w:rPr>
        <w:t>z dôvodu poklesu výdav</w:t>
      </w:r>
      <w:r>
        <w:rPr>
          <w:rFonts w:ascii="Times New Roman" w:hAnsi="Times New Roman" w:cs="Times New Roman"/>
        </w:rPr>
        <w:t xml:space="preserve">kov na </w:t>
      </w:r>
      <w:r w:rsidRPr="00B81532">
        <w:rPr>
          <w:rFonts w:ascii="Times New Roman" w:hAnsi="Times New Roman" w:cs="Times New Roman"/>
        </w:rPr>
        <w:t xml:space="preserve">investičné projekty, nerozpočtovania výdavkov na regionálny rozvoj a poklesu výdavkov pre SARIO. </w:t>
      </w:r>
    </w:p>
    <w:p w:rsidR="009D2A34" w:rsidRPr="00B81532" w:rsidP="009D2A34">
      <w:pPr>
        <w:bidi w:val="0"/>
        <w:ind w:firstLine="708"/>
        <w:jc w:val="both"/>
        <w:rPr>
          <w:rFonts w:ascii="Times New Roman" w:hAnsi="Times New Roman" w:cs="Times New Roman"/>
        </w:rPr>
      </w:pPr>
    </w:p>
    <w:p w:rsidR="009D2A34" w:rsidRPr="00811A0B" w:rsidP="009D2A34">
      <w:pPr>
        <w:bidi w:val="0"/>
        <w:jc w:val="both"/>
        <w:rPr>
          <w:rFonts w:ascii="Times New Roman" w:hAnsi="Times New Roman" w:cs="Times New Roman"/>
          <w:b/>
        </w:rPr>
      </w:pPr>
      <w:r w:rsidRPr="00811A0B">
        <w:rPr>
          <w:rFonts w:ascii="Times New Roman" w:hAnsi="Times New Roman" w:cs="Times New Roman"/>
          <w:b/>
        </w:rPr>
        <w:t>Inovácie</w:t>
      </w:r>
    </w:p>
    <w:p w:rsidR="009D2A34" w:rsidRPr="00CD37C6" w:rsidP="009D2A34">
      <w:pPr>
        <w:bidi w:val="0"/>
        <w:jc w:val="both"/>
        <w:rPr>
          <w:rFonts w:ascii="Times New Roman" w:hAnsi="Times New Roman" w:cs="Times New Roman"/>
          <w:b/>
          <w:highlight w:val="yellow"/>
        </w:rPr>
      </w:pPr>
    </w:p>
    <w:tbl>
      <w:tblPr>
        <w:tblStyle w:val="TableNormal"/>
        <w:tblW w:w="9125" w:type="dxa"/>
        <w:tblInd w:w="60" w:type="dxa"/>
        <w:tblCellMar>
          <w:left w:w="70" w:type="dxa"/>
          <w:right w:w="70" w:type="dxa"/>
        </w:tblCellMar>
        <w:tblLook w:val="04A0"/>
      </w:tblPr>
      <w:tblGrid>
        <w:gridCol w:w="2155"/>
        <w:gridCol w:w="988"/>
        <w:gridCol w:w="988"/>
        <w:gridCol w:w="1043"/>
        <w:gridCol w:w="987"/>
        <w:gridCol w:w="988"/>
        <w:gridCol w:w="988"/>
        <w:gridCol w:w="988"/>
      </w:tblGrid>
      <w:tr>
        <w:tblPrEx>
          <w:tblW w:w="9125" w:type="dxa"/>
          <w:tblInd w:w="60" w:type="dxa"/>
          <w:tblCellMar>
            <w:left w:w="70" w:type="dxa"/>
            <w:right w:w="70" w:type="dxa"/>
          </w:tblCellMar>
          <w:tblLook w:val="04A0"/>
        </w:tblPrEx>
        <w:trPr>
          <w:trHeight w:val="255"/>
        </w:trPr>
        <w:tc>
          <w:tcPr>
            <w:tcW w:w="215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BE2958" w:rsidP="006338E5">
            <w:pPr>
              <w:bidi w:val="0"/>
              <w:rPr>
                <w:rFonts w:ascii="Times New Roman" w:hAnsi="Times New Roman" w:cs="Times New Roman"/>
                <w:b/>
                <w:bCs/>
                <w:color w:val="000000"/>
                <w:sz w:val="14"/>
                <w:szCs w:val="14"/>
              </w:rPr>
            </w:pPr>
            <w:r w:rsidRPr="00BE2958">
              <w:rPr>
                <w:rFonts w:ascii="Times New Roman" w:hAnsi="Times New Roman" w:cs="Times New Roman"/>
                <w:color w:val="000000"/>
                <w:sz w:val="14"/>
                <w:szCs w:val="14"/>
                <w:lang w:eastAsia="sk-SK"/>
              </w:rPr>
              <w:t> </w:t>
            </w:r>
            <w:r w:rsidRPr="00BE2958">
              <w:rPr>
                <w:rFonts w:ascii="Times New Roman" w:hAnsi="Times New Roman" w:cs="Times New Roman"/>
                <w:b/>
                <w:bCs/>
                <w:color w:val="000000"/>
                <w:sz w:val="14"/>
                <w:szCs w:val="14"/>
                <w:lang w:eastAsia="sk-SK"/>
              </w:rPr>
              <w:t>v eurách</w:t>
            </w:r>
          </w:p>
        </w:tc>
        <w:tc>
          <w:tcPr>
            <w:tcW w:w="98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2010</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8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2011</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1043"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R</w:t>
            </w:r>
          </w:p>
        </w:tc>
        <w:tc>
          <w:tcPr>
            <w:tcW w:w="987"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OS</w:t>
            </w:r>
          </w:p>
        </w:tc>
        <w:tc>
          <w:tcPr>
            <w:tcW w:w="98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2013 N</w:t>
            </w:r>
          </w:p>
        </w:tc>
        <w:tc>
          <w:tcPr>
            <w:tcW w:w="98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2014 N</w:t>
            </w:r>
          </w:p>
        </w:tc>
        <w:tc>
          <w:tcPr>
            <w:tcW w:w="98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2015 N</w:t>
            </w:r>
          </w:p>
        </w:tc>
      </w:tr>
      <w:tr>
        <w:tblPrEx>
          <w:tblW w:w="9125" w:type="dxa"/>
          <w:tblInd w:w="60" w:type="dxa"/>
          <w:tblCellMar>
            <w:left w:w="70" w:type="dxa"/>
            <w:right w:w="70" w:type="dxa"/>
          </w:tblCellMar>
          <w:tblLook w:val="04A0"/>
        </w:tblPrEx>
        <w:trPr>
          <w:trHeight w:val="255"/>
        </w:trPr>
        <w:tc>
          <w:tcPr>
            <w:tcW w:w="2155"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Inovácie</w:t>
            </w:r>
          </w:p>
        </w:tc>
        <w:tc>
          <w:tcPr>
            <w:tcW w:w="98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31 822 235</w:t>
            </w:r>
          </w:p>
        </w:tc>
        <w:tc>
          <w:tcPr>
            <w:tcW w:w="98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91 890 806</w:t>
            </w:r>
          </w:p>
        </w:tc>
        <w:tc>
          <w:tcPr>
            <w:tcW w:w="1043"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70 771 242</w:t>
            </w:r>
          </w:p>
        </w:tc>
        <w:tc>
          <w:tcPr>
            <w:tcW w:w="98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9B1FDF" w:rsidP="006338E5">
            <w:pPr>
              <w:bidi w:val="0"/>
              <w:jc w:val="right"/>
              <w:rPr>
                <w:rFonts w:ascii="Times New Roman" w:hAnsi="Times New Roman" w:cs="Times New Roman"/>
                <w:b/>
                <w:bCs/>
                <w:sz w:val="14"/>
                <w:szCs w:val="14"/>
              </w:rPr>
            </w:pPr>
            <w:r w:rsidRPr="009B1FDF">
              <w:rPr>
                <w:rFonts w:ascii="Times New Roman" w:hAnsi="Times New Roman" w:cs="Times New Roman"/>
                <w:b/>
                <w:bCs/>
                <w:sz w:val="14"/>
                <w:szCs w:val="14"/>
              </w:rPr>
              <w:t>70 829 465</w:t>
            </w:r>
          </w:p>
        </w:tc>
        <w:tc>
          <w:tcPr>
            <w:tcW w:w="98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sidRPr="000D5A0D">
              <w:rPr>
                <w:rFonts w:ascii="Times New Roman" w:hAnsi="Times New Roman" w:cs="Times New Roman"/>
                <w:b/>
                <w:bCs/>
                <w:sz w:val="14"/>
                <w:szCs w:val="14"/>
              </w:rPr>
              <w:t>85 980 163</w:t>
            </w:r>
          </w:p>
        </w:tc>
        <w:tc>
          <w:tcPr>
            <w:tcW w:w="98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sidRPr="000D5A0D">
              <w:rPr>
                <w:rFonts w:ascii="Times New Roman" w:hAnsi="Times New Roman" w:cs="Times New Roman"/>
                <w:b/>
                <w:bCs/>
                <w:sz w:val="14"/>
                <w:szCs w:val="14"/>
              </w:rPr>
              <w:t>201 663 022</w:t>
            </w:r>
          </w:p>
        </w:tc>
        <w:tc>
          <w:tcPr>
            <w:tcW w:w="98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Pr>
                <w:rFonts w:ascii="Times New Roman" w:hAnsi="Times New Roman" w:cs="Times New Roman"/>
                <w:b/>
                <w:bCs/>
                <w:sz w:val="14"/>
                <w:szCs w:val="14"/>
              </w:rPr>
              <w:t>61 708 235</w:t>
            </w:r>
          </w:p>
        </w:tc>
      </w:tr>
      <w:tr>
        <w:tblPrEx>
          <w:tblW w:w="9125" w:type="dxa"/>
          <w:tblInd w:w="60" w:type="dxa"/>
          <w:tblCellMar>
            <w:left w:w="70" w:type="dxa"/>
            <w:right w:w="70" w:type="dxa"/>
          </w:tblCellMar>
          <w:tblLook w:val="04A0"/>
        </w:tblPrEx>
        <w:trPr>
          <w:trHeight w:val="255"/>
        </w:trPr>
        <w:tc>
          <w:tcPr>
            <w:tcW w:w="2155"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Výdavky EÚ a spolufin.</w:t>
            </w:r>
          </w:p>
        </w:tc>
        <w:tc>
          <w:tcPr>
            <w:tcW w:w="98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31 822 235</w:t>
            </w:r>
          </w:p>
        </w:tc>
        <w:tc>
          <w:tcPr>
            <w:tcW w:w="988"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91 890 806</w:t>
            </w:r>
          </w:p>
        </w:tc>
        <w:tc>
          <w:tcPr>
            <w:tcW w:w="1043"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70 771 242</w:t>
            </w:r>
          </w:p>
        </w:tc>
        <w:tc>
          <w:tcPr>
            <w:tcW w:w="987"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bCs/>
                <w:sz w:val="14"/>
                <w:szCs w:val="14"/>
              </w:rPr>
            </w:pPr>
            <w:r w:rsidRPr="009B1FDF">
              <w:rPr>
                <w:rFonts w:ascii="Times New Roman" w:hAnsi="Times New Roman" w:cs="Times New Roman"/>
                <w:bCs/>
                <w:sz w:val="14"/>
                <w:szCs w:val="14"/>
              </w:rPr>
              <w:t>70 829 465</w:t>
            </w:r>
          </w:p>
        </w:tc>
        <w:tc>
          <w:tcPr>
            <w:tcW w:w="988"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85 980 163</w:t>
            </w:r>
          </w:p>
        </w:tc>
        <w:tc>
          <w:tcPr>
            <w:tcW w:w="988"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201 663 022</w:t>
            </w:r>
          </w:p>
        </w:tc>
        <w:tc>
          <w:tcPr>
            <w:tcW w:w="988"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Pr>
                <w:rFonts w:ascii="Times New Roman" w:hAnsi="Times New Roman" w:cs="Times New Roman"/>
                <w:sz w:val="14"/>
                <w:szCs w:val="14"/>
              </w:rPr>
              <w:t>61 708 235</w:t>
            </w:r>
          </w:p>
        </w:tc>
      </w:tr>
    </w:tbl>
    <w:p w:rsidR="009D2A34" w:rsidRPr="00CD37C6" w:rsidP="009D2A34">
      <w:pPr>
        <w:bidi w:val="0"/>
        <w:jc w:val="both"/>
        <w:rPr>
          <w:rFonts w:ascii="Times New Roman" w:hAnsi="Times New Roman" w:cs="Times New Roman"/>
          <w:highlight w:val="yellow"/>
        </w:rPr>
      </w:pPr>
    </w:p>
    <w:p w:rsidR="009D2A34" w:rsidP="009D2A34">
      <w:pPr>
        <w:bidi w:val="0"/>
        <w:ind w:firstLine="708"/>
        <w:jc w:val="both"/>
        <w:rPr>
          <w:rFonts w:ascii="Times New Roman" w:hAnsi="Times New Roman" w:cs="Times New Roman"/>
          <w:iCs/>
        </w:rPr>
      </w:pPr>
      <w:r w:rsidRPr="007E10E9">
        <w:rPr>
          <w:rFonts w:ascii="Times New Roman" w:hAnsi="Times New Roman" w:cs="Times New Roman"/>
          <w:bCs/>
          <w:iCs/>
        </w:rPr>
        <w:t xml:space="preserve">Na </w:t>
      </w:r>
      <w:r w:rsidRPr="007E10E9">
        <w:rPr>
          <w:rFonts w:ascii="Times New Roman" w:hAnsi="Times New Roman" w:cs="Times New Roman"/>
          <w:iCs/>
        </w:rPr>
        <w:t xml:space="preserve">podporu inovácií sa na rok 2013 rozpočtujú finančné prostriedky </w:t>
      </w:r>
      <w:r w:rsidRPr="007E10E9">
        <w:rPr>
          <w:rFonts w:ascii="Times New Roman" w:hAnsi="Times New Roman" w:cs="Times New Roman"/>
        </w:rPr>
        <w:t>EÚ a spolufinancovania v rámci OP KaHR</w:t>
      </w:r>
      <w:r w:rsidRPr="007E10E9">
        <w:rPr>
          <w:rFonts w:ascii="Times New Roman" w:hAnsi="Times New Roman" w:cs="Times New Roman"/>
          <w:iCs/>
        </w:rPr>
        <w:t xml:space="preserve"> vo výške </w:t>
      </w:r>
      <w:r>
        <w:rPr>
          <w:rFonts w:ascii="Times New Roman" w:hAnsi="Times New Roman" w:cs="Times New Roman"/>
          <w:iCs/>
        </w:rPr>
        <w:t>86,0</w:t>
      </w:r>
      <w:r w:rsidRPr="007E10E9">
        <w:rPr>
          <w:rFonts w:ascii="Times New Roman" w:hAnsi="Times New Roman" w:cs="Times New Roman"/>
          <w:iCs/>
        </w:rPr>
        <w:t xml:space="preserve"> mil. eur</w:t>
      </w:r>
      <w:r>
        <w:rPr>
          <w:rFonts w:ascii="Times New Roman" w:hAnsi="Times New Roman" w:cs="Times New Roman"/>
          <w:iCs/>
        </w:rPr>
        <w:t>, čo je oproti schválenému rozpočtu na rok 2012 viac o 21,5 %, t. j. o 15,2 mil. eur</w:t>
      </w:r>
      <w:r w:rsidRPr="007E10E9">
        <w:rPr>
          <w:rFonts w:ascii="Times New Roman" w:hAnsi="Times New Roman" w:cs="Times New Roman"/>
          <w:iCs/>
        </w:rPr>
        <w:t xml:space="preserve">.  </w:t>
      </w:r>
      <w:r w:rsidRPr="007E10E9">
        <w:rPr>
          <w:rFonts w:ascii="Times New Roman" w:hAnsi="Times New Roman" w:cs="Times New Roman"/>
        </w:rPr>
        <w:t>Hlavným účelom podpory podnikania v oblasti inovácií a technologických transferov je zvýšenie konkurencieschopnosti existujúcich podnikov zavedením inovatívnych a vyspelých technológií, strojov, prístrojov a zariadení, zlepšenie využívania domácich a obno</w:t>
      </w:r>
      <w:r>
        <w:rPr>
          <w:rFonts w:ascii="Times New Roman" w:hAnsi="Times New Roman" w:cs="Times New Roman"/>
        </w:rPr>
        <w:t>viteľných surovín, ako aj tvorba</w:t>
      </w:r>
      <w:r w:rsidRPr="007E10E9">
        <w:rPr>
          <w:rFonts w:ascii="Times New Roman" w:hAnsi="Times New Roman" w:cs="Times New Roman"/>
        </w:rPr>
        <w:t xml:space="preserve"> pracovných miest prostredníctvom rozvoja podnikania. Výdavky v tejto oblasti sú určené aj </w:t>
      </w:r>
      <w:r w:rsidRPr="00A043AB">
        <w:rPr>
          <w:rFonts w:ascii="Times New Roman" w:hAnsi="Times New Roman" w:cs="Times New Roman"/>
        </w:rPr>
        <w:t xml:space="preserve">na účasť slovenských výrobcov na veľtrhoch, výstavách, obchodných </w:t>
      </w:r>
      <w:r w:rsidRPr="00A043AB">
        <w:rPr>
          <w:rFonts w:ascii="Times New Roman" w:hAnsi="Times New Roman" w:cs="Times New Roman"/>
          <w:iCs/>
        </w:rPr>
        <w:t>misiách a subkontraktačných veľtrhoch. Finančné prostriedky sú navrhované aj na zavádzanie systémov manažérstva kvality, ochranu duševného vlas</w:t>
      </w:r>
      <w:r>
        <w:rPr>
          <w:rFonts w:ascii="Times New Roman" w:hAnsi="Times New Roman" w:cs="Times New Roman"/>
          <w:iCs/>
        </w:rPr>
        <w:t>tníctva, priemyselného dizajnu.</w:t>
      </w:r>
    </w:p>
    <w:p w:rsidR="009D2A34" w:rsidRPr="00A043AB" w:rsidP="009D2A34">
      <w:pPr>
        <w:bidi w:val="0"/>
        <w:jc w:val="both"/>
        <w:rPr>
          <w:rFonts w:ascii="Times New Roman" w:hAnsi="Times New Roman" w:cs="Times New Roman"/>
        </w:rPr>
      </w:pPr>
    </w:p>
    <w:p w:rsidR="009D2A34" w:rsidRPr="007E10E9" w:rsidP="009D2A34">
      <w:pPr>
        <w:bidi w:val="0"/>
        <w:jc w:val="both"/>
        <w:rPr>
          <w:rFonts w:ascii="Times New Roman" w:hAnsi="Times New Roman" w:cs="Times New Roman"/>
          <w:b/>
        </w:rPr>
      </w:pPr>
      <w:r w:rsidRPr="007E10E9">
        <w:rPr>
          <w:rFonts w:ascii="Times New Roman" w:hAnsi="Times New Roman" w:cs="Times New Roman"/>
          <w:b/>
        </w:rPr>
        <w:t xml:space="preserve">Energetika </w:t>
      </w:r>
    </w:p>
    <w:p w:rsidR="009D2A34" w:rsidRPr="00602C76" w:rsidP="009D2A34">
      <w:pPr>
        <w:bidi w:val="0"/>
        <w:jc w:val="both"/>
        <w:rPr>
          <w:rFonts w:ascii="Times New Roman" w:hAnsi="Times New Roman" w:cs="Times New Roman"/>
          <w:highlight w:val="yellow"/>
        </w:rPr>
      </w:pPr>
    </w:p>
    <w:tbl>
      <w:tblPr>
        <w:tblStyle w:val="TableNormal"/>
        <w:tblW w:w="9152" w:type="dxa"/>
        <w:tblInd w:w="60" w:type="dxa"/>
        <w:tblLayout w:type="fixed"/>
        <w:tblCellMar>
          <w:left w:w="70" w:type="dxa"/>
          <w:right w:w="70" w:type="dxa"/>
        </w:tblCellMar>
        <w:tblLook w:val="04A0"/>
      </w:tblPr>
      <w:tblGrid>
        <w:gridCol w:w="2329"/>
        <w:gridCol w:w="962"/>
        <w:gridCol w:w="976"/>
        <w:gridCol w:w="977"/>
        <w:gridCol w:w="977"/>
        <w:gridCol w:w="977"/>
        <w:gridCol w:w="977"/>
        <w:gridCol w:w="977"/>
      </w:tblGrid>
      <w:tr>
        <w:tblPrEx>
          <w:tblW w:w="9152" w:type="dxa"/>
          <w:tblInd w:w="60" w:type="dxa"/>
          <w:tblLayout w:type="fixed"/>
          <w:tblCellMar>
            <w:left w:w="70" w:type="dxa"/>
            <w:right w:w="70" w:type="dxa"/>
          </w:tblCellMar>
          <w:tblLook w:val="04A0"/>
        </w:tblPrEx>
        <w:trPr>
          <w:trHeight w:val="255"/>
        </w:trPr>
        <w:tc>
          <w:tcPr>
            <w:tcW w:w="232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BE2958" w:rsidP="006338E5">
            <w:pPr>
              <w:bidi w:val="0"/>
              <w:rPr>
                <w:rFonts w:ascii="Times New Roman" w:hAnsi="Times New Roman" w:cs="Times New Roman"/>
                <w:b/>
                <w:bCs/>
                <w:color w:val="000000"/>
                <w:sz w:val="14"/>
                <w:szCs w:val="14"/>
              </w:rPr>
            </w:pPr>
            <w:r w:rsidRPr="00BE2958">
              <w:rPr>
                <w:rFonts w:ascii="Times New Roman" w:hAnsi="Times New Roman" w:cs="Times New Roman"/>
                <w:color w:val="000000"/>
                <w:sz w:val="14"/>
                <w:szCs w:val="14"/>
                <w:lang w:eastAsia="sk-SK"/>
              </w:rPr>
              <w:t> </w:t>
            </w:r>
            <w:r w:rsidRPr="00BE2958">
              <w:rPr>
                <w:rFonts w:ascii="Times New Roman" w:hAnsi="Times New Roman" w:cs="Times New Roman"/>
                <w:b/>
                <w:bCs/>
                <w:color w:val="000000"/>
                <w:sz w:val="14"/>
                <w:szCs w:val="14"/>
                <w:lang w:eastAsia="sk-SK"/>
              </w:rPr>
              <w:t>v eurách</w:t>
            </w:r>
          </w:p>
        </w:tc>
        <w:tc>
          <w:tcPr>
            <w:tcW w:w="96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2010</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76"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2011</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77"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R</w:t>
            </w:r>
          </w:p>
        </w:tc>
        <w:tc>
          <w:tcPr>
            <w:tcW w:w="977"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OS</w:t>
            </w:r>
          </w:p>
        </w:tc>
        <w:tc>
          <w:tcPr>
            <w:tcW w:w="977"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D5A0D" w:rsidP="006338E5">
            <w:pPr>
              <w:bidi w:val="0"/>
              <w:jc w:val="center"/>
              <w:rPr>
                <w:rFonts w:ascii="Times New Roman" w:hAnsi="Times New Roman" w:cs="Times New Roman"/>
                <w:b/>
                <w:bCs/>
                <w:color w:val="000000"/>
                <w:sz w:val="14"/>
                <w:szCs w:val="14"/>
              </w:rPr>
            </w:pPr>
            <w:r w:rsidRPr="000D5A0D">
              <w:rPr>
                <w:rFonts w:ascii="Times New Roman" w:hAnsi="Times New Roman" w:cs="Times New Roman"/>
                <w:b/>
                <w:bCs/>
                <w:color w:val="000000"/>
                <w:sz w:val="14"/>
                <w:szCs w:val="14"/>
              </w:rPr>
              <w:t>2013 N</w:t>
            </w:r>
          </w:p>
        </w:tc>
        <w:tc>
          <w:tcPr>
            <w:tcW w:w="977"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D5A0D" w:rsidP="006338E5">
            <w:pPr>
              <w:bidi w:val="0"/>
              <w:jc w:val="center"/>
              <w:rPr>
                <w:rFonts w:ascii="Times New Roman" w:hAnsi="Times New Roman" w:cs="Times New Roman"/>
                <w:b/>
                <w:bCs/>
                <w:color w:val="000000"/>
                <w:sz w:val="14"/>
                <w:szCs w:val="14"/>
              </w:rPr>
            </w:pPr>
            <w:r w:rsidRPr="000D5A0D">
              <w:rPr>
                <w:rFonts w:ascii="Times New Roman" w:hAnsi="Times New Roman" w:cs="Times New Roman"/>
                <w:b/>
                <w:bCs/>
                <w:color w:val="000000"/>
                <w:sz w:val="14"/>
                <w:szCs w:val="14"/>
              </w:rPr>
              <w:t>2014 N</w:t>
            </w:r>
          </w:p>
        </w:tc>
        <w:tc>
          <w:tcPr>
            <w:tcW w:w="977"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D5A0D" w:rsidP="006338E5">
            <w:pPr>
              <w:bidi w:val="0"/>
              <w:jc w:val="center"/>
              <w:rPr>
                <w:rFonts w:ascii="Times New Roman" w:hAnsi="Times New Roman" w:cs="Times New Roman"/>
                <w:b/>
                <w:bCs/>
                <w:color w:val="000000"/>
                <w:sz w:val="14"/>
                <w:szCs w:val="14"/>
              </w:rPr>
            </w:pPr>
            <w:r w:rsidRPr="000D5A0D">
              <w:rPr>
                <w:rFonts w:ascii="Times New Roman" w:hAnsi="Times New Roman" w:cs="Times New Roman"/>
                <w:b/>
                <w:bCs/>
                <w:color w:val="000000"/>
                <w:sz w:val="14"/>
                <w:szCs w:val="14"/>
              </w:rPr>
              <w:t>2015 N</w:t>
            </w:r>
          </w:p>
        </w:tc>
      </w:tr>
      <w:tr>
        <w:tblPrEx>
          <w:tblW w:w="9152" w:type="dxa"/>
          <w:tblInd w:w="60" w:type="dxa"/>
          <w:tblLayout w:type="fixed"/>
          <w:tblCellMar>
            <w:left w:w="70" w:type="dxa"/>
            <w:right w:w="70" w:type="dxa"/>
          </w:tblCellMar>
          <w:tblLook w:val="04A0"/>
        </w:tblPrEx>
        <w:trPr>
          <w:trHeight w:val="255"/>
        </w:trPr>
        <w:tc>
          <w:tcPr>
            <w:tcW w:w="2329"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Energetika</w:t>
            </w:r>
          </w:p>
        </w:tc>
        <w:tc>
          <w:tcPr>
            <w:tcW w:w="962"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23 814 949</w:t>
            </w:r>
          </w:p>
        </w:tc>
        <w:tc>
          <w:tcPr>
            <w:tcW w:w="976"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34 554 416</w:t>
            </w:r>
          </w:p>
        </w:tc>
        <w:tc>
          <w:tcPr>
            <w:tcW w:w="97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32 037 318</w:t>
            </w:r>
          </w:p>
        </w:tc>
        <w:tc>
          <w:tcPr>
            <w:tcW w:w="97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9B1FDF" w:rsidP="006338E5">
            <w:pPr>
              <w:bidi w:val="0"/>
              <w:jc w:val="right"/>
              <w:rPr>
                <w:rFonts w:ascii="Times New Roman" w:hAnsi="Times New Roman" w:cs="Times New Roman"/>
                <w:b/>
                <w:bCs/>
                <w:sz w:val="14"/>
                <w:szCs w:val="14"/>
              </w:rPr>
            </w:pPr>
            <w:r w:rsidRPr="009B1FDF">
              <w:rPr>
                <w:rFonts w:ascii="Times New Roman" w:hAnsi="Times New Roman" w:cs="Times New Roman"/>
                <w:b/>
                <w:bCs/>
                <w:sz w:val="14"/>
                <w:szCs w:val="14"/>
              </w:rPr>
              <w:t>31 911 983</w:t>
            </w:r>
          </w:p>
        </w:tc>
        <w:tc>
          <w:tcPr>
            <w:tcW w:w="97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sidRPr="000D5A0D">
              <w:rPr>
                <w:rFonts w:ascii="Times New Roman" w:hAnsi="Times New Roman" w:cs="Times New Roman"/>
                <w:b/>
                <w:bCs/>
                <w:sz w:val="14"/>
                <w:szCs w:val="14"/>
              </w:rPr>
              <w:t>54 416 747</w:t>
            </w:r>
          </w:p>
        </w:tc>
        <w:tc>
          <w:tcPr>
            <w:tcW w:w="97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sidRPr="000D5A0D">
              <w:rPr>
                <w:rFonts w:ascii="Times New Roman" w:hAnsi="Times New Roman" w:cs="Times New Roman"/>
                <w:b/>
                <w:bCs/>
                <w:sz w:val="14"/>
                <w:szCs w:val="14"/>
              </w:rPr>
              <w:t>21 835 503</w:t>
            </w:r>
          </w:p>
        </w:tc>
        <w:tc>
          <w:tcPr>
            <w:tcW w:w="97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sidRPr="000D5A0D">
              <w:rPr>
                <w:rFonts w:ascii="Times New Roman" w:hAnsi="Times New Roman" w:cs="Times New Roman"/>
                <w:b/>
                <w:bCs/>
                <w:sz w:val="14"/>
                <w:szCs w:val="14"/>
              </w:rPr>
              <w:t>7 998 450</w:t>
            </w:r>
          </w:p>
        </w:tc>
      </w:tr>
      <w:tr>
        <w:tblPrEx>
          <w:tblW w:w="9152" w:type="dxa"/>
          <w:tblInd w:w="60" w:type="dxa"/>
          <w:tblLayout w:type="fixed"/>
          <w:tblCellMar>
            <w:left w:w="70" w:type="dxa"/>
            <w:right w:w="70" w:type="dxa"/>
          </w:tblCellMar>
          <w:tblLook w:val="04A0"/>
        </w:tblPrEx>
        <w:trPr>
          <w:trHeight w:val="255"/>
        </w:trPr>
        <w:tc>
          <w:tcPr>
            <w:tcW w:w="2329"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Program podpory energ. efektív.</w:t>
            </w:r>
          </w:p>
        </w:tc>
        <w:tc>
          <w:tcPr>
            <w:tcW w:w="962"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940 100</w:t>
            </w:r>
          </w:p>
        </w:tc>
        <w:tc>
          <w:tcPr>
            <w:tcW w:w="976"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59 900</w:t>
            </w:r>
          </w:p>
        </w:tc>
        <w:tc>
          <w:tcPr>
            <w:tcW w:w="97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77"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b/>
                <w:bCs/>
                <w:sz w:val="14"/>
                <w:szCs w:val="14"/>
              </w:rPr>
            </w:pPr>
            <w:r w:rsidRPr="009B1FDF">
              <w:rPr>
                <w:rFonts w:ascii="Times New Roman" w:hAnsi="Times New Roman" w:cs="Times New Roman"/>
                <w:b/>
                <w:bCs/>
                <w:sz w:val="14"/>
                <w:szCs w:val="14"/>
              </w:rPr>
              <w:t>0</w:t>
            </w:r>
          </w:p>
        </w:tc>
        <w:tc>
          <w:tcPr>
            <w:tcW w:w="977"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0</w:t>
            </w:r>
          </w:p>
        </w:tc>
        <w:tc>
          <w:tcPr>
            <w:tcW w:w="977"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0</w:t>
            </w:r>
          </w:p>
        </w:tc>
        <w:tc>
          <w:tcPr>
            <w:tcW w:w="977"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0</w:t>
            </w:r>
          </w:p>
        </w:tc>
      </w:tr>
      <w:tr>
        <w:tblPrEx>
          <w:tblW w:w="9152" w:type="dxa"/>
          <w:tblInd w:w="60" w:type="dxa"/>
          <w:tblLayout w:type="fixed"/>
          <w:tblCellMar>
            <w:left w:w="70" w:type="dxa"/>
            <w:right w:w="70" w:type="dxa"/>
          </w:tblCellMar>
          <w:tblLook w:val="04A0"/>
        </w:tblPrEx>
        <w:trPr>
          <w:trHeight w:val="255"/>
        </w:trPr>
        <w:tc>
          <w:tcPr>
            <w:tcW w:w="2329"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Výdavky EÚ a spolufin.</w:t>
            </w:r>
          </w:p>
        </w:tc>
        <w:tc>
          <w:tcPr>
            <w:tcW w:w="962"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22 874 849</w:t>
            </w:r>
          </w:p>
        </w:tc>
        <w:tc>
          <w:tcPr>
            <w:tcW w:w="976"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34 494 516</w:t>
            </w:r>
          </w:p>
        </w:tc>
        <w:tc>
          <w:tcPr>
            <w:tcW w:w="977"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32 037 318</w:t>
            </w:r>
          </w:p>
        </w:tc>
        <w:tc>
          <w:tcPr>
            <w:tcW w:w="977" w:type="dxa"/>
            <w:tcBorders>
              <w:top w:val="nil"/>
              <w:left w:val="nil"/>
              <w:bottom w:val="single" w:sz="4" w:space="0" w:color="auto"/>
              <w:right w:val="single" w:sz="4" w:space="0" w:color="auto"/>
            </w:tcBorders>
            <w:shd w:val="clear" w:color="000000" w:fill="FFFFFF"/>
            <w:textDirection w:val="lrTb"/>
            <w:vAlign w:val="center"/>
            <w:hideMark/>
          </w:tcPr>
          <w:p w:rsidR="009D2A34" w:rsidRPr="009B1FDF" w:rsidP="006338E5">
            <w:pPr>
              <w:bidi w:val="0"/>
              <w:jc w:val="right"/>
              <w:rPr>
                <w:rFonts w:ascii="Times New Roman" w:hAnsi="Times New Roman" w:cs="Times New Roman"/>
                <w:bCs/>
                <w:sz w:val="14"/>
                <w:szCs w:val="14"/>
              </w:rPr>
            </w:pPr>
            <w:r w:rsidRPr="009B1FDF">
              <w:rPr>
                <w:rFonts w:ascii="Times New Roman" w:hAnsi="Times New Roman" w:cs="Times New Roman"/>
                <w:bCs/>
                <w:sz w:val="14"/>
                <w:szCs w:val="14"/>
              </w:rPr>
              <w:t>31 911 983</w:t>
            </w:r>
          </w:p>
        </w:tc>
        <w:tc>
          <w:tcPr>
            <w:tcW w:w="977"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54 416 747</w:t>
            </w:r>
          </w:p>
        </w:tc>
        <w:tc>
          <w:tcPr>
            <w:tcW w:w="977"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21 835 503</w:t>
            </w:r>
          </w:p>
        </w:tc>
        <w:tc>
          <w:tcPr>
            <w:tcW w:w="977"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7 998 450</w:t>
            </w:r>
          </w:p>
        </w:tc>
      </w:tr>
    </w:tbl>
    <w:p w:rsidR="009D2A34" w:rsidRPr="00CD37C6" w:rsidP="009D2A34">
      <w:pPr>
        <w:bidi w:val="0"/>
        <w:jc w:val="both"/>
        <w:rPr>
          <w:rFonts w:ascii="Times New Roman" w:hAnsi="Times New Roman" w:cs="Times New Roman"/>
          <w:highlight w:val="yellow"/>
        </w:rPr>
      </w:pPr>
    </w:p>
    <w:p w:rsidR="009D2A34" w:rsidP="009D2A34">
      <w:pPr>
        <w:bidi w:val="0"/>
        <w:ind w:firstLine="708"/>
        <w:jc w:val="both"/>
        <w:rPr>
          <w:rFonts w:ascii="Times New Roman" w:hAnsi="Times New Roman" w:cs="Times New Roman"/>
        </w:rPr>
      </w:pPr>
      <w:r w:rsidRPr="007E10E9">
        <w:rPr>
          <w:rFonts w:ascii="Times New Roman" w:hAnsi="Times New Roman" w:cs="Times New Roman"/>
        </w:rPr>
        <w:t xml:space="preserve">Na podporu v oblasti energetiky sa na rok 2013 rozpočtujú finančné prostriedky EÚ a spolufinancovania v rámci OP KaHR vo </w:t>
      </w:r>
      <w:r w:rsidRPr="008518C6">
        <w:rPr>
          <w:rFonts w:ascii="Times New Roman" w:hAnsi="Times New Roman" w:cs="Times New Roman"/>
        </w:rPr>
        <w:t>výške 54,4 mil. eur</w:t>
      </w:r>
      <w:r>
        <w:rPr>
          <w:rFonts w:ascii="Times New Roman" w:hAnsi="Times New Roman" w:cs="Times New Roman"/>
        </w:rPr>
        <w:t>, v porovnaní so schváleným rozpočtom na rok 2012 rastú o 69,8 %, t. j. o 22,4 mil. eur</w:t>
      </w:r>
      <w:r w:rsidRPr="008518C6">
        <w:rPr>
          <w:rFonts w:ascii="Times New Roman" w:hAnsi="Times New Roman" w:cs="Times New Roman"/>
        </w:rPr>
        <w:t>. Tieto prostriedky sú určené na podporu projektov využívajúcich progresívne úsporné technológie</w:t>
      </w:r>
      <w:r w:rsidRPr="007E10E9">
        <w:rPr>
          <w:rFonts w:ascii="Times New Roman" w:hAnsi="Times New Roman" w:cs="Times New Roman"/>
        </w:rPr>
        <w:t xml:space="preserve"> na zásobovanie energiou a zariadenia s vyššou účinnosťou využitia energie s minimálnym dopadom na životné prostredie, projekty na znižovanie energetickej náročnosti výrobných procesov, projekty zabezpečujúce zlepšenie tepelno-technických charakteristík budov a vybavenie zariadení meracími a regulačnými systémami, projekty na výrobu elektrickej energie a tepla, využívajúce obnoviteľné zdroje energie, budovanie malých vodných elektrární a energetické využitie komunálneho odpadu, na podporu verejného sektora pri budovaní a modernizácii verejného osvetlenia v mestách a obciach, ako aj informovanie verejnosti o efektívnom využívaní energie a obnoviteľných zdrojov energie.</w:t>
      </w:r>
    </w:p>
    <w:p w:rsidR="009D2A34" w:rsidRPr="004D424B" w:rsidP="009D2A34">
      <w:pPr>
        <w:bidi w:val="0"/>
        <w:ind w:firstLine="708"/>
        <w:jc w:val="both"/>
        <w:rPr>
          <w:rFonts w:ascii="Times New Roman" w:hAnsi="Times New Roman" w:cs="Times New Roman"/>
        </w:rPr>
      </w:pPr>
    </w:p>
    <w:p w:rsidR="009D2A34" w:rsidRPr="007E10E9" w:rsidP="009D2A34">
      <w:pPr>
        <w:bidi w:val="0"/>
        <w:jc w:val="both"/>
        <w:rPr>
          <w:rFonts w:ascii="Times New Roman" w:hAnsi="Times New Roman" w:cs="Times New Roman"/>
          <w:b/>
        </w:rPr>
      </w:pPr>
      <w:r w:rsidRPr="007E10E9">
        <w:rPr>
          <w:rFonts w:ascii="Times New Roman" w:hAnsi="Times New Roman" w:cs="Times New Roman"/>
          <w:b/>
        </w:rPr>
        <w:t>Cestovný ruch</w:t>
      </w:r>
    </w:p>
    <w:p w:rsidR="009D2A34" w:rsidRPr="00602C76" w:rsidP="009D2A34">
      <w:pPr>
        <w:bidi w:val="0"/>
        <w:jc w:val="both"/>
        <w:rPr>
          <w:rFonts w:ascii="Times New Roman" w:hAnsi="Times New Roman" w:cs="Times New Roman"/>
          <w:highlight w:val="yellow"/>
        </w:rPr>
      </w:pPr>
    </w:p>
    <w:tbl>
      <w:tblPr>
        <w:tblStyle w:val="TableNormal"/>
        <w:tblW w:w="9152" w:type="dxa"/>
        <w:tblInd w:w="60" w:type="dxa"/>
        <w:tblCellMar>
          <w:left w:w="70" w:type="dxa"/>
          <w:right w:w="70" w:type="dxa"/>
        </w:tblCellMar>
        <w:tblLook w:val="04A0"/>
      </w:tblPr>
      <w:tblGrid>
        <w:gridCol w:w="2301"/>
        <w:gridCol w:w="978"/>
        <w:gridCol w:w="978"/>
        <w:gridCol w:w="979"/>
        <w:gridCol w:w="979"/>
        <w:gridCol w:w="979"/>
        <w:gridCol w:w="979"/>
        <w:gridCol w:w="979"/>
      </w:tblGrid>
      <w:tr>
        <w:tblPrEx>
          <w:tblW w:w="9152" w:type="dxa"/>
          <w:tblInd w:w="60" w:type="dxa"/>
          <w:tblCellMar>
            <w:left w:w="70" w:type="dxa"/>
            <w:right w:w="70" w:type="dxa"/>
          </w:tblCellMar>
          <w:tblLook w:val="04A0"/>
        </w:tblPrEx>
        <w:trPr>
          <w:trHeight w:val="255"/>
        </w:trPr>
        <w:tc>
          <w:tcPr>
            <w:tcW w:w="23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BE2958" w:rsidP="006338E5">
            <w:pPr>
              <w:bidi w:val="0"/>
              <w:rPr>
                <w:rFonts w:ascii="Times New Roman" w:hAnsi="Times New Roman" w:cs="Times New Roman"/>
                <w:b/>
                <w:bCs/>
                <w:color w:val="000000"/>
                <w:sz w:val="14"/>
                <w:szCs w:val="14"/>
              </w:rPr>
            </w:pPr>
            <w:r w:rsidRPr="00BE2958">
              <w:rPr>
                <w:rFonts w:ascii="Times New Roman" w:hAnsi="Times New Roman" w:cs="Times New Roman"/>
                <w:color w:val="000000"/>
                <w:sz w:val="14"/>
                <w:szCs w:val="14"/>
                <w:lang w:eastAsia="sk-SK"/>
              </w:rPr>
              <w:t> </w:t>
            </w:r>
            <w:r w:rsidRPr="00BE2958">
              <w:rPr>
                <w:rFonts w:ascii="Times New Roman" w:hAnsi="Times New Roman" w:cs="Times New Roman"/>
                <w:b/>
                <w:bCs/>
                <w:color w:val="000000"/>
                <w:sz w:val="14"/>
                <w:szCs w:val="14"/>
                <w:lang w:eastAsia="sk-SK"/>
              </w:rPr>
              <w:t>v eurách</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2010</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2011</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7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R</w:t>
            </w:r>
          </w:p>
        </w:tc>
        <w:tc>
          <w:tcPr>
            <w:tcW w:w="97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OS</w:t>
            </w:r>
          </w:p>
        </w:tc>
        <w:tc>
          <w:tcPr>
            <w:tcW w:w="97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2013 N</w:t>
            </w:r>
          </w:p>
        </w:tc>
        <w:tc>
          <w:tcPr>
            <w:tcW w:w="97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2014 N</w:t>
            </w:r>
          </w:p>
        </w:tc>
        <w:tc>
          <w:tcPr>
            <w:tcW w:w="979"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2015 N</w:t>
            </w:r>
          </w:p>
        </w:tc>
      </w:tr>
      <w:tr>
        <w:tblPrEx>
          <w:tblW w:w="9152" w:type="dxa"/>
          <w:tblInd w:w="60" w:type="dxa"/>
          <w:tblCellMar>
            <w:left w:w="70" w:type="dxa"/>
            <w:right w:w="70" w:type="dxa"/>
          </w:tblCellMar>
          <w:tblLook w:val="04A0"/>
        </w:tblPrEx>
        <w:trPr>
          <w:trHeight w:val="255"/>
        </w:trPr>
        <w:tc>
          <w:tcPr>
            <w:tcW w:w="2301"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Cestovný ruch</w:t>
            </w:r>
          </w:p>
        </w:tc>
        <w:tc>
          <w:tcPr>
            <w:tcW w:w="97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37 148 920</w:t>
            </w:r>
          </w:p>
        </w:tc>
        <w:tc>
          <w:tcPr>
            <w:tcW w:w="978"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43 410 448</w:t>
            </w:r>
          </w:p>
        </w:tc>
        <w:tc>
          <w:tcPr>
            <w:tcW w:w="979"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19 528 012</w:t>
            </w:r>
          </w:p>
        </w:tc>
        <w:tc>
          <w:tcPr>
            <w:tcW w:w="979"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1F5A47" w:rsidP="006338E5">
            <w:pPr>
              <w:bidi w:val="0"/>
              <w:jc w:val="right"/>
              <w:rPr>
                <w:rFonts w:ascii="Times New Roman" w:hAnsi="Times New Roman" w:cs="Times New Roman"/>
                <w:b/>
                <w:bCs/>
                <w:sz w:val="14"/>
                <w:szCs w:val="14"/>
              </w:rPr>
            </w:pPr>
            <w:r w:rsidRPr="001F5A47">
              <w:rPr>
                <w:rFonts w:ascii="Times New Roman" w:hAnsi="Times New Roman" w:cs="Times New Roman"/>
                <w:b/>
                <w:bCs/>
                <w:sz w:val="14"/>
                <w:szCs w:val="14"/>
              </w:rPr>
              <w:t>19 625 124</w:t>
            </w:r>
          </w:p>
        </w:tc>
        <w:tc>
          <w:tcPr>
            <w:tcW w:w="979"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sidRPr="000D5A0D">
              <w:rPr>
                <w:rFonts w:ascii="Times New Roman" w:hAnsi="Times New Roman" w:cs="Times New Roman"/>
                <w:b/>
                <w:bCs/>
                <w:sz w:val="14"/>
                <w:szCs w:val="14"/>
              </w:rPr>
              <w:t>21 899 204</w:t>
            </w:r>
          </w:p>
        </w:tc>
        <w:tc>
          <w:tcPr>
            <w:tcW w:w="979"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sidRPr="000D5A0D">
              <w:rPr>
                <w:rFonts w:ascii="Times New Roman" w:hAnsi="Times New Roman" w:cs="Times New Roman"/>
                <w:b/>
                <w:bCs/>
                <w:sz w:val="14"/>
                <w:szCs w:val="14"/>
              </w:rPr>
              <w:t>49 440 211</w:t>
            </w:r>
          </w:p>
        </w:tc>
        <w:tc>
          <w:tcPr>
            <w:tcW w:w="979"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sidRPr="000D5A0D">
              <w:rPr>
                <w:rFonts w:ascii="Times New Roman" w:hAnsi="Times New Roman" w:cs="Times New Roman"/>
                <w:b/>
                <w:bCs/>
                <w:sz w:val="14"/>
                <w:szCs w:val="14"/>
              </w:rPr>
              <w:t>27 095 855</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 xml:space="preserve">SACR </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1 302 835</w:t>
            </w:r>
          </w:p>
        </w:tc>
        <w:tc>
          <w:tcPr>
            <w:tcW w:w="978"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1F5A47" w:rsidP="006338E5">
            <w:pPr>
              <w:bidi w:val="0"/>
              <w:jc w:val="right"/>
              <w:rPr>
                <w:rFonts w:ascii="Times New Roman" w:hAnsi="Times New Roman" w:cs="Times New Roman"/>
                <w:sz w:val="14"/>
                <w:szCs w:val="14"/>
              </w:rPr>
            </w:pPr>
            <w:r w:rsidRPr="001F5A47">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0</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0</w:t>
            </w:r>
          </w:p>
        </w:tc>
      </w:tr>
      <w:tr>
        <w:tblPrEx>
          <w:tblW w:w="9152" w:type="dxa"/>
          <w:tblInd w:w="60" w:type="dxa"/>
          <w:tblCellMar>
            <w:left w:w="70" w:type="dxa"/>
            <w:right w:w="70" w:type="dxa"/>
          </w:tblCellMar>
          <w:tblLook w:val="04A0"/>
        </w:tblPrEx>
        <w:trPr>
          <w:trHeight w:val="255"/>
        </w:trPr>
        <w:tc>
          <w:tcPr>
            <w:tcW w:w="230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Výdavky EÚ a spolufin.</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35 846 085</w:t>
            </w:r>
          </w:p>
        </w:tc>
        <w:tc>
          <w:tcPr>
            <w:tcW w:w="978"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43 410 448</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19 528 012</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1F5A47" w:rsidP="006338E5">
            <w:pPr>
              <w:bidi w:val="0"/>
              <w:jc w:val="right"/>
              <w:rPr>
                <w:rFonts w:ascii="Times New Roman" w:hAnsi="Times New Roman" w:cs="Times New Roman"/>
                <w:sz w:val="14"/>
                <w:szCs w:val="14"/>
              </w:rPr>
            </w:pPr>
            <w:r w:rsidRPr="001F5A47">
              <w:rPr>
                <w:rFonts w:ascii="Times New Roman" w:hAnsi="Times New Roman" w:cs="Times New Roman"/>
                <w:sz w:val="14"/>
                <w:szCs w:val="14"/>
              </w:rPr>
              <w:t>19 625 124</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21 899 204</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49 440 211</w:t>
            </w:r>
          </w:p>
        </w:tc>
        <w:tc>
          <w:tcPr>
            <w:tcW w:w="979"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27 095 855</w:t>
            </w:r>
          </w:p>
        </w:tc>
      </w:tr>
    </w:tbl>
    <w:p w:rsidR="009D2A34" w:rsidRPr="007E10E9" w:rsidP="009D2A34">
      <w:pPr>
        <w:bidi w:val="0"/>
        <w:jc w:val="both"/>
        <w:rPr>
          <w:rFonts w:ascii="Times New Roman" w:hAnsi="Times New Roman" w:cs="Times New Roman"/>
        </w:rPr>
      </w:pPr>
    </w:p>
    <w:p w:rsidR="009D2A34" w:rsidRPr="007E10E9" w:rsidP="009D2A34">
      <w:pPr>
        <w:bidi w:val="0"/>
        <w:ind w:firstLine="708"/>
        <w:jc w:val="both"/>
        <w:rPr>
          <w:rFonts w:ascii="Times New Roman" w:hAnsi="Times New Roman" w:cs="Times New Roman"/>
        </w:rPr>
      </w:pPr>
      <w:r w:rsidRPr="007E10E9">
        <w:rPr>
          <w:rFonts w:ascii="Times New Roman" w:hAnsi="Times New Roman" w:cs="Times New Roman"/>
        </w:rPr>
        <w:t xml:space="preserve">Kompetencie v oblasti cestovného ruchu boli delimitované z MH SR na Ministerstvo dopravy, výstavby a regionálneho rozvoja SR (ďalej len „MDVRR SR“). Na základe Dohody o spolupráci v rámci Operačného programu Konkurencieschopnosť a hospodársky rast v programovom období rokov 2007 – 2013, uzatvorenej medzi MDVRR SR a MH SR sú však prostriedky EÚ a spolufinancovania rozpočtované v kapitole MH SR. Ostatné výdavky súvisiace s cestovným ruchom sú rozpočtované v kapitole MDVRR SR. </w:t>
      </w:r>
    </w:p>
    <w:p w:rsidR="009D2A34" w:rsidRPr="007E10E9" w:rsidP="009D2A34">
      <w:pPr>
        <w:bidi w:val="0"/>
        <w:jc w:val="both"/>
        <w:rPr>
          <w:rFonts w:ascii="Times New Roman" w:hAnsi="Times New Roman" w:cs="Times New Roman"/>
        </w:rPr>
      </w:pPr>
    </w:p>
    <w:p w:rsidR="009D2A34" w:rsidP="009D2A34">
      <w:pPr>
        <w:bidi w:val="0"/>
        <w:ind w:firstLine="708"/>
        <w:jc w:val="both"/>
        <w:rPr>
          <w:rFonts w:ascii="Times New Roman" w:hAnsi="Times New Roman" w:cs="Times New Roman"/>
        </w:rPr>
      </w:pPr>
      <w:r w:rsidRPr="008518C6">
        <w:rPr>
          <w:rFonts w:ascii="Times New Roman" w:hAnsi="Times New Roman" w:cs="Times New Roman"/>
        </w:rPr>
        <w:t>Výdavky EÚ a spolufinancovania na podporu cestovného ruchu sú na rok 2013 rozpočtované v sume 21,9 mil. eur</w:t>
      </w:r>
      <w:r>
        <w:rPr>
          <w:rFonts w:ascii="Times New Roman" w:hAnsi="Times New Roman" w:cs="Times New Roman"/>
        </w:rPr>
        <w:t>, oproti schválenému rozpočtu na rok 2012 rastú o 12,1 %, t. j. o 2,37 mil. eur</w:t>
      </w:r>
      <w:r w:rsidRPr="008518C6">
        <w:rPr>
          <w:rFonts w:ascii="Times New Roman" w:hAnsi="Times New Roman" w:cs="Times New Roman"/>
        </w:rPr>
        <w:t>. Výdavky</w:t>
      </w:r>
      <w:r>
        <w:rPr>
          <w:rFonts w:ascii="Times New Roman" w:hAnsi="Times New Roman" w:cs="Times New Roman"/>
        </w:rPr>
        <w:t xml:space="preserve"> sú navrhované</w:t>
      </w:r>
      <w:r w:rsidRPr="007E10E9">
        <w:rPr>
          <w:rFonts w:ascii="Times New Roman" w:hAnsi="Times New Roman" w:cs="Times New Roman"/>
        </w:rPr>
        <w:t xml:space="preserve"> na budovanie komplexných služieb cestovného ruchu s celoročným využitím prostredníctvom nových služieb s vyššou pridanou hodnotou, na podporu propagácie slovenského cestovného ruchu doma i v zahraničí formou tvorby informačných a prezentačných materiálov, účasti  na propagačných a prezentačných aktivitách cestovného ruchu, podporu prezentácie SR v zahraničí ako atraktívnej turistickej destinácie. Predmetom podpory je aj rozvoj informačných služieb cestovného ruchu, zber informácií, vytváranie a činnosť turisticko-informačných kancelárií. </w:t>
      </w:r>
    </w:p>
    <w:p w:rsidR="00D83F50" w:rsidP="009D2A34">
      <w:pPr>
        <w:bidi w:val="0"/>
        <w:jc w:val="both"/>
        <w:rPr>
          <w:rFonts w:ascii="Times New Roman" w:hAnsi="Times New Roman" w:cs="Times New Roman"/>
          <w:b/>
        </w:rPr>
      </w:pPr>
    </w:p>
    <w:p w:rsidR="009D2A34" w:rsidRPr="007E10E9" w:rsidP="009D2A34">
      <w:pPr>
        <w:bidi w:val="0"/>
        <w:jc w:val="both"/>
        <w:rPr>
          <w:rFonts w:ascii="Times New Roman" w:hAnsi="Times New Roman" w:cs="Times New Roman"/>
          <w:b/>
        </w:rPr>
      </w:pPr>
      <w:r w:rsidRPr="007E10E9">
        <w:rPr>
          <w:rFonts w:ascii="Times New Roman" w:hAnsi="Times New Roman" w:cs="Times New Roman"/>
          <w:b/>
        </w:rPr>
        <w:t>Administratíva</w:t>
      </w:r>
    </w:p>
    <w:p w:rsidR="009D2A34" w:rsidRPr="00602C76" w:rsidP="009D2A34">
      <w:pPr>
        <w:bidi w:val="0"/>
        <w:jc w:val="both"/>
        <w:rPr>
          <w:rFonts w:ascii="Times New Roman" w:hAnsi="Times New Roman" w:cs="Times New Roman"/>
          <w:highlight w:val="yellow"/>
        </w:rPr>
      </w:pPr>
    </w:p>
    <w:tbl>
      <w:tblPr>
        <w:tblStyle w:val="TableNormal"/>
        <w:tblW w:w="9072" w:type="dxa"/>
        <w:tblInd w:w="55" w:type="dxa"/>
        <w:tblCellMar>
          <w:left w:w="70" w:type="dxa"/>
          <w:right w:w="70" w:type="dxa"/>
        </w:tblCellMar>
        <w:tblLook w:val="04A0"/>
      </w:tblPr>
      <w:tblGrid>
        <w:gridCol w:w="2282"/>
        <w:gridCol w:w="970"/>
        <w:gridCol w:w="970"/>
        <w:gridCol w:w="970"/>
        <w:gridCol w:w="970"/>
        <w:gridCol w:w="970"/>
        <w:gridCol w:w="970"/>
        <w:gridCol w:w="970"/>
      </w:tblGrid>
      <w:tr>
        <w:tblPrEx>
          <w:tblW w:w="9072" w:type="dxa"/>
          <w:tblInd w:w="55" w:type="dxa"/>
          <w:tblCellMar>
            <w:left w:w="70" w:type="dxa"/>
            <w:right w:w="70" w:type="dxa"/>
          </w:tblCellMar>
          <w:tblLook w:val="04A0"/>
        </w:tblPrEx>
        <w:trPr>
          <w:trHeight w:val="255"/>
        </w:trPr>
        <w:tc>
          <w:tcPr>
            <w:tcW w:w="228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BE2958" w:rsidP="006338E5">
            <w:pPr>
              <w:bidi w:val="0"/>
              <w:rPr>
                <w:rFonts w:ascii="Times New Roman" w:hAnsi="Times New Roman" w:cs="Times New Roman"/>
                <w:b/>
                <w:bCs/>
                <w:color w:val="000000"/>
                <w:sz w:val="14"/>
                <w:szCs w:val="14"/>
              </w:rPr>
            </w:pPr>
            <w:r w:rsidRPr="00BE2958">
              <w:rPr>
                <w:rFonts w:ascii="Times New Roman" w:hAnsi="Times New Roman" w:cs="Times New Roman"/>
                <w:color w:val="000000"/>
                <w:sz w:val="14"/>
                <w:szCs w:val="14"/>
                <w:lang w:eastAsia="sk-SK"/>
              </w:rPr>
              <w:t> </w:t>
            </w:r>
            <w:r w:rsidRPr="00BE2958">
              <w:rPr>
                <w:rFonts w:ascii="Times New Roman" w:hAnsi="Times New Roman" w:cs="Times New Roman"/>
                <w:b/>
                <w:bCs/>
                <w:color w:val="000000"/>
                <w:sz w:val="14"/>
                <w:szCs w:val="14"/>
                <w:lang w:eastAsia="sk-SK"/>
              </w:rPr>
              <w:t>v eurách</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2010</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2011</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R</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OS</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2013 N</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2014 N</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2015 N</w:t>
            </w:r>
          </w:p>
        </w:tc>
      </w:tr>
      <w:tr>
        <w:tblPrEx>
          <w:tblW w:w="9072" w:type="dxa"/>
          <w:tblInd w:w="55" w:type="dxa"/>
          <w:tblCellMar>
            <w:left w:w="70" w:type="dxa"/>
            <w:right w:w="70" w:type="dxa"/>
          </w:tblCellMar>
          <w:tblLook w:val="04A0"/>
        </w:tblPrEx>
        <w:trPr>
          <w:trHeight w:val="255"/>
        </w:trPr>
        <w:tc>
          <w:tcPr>
            <w:tcW w:w="2282"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BE2958" w:rsidP="006338E5">
            <w:pPr>
              <w:bidi w:val="0"/>
              <w:rPr>
                <w:rFonts w:ascii="Times New Roman" w:hAnsi="Times New Roman" w:cs="Times New Roman"/>
                <w:b/>
                <w:bCs/>
                <w:sz w:val="14"/>
                <w:szCs w:val="14"/>
              </w:rPr>
            </w:pPr>
            <w:r w:rsidRPr="00BE2958">
              <w:rPr>
                <w:rFonts w:ascii="Times New Roman" w:hAnsi="Times New Roman" w:cs="Times New Roman"/>
                <w:b/>
                <w:bCs/>
                <w:sz w:val="14"/>
                <w:szCs w:val="14"/>
              </w:rPr>
              <w:t>Administratíva</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Pr>
                <w:rFonts w:ascii="Times New Roman" w:hAnsi="Times New Roman" w:cs="Times New Roman"/>
                <w:b/>
                <w:bCs/>
                <w:sz w:val="14"/>
                <w:szCs w:val="14"/>
              </w:rPr>
              <w:t>46 992 377</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Pr>
                <w:rFonts w:ascii="Times New Roman" w:hAnsi="Times New Roman" w:cs="Times New Roman"/>
                <w:b/>
                <w:bCs/>
                <w:sz w:val="14"/>
                <w:szCs w:val="14"/>
              </w:rPr>
              <w:t>34 932 510</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sz w:val="14"/>
                <w:szCs w:val="14"/>
              </w:rPr>
            </w:pPr>
            <w:r w:rsidRPr="00BE2958">
              <w:rPr>
                <w:rFonts w:ascii="Times New Roman" w:hAnsi="Times New Roman" w:cs="Times New Roman"/>
                <w:b/>
                <w:bCs/>
                <w:sz w:val="14"/>
                <w:szCs w:val="14"/>
              </w:rPr>
              <w:t>34 718 717</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1F5A47" w:rsidP="006338E5">
            <w:pPr>
              <w:bidi w:val="0"/>
              <w:jc w:val="right"/>
              <w:rPr>
                <w:rFonts w:ascii="Times New Roman" w:hAnsi="Times New Roman" w:cs="Times New Roman"/>
                <w:b/>
                <w:bCs/>
                <w:sz w:val="14"/>
                <w:szCs w:val="14"/>
              </w:rPr>
            </w:pPr>
            <w:r>
              <w:rPr>
                <w:rFonts w:ascii="Times New Roman" w:hAnsi="Times New Roman" w:cs="Times New Roman"/>
                <w:b/>
                <w:bCs/>
                <w:sz w:val="14"/>
                <w:szCs w:val="14"/>
              </w:rPr>
              <w:t>33 242</w:t>
            </w:r>
            <w:r w:rsidRPr="001F5A47">
              <w:rPr>
                <w:rFonts w:ascii="Times New Roman" w:hAnsi="Times New Roman" w:cs="Times New Roman"/>
                <w:b/>
                <w:bCs/>
                <w:sz w:val="14"/>
                <w:szCs w:val="14"/>
              </w:rPr>
              <w:t xml:space="preserve"> </w:t>
            </w:r>
            <w:r>
              <w:rPr>
                <w:rFonts w:ascii="Times New Roman" w:hAnsi="Times New Roman" w:cs="Times New Roman"/>
                <w:b/>
                <w:bCs/>
                <w:sz w:val="14"/>
                <w:szCs w:val="14"/>
              </w:rPr>
              <w:t>467</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sidRPr="000D5A0D">
              <w:rPr>
                <w:rFonts w:ascii="Times New Roman" w:hAnsi="Times New Roman" w:cs="Times New Roman"/>
                <w:b/>
                <w:bCs/>
                <w:sz w:val="14"/>
                <w:szCs w:val="14"/>
              </w:rPr>
              <w:t>37</w:t>
            </w:r>
            <w:r>
              <w:rPr>
                <w:rFonts w:ascii="Times New Roman" w:hAnsi="Times New Roman" w:cs="Times New Roman"/>
                <w:b/>
                <w:bCs/>
                <w:sz w:val="14"/>
                <w:szCs w:val="14"/>
              </w:rPr>
              <w:t> 261 767</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sidRPr="000D5A0D">
              <w:rPr>
                <w:rFonts w:ascii="Times New Roman" w:hAnsi="Times New Roman" w:cs="Times New Roman"/>
                <w:b/>
                <w:bCs/>
                <w:sz w:val="14"/>
                <w:szCs w:val="14"/>
              </w:rPr>
              <w:t>30 371 572</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0D5A0D" w:rsidP="006338E5">
            <w:pPr>
              <w:bidi w:val="0"/>
              <w:jc w:val="right"/>
              <w:rPr>
                <w:rFonts w:ascii="Times New Roman" w:hAnsi="Times New Roman" w:cs="Times New Roman"/>
                <w:b/>
                <w:bCs/>
                <w:sz w:val="14"/>
                <w:szCs w:val="14"/>
              </w:rPr>
            </w:pPr>
            <w:r>
              <w:rPr>
                <w:rFonts w:ascii="Times New Roman" w:hAnsi="Times New Roman" w:cs="Times New Roman"/>
                <w:b/>
                <w:bCs/>
                <w:sz w:val="14"/>
                <w:szCs w:val="14"/>
              </w:rPr>
              <w:t>30 511 986</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Administrácia aparátu a organ.</w:t>
            </w:r>
          </w:p>
        </w:tc>
        <w:tc>
          <w:tcPr>
            <w:tcW w:w="970"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37 290 580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26 253 342</w:t>
            </w:r>
          </w:p>
        </w:tc>
        <w:tc>
          <w:tcPr>
            <w:tcW w:w="970"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27 125 797</w:t>
            </w:r>
          </w:p>
        </w:tc>
        <w:tc>
          <w:tcPr>
            <w:tcW w:w="970" w:type="dxa"/>
            <w:tcBorders>
              <w:top w:val="nil"/>
              <w:left w:val="nil"/>
              <w:bottom w:val="single" w:sz="4" w:space="0" w:color="auto"/>
              <w:right w:val="single" w:sz="4" w:space="0" w:color="auto"/>
            </w:tcBorders>
            <w:noWrap/>
            <w:textDirection w:val="lrTb"/>
            <w:vAlign w:val="center"/>
            <w:hideMark/>
          </w:tcPr>
          <w:p w:rsidR="009D2A34" w:rsidRPr="001F5A47" w:rsidP="006338E5">
            <w:pPr>
              <w:bidi w:val="0"/>
              <w:jc w:val="right"/>
              <w:rPr>
                <w:rFonts w:ascii="Times New Roman" w:hAnsi="Times New Roman" w:cs="Times New Roman"/>
                <w:sz w:val="14"/>
                <w:szCs w:val="14"/>
              </w:rPr>
            </w:pPr>
            <w:r w:rsidRPr="001F5A47">
              <w:rPr>
                <w:rFonts w:ascii="Times New Roman" w:hAnsi="Times New Roman" w:cs="Times New Roman"/>
                <w:sz w:val="14"/>
                <w:szCs w:val="14"/>
              </w:rPr>
              <w:t>24 855 469</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23</w:t>
            </w:r>
            <w:r>
              <w:rPr>
                <w:rFonts w:ascii="Times New Roman" w:hAnsi="Times New Roman" w:cs="Times New Roman"/>
                <w:sz w:val="14"/>
                <w:szCs w:val="14"/>
              </w:rPr>
              <w:t> 483 151</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23 228 607</w:t>
            </w:r>
          </w:p>
        </w:tc>
        <w:tc>
          <w:tcPr>
            <w:tcW w:w="970" w:type="dxa"/>
            <w:tcBorders>
              <w:top w:val="nil"/>
              <w:left w:val="nil"/>
              <w:bottom w:val="single" w:sz="4" w:space="0" w:color="auto"/>
              <w:right w:val="single" w:sz="4" w:space="0" w:color="auto"/>
            </w:tcBorders>
            <w:shd w:val="clear" w:color="000000" w:fill="FFFFFF"/>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23 369 021</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Hospodárska mobilizácia</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3 292 804</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3 437 163</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2 810 911</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1F5A47" w:rsidP="006338E5">
            <w:pPr>
              <w:bidi w:val="0"/>
              <w:jc w:val="right"/>
              <w:rPr>
                <w:rFonts w:ascii="Times New Roman" w:hAnsi="Times New Roman" w:cs="Times New Roman"/>
                <w:sz w:val="14"/>
                <w:szCs w:val="14"/>
              </w:rPr>
            </w:pPr>
            <w:r w:rsidRPr="001F5A47">
              <w:rPr>
                <w:rFonts w:ascii="Times New Roman" w:hAnsi="Times New Roman" w:cs="Times New Roman"/>
                <w:sz w:val="14"/>
                <w:szCs w:val="14"/>
              </w:rPr>
              <w:t>3 315 911</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2 640 377</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2 640 377</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2 640 377</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Ochrana obyv. pred chem. zbr.</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61 565</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40 000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1F5A47" w:rsidP="006338E5">
            <w:pPr>
              <w:bidi w:val="0"/>
              <w:jc w:val="right"/>
              <w:rPr>
                <w:rFonts w:ascii="Times New Roman" w:hAnsi="Times New Roman" w:cs="Times New Roman"/>
                <w:sz w:val="14"/>
                <w:szCs w:val="14"/>
              </w:rPr>
            </w:pPr>
            <w:r w:rsidRPr="001F5A47">
              <w:rPr>
                <w:rFonts w:ascii="Times New Roman" w:hAnsi="Times New Roman" w:cs="Times New Roman"/>
                <w:sz w:val="14"/>
                <w:szCs w:val="14"/>
              </w:rPr>
              <w:t>40 000</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35 000</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35 000</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35 000</w:t>
            </w:r>
          </w:p>
        </w:tc>
      </w:tr>
      <w:tr>
        <w:tblPrEx>
          <w:tblW w:w="9072" w:type="dxa"/>
          <w:tblInd w:w="55" w:type="dxa"/>
          <w:tblCellMar>
            <w:left w:w="70" w:type="dxa"/>
            <w:right w:w="70" w:type="dxa"/>
          </w:tblCellMar>
          <w:tblLook w:val="04A0"/>
        </w:tblPrEx>
        <w:trPr>
          <w:trHeight w:val="269"/>
        </w:trPr>
        <w:tc>
          <w:tcPr>
            <w:tcW w:w="2282" w:type="dxa"/>
            <w:tcBorders>
              <w:top w:val="nil"/>
              <w:left w:val="single" w:sz="4" w:space="0" w:color="auto"/>
              <w:bottom w:val="single" w:sz="4" w:space="0" w:color="auto"/>
              <w:right w:val="single" w:sz="4" w:space="0" w:color="auto"/>
            </w:tcBorders>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Príspevky SR do MO</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651 886</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709 938</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850 000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1F5A47" w:rsidP="006338E5">
            <w:pPr>
              <w:bidi w:val="0"/>
              <w:jc w:val="right"/>
              <w:rPr>
                <w:rFonts w:ascii="Times New Roman" w:hAnsi="Times New Roman" w:cs="Times New Roman"/>
                <w:sz w:val="14"/>
                <w:szCs w:val="14"/>
              </w:rPr>
            </w:pPr>
            <w:r w:rsidRPr="001F5A47">
              <w:rPr>
                <w:rFonts w:ascii="Times New Roman" w:hAnsi="Times New Roman" w:cs="Times New Roman"/>
                <w:sz w:val="14"/>
                <w:szCs w:val="14"/>
              </w:rPr>
              <w:t>857 458</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900 000</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900 000</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900 000</w:t>
            </w:r>
          </w:p>
        </w:tc>
      </w:tr>
      <w:tr>
        <w:tblPrEx>
          <w:tblW w:w="9072" w:type="dxa"/>
          <w:tblInd w:w="55" w:type="dxa"/>
          <w:tblCellMar>
            <w:left w:w="70" w:type="dxa"/>
            <w:right w:w="70" w:type="dxa"/>
          </w:tblCellMar>
          <w:tblLook w:val="04A0"/>
        </w:tblPrEx>
        <w:trPr>
          <w:trHeight w:val="273"/>
        </w:trPr>
        <w:tc>
          <w:tcPr>
            <w:tcW w:w="2282" w:type="dxa"/>
            <w:tcBorders>
              <w:top w:val="nil"/>
              <w:left w:val="single" w:sz="4" w:space="0" w:color="auto"/>
              <w:bottom w:val="single" w:sz="4" w:space="0" w:color="auto"/>
              <w:right w:val="single" w:sz="4" w:space="0" w:color="auto"/>
            </w:tcBorders>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Cezhraničná spolupráca</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35 261</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35 261</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35 259</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1F5A47" w:rsidP="006338E5">
            <w:pPr>
              <w:bidi w:val="0"/>
              <w:jc w:val="right"/>
              <w:rPr>
                <w:rFonts w:ascii="Times New Roman" w:hAnsi="Times New Roman" w:cs="Times New Roman"/>
                <w:sz w:val="14"/>
                <w:szCs w:val="14"/>
              </w:rPr>
            </w:pPr>
            <w:r w:rsidRPr="001F5A47">
              <w:rPr>
                <w:rFonts w:ascii="Times New Roman" w:hAnsi="Times New Roman" w:cs="Times New Roman"/>
                <w:sz w:val="14"/>
                <w:szCs w:val="14"/>
              </w:rPr>
              <w:t>35 261</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35 261</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0</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Ochrana kritickej infraštruktúry</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6 170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4 300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1F5A47" w:rsidP="006338E5">
            <w:pPr>
              <w:bidi w:val="0"/>
              <w:jc w:val="right"/>
              <w:rPr>
                <w:rFonts w:ascii="Times New Roman" w:hAnsi="Times New Roman" w:cs="Times New Roman"/>
                <w:sz w:val="14"/>
                <w:szCs w:val="14"/>
              </w:rPr>
            </w:pPr>
            <w:r w:rsidRPr="001F5A47">
              <w:rPr>
                <w:rFonts w:ascii="Times New Roman" w:hAnsi="Times New Roman" w:cs="Times New Roman"/>
                <w:sz w:val="14"/>
                <w:szCs w:val="14"/>
              </w:rPr>
              <w:t>4 300</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4 300</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4 300</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4 300</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 xml:space="preserve">Technická pomoc </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5 524 199</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4 407 232</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3 749 978</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1F5A47" w:rsidP="006338E5">
            <w:pPr>
              <w:bidi w:val="0"/>
              <w:jc w:val="right"/>
              <w:rPr>
                <w:rFonts w:ascii="Times New Roman" w:hAnsi="Times New Roman" w:cs="Times New Roman"/>
                <w:sz w:val="14"/>
                <w:szCs w:val="14"/>
              </w:rPr>
            </w:pPr>
            <w:r w:rsidRPr="001F5A47">
              <w:rPr>
                <w:rFonts w:ascii="Times New Roman" w:hAnsi="Times New Roman" w:cs="Times New Roman"/>
                <w:sz w:val="14"/>
                <w:szCs w:val="14"/>
              </w:rPr>
              <w:t>4 031 596</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10 061 206</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3 460 816</w:t>
            </w:r>
          </w:p>
        </w:tc>
        <w:tc>
          <w:tcPr>
            <w:tcW w:w="970" w:type="dxa"/>
            <w:tcBorders>
              <w:top w:val="nil"/>
              <w:left w:val="nil"/>
              <w:bottom w:val="single" w:sz="4" w:space="0" w:color="auto"/>
              <w:right w:val="single" w:sz="4" w:space="0" w:color="auto"/>
            </w:tcBorders>
            <w:noWrap/>
            <w:textDirection w:val="lrTb"/>
            <w:vAlign w:val="center"/>
            <w:hideMark/>
          </w:tcPr>
          <w:p w:rsidR="009D2A34" w:rsidRPr="000D5A0D" w:rsidP="006338E5">
            <w:pPr>
              <w:bidi w:val="0"/>
              <w:jc w:val="right"/>
              <w:rPr>
                <w:rFonts w:ascii="Times New Roman" w:hAnsi="Times New Roman" w:cs="Times New Roman"/>
                <w:sz w:val="14"/>
                <w:szCs w:val="14"/>
              </w:rPr>
            </w:pPr>
            <w:r>
              <w:rPr>
                <w:rFonts w:ascii="Times New Roman" w:hAnsi="Times New Roman" w:cs="Times New Roman"/>
                <w:sz w:val="14"/>
                <w:szCs w:val="14"/>
              </w:rPr>
              <w:t>3 460 816</w:t>
            </w:r>
          </w:p>
        </w:tc>
      </w:tr>
      <w:tr>
        <w:tblPrEx>
          <w:tblW w:w="9072" w:type="dxa"/>
          <w:tblInd w:w="55" w:type="dxa"/>
          <w:tblCellMar>
            <w:left w:w="70" w:type="dxa"/>
            <w:right w:w="70" w:type="dxa"/>
          </w:tblCellMar>
          <w:tblLook w:val="04A0"/>
        </w:tblPrEx>
        <w:trPr>
          <w:trHeight w:val="270"/>
        </w:trPr>
        <w:tc>
          <w:tcPr>
            <w:tcW w:w="2282"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BE2958" w:rsidP="006338E5">
            <w:pPr>
              <w:bidi w:val="0"/>
              <w:rPr>
                <w:rFonts w:ascii="Times New Roman" w:hAnsi="Times New Roman" w:cs="Times New Roman"/>
                <w:sz w:val="14"/>
                <w:szCs w:val="14"/>
              </w:rPr>
            </w:pPr>
            <w:r w:rsidRPr="00BE2958">
              <w:rPr>
                <w:rFonts w:ascii="Times New Roman" w:hAnsi="Times New Roman" w:cs="Times New Roman"/>
                <w:sz w:val="14"/>
                <w:szCs w:val="14"/>
              </w:rPr>
              <w:t>Ostatné výdavky</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136 082</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83 404</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sz w:val="14"/>
                <w:szCs w:val="14"/>
              </w:rPr>
            </w:pPr>
            <w:r w:rsidRPr="00BE2958">
              <w:rPr>
                <w:rFonts w:ascii="Times New Roman" w:hAnsi="Times New Roman" w:cs="Times New Roman"/>
                <w:sz w:val="14"/>
                <w:szCs w:val="14"/>
              </w:rPr>
              <w:t>102 472</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1F5A47" w:rsidP="006338E5">
            <w:pPr>
              <w:bidi w:val="0"/>
              <w:jc w:val="right"/>
              <w:rPr>
                <w:rFonts w:ascii="Times New Roman" w:hAnsi="Times New Roman" w:cs="Times New Roman"/>
                <w:sz w:val="14"/>
                <w:szCs w:val="14"/>
              </w:rPr>
            </w:pPr>
            <w:r w:rsidRPr="001F5A47">
              <w:rPr>
                <w:rFonts w:ascii="Times New Roman" w:hAnsi="Times New Roman" w:cs="Times New Roman"/>
                <w:sz w:val="14"/>
                <w:szCs w:val="14"/>
              </w:rPr>
              <w:t>102 472</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102 472</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102 472</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0D5A0D" w:rsidP="006338E5">
            <w:pPr>
              <w:bidi w:val="0"/>
              <w:jc w:val="right"/>
              <w:rPr>
                <w:rFonts w:ascii="Times New Roman" w:hAnsi="Times New Roman" w:cs="Times New Roman"/>
                <w:sz w:val="14"/>
                <w:szCs w:val="14"/>
              </w:rPr>
            </w:pPr>
            <w:r w:rsidRPr="000D5A0D">
              <w:rPr>
                <w:rFonts w:ascii="Times New Roman" w:hAnsi="Times New Roman" w:cs="Times New Roman"/>
                <w:sz w:val="14"/>
                <w:szCs w:val="14"/>
              </w:rPr>
              <w:t>102 472</w:t>
            </w:r>
          </w:p>
        </w:tc>
      </w:tr>
    </w:tbl>
    <w:p w:rsidR="009D2A34" w:rsidRPr="007E10E9" w:rsidP="009D2A34">
      <w:pPr>
        <w:bidi w:val="0"/>
        <w:ind w:firstLine="708"/>
        <w:jc w:val="both"/>
        <w:rPr>
          <w:rFonts w:ascii="Times New Roman" w:hAnsi="Times New Roman" w:cs="Times New Roman"/>
          <w:highlight w:val="yellow"/>
        </w:rPr>
      </w:pPr>
    </w:p>
    <w:p w:rsidR="009D2A34" w:rsidP="009D2A34">
      <w:pPr>
        <w:bidi w:val="0"/>
        <w:ind w:firstLine="708"/>
        <w:jc w:val="both"/>
        <w:rPr>
          <w:rFonts w:ascii="Times New Roman" w:hAnsi="Times New Roman" w:cs="Times New Roman"/>
        </w:rPr>
      </w:pPr>
      <w:r w:rsidRPr="008518C6">
        <w:rPr>
          <w:rFonts w:ascii="Times New Roman" w:hAnsi="Times New Roman" w:cs="Times New Roman"/>
        </w:rPr>
        <w:t xml:space="preserve">Výdavky v tejto oblasti sa v návrhu rozpočtu na rok 2013 rozpočtujú v sume </w:t>
      </w:r>
      <w:r>
        <w:rPr>
          <w:rFonts w:ascii="Times New Roman" w:hAnsi="Times New Roman" w:cs="Times New Roman"/>
        </w:rPr>
        <w:br/>
        <w:t>37,3</w:t>
      </w:r>
      <w:r w:rsidRPr="008518C6">
        <w:rPr>
          <w:rFonts w:ascii="Times New Roman" w:hAnsi="Times New Roman" w:cs="Times New Roman"/>
        </w:rPr>
        <w:t xml:space="preserve"> mil. eur, oproti schvále</w:t>
      </w:r>
      <w:r>
        <w:rPr>
          <w:rFonts w:ascii="Times New Roman" w:hAnsi="Times New Roman" w:cs="Times New Roman"/>
        </w:rPr>
        <w:t>nému rozpočtu na rok 2012 rastú o 7,32</w:t>
      </w:r>
      <w:r w:rsidRPr="008518C6">
        <w:rPr>
          <w:rFonts w:ascii="Times New Roman" w:hAnsi="Times New Roman" w:cs="Times New Roman"/>
        </w:rPr>
        <w:t xml:space="preserve"> %</w:t>
      </w:r>
      <w:r>
        <w:rPr>
          <w:rFonts w:ascii="Times New Roman" w:hAnsi="Times New Roman" w:cs="Times New Roman"/>
        </w:rPr>
        <w:t>, t. j. o 2,54</w:t>
      </w:r>
      <w:r w:rsidRPr="008518C6">
        <w:rPr>
          <w:rFonts w:ascii="Times New Roman" w:hAnsi="Times New Roman" w:cs="Times New Roman"/>
        </w:rPr>
        <w:t xml:space="preserve"> mil. eur, čo je spôsobené najmä nárastom výdavkov EÚ a spolufinancovania na technickú pomoc</w:t>
      </w:r>
      <w:r w:rsidRPr="00E91829">
        <w:rPr>
          <w:rFonts w:ascii="Times New Roman" w:hAnsi="Times New Roman" w:cs="Times New Roman"/>
        </w:rPr>
        <w:t xml:space="preserve"> </w:t>
      </w:r>
      <w:r w:rsidRPr="008518C6">
        <w:rPr>
          <w:rFonts w:ascii="Times New Roman" w:hAnsi="Times New Roman" w:cs="Times New Roman"/>
        </w:rPr>
        <w:t>a na druhej strane</w:t>
      </w:r>
      <w:r>
        <w:rPr>
          <w:rFonts w:ascii="Times New Roman" w:hAnsi="Times New Roman" w:cs="Times New Roman"/>
        </w:rPr>
        <w:t xml:space="preserve"> </w:t>
      </w:r>
      <w:r w:rsidRPr="008518C6">
        <w:rPr>
          <w:rFonts w:ascii="Times New Roman" w:hAnsi="Times New Roman" w:cs="Times New Roman"/>
        </w:rPr>
        <w:t>poklesom výdavkov na administráciu aparátu z d</w:t>
      </w:r>
      <w:r>
        <w:rPr>
          <w:rFonts w:ascii="Times New Roman" w:hAnsi="Times New Roman" w:cs="Times New Roman"/>
        </w:rPr>
        <w:t>ôvodu delimitácie výdavkov ÚRSO</w:t>
      </w:r>
      <w:r w:rsidRPr="008518C6">
        <w:rPr>
          <w:rFonts w:ascii="Times New Roman" w:hAnsi="Times New Roman" w:cs="Times New Roman"/>
        </w:rPr>
        <w:t xml:space="preserve"> v sume 2,41 mil. eur do samostatnej rozpočtovej kapitoly </w:t>
      </w:r>
      <w:r>
        <w:rPr>
          <w:rFonts w:ascii="Times New Roman" w:hAnsi="Times New Roman" w:cs="Times New Roman"/>
        </w:rPr>
        <w:t>a poklesom</w:t>
      </w:r>
      <w:r w:rsidRPr="008518C6">
        <w:rPr>
          <w:rFonts w:ascii="Times New Roman" w:hAnsi="Times New Roman" w:cs="Times New Roman"/>
        </w:rPr>
        <w:t xml:space="preserve"> výdavkov </w:t>
      </w:r>
      <w:r>
        <w:rPr>
          <w:rFonts w:ascii="Times New Roman" w:hAnsi="Times New Roman" w:cs="Times New Roman"/>
        </w:rPr>
        <w:t xml:space="preserve">aparátu a </w:t>
      </w:r>
      <w:r w:rsidRPr="008518C6">
        <w:rPr>
          <w:rFonts w:ascii="Times New Roman" w:hAnsi="Times New Roman" w:cs="Times New Roman"/>
        </w:rPr>
        <w:t>podriadených organizácií z titulu viazania tovarov a služieb a osobných výdavkov v návrhu rozpočtu na rok 2013</w:t>
      </w:r>
      <w:r>
        <w:rPr>
          <w:rFonts w:ascii="Times New Roman" w:hAnsi="Times New Roman" w:cs="Times New Roman"/>
        </w:rPr>
        <w:t>.</w:t>
      </w:r>
    </w:p>
    <w:p w:rsidR="009D2A34" w:rsidRPr="007E10E9" w:rsidP="009D2A34">
      <w:pPr>
        <w:bidi w:val="0"/>
        <w:ind w:firstLine="708"/>
        <w:jc w:val="both"/>
        <w:rPr>
          <w:rFonts w:ascii="Times New Roman" w:hAnsi="Times New Roman" w:cs="Times New Roman"/>
          <w:highlight w:val="yellow"/>
        </w:rPr>
      </w:pPr>
      <w:r w:rsidRPr="008518C6">
        <w:rPr>
          <w:rFonts w:ascii="Times New Roman" w:hAnsi="Times New Roman" w:cs="Times New Roman"/>
        </w:rPr>
        <w:t xml:space="preserve"> </w:t>
      </w:r>
    </w:p>
    <w:p w:rsidR="009D2A34" w:rsidP="009D2A34">
      <w:pPr>
        <w:bidi w:val="0"/>
        <w:ind w:firstLine="708"/>
        <w:jc w:val="both"/>
        <w:rPr>
          <w:rFonts w:ascii="Times New Roman" w:hAnsi="Times New Roman" w:cs="Times New Roman"/>
        </w:rPr>
      </w:pPr>
      <w:r w:rsidRPr="008518C6">
        <w:rPr>
          <w:rFonts w:ascii="Times New Roman" w:hAnsi="Times New Roman" w:cs="Times New Roman"/>
        </w:rPr>
        <w:t>Výdavky na administráciu v pôsobnosti kapitoly MH SR sú v schválenom rozpočte na r</w:t>
      </w:r>
      <w:r>
        <w:rPr>
          <w:rFonts w:ascii="Times New Roman" w:hAnsi="Times New Roman" w:cs="Times New Roman"/>
        </w:rPr>
        <w:t>ok 2013 rozpočtované v sume 23,5</w:t>
      </w:r>
      <w:r w:rsidRPr="008518C6">
        <w:rPr>
          <w:rFonts w:ascii="Times New Roman" w:hAnsi="Times New Roman" w:cs="Times New Roman"/>
        </w:rPr>
        <w:t xml:space="preserve"> mil. eur, čo je oproti schválenému</w:t>
      </w:r>
      <w:r>
        <w:rPr>
          <w:rFonts w:ascii="Times New Roman" w:hAnsi="Times New Roman" w:cs="Times New Roman"/>
        </w:rPr>
        <w:t xml:space="preserve"> rozpočtu na rok 2012 menej o 13</w:t>
      </w:r>
      <w:r w:rsidRPr="008518C6">
        <w:rPr>
          <w:rFonts w:ascii="Times New Roman" w:hAnsi="Times New Roman" w:cs="Times New Roman"/>
        </w:rPr>
        <w:t>,</w:t>
      </w:r>
      <w:r>
        <w:rPr>
          <w:rFonts w:ascii="Times New Roman" w:hAnsi="Times New Roman" w:cs="Times New Roman"/>
        </w:rPr>
        <w:t>4</w:t>
      </w:r>
      <w:r w:rsidRPr="008518C6">
        <w:rPr>
          <w:rFonts w:ascii="Times New Roman" w:hAnsi="Times New Roman" w:cs="Times New Roman"/>
        </w:rPr>
        <w:t xml:space="preserve"> %</w:t>
      </w:r>
      <w:r>
        <w:rPr>
          <w:rFonts w:ascii="Times New Roman" w:hAnsi="Times New Roman" w:cs="Times New Roman"/>
        </w:rPr>
        <w:t>,</w:t>
      </w:r>
      <w:r w:rsidRPr="008518C6">
        <w:rPr>
          <w:rFonts w:ascii="Times New Roman" w:hAnsi="Times New Roman" w:cs="Times New Roman"/>
        </w:rPr>
        <w:t xml:space="preserve">  t.</w:t>
      </w:r>
      <w:r>
        <w:rPr>
          <w:rFonts w:ascii="Times New Roman" w:hAnsi="Times New Roman" w:cs="Times New Roman"/>
        </w:rPr>
        <w:t xml:space="preserve"> j. o 3,64</w:t>
      </w:r>
      <w:r w:rsidRPr="008518C6">
        <w:rPr>
          <w:rFonts w:ascii="Times New Roman" w:hAnsi="Times New Roman" w:cs="Times New Roman"/>
        </w:rPr>
        <w:t xml:space="preserve"> mil. eur. Po abstrahovaní výdavkov na ÚRSO v schválenom rozpočte na rok 2012 je rozpočet výdavkov na admini</w:t>
      </w:r>
      <w:r>
        <w:rPr>
          <w:rFonts w:ascii="Times New Roman" w:hAnsi="Times New Roman" w:cs="Times New Roman"/>
        </w:rPr>
        <w:t>stráciu v roku 2013 nižší o 4,99</w:t>
      </w:r>
      <w:r w:rsidRPr="008518C6">
        <w:rPr>
          <w:rFonts w:ascii="Times New Roman" w:hAnsi="Times New Roman" w:cs="Times New Roman"/>
        </w:rPr>
        <w:t xml:space="preserve"> %</w:t>
      </w:r>
      <w:r>
        <w:rPr>
          <w:rFonts w:ascii="Times New Roman" w:hAnsi="Times New Roman" w:cs="Times New Roman"/>
        </w:rPr>
        <w:t>,  t. j. o 1,23</w:t>
      </w:r>
      <w:r w:rsidRPr="008518C6">
        <w:rPr>
          <w:rFonts w:ascii="Times New Roman" w:hAnsi="Times New Roman" w:cs="Times New Roman"/>
        </w:rPr>
        <w:t xml:space="preserve"> mil. eur.</w:t>
      </w:r>
    </w:p>
    <w:p w:rsidR="009D2A34"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RPr="00A85A25" w:rsidP="009D2A34">
      <w:pPr>
        <w:bidi w:val="0"/>
        <w:ind w:firstLine="708"/>
        <w:jc w:val="both"/>
        <w:rPr>
          <w:rFonts w:ascii="Times New Roman" w:hAnsi="Times New Roman" w:cs="Times New Roman"/>
        </w:rPr>
      </w:pPr>
    </w:p>
    <w:p w:rsidR="009D2A34" w:rsidRPr="007E10E9" w:rsidP="009D2A34">
      <w:pPr>
        <w:bidi w:val="0"/>
        <w:ind w:firstLine="708"/>
        <w:jc w:val="both"/>
        <w:rPr>
          <w:rFonts w:ascii="Times New Roman" w:hAnsi="Times New Roman" w:cs="Times New Roman"/>
        </w:rPr>
      </w:pPr>
      <w:r w:rsidRPr="007E10E9">
        <w:rPr>
          <w:rFonts w:ascii="Times New Roman" w:hAnsi="Times New Roman" w:cs="Times New Roman"/>
        </w:rPr>
        <w:t>V</w:t>
      </w:r>
      <w:r>
        <w:rPr>
          <w:rFonts w:ascii="Times New Roman" w:hAnsi="Times New Roman" w:cs="Times New Roman"/>
        </w:rPr>
        <w:t>ýdavky sú rozpočtované na plnenie</w:t>
      </w:r>
      <w:r w:rsidRPr="007E10E9">
        <w:rPr>
          <w:rFonts w:ascii="Times New Roman" w:hAnsi="Times New Roman" w:cs="Times New Roman"/>
        </w:rPr>
        <w:t xml:space="preserve"> úloh týchto organizácií.</w:t>
      </w:r>
    </w:p>
    <w:p w:rsidR="009D2A34" w:rsidRPr="00CD37C6" w:rsidP="009D2A34">
      <w:pPr>
        <w:bidi w:val="0"/>
        <w:jc w:val="both"/>
        <w:rPr>
          <w:rFonts w:ascii="Times New Roman" w:hAnsi="Times New Roman" w:cs="Times New Roman"/>
          <w:highlight w:val="yellow"/>
        </w:rPr>
      </w:pPr>
    </w:p>
    <w:tbl>
      <w:tblPr>
        <w:tblStyle w:val="TableNormal"/>
        <w:tblW w:w="9072" w:type="dxa"/>
        <w:tblInd w:w="55" w:type="dxa"/>
        <w:tblCellMar>
          <w:left w:w="70" w:type="dxa"/>
          <w:right w:w="70" w:type="dxa"/>
        </w:tblCellMar>
        <w:tblLook w:val="04A0"/>
      </w:tblPr>
      <w:tblGrid>
        <w:gridCol w:w="2282"/>
        <w:gridCol w:w="970"/>
        <w:gridCol w:w="970"/>
        <w:gridCol w:w="970"/>
        <w:gridCol w:w="970"/>
        <w:gridCol w:w="970"/>
        <w:gridCol w:w="970"/>
        <w:gridCol w:w="970"/>
      </w:tblGrid>
      <w:tr>
        <w:tblPrEx>
          <w:tblW w:w="9072" w:type="dxa"/>
          <w:tblInd w:w="55" w:type="dxa"/>
          <w:tblCellMar>
            <w:left w:w="70" w:type="dxa"/>
            <w:right w:w="70" w:type="dxa"/>
          </w:tblCellMar>
          <w:tblLook w:val="04A0"/>
        </w:tblPrEx>
        <w:trPr>
          <w:trHeight w:val="255"/>
        </w:trPr>
        <w:tc>
          <w:tcPr>
            <w:tcW w:w="228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BE2958" w:rsidP="006338E5">
            <w:pPr>
              <w:bidi w:val="0"/>
              <w:rPr>
                <w:rFonts w:ascii="Times New Roman" w:hAnsi="Times New Roman" w:cs="Times New Roman"/>
                <w:b/>
                <w:bCs/>
                <w:color w:val="000000"/>
                <w:sz w:val="14"/>
                <w:szCs w:val="14"/>
              </w:rPr>
            </w:pPr>
            <w:r w:rsidRPr="00BE2958">
              <w:rPr>
                <w:rFonts w:ascii="Times New Roman" w:hAnsi="Times New Roman" w:cs="Times New Roman"/>
                <w:color w:val="000000"/>
                <w:sz w:val="14"/>
                <w:szCs w:val="14"/>
                <w:lang w:eastAsia="sk-SK"/>
              </w:rPr>
              <w:t> </w:t>
            </w:r>
            <w:r w:rsidRPr="00BE2958">
              <w:rPr>
                <w:rFonts w:ascii="Times New Roman" w:hAnsi="Times New Roman" w:cs="Times New Roman"/>
                <w:b/>
                <w:bCs/>
                <w:color w:val="000000"/>
                <w:sz w:val="14"/>
                <w:szCs w:val="14"/>
                <w:lang w:eastAsia="sk-SK"/>
              </w:rPr>
              <w:t>v eurách</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2010</w:t>
            </w:r>
            <w:r>
              <w:rPr>
                <w:rFonts w:ascii="Times New Roman" w:hAnsi="Times New Roman" w:cs="Times New Roman"/>
                <w:b/>
                <w:bCs/>
                <w:color w:val="000000"/>
                <w:sz w:val="14"/>
                <w:szCs w:val="14"/>
              </w:rPr>
              <w:t xml:space="preserve"> </w:t>
            </w:r>
            <w:r w:rsidRPr="00BE2958">
              <w:rPr>
                <w:rFonts w:ascii="Times New Roman" w:hAnsi="Times New Roman" w:cs="Times New Roman"/>
                <w:b/>
                <w:bCs/>
                <w:color w:val="000000"/>
                <w:sz w:val="14"/>
                <w:szCs w:val="14"/>
              </w:rPr>
              <w:t>S</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2011S</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R</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2012 OS</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2013 N</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2014 N</w:t>
            </w:r>
          </w:p>
        </w:tc>
        <w:tc>
          <w:tcPr>
            <w:tcW w:w="97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E2958" w:rsidP="006338E5">
            <w:pPr>
              <w:bidi w:val="0"/>
              <w:jc w:val="center"/>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2015 N</w:t>
            </w:r>
          </w:p>
        </w:tc>
      </w:tr>
      <w:tr>
        <w:tblPrEx>
          <w:tblW w:w="9072" w:type="dxa"/>
          <w:tblInd w:w="55" w:type="dxa"/>
          <w:tblCellMar>
            <w:left w:w="70" w:type="dxa"/>
            <w:right w:w="70" w:type="dxa"/>
          </w:tblCellMar>
          <w:tblLook w:val="04A0"/>
        </w:tblPrEx>
        <w:trPr>
          <w:trHeight w:val="255"/>
        </w:trPr>
        <w:tc>
          <w:tcPr>
            <w:tcW w:w="2282"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BE2958" w:rsidP="006338E5">
            <w:pPr>
              <w:bidi w:val="0"/>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Admin. aparátu a org.</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37 290 580</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26 253 342</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BE2958" w:rsidP="006338E5">
            <w:pPr>
              <w:bidi w:val="0"/>
              <w:jc w:val="right"/>
              <w:rPr>
                <w:rFonts w:ascii="Times New Roman" w:hAnsi="Times New Roman" w:cs="Times New Roman"/>
                <w:b/>
                <w:bCs/>
                <w:color w:val="000000"/>
                <w:sz w:val="14"/>
                <w:szCs w:val="14"/>
              </w:rPr>
            </w:pPr>
            <w:r w:rsidRPr="00BE2958">
              <w:rPr>
                <w:rFonts w:ascii="Times New Roman" w:hAnsi="Times New Roman" w:cs="Times New Roman"/>
                <w:b/>
                <w:bCs/>
                <w:color w:val="000000"/>
                <w:sz w:val="14"/>
                <w:szCs w:val="14"/>
              </w:rPr>
              <w:t>27 125 797</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3F5A9E" w:rsidP="006338E5">
            <w:pPr>
              <w:bidi w:val="0"/>
              <w:jc w:val="right"/>
              <w:rPr>
                <w:rFonts w:ascii="Times New Roman" w:hAnsi="Times New Roman" w:cs="Times New Roman"/>
                <w:b/>
                <w:bCs/>
                <w:color w:val="000000"/>
                <w:sz w:val="14"/>
                <w:szCs w:val="14"/>
              </w:rPr>
            </w:pPr>
            <w:r w:rsidRPr="003F5A9E">
              <w:rPr>
                <w:rFonts w:ascii="Times New Roman" w:hAnsi="Times New Roman" w:cs="Times New Roman"/>
                <w:b/>
                <w:bCs/>
                <w:color w:val="000000"/>
                <w:sz w:val="14"/>
                <w:szCs w:val="14"/>
              </w:rPr>
              <w:t>24 855 469</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EE20EA" w:rsidP="006338E5">
            <w:pPr>
              <w:bidi w:val="0"/>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23 483 151</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EE20EA" w:rsidP="006338E5">
            <w:pPr>
              <w:bidi w:val="0"/>
              <w:jc w:val="right"/>
              <w:rPr>
                <w:rFonts w:ascii="Times New Roman" w:hAnsi="Times New Roman" w:cs="Times New Roman"/>
                <w:b/>
                <w:bCs/>
                <w:color w:val="000000"/>
                <w:sz w:val="14"/>
                <w:szCs w:val="14"/>
              </w:rPr>
            </w:pPr>
            <w:r w:rsidRPr="00EE20EA">
              <w:rPr>
                <w:rFonts w:ascii="Times New Roman" w:hAnsi="Times New Roman" w:cs="Times New Roman"/>
                <w:b/>
                <w:bCs/>
                <w:color w:val="000000"/>
                <w:sz w:val="14"/>
                <w:szCs w:val="14"/>
              </w:rPr>
              <w:t>23 228 607</w:t>
            </w:r>
          </w:p>
        </w:tc>
        <w:tc>
          <w:tcPr>
            <w:tcW w:w="970"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EE20EA" w:rsidP="006338E5">
            <w:pPr>
              <w:bidi w:val="0"/>
              <w:jc w:val="right"/>
              <w:rPr>
                <w:rFonts w:ascii="Times New Roman" w:hAnsi="Times New Roman" w:cs="Times New Roman"/>
                <w:b/>
                <w:bCs/>
                <w:color w:val="000000"/>
                <w:sz w:val="14"/>
                <w:szCs w:val="14"/>
              </w:rPr>
            </w:pPr>
            <w:r w:rsidRPr="00EE20EA">
              <w:rPr>
                <w:rFonts w:ascii="Times New Roman" w:hAnsi="Times New Roman" w:cs="Times New Roman"/>
                <w:b/>
                <w:bCs/>
                <w:color w:val="000000"/>
                <w:sz w:val="14"/>
                <w:szCs w:val="14"/>
              </w:rPr>
              <w:t>23 369 021</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Puncový úrad</w:t>
            </w:r>
          </w:p>
        </w:tc>
        <w:tc>
          <w:tcPr>
            <w:tcW w:w="970"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660 796</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688 257</w:t>
            </w:r>
          </w:p>
        </w:tc>
        <w:tc>
          <w:tcPr>
            <w:tcW w:w="970"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654 800</w:t>
            </w:r>
          </w:p>
        </w:tc>
        <w:tc>
          <w:tcPr>
            <w:tcW w:w="970" w:type="dxa"/>
            <w:tcBorders>
              <w:top w:val="nil"/>
              <w:left w:val="nil"/>
              <w:bottom w:val="single" w:sz="4" w:space="0" w:color="auto"/>
              <w:right w:val="single" w:sz="4" w:space="0" w:color="auto"/>
            </w:tcBorders>
            <w:noWrap/>
            <w:textDirection w:val="lrTb"/>
            <w:vAlign w:val="center"/>
            <w:hideMark/>
          </w:tcPr>
          <w:p w:rsidR="009D2A34" w:rsidRPr="003F5A9E" w:rsidP="006338E5">
            <w:pPr>
              <w:bidi w:val="0"/>
              <w:jc w:val="right"/>
              <w:rPr>
                <w:rFonts w:ascii="Times New Roman" w:hAnsi="Times New Roman" w:cs="Times New Roman"/>
                <w:color w:val="000000"/>
                <w:sz w:val="14"/>
                <w:szCs w:val="14"/>
              </w:rPr>
            </w:pPr>
            <w:r w:rsidRPr="003F5A9E">
              <w:rPr>
                <w:rFonts w:ascii="Times New Roman" w:hAnsi="Times New Roman" w:cs="Times New Roman"/>
                <w:color w:val="000000"/>
                <w:sz w:val="14"/>
                <w:szCs w:val="14"/>
              </w:rPr>
              <w:t>654 800</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623 819</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623 819</w:t>
            </w:r>
          </w:p>
        </w:tc>
        <w:tc>
          <w:tcPr>
            <w:tcW w:w="970" w:type="dxa"/>
            <w:tcBorders>
              <w:top w:val="nil"/>
              <w:left w:val="nil"/>
              <w:bottom w:val="single" w:sz="4" w:space="0" w:color="auto"/>
              <w:right w:val="single" w:sz="4" w:space="0" w:color="auto"/>
            </w:tcBorders>
            <w:shd w:val="clear" w:color="000000" w:fill="FFFFFF"/>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623 819</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Múzeum obchodu</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227 076</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248 992</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208 625</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3F5A9E" w:rsidP="006338E5">
            <w:pPr>
              <w:bidi w:val="0"/>
              <w:jc w:val="right"/>
              <w:rPr>
                <w:rFonts w:ascii="Times New Roman" w:hAnsi="Times New Roman" w:cs="Times New Roman"/>
                <w:color w:val="000000"/>
                <w:sz w:val="14"/>
                <w:szCs w:val="14"/>
              </w:rPr>
            </w:pPr>
            <w:r w:rsidRPr="003F5A9E">
              <w:rPr>
                <w:rFonts w:ascii="Times New Roman" w:hAnsi="Times New Roman" w:cs="Times New Roman"/>
                <w:color w:val="000000"/>
                <w:sz w:val="14"/>
                <w:szCs w:val="14"/>
              </w:rPr>
              <w:t>208 625</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199 715</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180 059</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180 059</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Slovenská obchodná inšpekcia </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4 505 321</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4 568 908</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4 647 093</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3F5A9E" w:rsidP="006338E5">
            <w:pPr>
              <w:bidi w:val="0"/>
              <w:jc w:val="right"/>
              <w:rPr>
                <w:rFonts w:ascii="Times New Roman" w:hAnsi="Times New Roman" w:cs="Times New Roman"/>
                <w:color w:val="000000"/>
                <w:sz w:val="14"/>
                <w:szCs w:val="14"/>
              </w:rPr>
            </w:pPr>
            <w:r w:rsidRPr="003F5A9E">
              <w:rPr>
                <w:rFonts w:ascii="Times New Roman" w:hAnsi="Times New Roman" w:cs="Times New Roman"/>
                <w:color w:val="000000"/>
                <w:sz w:val="14"/>
                <w:szCs w:val="14"/>
              </w:rPr>
              <w:t>4 647 093</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4</w:t>
            </w:r>
            <w:r>
              <w:rPr>
                <w:rFonts w:ascii="Times New Roman" w:hAnsi="Times New Roman" w:cs="Times New Roman"/>
                <w:color w:val="000000"/>
                <w:sz w:val="14"/>
                <w:szCs w:val="14"/>
              </w:rPr>
              <w:t> 578 439</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4 460 887</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4 460 887</w:t>
            </w:r>
          </w:p>
        </w:tc>
      </w:tr>
      <w:tr>
        <w:tblPrEx>
          <w:tblW w:w="9072" w:type="dxa"/>
          <w:tblInd w:w="55" w:type="dxa"/>
          <w:tblCellMar>
            <w:left w:w="70" w:type="dxa"/>
            <w:right w:w="70" w:type="dxa"/>
          </w:tblCellMar>
          <w:tblLook w:val="04A0"/>
        </w:tblPrEx>
        <w:trPr>
          <w:trHeight w:val="269"/>
        </w:trPr>
        <w:tc>
          <w:tcPr>
            <w:tcW w:w="2282" w:type="dxa"/>
            <w:tcBorders>
              <w:top w:val="nil"/>
              <w:left w:val="single" w:sz="4" w:space="0" w:color="auto"/>
              <w:bottom w:val="single" w:sz="4" w:space="0" w:color="auto"/>
              <w:right w:val="single" w:sz="4" w:space="0" w:color="auto"/>
            </w:tcBorders>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Hlavný banský úrad</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1 636 028</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1 484 918</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1 400 740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3F5A9E" w:rsidP="006338E5">
            <w:pPr>
              <w:bidi w:val="0"/>
              <w:jc w:val="right"/>
              <w:rPr>
                <w:rFonts w:ascii="Times New Roman" w:hAnsi="Times New Roman" w:cs="Times New Roman"/>
                <w:color w:val="000000"/>
                <w:sz w:val="14"/>
                <w:szCs w:val="14"/>
              </w:rPr>
            </w:pPr>
            <w:r w:rsidRPr="003F5A9E">
              <w:rPr>
                <w:rFonts w:ascii="Times New Roman" w:hAnsi="Times New Roman" w:cs="Times New Roman"/>
                <w:color w:val="000000"/>
                <w:sz w:val="14"/>
                <w:szCs w:val="14"/>
              </w:rPr>
              <w:t>1 460 740</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1 328 069</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1 328 069</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1 328 069</w:t>
            </w:r>
          </w:p>
        </w:tc>
      </w:tr>
      <w:tr>
        <w:tblPrEx>
          <w:tblW w:w="9072" w:type="dxa"/>
          <w:tblInd w:w="55" w:type="dxa"/>
          <w:tblCellMar>
            <w:left w:w="70" w:type="dxa"/>
            <w:right w:w="70" w:type="dxa"/>
          </w:tblCellMar>
          <w:tblLook w:val="04A0"/>
        </w:tblPrEx>
        <w:trPr>
          <w:trHeight w:val="273"/>
        </w:trPr>
        <w:tc>
          <w:tcPr>
            <w:tcW w:w="2282" w:type="dxa"/>
            <w:tcBorders>
              <w:top w:val="nil"/>
              <w:left w:val="single" w:sz="4" w:space="0" w:color="auto"/>
              <w:bottom w:val="single" w:sz="4" w:space="0" w:color="auto"/>
              <w:right w:val="single" w:sz="4" w:space="0" w:color="auto"/>
            </w:tcBorders>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Štátna energetická inšpekcia</w:t>
            </w:r>
          </w:p>
        </w:tc>
        <w:tc>
          <w:tcPr>
            <w:tcW w:w="970"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965 138</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880 611</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907 870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3F5A9E" w:rsidP="006338E5">
            <w:pPr>
              <w:bidi w:val="0"/>
              <w:jc w:val="right"/>
              <w:rPr>
                <w:rFonts w:ascii="Times New Roman" w:hAnsi="Times New Roman" w:cs="Times New Roman"/>
                <w:color w:val="000000"/>
                <w:sz w:val="14"/>
                <w:szCs w:val="14"/>
              </w:rPr>
            </w:pPr>
            <w:r w:rsidRPr="003F5A9E">
              <w:rPr>
                <w:rFonts w:ascii="Times New Roman" w:hAnsi="Times New Roman" w:cs="Times New Roman"/>
                <w:color w:val="000000"/>
                <w:sz w:val="14"/>
                <w:szCs w:val="14"/>
              </w:rPr>
              <w:t>926 870</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871 836</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871 836</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871 836</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Centrum pre chemické látky</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507 270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472 757</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385 257</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3F5A9E" w:rsidP="006338E5">
            <w:pPr>
              <w:bidi w:val="0"/>
              <w:jc w:val="right"/>
              <w:rPr>
                <w:rFonts w:ascii="Times New Roman" w:hAnsi="Times New Roman" w:cs="Times New Roman"/>
                <w:color w:val="000000"/>
                <w:sz w:val="14"/>
                <w:szCs w:val="14"/>
              </w:rPr>
            </w:pPr>
            <w:r w:rsidRPr="003F5A9E">
              <w:rPr>
                <w:rFonts w:ascii="Times New Roman" w:hAnsi="Times New Roman" w:cs="Times New Roman"/>
                <w:color w:val="000000"/>
                <w:sz w:val="14"/>
                <w:szCs w:val="14"/>
              </w:rPr>
              <w:t>400 270</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368 785</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368 785</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368 785</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Úrad pre reguláciu sieťových odvetví</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2 770 855</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2 610 108</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2 410 359</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3F5A9E" w:rsidP="006338E5">
            <w:pPr>
              <w:bidi w:val="0"/>
              <w:jc w:val="right"/>
              <w:rPr>
                <w:rFonts w:ascii="Times New Roman" w:hAnsi="Times New Roman" w:cs="Times New Roman"/>
                <w:color w:val="000000"/>
                <w:sz w:val="14"/>
                <w:szCs w:val="14"/>
              </w:rPr>
            </w:pPr>
            <w:r w:rsidRPr="003F5A9E">
              <w:rPr>
                <w:rFonts w:ascii="Times New Roman" w:hAnsi="Times New Roman" w:cs="Times New Roman"/>
                <w:color w:val="000000"/>
                <w:sz w:val="14"/>
                <w:szCs w:val="14"/>
              </w:rPr>
              <w:t>371 062</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0</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0</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0</w:t>
            </w:r>
          </w:p>
        </w:tc>
      </w:tr>
      <w:tr>
        <w:tblPrEx>
          <w:tblW w:w="9072" w:type="dxa"/>
          <w:tblInd w:w="55" w:type="dxa"/>
          <w:tblCellMar>
            <w:left w:w="70" w:type="dxa"/>
            <w:right w:w="70" w:type="dxa"/>
          </w:tblCellMar>
          <w:tblLook w:val="04A0"/>
        </w:tblPrEx>
        <w:trPr>
          <w:trHeight w:val="270"/>
        </w:trPr>
        <w:tc>
          <w:tcPr>
            <w:tcW w:w="2282"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OBEO a zahr. služba</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7 135 330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391 348</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738 267</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3F5A9E" w:rsidP="006338E5">
            <w:pPr>
              <w:bidi w:val="0"/>
              <w:jc w:val="right"/>
              <w:rPr>
                <w:rFonts w:ascii="Times New Roman" w:hAnsi="Times New Roman" w:cs="Times New Roman"/>
                <w:color w:val="000000"/>
                <w:sz w:val="14"/>
                <w:szCs w:val="14"/>
              </w:rPr>
            </w:pPr>
            <w:r w:rsidRPr="003F5A9E">
              <w:rPr>
                <w:rFonts w:ascii="Times New Roman" w:hAnsi="Times New Roman" w:cs="Times New Roman"/>
                <w:color w:val="000000"/>
                <w:sz w:val="14"/>
                <w:szCs w:val="14"/>
              </w:rPr>
              <w:t>486 174</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709 155</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709 155</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709 155</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Slovenská inovač</w:t>
            </w:r>
            <w:r>
              <w:rPr>
                <w:rFonts w:ascii="Times New Roman" w:hAnsi="Times New Roman" w:cs="Times New Roman"/>
                <w:color w:val="000000"/>
                <w:sz w:val="14"/>
                <w:szCs w:val="14"/>
              </w:rPr>
              <w:t>ná a energ. a</w:t>
            </w:r>
            <w:r w:rsidRPr="00BE2958">
              <w:rPr>
                <w:rFonts w:ascii="Times New Roman" w:hAnsi="Times New Roman" w:cs="Times New Roman"/>
                <w:color w:val="000000"/>
                <w:sz w:val="14"/>
                <w:szCs w:val="14"/>
              </w:rPr>
              <w:t>gentúra</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1 286 303</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2 432 458</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1 082 540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3F5A9E" w:rsidP="006338E5">
            <w:pPr>
              <w:bidi w:val="0"/>
              <w:jc w:val="right"/>
              <w:rPr>
                <w:rFonts w:ascii="Times New Roman" w:hAnsi="Times New Roman" w:cs="Times New Roman"/>
                <w:color w:val="000000"/>
                <w:sz w:val="14"/>
                <w:szCs w:val="14"/>
              </w:rPr>
            </w:pPr>
            <w:r w:rsidRPr="003F5A9E">
              <w:rPr>
                <w:rFonts w:ascii="Times New Roman" w:hAnsi="Times New Roman" w:cs="Times New Roman"/>
                <w:color w:val="000000"/>
                <w:sz w:val="14"/>
                <w:szCs w:val="14"/>
              </w:rPr>
              <w:t>1 383 333</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w:t>
            </w:r>
            <w:r>
              <w:rPr>
                <w:rFonts w:ascii="Times New Roman" w:hAnsi="Times New Roman" w:cs="Times New Roman"/>
                <w:color w:val="000000"/>
                <w:sz w:val="14"/>
                <w:szCs w:val="14"/>
              </w:rPr>
              <w:t> 386 000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1 270 000</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1 270 000</w:t>
            </w:r>
          </w:p>
        </w:tc>
      </w:tr>
      <w:tr>
        <w:tblPrEx>
          <w:tblW w:w="9072" w:type="dxa"/>
          <w:tblInd w:w="55" w:type="dxa"/>
          <w:tblCellMar>
            <w:left w:w="70" w:type="dxa"/>
            <w:right w:w="70" w:type="dxa"/>
          </w:tblCellMar>
          <w:tblLook w:val="04A0"/>
        </w:tblPrEx>
        <w:trPr>
          <w:trHeight w:val="255"/>
        </w:trPr>
        <w:tc>
          <w:tcPr>
            <w:tcW w:w="2282" w:type="dxa"/>
            <w:tcBorders>
              <w:top w:val="nil"/>
              <w:left w:val="single" w:sz="4" w:space="0" w:color="auto"/>
              <w:bottom w:val="single" w:sz="4" w:space="0" w:color="auto"/>
              <w:right w:val="single" w:sz="4" w:space="0" w:color="auto"/>
            </w:tcBorders>
            <w:noWrap/>
            <w:textDirection w:val="lrTb"/>
            <w:vAlign w:val="center"/>
            <w:hideMark/>
          </w:tcPr>
          <w:p w:rsidR="009D2A34" w:rsidRPr="00BE2958" w:rsidP="006338E5">
            <w:pPr>
              <w:bidi w:val="0"/>
              <w:rPr>
                <w:rFonts w:ascii="Times New Roman" w:hAnsi="Times New Roman" w:cs="Times New Roman"/>
                <w:color w:val="000000"/>
                <w:sz w:val="14"/>
                <w:szCs w:val="14"/>
              </w:rPr>
            </w:pPr>
            <w:r w:rsidRPr="00BE2958">
              <w:rPr>
                <w:rFonts w:ascii="Times New Roman" w:hAnsi="Times New Roman" w:cs="Times New Roman"/>
                <w:color w:val="000000"/>
                <w:sz w:val="14"/>
                <w:szCs w:val="14"/>
              </w:rPr>
              <w:t xml:space="preserve">MH SR admin. aparátu </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17 596 463</w:t>
            </w:r>
          </w:p>
        </w:tc>
        <w:tc>
          <w:tcPr>
            <w:tcW w:w="970" w:type="dxa"/>
            <w:tcBorders>
              <w:top w:val="nil"/>
              <w:left w:val="nil"/>
              <w:bottom w:val="single" w:sz="4" w:space="0" w:color="auto"/>
              <w:right w:val="single" w:sz="4" w:space="0" w:color="auto"/>
            </w:tcBorders>
            <w:shd w:val="clear" w:color="000000" w:fill="FFFFFF"/>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12 474 985</w:t>
            </w:r>
          </w:p>
        </w:tc>
        <w:tc>
          <w:tcPr>
            <w:tcW w:w="970" w:type="dxa"/>
            <w:tcBorders>
              <w:top w:val="nil"/>
              <w:left w:val="nil"/>
              <w:bottom w:val="single" w:sz="4" w:space="0" w:color="auto"/>
              <w:right w:val="single" w:sz="4" w:space="0" w:color="auto"/>
            </w:tcBorders>
            <w:noWrap/>
            <w:textDirection w:val="lrTb"/>
            <w:vAlign w:val="center"/>
            <w:hideMark/>
          </w:tcPr>
          <w:p w:rsidR="009D2A34" w:rsidRPr="00BE2958" w:rsidP="006338E5">
            <w:pPr>
              <w:bidi w:val="0"/>
              <w:jc w:val="right"/>
              <w:rPr>
                <w:rFonts w:ascii="Times New Roman" w:hAnsi="Times New Roman" w:cs="Times New Roman"/>
                <w:color w:val="000000"/>
                <w:sz w:val="14"/>
                <w:szCs w:val="14"/>
              </w:rPr>
            </w:pPr>
            <w:r w:rsidRPr="00BE2958">
              <w:rPr>
                <w:rFonts w:ascii="Times New Roman" w:hAnsi="Times New Roman" w:cs="Times New Roman"/>
                <w:color w:val="000000"/>
                <w:sz w:val="14"/>
                <w:szCs w:val="14"/>
              </w:rPr>
              <w:t>14 690 246</w:t>
            </w:r>
          </w:p>
        </w:tc>
        <w:tc>
          <w:tcPr>
            <w:tcW w:w="970" w:type="dxa"/>
            <w:tcBorders>
              <w:top w:val="nil"/>
              <w:left w:val="nil"/>
              <w:bottom w:val="single" w:sz="4" w:space="0" w:color="auto"/>
              <w:right w:val="single" w:sz="4" w:space="0" w:color="auto"/>
            </w:tcBorders>
            <w:noWrap/>
            <w:textDirection w:val="lrTb"/>
            <w:vAlign w:val="center"/>
            <w:hideMark/>
          </w:tcPr>
          <w:p w:rsidR="009D2A34" w:rsidRPr="003F5A9E" w:rsidP="006338E5">
            <w:pPr>
              <w:bidi w:val="0"/>
              <w:jc w:val="right"/>
              <w:rPr>
                <w:rFonts w:ascii="Times New Roman" w:hAnsi="Times New Roman" w:cs="Times New Roman"/>
                <w:color w:val="000000"/>
                <w:sz w:val="14"/>
                <w:szCs w:val="14"/>
              </w:rPr>
            </w:pPr>
            <w:r w:rsidRPr="003F5A9E">
              <w:rPr>
                <w:rFonts w:ascii="Times New Roman" w:hAnsi="Times New Roman" w:cs="Times New Roman"/>
                <w:color w:val="000000"/>
                <w:sz w:val="14"/>
                <w:szCs w:val="14"/>
              </w:rPr>
              <w:t>14 316 502</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13 417 333</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13 415 997</w:t>
            </w:r>
          </w:p>
        </w:tc>
        <w:tc>
          <w:tcPr>
            <w:tcW w:w="970" w:type="dxa"/>
            <w:tcBorders>
              <w:top w:val="nil"/>
              <w:left w:val="nil"/>
              <w:bottom w:val="single" w:sz="4" w:space="0" w:color="auto"/>
              <w:right w:val="single" w:sz="4" w:space="0" w:color="auto"/>
            </w:tcBorders>
            <w:noWrap/>
            <w:textDirection w:val="lrTb"/>
            <w:vAlign w:val="center"/>
            <w:hideMark/>
          </w:tcPr>
          <w:p w:rsidR="009D2A34" w:rsidRPr="00EE20EA" w:rsidP="006338E5">
            <w:pPr>
              <w:bidi w:val="0"/>
              <w:jc w:val="right"/>
              <w:rPr>
                <w:rFonts w:ascii="Times New Roman" w:hAnsi="Times New Roman" w:cs="Times New Roman"/>
                <w:color w:val="000000"/>
                <w:sz w:val="14"/>
                <w:szCs w:val="14"/>
              </w:rPr>
            </w:pPr>
            <w:r w:rsidRPr="00EE20EA">
              <w:rPr>
                <w:rFonts w:ascii="Times New Roman" w:hAnsi="Times New Roman" w:cs="Times New Roman"/>
                <w:color w:val="000000"/>
                <w:sz w:val="14"/>
                <w:szCs w:val="14"/>
              </w:rPr>
              <w:t>13 556 411</w:t>
            </w:r>
          </w:p>
        </w:tc>
      </w:tr>
    </w:tbl>
    <w:p w:rsidR="009D2A34" w:rsidRPr="007E10E9" w:rsidP="009D2A34">
      <w:pPr>
        <w:bidi w:val="0"/>
        <w:spacing w:before="100" w:beforeAutospacing="1" w:after="100" w:afterAutospacing="1"/>
        <w:ind w:firstLine="708"/>
        <w:jc w:val="both"/>
        <w:rPr>
          <w:rFonts w:ascii="Times New Roman" w:hAnsi="Times New Roman" w:cs="Times New Roman"/>
        </w:rPr>
      </w:pPr>
      <w:r w:rsidRPr="007E10E9">
        <w:rPr>
          <w:rFonts w:ascii="Times New Roman" w:hAnsi="Times New Roman" w:cs="Times New Roman"/>
        </w:rPr>
        <w:t>Výdavky na administráciu v </w:t>
      </w:r>
      <w:r>
        <w:rPr>
          <w:rFonts w:ascii="Times New Roman" w:hAnsi="Times New Roman" w:cs="Times New Roman"/>
        </w:rPr>
        <w:t>pôsobnosti kapitoly sú rozpočtované</w:t>
      </w:r>
      <w:r w:rsidRPr="007E10E9">
        <w:rPr>
          <w:rFonts w:ascii="Times New Roman" w:hAnsi="Times New Roman" w:cs="Times New Roman"/>
        </w:rPr>
        <w:t xml:space="preserve"> na administráciu vlastného aparátu ministerstva </w:t>
      </w:r>
      <w:r>
        <w:rPr>
          <w:rFonts w:ascii="Times New Roman" w:hAnsi="Times New Roman" w:cs="Times New Roman"/>
        </w:rPr>
        <w:t>a </w:t>
      </w:r>
      <w:r w:rsidRPr="007E10E9">
        <w:rPr>
          <w:rFonts w:ascii="Times New Roman" w:hAnsi="Times New Roman" w:cs="Times New Roman"/>
        </w:rPr>
        <w:t>činnosti šiestich rozpočtových organizácií v oblasti puncovníctva a skúšania drahých kovov, múzejnej činnosti z oblasti obchodu, trhového dozoru v ochrane spotrebit</w:t>
      </w:r>
      <w:r>
        <w:rPr>
          <w:rFonts w:ascii="Times New Roman" w:hAnsi="Times New Roman" w:cs="Times New Roman"/>
        </w:rPr>
        <w:t xml:space="preserve">eľa na vnútornom trhu, </w:t>
      </w:r>
      <w:r w:rsidRPr="007E10E9">
        <w:rPr>
          <w:rFonts w:ascii="Times New Roman" w:hAnsi="Times New Roman" w:cs="Times New Roman"/>
        </w:rPr>
        <w:t>výkonu štátnej banskej správy, výkonu štátneho dozoru pri dodržiavaní právnych predpisov v oblasti energetiky, kontroly a poskytovania informácií pri uvádzaní chemických látok a biocídov na trh</w:t>
      </w:r>
      <w:r>
        <w:rPr>
          <w:rFonts w:ascii="Times New Roman" w:hAnsi="Times New Roman" w:cs="Times New Roman"/>
        </w:rPr>
        <w:t>.</w:t>
      </w:r>
      <w:r w:rsidRPr="007E10E9">
        <w:rPr>
          <w:rFonts w:ascii="Times New Roman" w:hAnsi="Times New Roman" w:cs="Times New Roman"/>
        </w:rPr>
        <w:t xml:space="preserve"> Výda</w:t>
      </w:r>
      <w:r>
        <w:rPr>
          <w:rFonts w:ascii="Times New Roman" w:hAnsi="Times New Roman" w:cs="Times New Roman"/>
        </w:rPr>
        <w:t>vky sú rozpočtované aj na činnosť</w:t>
      </w:r>
      <w:r w:rsidRPr="007E10E9">
        <w:rPr>
          <w:rFonts w:ascii="Times New Roman" w:hAnsi="Times New Roman" w:cs="Times New Roman"/>
        </w:rPr>
        <w:t xml:space="preserve"> príspevkovej organizácie Slovenská inovačná a energetická  agentúra, ktorej úlohou je získavanie a spracovanie informácií v energetike, hospodárení s energiou, racionálnom využívaní zdrojov energie ako aj sledovanie a vyhodnocovanie inovačných aktivít a návrh opatrení na ich podporu. </w:t>
      </w:r>
    </w:p>
    <w:p w:rsidR="009D2A34" w:rsidRPr="00A61399" w:rsidP="009D2A34">
      <w:pPr>
        <w:bidi w:val="0"/>
        <w:ind w:firstLine="708"/>
        <w:jc w:val="both"/>
        <w:rPr>
          <w:rFonts w:ascii="Times New Roman" w:hAnsi="Times New Roman" w:cs="Times New Roman"/>
        </w:rPr>
      </w:pPr>
      <w:r w:rsidRPr="00A61399">
        <w:rPr>
          <w:rFonts w:ascii="Times New Roman" w:hAnsi="Times New Roman" w:cs="Times New Roman"/>
        </w:rPr>
        <w:t>Rezort je gestorom medzirezortného programu hospodárska mobilizácia, na ktorom sú rozpočtované výdavky na rok 2013 v </w:t>
      </w:r>
      <w:r w:rsidRPr="008518C6">
        <w:rPr>
          <w:rFonts w:ascii="Times New Roman" w:hAnsi="Times New Roman" w:cs="Times New Roman"/>
        </w:rPr>
        <w:t>sume 2,64 mil. eur a účastníkom troch medzirezortných programov, na ktoré sú na rok 2013 smerované zdroje v sume 939 tis. eur.</w:t>
      </w:r>
    </w:p>
    <w:p w:rsidR="009D2A34" w:rsidRPr="00A61399" w:rsidP="009D2A34">
      <w:pPr>
        <w:bidi w:val="0"/>
        <w:jc w:val="both"/>
        <w:rPr>
          <w:rFonts w:ascii="Times New Roman" w:hAnsi="Times New Roman" w:cs="Times New Roman"/>
        </w:rPr>
      </w:pPr>
    </w:p>
    <w:p w:rsidR="009D2A34" w:rsidRPr="00A61399" w:rsidP="009D2A34">
      <w:pPr>
        <w:bidi w:val="0"/>
        <w:ind w:firstLine="708"/>
        <w:jc w:val="both"/>
        <w:rPr>
          <w:rFonts w:ascii="Times New Roman" w:hAnsi="Times New Roman" w:cs="Times New Roman"/>
        </w:rPr>
      </w:pPr>
      <w:r w:rsidRPr="00A61399">
        <w:rPr>
          <w:rFonts w:ascii="Times New Roman" w:hAnsi="Times New Roman" w:cs="Times New Roman"/>
        </w:rPr>
        <w:t xml:space="preserve">Výdavky na </w:t>
      </w:r>
      <w:r>
        <w:rPr>
          <w:rFonts w:ascii="Times New Roman" w:hAnsi="Times New Roman" w:cs="Times New Roman"/>
        </w:rPr>
        <w:t>cezhraničnú spoluprácu sú rozpočtované</w:t>
      </w:r>
      <w:r w:rsidRPr="00A61399">
        <w:rPr>
          <w:rFonts w:ascii="Times New Roman" w:hAnsi="Times New Roman" w:cs="Times New Roman"/>
        </w:rPr>
        <w:t xml:space="preserve"> na úhradu ročného účastníckeho poplatku v rámci programu INTERREG IV C v sume 10,1 tis. eur  a INTERACT II v sume 25,2 tis. eur.</w:t>
      </w:r>
    </w:p>
    <w:p w:rsidR="009D2A34" w:rsidRPr="00A61399" w:rsidP="009D2A34">
      <w:pPr>
        <w:bidi w:val="0"/>
        <w:jc w:val="both"/>
        <w:rPr>
          <w:rFonts w:ascii="Times New Roman" w:hAnsi="Times New Roman" w:cs="Times New Roman"/>
        </w:rPr>
      </w:pPr>
    </w:p>
    <w:p w:rsidR="009D2A34" w:rsidRPr="00A61399" w:rsidP="009D2A34">
      <w:pPr>
        <w:bidi w:val="0"/>
        <w:ind w:firstLine="708"/>
        <w:jc w:val="both"/>
        <w:rPr>
          <w:rFonts w:ascii="Times New Roman" w:hAnsi="Times New Roman" w:cs="Times New Roman"/>
        </w:rPr>
      </w:pPr>
      <w:r w:rsidRPr="00A61399">
        <w:rPr>
          <w:rFonts w:ascii="Times New Roman" w:hAnsi="Times New Roman" w:cs="Times New Roman"/>
        </w:rPr>
        <w:t>Ostatné výd</w:t>
      </w:r>
      <w:r>
        <w:rPr>
          <w:rFonts w:ascii="Times New Roman" w:hAnsi="Times New Roman" w:cs="Times New Roman"/>
        </w:rPr>
        <w:t>avky v tejto oblasti sú rozpočtované</w:t>
      </w:r>
      <w:r w:rsidRPr="00A61399">
        <w:rPr>
          <w:rFonts w:ascii="Times New Roman" w:hAnsi="Times New Roman" w:cs="Times New Roman"/>
        </w:rPr>
        <w:t xml:space="preserve"> pre občianske združenia na ochranu práv spotrebiteľa a Európske spotrebiteľské centrum. </w:t>
      </w:r>
    </w:p>
    <w:p w:rsidR="009D2A34"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P="009D2A34">
      <w:pPr>
        <w:bidi w:val="0"/>
        <w:jc w:val="both"/>
        <w:rPr>
          <w:rFonts w:ascii="Times New Roman" w:hAnsi="Times New Roman" w:cs="Times New Roman"/>
          <w:highlight w:val="yellow"/>
        </w:rPr>
      </w:pPr>
    </w:p>
    <w:p w:rsidR="00D83F50" w:rsidRPr="007E0D85" w:rsidP="009D2A34">
      <w:pPr>
        <w:bidi w:val="0"/>
        <w:jc w:val="both"/>
        <w:rPr>
          <w:rFonts w:ascii="Times New Roman" w:hAnsi="Times New Roman" w:cs="Times New Roman"/>
          <w:highlight w:val="yellow"/>
        </w:rPr>
      </w:pPr>
    </w:p>
    <w:p w:rsidR="009D2A34" w:rsidRPr="00602C76" w:rsidP="009D2A34">
      <w:pPr>
        <w:pBdr>
          <w:bottom w:val="single" w:sz="4" w:space="1" w:color="auto"/>
        </w:pBdr>
        <w:bidi w:val="0"/>
        <w:jc w:val="both"/>
        <w:rPr>
          <w:rFonts w:ascii="Times New Roman" w:hAnsi="Times New Roman" w:cs="Times New Roman"/>
          <w:b/>
        </w:rPr>
      </w:pPr>
      <w:r w:rsidRPr="00602C76">
        <w:rPr>
          <w:rFonts w:ascii="Times New Roman" w:hAnsi="Times New Roman" w:cs="Times New Roman"/>
          <w:b/>
        </w:rPr>
        <w:t xml:space="preserve">Ministerstvo kultúry </w:t>
      </w:r>
      <w:r>
        <w:rPr>
          <w:rFonts w:ascii="Times New Roman" w:hAnsi="Times New Roman" w:cs="Times New Roman"/>
          <w:b/>
        </w:rPr>
        <w:t>SR</w:t>
      </w:r>
      <w:r w:rsidRPr="00602C76">
        <w:rPr>
          <w:rFonts w:ascii="Times New Roman" w:hAnsi="Times New Roman" w:cs="Times New Roman"/>
          <w:b/>
        </w:rPr>
        <w:t xml:space="preserve">     </w:t>
      </w:r>
    </w:p>
    <w:p w:rsidR="009D2A34" w:rsidP="009D2A34">
      <w:pPr>
        <w:bidi w:val="0"/>
        <w:ind w:firstLine="708"/>
        <w:jc w:val="both"/>
        <w:rPr>
          <w:rFonts w:ascii="Times New Roman" w:hAnsi="Times New Roman" w:cs="Times New Roman"/>
          <w:b/>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Rozpočet Ministerstva kultúry SR je zostavený v súlade s platnou legislatívou a zohľadňuje plánované legislatívne úpravy.</w:t>
      </w:r>
    </w:p>
    <w:p w:rsidR="00875D50" w:rsidRPr="00875D50" w:rsidP="00875D50">
      <w:pPr>
        <w:bidi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2600"/>
        <w:gridCol w:w="916"/>
        <w:gridCol w:w="971"/>
        <w:gridCol w:w="916"/>
        <w:gridCol w:w="916"/>
        <w:gridCol w:w="916"/>
        <w:gridCol w:w="989"/>
        <w:gridCol w:w="988"/>
      </w:tblGrid>
      <w:tr>
        <w:tblPrEx>
          <w:tblW w:w="5000" w:type="pct"/>
          <w:tblCellMar>
            <w:left w:w="70" w:type="dxa"/>
            <w:right w:w="70" w:type="dxa"/>
          </w:tblCellMar>
          <w:tblLook w:val="04A0"/>
        </w:tblPrEx>
        <w:trPr>
          <w:trHeight w:hRule="exact" w:val="255"/>
        </w:trPr>
        <w:tc>
          <w:tcPr>
            <w:tcW w:w="1412"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v eurách</w:t>
            </w:r>
          </w:p>
        </w:tc>
        <w:tc>
          <w:tcPr>
            <w:tcW w:w="49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2010 S</w:t>
            </w:r>
          </w:p>
        </w:tc>
        <w:tc>
          <w:tcPr>
            <w:tcW w:w="52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2011 S</w:t>
            </w:r>
          </w:p>
        </w:tc>
        <w:tc>
          <w:tcPr>
            <w:tcW w:w="49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R</w:t>
            </w:r>
          </w:p>
        </w:tc>
        <w:tc>
          <w:tcPr>
            <w:tcW w:w="49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OS</w:t>
            </w:r>
          </w:p>
        </w:tc>
        <w:tc>
          <w:tcPr>
            <w:tcW w:w="49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2013 N</w:t>
            </w:r>
          </w:p>
        </w:tc>
        <w:tc>
          <w:tcPr>
            <w:tcW w:w="53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2014 N</w:t>
            </w:r>
          </w:p>
        </w:tc>
        <w:tc>
          <w:tcPr>
            <w:tcW w:w="53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1412"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75D50" w:rsidRPr="00875D50" w:rsidP="007A2513">
            <w:pPr>
              <w:bidi w:val="0"/>
              <w:jc w:val="both"/>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Zdroje príslušnej kapitoly</w:t>
            </w:r>
          </w:p>
        </w:tc>
        <w:tc>
          <w:tcPr>
            <w:tcW w:w="497"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189 603 700</w:t>
            </w:r>
          </w:p>
        </w:tc>
        <w:tc>
          <w:tcPr>
            <w:tcW w:w="527"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196 590 150</w:t>
            </w:r>
          </w:p>
        </w:tc>
        <w:tc>
          <w:tcPr>
            <w:tcW w:w="497"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181 173 995</w:t>
            </w:r>
          </w:p>
        </w:tc>
        <w:tc>
          <w:tcPr>
            <w:tcW w:w="497"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189 028 214</w:t>
            </w:r>
          </w:p>
        </w:tc>
        <w:tc>
          <w:tcPr>
            <w:tcW w:w="497"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188 746 958</w:t>
            </w:r>
          </w:p>
        </w:tc>
        <w:tc>
          <w:tcPr>
            <w:tcW w:w="537"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182 701 367</w:t>
            </w:r>
          </w:p>
        </w:tc>
        <w:tc>
          <w:tcPr>
            <w:tcW w:w="537"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182 713 949</w:t>
            </w:r>
          </w:p>
        </w:tc>
      </w:tr>
      <w:tr>
        <w:tblPrEx>
          <w:tblW w:w="5000" w:type="pct"/>
          <w:tblCellMar>
            <w:left w:w="70" w:type="dxa"/>
            <w:right w:w="70" w:type="dxa"/>
          </w:tblCellMar>
          <w:tblLook w:val="04A0"/>
        </w:tblPrEx>
        <w:trPr>
          <w:trHeight w:hRule="exact" w:val="255"/>
        </w:trPr>
        <w:tc>
          <w:tcPr>
            <w:tcW w:w="1412"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rozpočtové zdroje kapitoly (111 +11H)</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185 730 429</w:t>
            </w:r>
          </w:p>
        </w:tc>
        <w:tc>
          <w:tcPr>
            <w:tcW w:w="52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194 337 435</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181 173 995</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185 842 662</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188 746 958</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182 701 367</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182 713 949</w:t>
            </w:r>
          </w:p>
        </w:tc>
      </w:tr>
      <w:tr>
        <w:tblPrEx>
          <w:tblW w:w="5000" w:type="pct"/>
          <w:tblCellMar>
            <w:left w:w="70" w:type="dxa"/>
            <w:right w:w="70" w:type="dxa"/>
          </w:tblCellMar>
          <w:tblLook w:val="04A0"/>
        </w:tblPrEx>
        <w:trPr>
          <w:trHeight w:hRule="exact" w:val="255"/>
        </w:trPr>
        <w:tc>
          <w:tcPr>
            <w:tcW w:w="1412"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v tom: bežné výdavky  600</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170 466 735</w:t>
            </w:r>
          </w:p>
        </w:tc>
        <w:tc>
          <w:tcPr>
            <w:tcW w:w="52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173 236 836</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171 173 995</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171 597 407</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173 746 958</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172 701 367</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172 713 949</w:t>
            </w:r>
          </w:p>
        </w:tc>
      </w:tr>
      <w:tr>
        <w:tblPrEx>
          <w:tblW w:w="5000" w:type="pct"/>
          <w:tblCellMar>
            <w:left w:w="70" w:type="dxa"/>
            <w:right w:w="70" w:type="dxa"/>
          </w:tblCellMar>
          <w:tblLook w:val="04A0"/>
        </w:tblPrEx>
        <w:trPr>
          <w:trHeight w:hRule="exact" w:val="255"/>
        </w:trPr>
        <w:tc>
          <w:tcPr>
            <w:tcW w:w="1412"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ind w:firstLine="840" w:firstLineChars="600"/>
              <w:rPr>
                <w:rFonts w:ascii="Times New Roman" w:hAnsi="Times New Roman" w:cs="Times New Roman"/>
                <w:sz w:val="14"/>
                <w:szCs w:val="14"/>
                <w:lang w:eastAsia="sk-SK"/>
              </w:rPr>
            </w:pPr>
            <w:r w:rsidRPr="00875D50">
              <w:rPr>
                <w:rFonts w:ascii="Times New Roman" w:hAnsi="Times New Roman" w:cs="Times New Roman"/>
                <w:sz w:val="14"/>
                <w:szCs w:val="14"/>
                <w:lang w:eastAsia="sk-SK"/>
              </w:rPr>
              <w:t>610 mzdy</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10 535 420</w:t>
            </w:r>
          </w:p>
        </w:tc>
        <w:tc>
          <w:tcPr>
            <w:tcW w:w="52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10 054 084</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8 817 960</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9 334 980</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8 598 199</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8 601 564</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8 610 961</w:t>
            </w:r>
          </w:p>
        </w:tc>
      </w:tr>
      <w:tr>
        <w:tblPrEx>
          <w:tblW w:w="5000" w:type="pct"/>
          <w:tblCellMar>
            <w:left w:w="70" w:type="dxa"/>
            <w:right w:w="70" w:type="dxa"/>
          </w:tblCellMar>
          <w:tblLook w:val="04A0"/>
        </w:tblPrEx>
        <w:trPr>
          <w:trHeight w:hRule="exact" w:val="255"/>
        </w:trPr>
        <w:tc>
          <w:tcPr>
            <w:tcW w:w="1412"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ind w:firstLine="840" w:firstLineChars="600"/>
              <w:rPr>
                <w:rFonts w:ascii="Times New Roman" w:hAnsi="Times New Roman" w:cs="Times New Roman"/>
                <w:sz w:val="14"/>
                <w:szCs w:val="14"/>
                <w:lang w:eastAsia="sk-SK"/>
              </w:rPr>
            </w:pPr>
            <w:r w:rsidRPr="00875D50">
              <w:rPr>
                <w:rFonts w:ascii="Times New Roman" w:hAnsi="Times New Roman" w:cs="Times New Roman"/>
                <w:sz w:val="14"/>
                <w:szCs w:val="14"/>
                <w:lang w:eastAsia="sk-SK"/>
              </w:rPr>
              <w:t>620 odvody</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3 545 437</w:t>
            </w:r>
          </w:p>
        </w:tc>
        <w:tc>
          <w:tcPr>
            <w:tcW w:w="52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3 466 810</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3 078 611</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3 243 611</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2 987 049</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2 988 093</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2 991 278</w:t>
            </w:r>
          </w:p>
        </w:tc>
      </w:tr>
      <w:tr>
        <w:tblPrEx>
          <w:tblW w:w="5000" w:type="pct"/>
          <w:tblCellMar>
            <w:left w:w="70" w:type="dxa"/>
            <w:right w:w="70" w:type="dxa"/>
          </w:tblCellMar>
          <w:tblLook w:val="04A0"/>
        </w:tblPrEx>
        <w:trPr>
          <w:trHeight w:hRule="exact" w:val="255"/>
        </w:trPr>
        <w:tc>
          <w:tcPr>
            <w:tcW w:w="1412"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ind w:firstLine="840" w:firstLineChars="600"/>
              <w:rPr>
                <w:rFonts w:ascii="Times New Roman" w:hAnsi="Times New Roman" w:cs="Times New Roman"/>
                <w:sz w:val="14"/>
                <w:szCs w:val="14"/>
                <w:lang w:eastAsia="sk-SK"/>
              </w:rPr>
            </w:pPr>
            <w:r w:rsidRPr="00875D50">
              <w:rPr>
                <w:rFonts w:ascii="Times New Roman" w:hAnsi="Times New Roman" w:cs="Times New Roman"/>
                <w:sz w:val="14"/>
                <w:szCs w:val="14"/>
                <w:lang w:eastAsia="sk-SK"/>
              </w:rPr>
              <w:t>630 tovary a služby</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11 182 453</w:t>
            </w:r>
          </w:p>
        </w:tc>
        <w:tc>
          <w:tcPr>
            <w:tcW w:w="52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10 991 198</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13 591 262</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13 820 483</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14 179 414</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14 187 558</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14 170 535</w:t>
            </w:r>
          </w:p>
        </w:tc>
      </w:tr>
      <w:tr>
        <w:tblPrEx>
          <w:tblW w:w="5000" w:type="pct"/>
          <w:tblCellMar>
            <w:left w:w="70" w:type="dxa"/>
            <w:right w:w="70" w:type="dxa"/>
          </w:tblCellMar>
          <w:tblLook w:val="04A0"/>
        </w:tblPrEx>
        <w:trPr>
          <w:trHeight w:hRule="exact" w:val="255"/>
        </w:trPr>
        <w:tc>
          <w:tcPr>
            <w:tcW w:w="1412"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ind w:firstLine="840" w:firstLineChars="600"/>
              <w:rPr>
                <w:rFonts w:ascii="Times New Roman" w:hAnsi="Times New Roman" w:cs="Times New Roman"/>
                <w:sz w:val="14"/>
                <w:szCs w:val="14"/>
                <w:lang w:eastAsia="sk-SK"/>
              </w:rPr>
            </w:pPr>
            <w:r w:rsidRPr="00875D50">
              <w:rPr>
                <w:rFonts w:ascii="Times New Roman" w:hAnsi="Times New Roman" w:cs="Times New Roman"/>
                <w:sz w:val="14"/>
                <w:szCs w:val="14"/>
                <w:lang w:eastAsia="sk-SK"/>
              </w:rPr>
              <w:t>640 bežné transfery</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145 203 425</w:t>
            </w:r>
          </w:p>
        </w:tc>
        <w:tc>
          <w:tcPr>
            <w:tcW w:w="52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148 724 744</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145 686 162</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145 198 333</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147 982 296</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146 924 152</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146 941 175</w:t>
            </w:r>
          </w:p>
        </w:tc>
      </w:tr>
      <w:tr>
        <w:tblPrEx>
          <w:tblW w:w="5000" w:type="pct"/>
          <w:tblCellMar>
            <w:left w:w="70" w:type="dxa"/>
            <w:right w:w="70" w:type="dxa"/>
          </w:tblCellMar>
          <w:tblLook w:val="04A0"/>
        </w:tblPrEx>
        <w:trPr>
          <w:trHeight w:hRule="exact" w:val="255"/>
        </w:trPr>
        <w:tc>
          <w:tcPr>
            <w:tcW w:w="1412"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ind w:firstLine="280" w:firstLineChars="200"/>
              <w:rPr>
                <w:rFonts w:ascii="Times New Roman" w:hAnsi="Times New Roman" w:cs="Times New Roman"/>
                <w:sz w:val="14"/>
                <w:szCs w:val="14"/>
                <w:lang w:eastAsia="sk-SK"/>
              </w:rPr>
            </w:pPr>
            <w:r w:rsidRPr="00875D50">
              <w:rPr>
                <w:rFonts w:ascii="Times New Roman" w:hAnsi="Times New Roman" w:cs="Times New Roman"/>
                <w:sz w:val="14"/>
                <w:szCs w:val="14"/>
                <w:lang w:eastAsia="sk-SK"/>
              </w:rPr>
              <w:t xml:space="preserve">    kapitálové výdavky 700</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15 263 694</w:t>
            </w:r>
          </w:p>
        </w:tc>
        <w:tc>
          <w:tcPr>
            <w:tcW w:w="52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21 100 599</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10 000 000</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14 245 255</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15 000 000</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10 000 000</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10 000 000</w:t>
            </w:r>
          </w:p>
        </w:tc>
      </w:tr>
      <w:tr>
        <w:tblPrEx>
          <w:tblW w:w="5000" w:type="pct"/>
          <w:tblCellMar>
            <w:left w:w="70" w:type="dxa"/>
            <w:right w:w="70" w:type="dxa"/>
          </w:tblCellMar>
          <w:tblLook w:val="04A0"/>
        </w:tblPrEx>
        <w:trPr>
          <w:trHeight w:hRule="exact" w:val="255"/>
        </w:trPr>
        <w:tc>
          <w:tcPr>
            <w:tcW w:w="1412"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zdroje EÚ</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263 425</w:t>
            </w:r>
          </w:p>
        </w:tc>
        <w:tc>
          <w:tcPr>
            <w:tcW w:w="52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247 721</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520 897</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r>
      <w:tr>
        <w:tblPrEx>
          <w:tblW w:w="5000" w:type="pct"/>
          <w:tblCellMar>
            <w:left w:w="70" w:type="dxa"/>
            <w:right w:w="70" w:type="dxa"/>
          </w:tblCellMar>
          <w:tblLook w:val="04A0"/>
        </w:tblPrEx>
        <w:trPr>
          <w:trHeight w:hRule="exact" w:val="255"/>
        </w:trPr>
        <w:tc>
          <w:tcPr>
            <w:tcW w:w="1412"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spolufinancovanie zo ŠR</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46 487</w:t>
            </w:r>
          </w:p>
        </w:tc>
        <w:tc>
          <w:tcPr>
            <w:tcW w:w="52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43 716</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146 244</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r>
      <w:tr>
        <w:tblPrEx>
          <w:tblW w:w="5000" w:type="pct"/>
          <w:tblCellMar>
            <w:left w:w="70" w:type="dxa"/>
            <w:right w:w="70" w:type="dxa"/>
          </w:tblCellMar>
          <w:tblLook w:val="04A0"/>
        </w:tblPrEx>
        <w:trPr>
          <w:trHeight w:hRule="exact" w:val="255"/>
        </w:trPr>
        <w:tc>
          <w:tcPr>
            <w:tcW w:w="1412"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presun z minulých rokov §8 ŠR</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3 563 359</w:t>
            </w:r>
          </w:p>
        </w:tc>
        <w:tc>
          <w:tcPr>
            <w:tcW w:w="52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1 961 278</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2 518 412</w:t>
            </w:r>
          </w:p>
        </w:tc>
        <w:tc>
          <w:tcPr>
            <w:tcW w:w="49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c>
          <w:tcPr>
            <w:tcW w:w="53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0</w:t>
            </w:r>
          </w:p>
        </w:tc>
      </w:tr>
    </w:tbl>
    <w:p w:rsidR="00875D50" w:rsidRPr="00875D50" w:rsidP="00875D50">
      <w:pPr>
        <w:bidi w:val="0"/>
        <w:jc w:val="both"/>
        <w:rPr>
          <w:rFonts w:ascii="Times New Roman" w:hAnsi="Times New Roman" w:cs="Times New Roman"/>
          <w:sz w:val="20"/>
          <w:szCs w:val="20"/>
          <w:lang w:eastAsia="sk-SK"/>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Celkové zdroje kapitoly sa na rok 2013 rozpočtujú vo výške 189 mil. eur. Oproti schválenému rozpočtu roku 2012 dochádza k ich rastu o 7,57 mil. eur, t. j. o 4,18 %.</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Posilnenie výdavkov rezortu sa okrem osobných výdavkov týka všetkých ekonomických kategórií. V kategórii osobných výdavkov je v roku 2013 navrhovaná suma 11,6 mil. eur nižšia oproti schválenému rozpočtu roku 2012 o 311 tis. eur, t.</w:t>
      </w:r>
      <w:r w:rsidR="00F7137F">
        <w:rPr>
          <w:rFonts w:ascii="Times New Roman" w:hAnsi="Times New Roman" w:cs="Times New Roman"/>
        </w:rPr>
        <w:t xml:space="preserve"> </w:t>
      </w:r>
      <w:r w:rsidRPr="00875D50">
        <w:rPr>
          <w:rFonts w:ascii="Times New Roman" w:hAnsi="Times New Roman" w:cs="Times New Roman"/>
        </w:rPr>
        <w:t xml:space="preserve">j. o 2,62 %. </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Prostriedky na tovary a služby predstavujú 14,2 mil. eur, čo je o 588 tis. eur, t.</w:t>
      </w:r>
      <w:r w:rsidR="00F7137F">
        <w:rPr>
          <w:rFonts w:ascii="Times New Roman" w:hAnsi="Times New Roman" w:cs="Times New Roman"/>
        </w:rPr>
        <w:t xml:space="preserve"> </w:t>
      </w:r>
      <w:r w:rsidRPr="00875D50">
        <w:rPr>
          <w:rFonts w:ascii="Times New Roman" w:hAnsi="Times New Roman" w:cs="Times New Roman"/>
        </w:rPr>
        <w:t xml:space="preserve">j. </w:t>
      </w:r>
      <w:r w:rsidR="00F7137F">
        <w:rPr>
          <w:rFonts w:ascii="Times New Roman" w:hAnsi="Times New Roman" w:cs="Times New Roman"/>
        </w:rPr>
        <w:br/>
      </w:r>
      <w:r w:rsidRPr="00875D50">
        <w:rPr>
          <w:rFonts w:ascii="Times New Roman" w:hAnsi="Times New Roman" w:cs="Times New Roman"/>
        </w:rPr>
        <w:t xml:space="preserve">o 4,33 % nad úrovňou schváleného rozpočtu roku 2012. Kapitola nerozpísala ich 10 % zníženie, ale presunula výdavky zo strategických oblastí rezortu do tovarov a služieb. </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Výdavky na bežné transfery sú rozpočtované v hodnote 148 mil. eur s medziročným rastom o 2,30 mil. eur, t. j. o 1,58 %. Uvedené zvýšenie finančných zdrojov súvisí najmä s posilnením transferu pre Rozhlas a televíziu Slovenska a Tlačovú agentúru SR.</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 xml:space="preserve">Objem kapitálových výdavkov sa navrhuje v hodnote 15 mil. eur, čo predstavuje oproti schválenému </w:t>
      </w:r>
      <w:r w:rsidR="00F7137F">
        <w:rPr>
          <w:rFonts w:ascii="Times New Roman" w:hAnsi="Times New Roman" w:cs="Times New Roman"/>
        </w:rPr>
        <w:t xml:space="preserve">rozpočtu roku 2012 zvýšenie o 5 </w:t>
      </w:r>
      <w:r w:rsidRPr="00875D50">
        <w:rPr>
          <w:rFonts w:ascii="Times New Roman" w:hAnsi="Times New Roman" w:cs="Times New Roman"/>
        </w:rPr>
        <w:t>mil. eur, t.</w:t>
      </w:r>
      <w:r w:rsidR="00F7137F">
        <w:rPr>
          <w:rFonts w:ascii="Times New Roman" w:hAnsi="Times New Roman" w:cs="Times New Roman"/>
        </w:rPr>
        <w:t xml:space="preserve"> </w:t>
      </w:r>
      <w:r w:rsidRPr="00875D50">
        <w:rPr>
          <w:rFonts w:ascii="Times New Roman" w:hAnsi="Times New Roman" w:cs="Times New Roman"/>
        </w:rPr>
        <w:t>j. o 50 %. Finančné prostriedky sú určené na dofinancovanie rekonštrukcie a modernizácie areálu Slovenskej národnej galérie (ďalej len „SNG“) a investičné projekty pre Rozhlas a televíziu Slovenska.</w:t>
      </w:r>
    </w:p>
    <w:p w:rsidR="00875D50" w:rsidRPr="00875D50" w:rsidP="00875D50">
      <w:pPr>
        <w:bidi w:val="0"/>
        <w:ind w:firstLine="708"/>
        <w:jc w:val="both"/>
        <w:rPr>
          <w:rFonts w:ascii="Arial Narrow" w:hAnsi="Arial Narrow"/>
          <w:sz w:val="22"/>
          <w:szCs w:val="22"/>
        </w:rPr>
      </w:pP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p>
    <w:p w:rsidR="00875D50" w:rsidRPr="00875D50" w:rsidP="00875D50">
      <w:pPr>
        <w:bidi w:val="0"/>
        <w:jc w:val="both"/>
        <w:rPr>
          <w:rFonts w:ascii="Arial Narrow" w:hAnsi="Arial Narrow"/>
          <w:sz w:val="22"/>
          <w:szCs w:val="22"/>
        </w:rPr>
      </w:pPr>
    </w:p>
    <w:p w:rsidR="00875D50" w:rsidRPr="00875D50" w:rsidP="00875D50">
      <w:pPr>
        <w:bidi w:val="0"/>
        <w:jc w:val="both"/>
        <w:rPr>
          <w:rFonts w:ascii="Arial Narrow" w:hAnsi="Arial Narrow"/>
          <w:sz w:val="22"/>
          <w:szCs w:val="22"/>
        </w:rPr>
      </w:pPr>
    </w:p>
    <w:p w:rsidR="00875D50" w:rsidRPr="00875D50" w:rsidP="00875D50">
      <w:pPr>
        <w:bidi w:val="0"/>
        <w:jc w:val="both"/>
        <w:rPr>
          <w:rFonts w:ascii="Arial Narrow" w:hAnsi="Arial Narrow"/>
          <w:sz w:val="22"/>
          <w:szCs w:val="22"/>
        </w:rPr>
      </w:pPr>
    </w:p>
    <w:p w:rsidR="00875D50" w:rsidRPr="00875D50" w:rsidP="00875D50">
      <w:pPr>
        <w:bidi w:val="0"/>
        <w:jc w:val="both"/>
        <w:rPr>
          <w:rFonts w:ascii="Arial Narrow" w:hAnsi="Arial Narrow"/>
          <w:sz w:val="22"/>
          <w:szCs w:val="22"/>
        </w:rPr>
      </w:pPr>
    </w:p>
    <w:p w:rsidR="00875D50" w:rsidRPr="00875D50" w:rsidP="00875D50">
      <w:pPr>
        <w:bidi w:val="0"/>
        <w:jc w:val="both"/>
        <w:rPr>
          <w:rFonts w:ascii="Arial Narrow" w:hAnsi="Arial Narrow"/>
          <w:sz w:val="22"/>
          <w:szCs w:val="22"/>
        </w:rPr>
      </w:pPr>
    </w:p>
    <w:p w:rsidR="00875D50" w:rsidRPr="00875D50" w:rsidP="00875D50">
      <w:pPr>
        <w:bidi w:val="0"/>
        <w:jc w:val="both"/>
        <w:rPr>
          <w:rFonts w:ascii="Arial Narrow" w:hAnsi="Arial Narrow"/>
          <w:sz w:val="22"/>
          <w:szCs w:val="22"/>
        </w:rPr>
      </w:pPr>
    </w:p>
    <w:p w:rsidR="00875D50" w:rsidRPr="00875D50" w:rsidP="00875D50">
      <w:pPr>
        <w:bidi w:val="0"/>
        <w:jc w:val="both"/>
        <w:rPr>
          <w:rFonts w:ascii="Arial Narrow" w:hAnsi="Arial Narrow"/>
          <w:sz w:val="22"/>
          <w:szCs w:val="22"/>
        </w:rPr>
      </w:pPr>
    </w:p>
    <w:p w:rsidR="00875D50" w:rsidRPr="00875D50" w:rsidP="00875D50">
      <w:pPr>
        <w:bidi w:val="0"/>
        <w:jc w:val="both"/>
        <w:rPr>
          <w:rFonts w:ascii="Arial Narrow" w:hAnsi="Arial Narrow"/>
          <w:sz w:val="22"/>
          <w:szCs w:val="22"/>
        </w:rPr>
      </w:pPr>
    </w:p>
    <w:p w:rsidR="00875D50" w:rsidRPr="00875D50" w:rsidP="00875D50">
      <w:pPr>
        <w:bidi w:val="0"/>
        <w:jc w:val="both"/>
        <w:rPr>
          <w:rFonts w:ascii="Arial Narrow" w:hAnsi="Arial Narrow"/>
          <w:sz w:val="22"/>
          <w:szCs w:val="22"/>
        </w:rPr>
      </w:pPr>
    </w:p>
    <w:p w:rsidR="00875D50" w:rsidRPr="00875D50" w:rsidP="00875D50">
      <w:pPr>
        <w:bidi w:val="0"/>
        <w:jc w:val="both"/>
        <w:rPr>
          <w:rFonts w:ascii="Arial Narrow" w:hAnsi="Arial Narrow"/>
          <w:sz w:val="22"/>
          <w:szCs w:val="22"/>
        </w:rPr>
      </w:pPr>
    </w:p>
    <w:p w:rsidR="00875D50" w:rsidRPr="00875D50" w:rsidP="00875D50">
      <w:pPr>
        <w:bidi w:val="0"/>
        <w:ind w:firstLine="708"/>
        <w:jc w:val="both"/>
      </w:pPr>
      <w:r w:rsidRPr="00875D50">
        <w:rPr>
          <w:rFonts w:ascii="Times New Roman" w:hAnsi="Times New Roman" w:cs="Times New Roman"/>
        </w:rPr>
        <w:t>Rozpočtované výdavky kapitoly pokrývajú nasledujúce oblasti.</w:t>
      </w:r>
    </w:p>
    <w:p w:rsidR="00875D50" w:rsidRPr="00875D50" w:rsidP="00875D50">
      <w:pPr>
        <w:bidi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2555"/>
        <w:gridCol w:w="1013"/>
        <w:gridCol w:w="926"/>
        <w:gridCol w:w="926"/>
        <w:gridCol w:w="840"/>
        <w:gridCol w:w="1013"/>
        <w:gridCol w:w="927"/>
        <w:gridCol w:w="1012"/>
      </w:tblGrid>
      <w:tr>
        <w:tblPrEx>
          <w:tblW w:w="5000" w:type="pct"/>
          <w:tblCellMar>
            <w:left w:w="70" w:type="dxa"/>
            <w:right w:w="70" w:type="dxa"/>
          </w:tblCellMar>
          <w:tblLook w:val="04A0"/>
        </w:tblPrEx>
        <w:trPr>
          <w:trHeight w:hRule="exact" w:val="255"/>
        </w:trPr>
        <w:tc>
          <w:tcPr>
            <w:tcW w:w="1274"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v eurách</w:t>
            </w:r>
          </w:p>
        </w:tc>
        <w:tc>
          <w:tcPr>
            <w:tcW w:w="56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2010 S</w:t>
            </w:r>
          </w:p>
        </w:tc>
        <w:tc>
          <w:tcPr>
            <w:tcW w:w="51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2011 S</w:t>
            </w:r>
          </w:p>
        </w:tc>
        <w:tc>
          <w:tcPr>
            <w:tcW w:w="51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R</w:t>
            </w:r>
          </w:p>
        </w:tc>
        <w:tc>
          <w:tcPr>
            <w:tcW w:w="47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OS</w:t>
            </w:r>
          </w:p>
        </w:tc>
        <w:tc>
          <w:tcPr>
            <w:tcW w:w="56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2013 N</w:t>
            </w:r>
          </w:p>
        </w:tc>
        <w:tc>
          <w:tcPr>
            <w:tcW w:w="51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2014 N</w:t>
            </w:r>
          </w:p>
        </w:tc>
        <w:tc>
          <w:tcPr>
            <w:tcW w:w="566"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1274"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75D50" w:rsidRPr="00875D50" w:rsidP="007A2513">
            <w:pPr>
              <w:bidi w:val="0"/>
              <w:jc w:val="both"/>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Zdroje príslušnej kapitoly</w:t>
            </w:r>
          </w:p>
        </w:tc>
        <w:tc>
          <w:tcPr>
            <w:tcW w:w="566"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189 603 700</w:t>
            </w:r>
          </w:p>
        </w:tc>
        <w:tc>
          <w:tcPr>
            <w:tcW w:w="51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196 590 150</w:t>
            </w:r>
          </w:p>
        </w:tc>
        <w:tc>
          <w:tcPr>
            <w:tcW w:w="51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181 173 995</w:t>
            </w:r>
          </w:p>
        </w:tc>
        <w:tc>
          <w:tcPr>
            <w:tcW w:w="472"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189 028 214</w:t>
            </w:r>
          </w:p>
        </w:tc>
        <w:tc>
          <w:tcPr>
            <w:tcW w:w="566"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188 746 958</w:t>
            </w:r>
          </w:p>
        </w:tc>
        <w:tc>
          <w:tcPr>
            <w:tcW w:w="51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182 701 367</w:t>
            </w:r>
          </w:p>
        </w:tc>
        <w:tc>
          <w:tcPr>
            <w:tcW w:w="566"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182 713 949</w:t>
            </w:r>
          </w:p>
        </w:tc>
      </w:tr>
      <w:tr>
        <w:tblPrEx>
          <w:tblW w:w="5000" w:type="pct"/>
          <w:tblCellMar>
            <w:left w:w="70" w:type="dxa"/>
            <w:right w:w="70" w:type="dxa"/>
          </w:tblCellMar>
          <w:tblLook w:val="04A0"/>
        </w:tblPrEx>
        <w:trPr>
          <w:trHeight w:hRule="exact" w:val="255"/>
        </w:trPr>
        <w:tc>
          <w:tcPr>
            <w:tcW w:w="1274"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Inštitucionálna podpora organizácií rezortu</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88 443 453</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84 331 325</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79 934 460</w:t>
            </w:r>
          </w:p>
        </w:tc>
        <w:tc>
          <w:tcPr>
            <w:tcW w:w="472"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91 541 831</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80 067 706</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81 212 379</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81 225 504</w:t>
            </w:r>
          </w:p>
        </w:tc>
      </w:tr>
      <w:tr>
        <w:tblPrEx>
          <w:tblW w:w="5000" w:type="pct"/>
          <w:tblCellMar>
            <w:left w:w="70" w:type="dxa"/>
            <w:right w:w="70" w:type="dxa"/>
          </w:tblCellMar>
          <w:tblLook w:val="04A0"/>
        </w:tblPrEx>
        <w:trPr>
          <w:trHeight w:hRule="exact" w:val="255"/>
        </w:trPr>
        <w:tc>
          <w:tcPr>
            <w:tcW w:w="1274"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Grantový systém</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19 849 083</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16 832 444</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21 066 097</w:t>
            </w:r>
          </w:p>
        </w:tc>
        <w:tc>
          <w:tcPr>
            <w:tcW w:w="472"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21 066 097</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21 566 097</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20 516 097</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20 516 097</w:t>
            </w:r>
          </w:p>
        </w:tc>
      </w:tr>
      <w:tr>
        <w:tblPrEx>
          <w:tblW w:w="5000" w:type="pct"/>
          <w:tblCellMar>
            <w:left w:w="70" w:type="dxa"/>
            <w:right w:w="70" w:type="dxa"/>
          </w:tblCellMar>
          <w:tblLook w:val="04A0"/>
        </w:tblPrEx>
        <w:trPr>
          <w:trHeight w:hRule="exact" w:val="255"/>
        </w:trPr>
        <w:tc>
          <w:tcPr>
            <w:tcW w:w="1274"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Transfery pre verejnoprávne inštitúcie</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23 215 727</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38 000 000</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18 000 000</w:t>
            </w:r>
          </w:p>
        </w:tc>
        <w:tc>
          <w:tcPr>
            <w:tcW w:w="472"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23 842 715</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32 000 000</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32 000 000</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32 000 000</w:t>
            </w:r>
          </w:p>
        </w:tc>
      </w:tr>
      <w:tr>
        <w:tblPrEx>
          <w:tblW w:w="5000" w:type="pct"/>
          <w:tblCellMar>
            <w:left w:w="70" w:type="dxa"/>
            <w:right w:w="70" w:type="dxa"/>
          </w:tblCellMar>
          <w:tblLook w:val="04A0"/>
        </w:tblPrEx>
        <w:trPr>
          <w:trHeight w:hRule="exact" w:val="255"/>
        </w:trPr>
        <w:tc>
          <w:tcPr>
            <w:tcW w:w="1274"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Strategické zámery kapitoly</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8 960 975</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4 547 859</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6 793 726</w:t>
            </w:r>
          </w:p>
        </w:tc>
        <w:tc>
          <w:tcPr>
            <w:tcW w:w="472"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5 346 367</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4 733 726</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3 593 726</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3 593 726</w:t>
            </w:r>
          </w:p>
        </w:tc>
      </w:tr>
      <w:tr>
        <w:tblPrEx>
          <w:tblW w:w="5000" w:type="pct"/>
          <w:tblCellMar>
            <w:left w:w="70" w:type="dxa"/>
            <w:right w:w="70" w:type="dxa"/>
          </w:tblCellMar>
          <w:tblLook w:val="04A0"/>
        </w:tblPrEx>
        <w:trPr>
          <w:trHeight w:hRule="exact" w:val="255"/>
        </w:trPr>
        <w:tc>
          <w:tcPr>
            <w:tcW w:w="1274"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 xml:space="preserve">Cirkvi a náboženské spoločnosti </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40 330 512</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37 461 769</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37 211 961</w:t>
            </w:r>
          </w:p>
        </w:tc>
        <w:tc>
          <w:tcPr>
            <w:tcW w:w="472"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37 379 973</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37 379 973</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37 379 973</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37 379 973</w:t>
            </w:r>
          </w:p>
        </w:tc>
      </w:tr>
      <w:tr>
        <w:tblPrEx>
          <w:tblW w:w="5000" w:type="pct"/>
          <w:tblCellMar>
            <w:left w:w="70" w:type="dxa"/>
            <w:right w:w="70" w:type="dxa"/>
          </w:tblCellMar>
          <w:tblLook w:val="04A0"/>
        </w:tblPrEx>
        <w:trPr>
          <w:trHeight w:hRule="exact" w:val="255"/>
        </w:trPr>
        <w:tc>
          <w:tcPr>
            <w:tcW w:w="1274"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Aparát a iné výdavkové tituly</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8 803 951</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15 416 753</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18 167 751</w:t>
            </w:r>
          </w:p>
        </w:tc>
        <w:tc>
          <w:tcPr>
            <w:tcW w:w="472"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9 851 231</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12 999 456</w:t>
            </w:r>
          </w:p>
        </w:tc>
        <w:tc>
          <w:tcPr>
            <w:tcW w:w="51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7 999 192</w:t>
            </w:r>
          </w:p>
        </w:tc>
        <w:tc>
          <w:tcPr>
            <w:tcW w:w="566"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7 998 649</w:t>
            </w:r>
          </w:p>
        </w:tc>
      </w:tr>
    </w:tbl>
    <w:p w:rsidR="00875D50" w:rsidRPr="00875D50" w:rsidP="00875D50">
      <w:pPr>
        <w:bidi w:val="0"/>
        <w:jc w:val="both"/>
        <w:rPr>
          <w:rFonts w:ascii="Times New Roman" w:hAnsi="Times New Roman" w:cs="Times New Roman"/>
        </w:rPr>
      </w:pPr>
    </w:p>
    <w:p w:rsidR="00875D50" w:rsidRPr="00875D50" w:rsidP="00875D50">
      <w:pPr>
        <w:bidi w:val="0"/>
        <w:jc w:val="both"/>
        <w:rPr>
          <w:rFonts w:ascii="Times New Roman" w:hAnsi="Times New Roman" w:cs="Times New Roman"/>
        </w:rPr>
      </w:pPr>
    </w:p>
    <w:p w:rsidR="00875D50" w:rsidRPr="00875D50" w:rsidP="00875D50">
      <w:pPr>
        <w:bidi w:val="0"/>
        <w:jc w:val="both"/>
        <w:rPr>
          <w:rFonts w:ascii="Times New Roman" w:hAnsi="Times New Roman" w:cs="Times New Roman"/>
          <w:b/>
          <w:bCs/>
        </w:rPr>
      </w:pPr>
      <w:r w:rsidRPr="00875D50">
        <w:rPr>
          <w:rFonts w:ascii="Times New Roman" w:hAnsi="Times New Roman" w:cs="Times New Roman"/>
          <w:b/>
          <w:bCs/>
        </w:rPr>
        <w:t>Inštitucionálna podpora štátnych organizácií rezortu</w:t>
      </w:r>
    </w:p>
    <w:p w:rsidR="00875D50" w:rsidRPr="00875D50" w:rsidP="00875D50">
      <w:pPr>
        <w:bidi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3746"/>
        <w:gridCol w:w="793"/>
        <w:gridCol w:w="778"/>
        <w:gridCol w:w="778"/>
        <w:gridCol w:w="778"/>
        <w:gridCol w:w="793"/>
        <w:gridCol w:w="770"/>
        <w:gridCol w:w="776"/>
      </w:tblGrid>
      <w:tr>
        <w:tblPrEx>
          <w:tblW w:w="5000" w:type="pct"/>
          <w:tblCellMar>
            <w:left w:w="70" w:type="dxa"/>
            <w:right w:w="70" w:type="dxa"/>
          </w:tblCellMar>
          <w:tblLook w:val="04A0"/>
        </w:tblPrEx>
        <w:trPr>
          <w:trHeight w:hRule="exact" w:val="255"/>
        </w:trPr>
        <w:tc>
          <w:tcPr>
            <w:tcW w:w="20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v eurách</w:t>
            </w:r>
          </w:p>
        </w:tc>
        <w:tc>
          <w:tcPr>
            <w:tcW w:w="43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2010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2011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R</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OS</w:t>
            </w:r>
          </w:p>
        </w:tc>
        <w:tc>
          <w:tcPr>
            <w:tcW w:w="43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2013 N</w:t>
            </w:r>
          </w:p>
        </w:tc>
        <w:tc>
          <w:tcPr>
            <w:tcW w:w="39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2014 N</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75D50" w:rsidRPr="00875D50" w:rsidP="007A2513">
            <w:pPr>
              <w:bidi w:val="0"/>
              <w:jc w:val="both"/>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Inštitucionálna podpora organizácií rezortu</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88 443 453</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84 331 325</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79 934 460</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91 541 831</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80 067 706</w:t>
            </w:r>
          </w:p>
        </w:tc>
        <w:tc>
          <w:tcPr>
            <w:tcW w:w="39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81 212 379</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81 225 504</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Inštitucionálna podpora RO a PO*</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82 431 077</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82 607 171</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73 389 660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86 547 644</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75 770 222</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75 770 222</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75 770 222</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Podpora kultúrnych aktivít RO a PO*</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4 843 413</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1 387 155</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5 844 800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4 193 217</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3 877 484</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4 742 157</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4 755 282</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Podpora kultúrnych aktivít v zahraničí</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1 168 963</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336 999</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800 970</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420 000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700 000</w:t>
            </w:r>
          </w:p>
        </w:tc>
      </w:tr>
    </w:tbl>
    <w:p w:rsidR="00875D50" w:rsidRPr="00875D50" w:rsidP="00875D50">
      <w:pPr>
        <w:autoSpaceDE w:val="0"/>
        <w:autoSpaceDN w:val="0"/>
        <w:bidi w:val="0"/>
        <w:adjustRightInd w:val="0"/>
        <w:jc w:val="both"/>
        <w:rPr>
          <w:rFonts w:ascii="Times New Roman" w:hAnsi="Times New Roman" w:cs="Times New Roman"/>
          <w:sz w:val="14"/>
          <w:szCs w:val="14"/>
        </w:rPr>
      </w:pPr>
      <w:r w:rsidRPr="00875D50">
        <w:rPr>
          <w:rFonts w:ascii="Times New Roman" w:hAnsi="Times New Roman" w:cs="Times New Roman"/>
          <w:sz w:val="14"/>
          <w:szCs w:val="14"/>
        </w:rPr>
        <w:t>*rozpočtových organizácií a príspevkových organizácií</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 xml:space="preserve">Výdavky na realizáciu aktivít v oblasti inštitucionálnej podpory organizácií rezortu kultúry sa rozpočtujú v sume 80,1 mil. eur. V porovnaní so schváleným rozpočtom roku 2012 dochádza k ich rastu o 133 tis. eur, t. j. o 0,17 %, a to najmä z dôvodu presunu výdavkov z oblasti stratégií rezortu kultúry a projektov mimoriadneho významu. </w:t>
      </w:r>
    </w:p>
    <w:p w:rsidR="00875D50" w:rsidRPr="00875D50" w:rsidP="00875D50">
      <w:pPr>
        <w:bidi w:val="0"/>
        <w:ind w:firstLine="708"/>
        <w:jc w:val="both"/>
        <w:rPr>
          <w:rFonts w:ascii="Times New Roman" w:hAnsi="Times New Roman" w:cs="Times New Roman"/>
        </w:rPr>
      </w:pPr>
    </w:p>
    <w:p w:rsidR="00875D50" w:rsidRPr="00875D50" w:rsidP="00875D50">
      <w:pPr>
        <w:autoSpaceDE w:val="0"/>
        <w:autoSpaceDN w:val="0"/>
        <w:bidi w:val="0"/>
        <w:adjustRightInd w:val="0"/>
        <w:ind w:firstLine="708"/>
        <w:jc w:val="both"/>
        <w:rPr>
          <w:rFonts w:ascii="Times New Roman" w:hAnsi="Times New Roman" w:cs="Times New Roman"/>
        </w:rPr>
      </w:pPr>
      <w:r w:rsidRPr="00875D50">
        <w:rPr>
          <w:rFonts w:ascii="Times New Roman" w:hAnsi="Times New Roman" w:cs="Times New Roman"/>
        </w:rPr>
        <w:t xml:space="preserve">Vnútornými presunmi výdavkov v rámci predmetnej oblasti a realokáciou zdrojov zo stratégií rezortu došlo k posilneniu prvku inštitucionálnej podpory RO a PO, ktorá je </w:t>
        <w:br/>
        <w:t>o 2,38 mil. eur vyššia oproti schválenému rozpočtu roku 2012, t. j. o 3,24 %.</w:t>
      </w:r>
    </w:p>
    <w:p w:rsidR="00875D50" w:rsidRPr="00875D50" w:rsidP="00875D50">
      <w:pPr>
        <w:autoSpaceDE w:val="0"/>
        <w:autoSpaceDN w:val="0"/>
        <w:bidi w:val="0"/>
        <w:adjustRightInd w:val="0"/>
        <w:jc w:val="both"/>
        <w:rPr>
          <w:rFonts w:ascii="Arial Narrow" w:hAnsi="Arial Narrow" w:cs="Arial"/>
          <w:sz w:val="22"/>
          <w:szCs w:val="22"/>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V dôsledku realizovaných úprav je zaznamenaný medziročný pokles výdavkov na podporu kultúrnych aktivít v zahraničí o 280 tis. eur, t. j. o 40 % a zdrojov na podporu kultúrnych aktivít RO a PO o 1,97 mil. eur, t. j. o 33,7 %.</w:t>
      </w:r>
    </w:p>
    <w:p w:rsidR="00875D50" w:rsidRPr="00875D50" w:rsidP="00875D50">
      <w:pPr>
        <w:autoSpaceDE w:val="0"/>
        <w:autoSpaceDN w:val="0"/>
        <w:bidi w:val="0"/>
        <w:adjustRightInd w:val="0"/>
        <w:ind w:firstLine="708"/>
        <w:jc w:val="both"/>
        <w:rPr>
          <w:rFonts w:ascii="Times New Roman" w:hAnsi="Times New Roman" w:cs="Times New Roman"/>
        </w:rPr>
      </w:pPr>
    </w:p>
    <w:p w:rsidR="00875D50" w:rsidRPr="00875D50" w:rsidP="00875D50">
      <w:pPr>
        <w:autoSpaceDE w:val="0"/>
        <w:autoSpaceDN w:val="0"/>
        <w:bidi w:val="0"/>
        <w:adjustRightInd w:val="0"/>
        <w:ind w:firstLine="708"/>
        <w:jc w:val="both"/>
        <w:rPr>
          <w:rFonts w:ascii="Times New Roman" w:hAnsi="Times New Roman" w:cs="Times New Roman"/>
        </w:rPr>
      </w:pPr>
      <w:r w:rsidRPr="00875D50">
        <w:rPr>
          <w:rFonts w:ascii="Times New Roman" w:hAnsi="Times New Roman" w:cs="Times New Roman"/>
        </w:rPr>
        <w:t>Prehľad výdavkov rozpočtovaných v inštitucionálnej podpore rozpočtových a príspevkových organizácií.</w:t>
      </w:r>
    </w:p>
    <w:p w:rsidR="00875D50" w:rsidRPr="00875D50" w:rsidP="00875D50">
      <w:pPr>
        <w:autoSpaceDE w:val="0"/>
        <w:autoSpaceDN w:val="0"/>
        <w:bidi w:val="0"/>
        <w:adjustRightInd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3609"/>
        <w:gridCol w:w="770"/>
        <w:gridCol w:w="840"/>
        <w:gridCol w:w="788"/>
        <w:gridCol w:w="788"/>
        <w:gridCol w:w="805"/>
        <w:gridCol w:w="806"/>
        <w:gridCol w:w="806"/>
      </w:tblGrid>
      <w:tr>
        <w:tblPrEx>
          <w:tblW w:w="5000" w:type="pct"/>
          <w:tblCellMar>
            <w:left w:w="70" w:type="dxa"/>
            <w:right w:w="70" w:type="dxa"/>
          </w:tblCellMar>
          <w:tblLook w:val="04A0"/>
        </w:tblPrEx>
        <w:trPr>
          <w:trHeight w:hRule="exact" w:val="255"/>
        </w:trPr>
        <w:tc>
          <w:tcPr>
            <w:tcW w:w="195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v eurách</w:t>
            </w:r>
          </w:p>
        </w:tc>
        <w:tc>
          <w:tcPr>
            <w:tcW w:w="41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2010 S</w:t>
            </w:r>
          </w:p>
        </w:tc>
        <w:tc>
          <w:tcPr>
            <w:tcW w:w="45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2011 S</w:t>
            </w:r>
          </w:p>
        </w:tc>
        <w:tc>
          <w:tcPr>
            <w:tcW w:w="42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R</w:t>
            </w:r>
          </w:p>
        </w:tc>
        <w:tc>
          <w:tcPr>
            <w:tcW w:w="42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OS</w:t>
            </w:r>
          </w:p>
        </w:tc>
        <w:tc>
          <w:tcPr>
            <w:tcW w:w="43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2013 N</w:t>
            </w:r>
          </w:p>
        </w:tc>
        <w:tc>
          <w:tcPr>
            <w:tcW w:w="43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2014 N</w:t>
            </w:r>
          </w:p>
        </w:tc>
        <w:tc>
          <w:tcPr>
            <w:tcW w:w="43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75D50" w:rsidRPr="00875D50" w:rsidP="007A2513">
            <w:pPr>
              <w:bidi w:val="0"/>
              <w:jc w:val="both"/>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Rozpočtové organizácie</w:t>
            </w:r>
          </w:p>
        </w:tc>
        <w:tc>
          <w:tcPr>
            <w:tcW w:w="410"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21 523 226</w:t>
            </w:r>
          </w:p>
        </w:tc>
        <w:tc>
          <w:tcPr>
            <w:tcW w:w="457"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20 653 411</w:t>
            </w:r>
          </w:p>
        </w:tc>
        <w:tc>
          <w:tcPr>
            <w:tcW w:w="42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17 828 555</w:t>
            </w:r>
          </w:p>
        </w:tc>
        <w:tc>
          <w:tcPr>
            <w:tcW w:w="42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19 197 386</w:t>
            </w:r>
          </w:p>
        </w:tc>
        <w:tc>
          <w:tcPr>
            <w:tcW w:w="438"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18 461 962</w:t>
            </w:r>
          </w:p>
        </w:tc>
        <w:tc>
          <w:tcPr>
            <w:tcW w:w="438"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18 461 962</w:t>
            </w:r>
          </w:p>
        </w:tc>
        <w:tc>
          <w:tcPr>
            <w:tcW w:w="438"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18 461 962</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Bibiana, medzinárodný dom umenia pre deti</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1 031 129</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1 083 705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1 080 000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1 080 000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1 080 000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1 080 000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1 080 000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Ministerstvo kultúry Slovenskej republiky</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4 737 850</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2 949 306</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Pamiatkový úrad Slovenskej republiky</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5 100 794</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5 752 685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5 480 510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5 480 510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5 480 510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5 480 510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5 480 510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Slovenská národná knižnica v Martine</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4 631 345</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4 598 628</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5 157 000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6 428 830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5 693 407</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5 693 407</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5 693 407</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Univerzitná knižnica v Bratislave</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4 187 114</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4 249 335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4 249 750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4 261 750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4 261 750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4 261 750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4 261 750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Štátna vedecká knižnica v Prešove</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673 662</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814 960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700 970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765 970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765 970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765 970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765 970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Štátna vedecká knižnica v Košiciach</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1 161 332</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1 204 792</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1 160 325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1 180 325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1 180 325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1 180 325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1 180 325</w:t>
            </w:r>
          </w:p>
        </w:tc>
      </w:tr>
    </w:tbl>
    <w:p w:rsidR="00875D50" w:rsidRPr="00875D50" w:rsidP="00875D50">
      <w:pPr>
        <w:autoSpaceDE w:val="0"/>
        <w:autoSpaceDN w:val="0"/>
        <w:bidi w:val="0"/>
        <w:adjustRightInd w:val="0"/>
        <w:jc w:val="both"/>
        <w:rPr>
          <w:rFonts w:ascii="Times New Roman" w:hAnsi="Times New Roman" w:cs="Times New Roman"/>
          <w:lang w:eastAsia="sk-SK"/>
        </w:rPr>
      </w:pPr>
    </w:p>
    <w:p w:rsidR="00875D50" w:rsidRPr="00875D50" w:rsidP="00875D50">
      <w:pPr>
        <w:autoSpaceDE w:val="0"/>
        <w:autoSpaceDN w:val="0"/>
        <w:bidi w:val="0"/>
        <w:adjustRightInd w:val="0"/>
        <w:jc w:val="both"/>
        <w:rPr>
          <w:rFonts w:ascii="Times New Roman" w:hAnsi="Times New Roman" w:cs="Times New Roman"/>
          <w:lang w:eastAsia="sk-SK"/>
        </w:rPr>
      </w:pPr>
    </w:p>
    <w:p w:rsidR="00875D50" w:rsidRPr="00875D50" w:rsidP="00875D50">
      <w:pPr>
        <w:autoSpaceDE w:val="0"/>
        <w:autoSpaceDN w:val="0"/>
        <w:bidi w:val="0"/>
        <w:adjustRightInd w:val="0"/>
        <w:jc w:val="both"/>
        <w:rPr>
          <w:rFonts w:ascii="Times New Roman" w:hAnsi="Times New Roman" w:cs="Times New Roman"/>
          <w:lang w:eastAsia="sk-SK"/>
        </w:rPr>
      </w:pPr>
    </w:p>
    <w:p w:rsidR="00875D50" w:rsidRPr="00875D50" w:rsidP="00875D50">
      <w:pPr>
        <w:autoSpaceDE w:val="0"/>
        <w:autoSpaceDN w:val="0"/>
        <w:bidi w:val="0"/>
        <w:adjustRightInd w:val="0"/>
        <w:jc w:val="both"/>
        <w:rPr>
          <w:rFonts w:ascii="Times New Roman" w:hAnsi="Times New Roman" w:cs="Times New Roman"/>
          <w:lang w:eastAsia="sk-SK"/>
        </w:rPr>
      </w:pPr>
    </w:p>
    <w:p w:rsidR="00875D50" w:rsidRPr="00875D50" w:rsidP="00875D50">
      <w:pPr>
        <w:autoSpaceDE w:val="0"/>
        <w:autoSpaceDN w:val="0"/>
        <w:bidi w:val="0"/>
        <w:adjustRightInd w:val="0"/>
        <w:jc w:val="both"/>
        <w:rPr>
          <w:rFonts w:ascii="Times New Roman" w:hAnsi="Times New Roman" w:cs="Times New Roman"/>
          <w:lang w:eastAsia="sk-SK"/>
        </w:rPr>
      </w:pPr>
    </w:p>
    <w:p w:rsidR="00875D50" w:rsidRPr="00875D50" w:rsidP="00875D50">
      <w:pPr>
        <w:autoSpaceDE w:val="0"/>
        <w:autoSpaceDN w:val="0"/>
        <w:bidi w:val="0"/>
        <w:adjustRightInd w:val="0"/>
        <w:jc w:val="both"/>
        <w:rPr>
          <w:rFonts w:ascii="Times New Roman" w:hAnsi="Times New Roman" w:cs="Times New Roman"/>
          <w:sz w:val="20"/>
          <w:szCs w:val="20"/>
          <w:lang w:eastAsia="sk-SK"/>
        </w:rPr>
      </w:pPr>
    </w:p>
    <w:p w:rsidR="00875D50" w:rsidRPr="00875D50" w:rsidP="00875D50">
      <w:pPr>
        <w:autoSpaceDE w:val="0"/>
        <w:autoSpaceDN w:val="0"/>
        <w:bidi w:val="0"/>
        <w:adjustRightInd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3609"/>
        <w:gridCol w:w="770"/>
        <w:gridCol w:w="840"/>
        <w:gridCol w:w="788"/>
        <w:gridCol w:w="788"/>
        <w:gridCol w:w="805"/>
        <w:gridCol w:w="806"/>
        <w:gridCol w:w="806"/>
      </w:tblGrid>
      <w:tr>
        <w:tblPrEx>
          <w:tblW w:w="5000" w:type="pct"/>
          <w:tblCellMar>
            <w:left w:w="70" w:type="dxa"/>
            <w:right w:w="70" w:type="dxa"/>
          </w:tblCellMar>
          <w:tblLook w:val="04A0"/>
        </w:tblPrEx>
        <w:trPr>
          <w:trHeight w:hRule="exact" w:val="255"/>
        </w:trPr>
        <w:tc>
          <w:tcPr>
            <w:tcW w:w="195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v eurách</w:t>
            </w:r>
          </w:p>
        </w:tc>
        <w:tc>
          <w:tcPr>
            <w:tcW w:w="41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2010 S</w:t>
            </w:r>
          </w:p>
        </w:tc>
        <w:tc>
          <w:tcPr>
            <w:tcW w:w="45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2011 S</w:t>
            </w:r>
          </w:p>
        </w:tc>
        <w:tc>
          <w:tcPr>
            <w:tcW w:w="42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R</w:t>
            </w:r>
          </w:p>
        </w:tc>
        <w:tc>
          <w:tcPr>
            <w:tcW w:w="42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OS</w:t>
            </w:r>
          </w:p>
        </w:tc>
        <w:tc>
          <w:tcPr>
            <w:tcW w:w="43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2013 N</w:t>
            </w:r>
          </w:p>
        </w:tc>
        <w:tc>
          <w:tcPr>
            <w:tcW w:w="43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2014 N</w:t>
            </w:r>
          </w:p>
        </w:tc>
        <w:tc>
          <w:tcPr>
            <w:tcW w:w="43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75D50" w:rsidRPr="00875D50" w:rsidP="007A2513">
            <w:pPr>
              <w:bidi w:val="0"/>
              <w:jc w:val="both"/>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Príspevkové organizácie</w:t>
            </w:r>
          </w:p>
        </w:tc>
        <w:tc>
          <w:tcPr>
            <w:tcW w:w="410"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59 038 155</w:t>
            </w:r>
          </w:p>
        </w:tc>
        <w:tc>
          <w:tcPr>
            <w:tcW w:w="457"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60 459 760</w:t>
            </w:r>
          </w:p>
        </w:tc>
        <w:tc>
          <w:tcPr>
            <w:tcW w:w="42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54 067 105</w:t>
            </w:r>
          </w:p>
        </w:tc>
        <w:tc>
          <w:tcPr>
            <w:tcW w:w="42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65 856 258</w:t>
            </w:r>
          </w:p>
        </w:tc>
        <w:tc>
          <w:tcPr>
            <w:tcW w:w="438"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55 814 260</w:t>
            </w:r>
          </w:p>
        </w:tc>
        <w:tc>
          <w:tcPr>
            <w:tcW w:w="438"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55 814 260</w:t>
            </w:r>
          </w:p>
        </w:tc>
        <w:tc>
          <w:tcPr>
            <w:tcW w:w="438"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55 814 260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Divadelný ústav</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790 807</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1 024 145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1 050 500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1 075 500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1 075 500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1 075 500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1 075 500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Divadlo Nová scéna</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1 396 133</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1 352 113</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1 300 000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1 300 000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1 300 000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1 300 000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1 300 000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Hudobné centrum</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842 029</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1 014 833</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1 111 620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1 111 620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1 111 620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1 111 620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1 111 620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Literárne informačné centrum</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728 154</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740 125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740 125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746 125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746 125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746 125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746 125</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Maďarský umelecký súbor Mladé srdcia - Ifjú Szive*</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182 762</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Múzeum Slovenského národného povstania</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929 869</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938 163</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955 000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1 076 455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1 076 455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1 076 455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1 076 455</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Národné osvetové centrum</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1 577 430</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1 460 489</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1 450 000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1 758 998</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1 747 000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1 747 000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1 747 000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Slovenská agentúra pre cestovný ruch*</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518 786</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Slovenská filharmónia</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11 963 091</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12 078 772</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5 489 340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5 492 640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5 492 640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5 492 640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5 492 640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Slovenská knižnica pre nevidiacich Mateja Hrebendu</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705 130</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752 153</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797 425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797 425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797 425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797 425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797 425</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Slovenská národná galéria</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2 437 388</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2 562 726</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2 742 760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12 819 760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2 819 760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2 819 760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2 819 760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Slovenská ústredná hvezdáreň</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438 019</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476 985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476 985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476 985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476 985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476 985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476 985</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Slovenské centrum dizajnu</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307 960</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326 516</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334 250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334 250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334 250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334 250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334 250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Slovenské národné divadlo</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15 726 029</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14 835 809</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16 200 000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16 200 000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16 200 000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16 200 000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16 200 000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Slovenské národné múzeum</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6 280 759</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6 172 302</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6 013 635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6 935 635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6 905 635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6 905 635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6 905 635</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Slovenské technické múzeum</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823 639</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889 654</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815 560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815 560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815 560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815 560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815 560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Slovenský filmový ústav</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966 000</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2 454 787</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1 000 000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1 060 000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1 060 000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1 060 000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1 060 000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Slovenský ľudový umelecký kolektív</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1 100 726</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1 164 571</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1 176 560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1 326 560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1 326 560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1 326 560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1 326 560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Štátna filharmónia Košice</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1 265 131</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1 408 553</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1 400 000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1 400 000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1 400 000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1 400 000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1 400 000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Štátna opera</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2 918 317</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3 331 336</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3 595 925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3 595 925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3 595 925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3 595 925</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3 595 925</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Štátna vedecká knižnica v Banskej Bystrici</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956 462</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979 752</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935 900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935 900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935 900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935 900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935 900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Štátne divadlo Košice</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3 523 279</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3 820 000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3 820 000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3 905 000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3 905 000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3 905 000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3 905 000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Štátny komorný orchester v Žiline</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607 263</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711 095</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706 600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706 600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706 600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706 600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706 600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Umelecký súbor Lúčnica</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673 086</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581 959</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654 366</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684 766</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684 766</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684 766</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684 766</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Ústav pre vzťahy štátu a cirkví*</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107 833</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73 088</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Ústredie ľudovej umeleckej výroby</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1 272 073</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1 309 833</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1 300 554</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1 300 554</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1 300 554</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1 300 554</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1 300 554</w:t>
            </w:r>
          </w:p>
        </w:tc>
      </w:tr>
    </w:tbl>
    <w:p w:rsidR="00875D50" w:rsidRPr="00875D50" w:rsidP="00875D50">
      <w:pPr>
        <w:autoSpaceDE w:val="0"/>
        <w:autoSpaceDN w:val="0"/>
        <w:bidi w:val="0"/>
        <w:adjustRightInd w:val="0"/>
        <w:jc w:val="both"/>
        <w:rPr>
          <w:rFonts w:ascii="Times New Roman" w:hAnsi="Times New Roman" w:cs="Times New Roman"/>
          <w:sz w:val="14"/>
          <w:szCs w:val="14"/>
        </w:rPr>
      </w:pPr>
      <w:r w:rsidRPr="00875D50">
        <w:rPr>
          <w:rFonts w:ascii="Times New Roman" w:hAnsi="Times New Roman" w:cs="Times New Roman"/>
          <w:sz w:val="14"/>
          <w:szCs w:val="14"/>
        </w:rPr>
        <w:t>*organizácia bola zrušená, resp. delimitovaná</w:t>
      </w:r>
    </w:p>
    <w:p w:rsidR="00875D50" w:rsidRPr="00875D50" w:rsidP="00875D50">
      <w:pPr>
        <w:autoSpaceDE w:val="0"/>
        <w:autoSpaceDN w:val="0"/>
        <w:bidi w:val="0"/>
        <w:adjustRightInd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3612"/>
        <w:gridCol w:w="756"/>
        <w:gridCol w:w="843"/>
        <w:gridCol w:w="790"/>
        <w:gridCol w:w="790"/>
        <w:gridCol w:w="807"/>
        <w:gridCol w:w="807"/>
        <w:gridCol w:w="807"/>
      </w:tblGrid>
      <w:tr>
        <w:tblPrEx>
          <w:tblW w:w="5000" w:type="pct"/>
          <w:tblCellMar>
            <w:left w:w="70" w:type="dxa"/>
            <w:right w:w="70" w:type="dxa"/>
          </w:tblCellMar>
          <w:tblLook w:val="04A0"/>
        </w:tblPrEx>
        <w:trPr>
          <w:trHeight w:hRule="exact" w:val="255"/>
        </w:trPr>
        <w:tc>
          <w:tcPr>
            <w:tcW w:w="1959"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v eurách</w:t>
            </w:r>
          </w:p>
        </w:tc>
        <w:tc>
          <w:tcPr>
            <w:tcW w:w="41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2010 S</w:t>
            </w:r>
          </w:p>
        </w:tc>
        <w:tc>
          <w:tcPr>
            <w:tcW w:w="45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2011 S</w:t>
            </w:r>
          </w:p>
        </w:tc>
        <w:tc>
          <w:tcPr>
            <w:tcW w:w="42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2012R</w:t>
            </w:r>
          </w:p>
        </w:tc>
        <w:tc>
          <w:tcPr>
            <w:tcW w:w="42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OS</w:t>
            </w:r>
          </w:p>
        </w:tc>
        <w:tc>
          <w:tcPr>
            <w:tcW w:w="43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2013 N</w:t>
            </w:r>
          </w:p>
        </w:tc>
        <w:tc>
          <w:tcPr>
            <w:tcW w:w="43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2014 N</w:t>
            </w:r>
          </w:p>
        </w:tc>
        <w:tc>
          <w:tcPr>
            <w:tcW w:w="438"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1959"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Matica slovenská*</w:t>
            </w:r>
          </w:p>
        </w:tc>
        <w:tc>
          <w:tcPr>
            <w:tcW w:w="410"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1 869 696</w:t>
            </w:r>
          </w:p>
        </w:tc>
        <w:tc>
          <w:tcPr>
            <w:tcW w:w="457"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1 494 000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1 494 000</w:t>
            </w:r>
          </w:p>
        </w:tc>
        <w:tc>
          <w:tcPr>
            <w:tcW w:w="42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1 494 000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1 494 000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1 494 000</w:t>
            </w:r>
          </w:p>
        </w:tc>
        <w:tc>
          <w:tcPr>
            <w:tcW w:w="438"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1 494 000</w:t>
            </w:r>
          </w:p>
        </w:tc>
      </w:tr>
    </w:tbl>
    <w:p w:rsidR="00875D50" w:rsidRPr="00875D50" w:rsidP="00875D50">
      <w:pPr>
        <w:autoSpaceDE w:val="0"/>
        <w:autoSpaceDN w:val="0"/>
        <w:bidi w:val="0"/>
        <w:adjustRightInd w:val="0"/>
        <w:jc w:val="both"/>
        <w:rPr>
          <w:rFonts w:ascii="Times New Roman" w:hAnsi="Times New Roman" w:cs="Times New Roman"/>
          <w:lang w:eastAsia="sk-SK"/>
        </w:rPr>
      </w:pPr>
      <w:r w:rsidRPr="00875D50">
        <w:rPr>
          <w:rFonts w:ascii="Times New Roman" w:hAnsi="Times New Roman" w:cs="Times New Roman"/>
          <w:sz w:val="14"/>
          <w:szCs w:val="14"/>
        </w:rPr>
        <w:t>*verejnoprávna ustanovizeň</w:t>
      </w:r>
    </w:p>
    <w:p w:rsidR="00875D50" w:rsidRPr="00875D50" w:rsidP="00875D50">
      <w:pPr>
        <w:autoSpaceDE w:val="0"/>
        <w:autoSpaceDN w:val="0"/>
        <w:bidi w:val="0"/>
        <w:adjustRightInd w:val="0"/>
        <w:jc w:val="both"/>
        <w:rPr>
          <w:rFonts w:ascii="Times New Roman" w:hAnsi="Times New Roman" w:cs="Times New Roman"/>
        </w:rPr>
      </w:pPr>
    </w:p>
    <w:p w:rsidR="00875D50" w:rsidRPr="00875D50" w:rsidP="00875D50">
      <w:pPr>
        <w:autoSpaceDE w:val="0"/>
        <w:autoSpaceDN w:val="0"/>
        <w:bidi w:val="0"/>
        <w:adjustRightInd w:val="0"/>
        <w:ind w:firstLine="708"/>
        <w:jc w:val="both"/>
        <w:rPr>
          <w:rFonts w:ascii="Times New Roman" w:hAnsi="Times New Roman" w:cs="Times New Roman"/>
        </w:rPr>
      </w:pPr>
      <w:r w:rsidRPr="00875D50">
        <w:rPr>
          <w:rFonts w:ascii="Times New Roman" w:hAnsi="Times New Roman" w:cs="Times New Roman"/>
        </w:rPr>
        <w:t>Oblasť inštitucionálnej podpory pokrýva svojou činnosťou podporu 29 rezortných rozpočtových a príspevkových organizácií vo všetkých oblastiach pôsobenia kapitoly (divadlá, galérie, múzeá, osvetová činnosť atď.).</w:t>
      </w:r>
    </w:p>
    <w:p w:rsidR="00875D50" w:rsidRPr="00875D50" w:rsidP="00875D50">
      <w:pPr>
        <w:autoSpaceDE w:val="0"/>
        <w:autoSpaceDN w:val="0"/>
        <w:bidi w:val="0"/>
        <w:adjustRightInd w:val="0"/>
        <w:jc w:val="both"/>
        <w:rPr>
          <w:rFonts w:ascii="Times New Roman" w:hAnsi="Times New Roman" w:cs="Times New Roman"/>
          <w:b/>
          <w:bCs/>
        </w:rPr>
      </w:pPr>
    </w:p>
    <w:p w:rsidR="00875D50" w:rsidRPr="00875D50" w:rsidP="00875D50">
      <w:pPr>
        <w:autoSpaceDE w:val="0"/>
        <w:autoSpaceDN w:val="0"/>
        <w:bidi w:val="0"/>
        <w:adjustRightInd w:val="0"/>
        <w:jc w:val="both"/>
        <w:rPr>
          <w:rFonts w:ascii="Times New Roman" w:hAnsi="Times New Roman" w:cs="Times New Roman"/>
          <w:b/>
          <w:bCs/>
        </w:rPr>
      </w:pPr>
      <w:r w:rsidRPr="00875D50">
        <w:rPr>
          <w:rFonts w:ascii="Times New Roman" w:hAnsi="Times New Roman" w:cs="Times New Roman"/>
          <w:b/>
          <w:bCs/>
        </w:rPr>
        <w:t>Grantový systém MK SR</w:t>
      </w:r>
    </w:p>
    <w:p w:rsidR="00875D50" w:rsidRPr="00875D50" w:rsidP="00875D50">
      <w:pPr>
        <w:bidi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3746"/>
        <w:gridCol w:w="793"/>
        <w:gridCol w:w="778"/>
        <w:gridCol w:w="778"/>
        <w:gridCol w:w="778"/>
        <w:gridCol w:w="793"/>
        <w:gridCol w:w="770"/>
        <w:gridCol w:w="776"/>
      </w:tblGrid>
      <w:tr>
        <w:tblPrEx>
          <w:tblW w:w="5000" w:type="pct"/>
          <w:tblCellMar>
            <w:left w:w="70" w:type="dxa"/>
            <w:right w:w="70" w:type="dxa"/>
          </w:tblCellMar>
          <w:tblLook w:val="04A0"/>
        </w:tblPrEx>
        <w:trPr>
          <w:trHeight w:hRule="exact" w:val="255"/>
        </w:trPr>
        <w:tc>
          <w:tcPr>
            <w:tcW w:w="20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v eurách</w:t>
            </w:r>
          </w:p>
        </w:tc>
        <w:tc>
          <w:tcPr>
            <w:tcW w:w="43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2010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2011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R</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OS</w:t>
            </w:r>
          </w:p>
        </w:tc>
        <w:tc>
          <w:tcPr>
            <w:tcW w:w="43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2013 N</w:t>
            </w:r>
          </w:p>
        </w:tc>
        <w:tc>
          <w:tcPr>
            <w:tcW w:w="39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2014 N</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75D50" w:rsidRPr="00875D50" w:rsidP="007A2513">
            <w:pPr>
              <w:bidi w:val="0"/>
              <w:jc w:val="both"/>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Grantový systém</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19 849 083</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16 832 444</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21 066 097</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21 066 097</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21 066 097</w:t>
            </w:r>
          </w:p>
        </w:tc>
        <w:tc>
          <w:tcPr>
            <w:tcW w:w="39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20 016 097</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20 016 097</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bežné výdavky, z toho:</w:t>
            </w:r>
          </w:p>
        </w:tc>
        <w:tc>
          <w:tcPr>
            <w:tcW w:w="433"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18 604 322</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15 875 448</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21 066 097</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20 331 562</w:t>
            </w:r>
          </w:p>
        </w:tc>
        <w:tc>
          <w:tcPr>
            <w:tcW w:w="433"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21 066 097</w:t>
            </w:r>
          </w:p>
        </w:tc>
        <w:tc>
          <w:tcPr>
            <w:tcW w:w="399"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20 016 097</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20 016 097</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 xml:space="preserve">         Európske hlavné mesto kultúry</w:t>
            </w:r>
          </w:p>
        </w:tc>
        <w:tc>
          <w:tcPr>
            <w:tcW w:w="433"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1 144 167</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1 968 524</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3 320 000</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3 320 000</w:t>
            </w:r>
          </w:p>
        </w:tc>
        <w:tc>
          <w:tcPr>
            <w:tcW w:w="433"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3 320 000</w:t>
            </w:r>
          </w:p>
        </w:tc>
        <w:tc>
          <w:tcPr>
            <w:tcW w:w="399"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kapitálové výdavky</w:t>
            </w:r>
          </w:p>
        </w:tc>
        <w:tc>
          <w:tcPr>
            <w:tcW w:w="433"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1 244 761</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956 996</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734 535</w:t>
            </w:r>
          </w:p>
        </w:tc>
        <w:tc>
          <w:tcPr>
            <w:tcW w:w="433"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399"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r>
    </w:tbl>
    <w:p w:rsidR="00875D50" w:rsidRPr="00875D50" w:rsidP="00875D50">
      <w:pPr>
        <w:bidi w:val="0"/>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Grantový systém predstavuje dotačný systém na podporu projektov z oblasti divadelného, výtvarného, tanečného, hudobného, literárneho umenia a na obnovu národných kultúrnych pamiatok (napr. Umenie, Obnovme si svoj dom, Pro Slovakia, Podpora návštevnosti kultúrnych podujatí, Kultúra znevýhodnených skupín, Nehmotné kultúrne dedičstvo, Kultúrne aktivity v oblasti pamäťových inštitúcií, Európske hlavné mesto kultúry a iné).</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 xml:space="preserve">V roku 2013 je na grantový systém rezortu rozpočtovaný objem prostriedkov vo výške 21,1 mil. eur. Výdavky určené na financovanie tzv. neštátnej kultúry najmä prostredníctvom inštitúcií tretieho sektora zachovávajú úroveň schváleného rozpočtu roku 2012. </w:t>
      </w:r>
    </w:p>
    <w:p w:rsidR="00875D50" w:rsidRPr="00875D50" w:rsidP="00875D50">
      <w:pPr>
        <w:bidi w:val="0"/>
        <w:ind w:firstLine="708"/>
        <w:jc w:val="both"/>
        <w:rPr>
          <w:rFonts w:ascii="Times New Roman" w:hAnsi="Times New Roman" w:cs="Times New Roman"/>
        </w:rPr>
      </w:pPr>
    </w:p>
    <w:p w:rsidR="00875D50" w:rsidRPr="00875D50" w:rsidP="00875D50">
      <w:pPr>
        <w:autoSpaceDE w:val="0"/>
        <w:autoSpaceDN w:val="0"/>
        <w:bidi w:val="0"/>
        <w:adjustRightInd w:val="0"/>
        <w:jc w:val="both"/>
        <w:rPr>
          <w:rFonts w:ascii="Times New Roman" w:hAnsi="Times New Roman" w:cs="Times New Roman"/>
          <w:b/>
          <w:bCs/>
        </w:rPr>
      </w:pPr>
      <w:r w:rsidRPr="00875D50">
        <w:rPr>
          <w:rFonts w:ascii="Times New Roman" w:hAnsi="Times New Roman" w:cs="Times New Roman"/>
          <w:b/>
          <w:bCs/>
        </w:rPr>
        <w:t>Transfery pre verejnoprávne inštitúcie (RTVS, AVF, TASR)</w:t>
      </w:r>
    </w:p>
    <w:p w:rsidR="00875D50" w:rsidRPr="00875D50" w:rsidP="00875D50">
      <w:pPr>
        <w:bidi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3744"/>
        <w:gridCol w:w="791"/>
        <w:gridCol w:w="776"/>
        <w:gridCol w:w="776"/>
        <w:gridCol w:w="776"/>
        <w:gridCol w:w="805"/>
        <w:gridCol w:w="770"/>
        <w:gridCol w:w="774"/>
      </w:tblGrid>
      <w:tr>
        <w:tblPrEx>
          <w:tblW w:w="5000" w:type="pct"/>
          <w:tblCellMar>
            <w:left w:w="70" w:type="dxa"/>
            <w:right w:w="70" w:type="dxa"/>
          </w:tblCellMar>
          <w:tblLook w:val="04A0"/>
        </w:tblPrEx>
        <w:trPr>
          <w:trHeight w:hRule="exact" w:val="255"/>
        </w:trPr>
        <w:tc>
          <w:tcPr>
            <w:tcW w:w="20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v eurách</w:t>
            </w:r>
          </w:p>
        </w:tc>
        <w:tc>
          <w:tcPr>
            <w:tcW w:w="43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2010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2011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R</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OS</w:t>
            </w:r>
          </w:p>
        </w:tc>
        <w:tc>
          <w:tcPr>
            <w:tcW w:w="43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2013 N</w:t>
            </w:r>
          </w:p>
        </w:tc>
        <w:tc>
          <w:tcPr>
            <w:tcW w:w="39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2014 N</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75D50" w:rsidRPr="00875D50" w:rsidP="007A2513">
            <w:pPr>
              <w:bidi w:val="0"/>
              <w:jc w:val="both"/>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Transfery pre verejnoprávne inštitúcie</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23 215 727</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38 000 000</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18 000 000</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23 842 715</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32 900 000</w:t>
            </w:r>
          </w:p>
        </w:tc>
        <w:tc>
          <w:tcPr>
            <w:tcW w:w="39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32 900 000</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32 900 000</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Transfer pre Rozhlas a televíziu Slovenska</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16 515 936</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33 500 000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14 000 000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18 642 715</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28 000 000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28 000 000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28 000 000</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Transfer pre Audiovizuálny fond</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4 500 000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3 500 000</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3 500 000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3 500 000</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Transfer pre Tlačovú agentúru SR</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2 199 791</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1 700 000</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center"/>
              <w:rPr>
                <w:rFonts w:ascii="Times New Roman" w:hAnsi="Times New Roman" w:cs="Times New Roman"/>
                <w:sz w:val="14"/>
                <w:szCs w:val="14"/>
                <w:lang w:eastAsia="sk-SK"/>
              </w:rPr>
            </w:pPr>
            <w:r w:rsidRPr="00875D50">
              <w:rPr>
                <w:rFonts w:ascii="Times New Roman" w:hAnsi="Times New Roman" w:cs="Times New Roman"/>
                <w:sz w:val="14"/>
                <w:szCs w:val="14"/>
                <w:lang w:eastAsia="sk-SK"/>
              </w:rPr>
              <w:t xml:space="preserve">   1 400 000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1 400 000</w:t>
            </w:r>
          </w:p>
        </w:tc>
      </w:tr>
    </w:tbl>
    <w:p w:rsidR="00875D50" w:rsidRPr="00875D50" w:rsidP="00875D50">
      <w:pPr>
        <w:bidi w:val="0"/>
        <w:jc w:val="both"/>
        <w:rPr>
          <w:rFonts w:ascii="Times New Roman" w:hAnsi="Times New Roman" w:cs="Times New Roman"/>
        </w:rPr>
      </w:pPr>
    </w:p>
    <w:p w:rsidR="00875D50" w:rsidRPr="00875D50" w:rsidP="00875D50">
      <w:pPr>
        <w:bidi w:val="0"/>
        <w:ind w:firstLine="708"/>
        <w:jc w:val="both"/>
        <w:rPr>
          <w:rFonts w:ascii="Times New Roman" w:hAnsi="Times New Roman" w:cs="Times New Roman"/>
          <w:iCs/>
        </w:rPr>
      </w:pPr>
      <w:r w:rsidRPr="00875D50">
        <w:rPr>
          <w:rFonts w:ascii="Times New Roman" w:hAnsi="Times New Roman" w:cs="Times New Roman"/>
          <w:iCs/>
        </w:rPr>
        <w:t>Celkový rozpočtovaný objem transferov pre verejnoprávne inštitúcie v sume 32,9 mil. eur vysoko prekračuje úroveň schváleného rozpočtu roku 2012, v absolútnom vyjadrení o 14,9 mil. eur, t.</w:t>
      </w:r>
      <w:r w:rsidR="00F7137F">
        <w:rPr>
          <w:rFonts w:ascii="Times New Roman" w:hAnsi="Times New Roman" w:cs="Times New Roman"/>
          <w:iCs/>
        </w:rPr>
        <w:t xml:space="preserve"> </w:t>
      </w:r>
      <w:r w:rsidRPr="00875D50">
        <w:rPr>
          <w:rFonts w:ascii="Times New Roman" w:hAnsi="Times New Roman" w:cs="Times New Roman"/>
          <w:iCs/>
        </w:rPr>
        <w:t>j. o 82,8 %.</w:t>
      </w:r>
    </w:p>
    <w:p w:rsidR="00875D50" w:rsidRPr="00875D50" w:rsidP="00875D50">
      <w:pPr>
        <w:tabs>
          <w:tab w:val="left" w:pos="180"/>
        </w:tabs>
        <w:bidi w:val="0"/>
        <w:jc w:val="both"/>
        <w:rPr>
          <w:rFonts w:ascii="Times New Roman" w:hAnsi="Times New Roman" w:cs="Times New Roman"/>
        </w:rPr>
      </w:pPr>
    </w:p>
    <w:p w:rsidR="00875D50" w:rsidRPr="00875D50" w:rsidP="00875D50">
      <w:pPr>
        <w:tabs>
          <w:tab w:val="left" w:pos="180"/>
        </w:tabs>
        <w:bidi w:val="0"/>
        <w:jc w:val="both"/>
        <w:rPr>
          <w:rFonts w:ascii="Times New Roman" w:hAnsi="Times New Roman" w:cs="Times New Roman"/>
        </w:rPr>
      </w:pPr>
      <w:r w:rsidRPr="00875D50">
        <w:rPr>
          <w:rFonts w:ascii="Times New Roman" w:hAnsi="Times New Roman" w:cs="Times New Roman"/>
        </w:rPr>
        <w:tab/>
        <w:tab/>
        <w:t xml:space="preserve">Transfery pre vyššie uvedené inštitúcie sa poskytujú na základe zmluvy medzi Ministerstvom kultúry SR a dotknutou inštitúciou, ktorá upravuje mechanizmus poskytovania finančných prostriedkov a špecifikuje ich účel použitia v danom rozpočtovom roku. </w:t>
      </w:r>
    </w:p>
    <w:p w:rsidR="00875D50" w:rsidRPr="00875D50" w:rsidP="00875D50">
      <w:pPr>
        <w:tabs>
          <w:tab w:val="left" w:pos="180"/>
        </w:tabs>
        <w:bidi w:val="0"/>
        <w:jc w:val="both"/>
        <w:rPr>
          <w:rFonts w:ascii="Times New Roman" w:hAnsi="Times New Roman" w:cs="Times New Roman"/>
        </w:rPr>
      </w:pPr>
    </w:p>
    <w:p w:rsidR="00875D50" w:rsidRPr="00875D50" w:rsidP="00875D50">
      <w:pPr>
        <w:tabs>
          <w:tab w:val="left" w:pos="180"/>
        </w:tabs>
        <w:bidi w:val="0"/>
        <w:jc w:val="both"/>
        <w:rPr>
          <w:rFonts w:ascii="Times New Roman" w:hAnsi="Times New Roman" w:cs="Times New Roman"/>
        </w:rPr>
      </w:pPr>
      <w:r w:rsidRPr="00875D50">
        <w:rPr>
          <w:rFonts w:ascii="Times New Roman" w:hAnsi="Times New Roman" w:cs="Times New Roman"/>
        </w:rPr>
        <w:tab/>
        <w:tab/>
      </w:r>
      <w:r w:rsidRPr="00875D50">
        <w:rPr>
          <w:rFonts w:ascii="Times New Roman" w:hAnsi="Times New Roman" w:cs="Times New Roman"/>
          <w:iCs/>
        </w:rPr>
        <w:t>Financovanie verejnoprávneho vysielateľa RTVS</w:t>
      </w:r>
      <w:r w:rsidRPr="00875D50">
        <w:rPr>
          <w:rFonts w:ascii="Times New Roman" w:hAnsi="Times New Roman" w:cs="Times New Roman"/>
        </w:rPr>
        <w:t xml:space="preserve"> je zostavené v súlade s pripravovanou legislatívou a zohľadňuje znovuzavedenie úhrady za služby verejnosti od </w:t>
      </w:r>
      <w:r w:rsidR="00F7137F">
        <w:rPr>
          <w:rFonts w:ascii="Times New Roman" w:hAnsi="Times New Roman" w:cs="Times New Roman"/>
        </w:rPr>
        <w:br/>
      </w:r>
      <w:r w:rsidRPr="00875D50">
        <w:rPr>
          <w:rFonts w:ascii="Times New Roman" w:hAnsi="Times New Roman" w:cs="Times New Roman"/>
        </w:rPr>
        <w:t>1.</w:t>
      </w:r>
      <w:r w:rsidR="00F7137F">
        <w:rPr>
          <w:rFonts w:ascii="Times New Roman" w:hAnsi="Times New Roman" w:cs="Times New Roman"/>
        </w:rPr>
        <w:t xml:space="preserve"> januára </w:t>
      </w:r>
      <w:r w:rsidRPr="00875D50">
        <w:rPr>
          <w:rFonts w:ascii="Times New Roman" w:hAnsi="Times New Roman" w:cs="Times New Roman"/>
        </w:rPr>
        <w:t>2013 a poskytnutie transferu zo štátneho rozpočtu.  Prostriedky potrebné na pokrytie zmluvy so štátom a RTVS sú na rok 2013 rozpočtované vo výške 28,0 mil. eur, čo predstavuje 100 % nárast oproti schválenému rozpočtu roku 2012.</w:t>
      </w:r>
    </w:p>
    <w:p w:rsidR="00875D50" w:rsidRPr="00875D50" w:rsidP="00875D50">
      <w:pPr>
        <w:bidi w:val="0"/>
        <w:jc w:val="both"/>
        <w:rPr>
          <w:rFonts w:ascii="Times New Roman" w:hAnsi="Times New Roman" w:cs="Times New Roman"/>
        </w:rPr>
      </w:pPr>
    </w:p>
    <w:p w:rsidR="00875D50" w:rsidRPr="00875D50" w:rsidP="00875D50">
      <w:pPr>
        <w:bidi w:val="0"/>
        <w:ind w:firstLine="708"/>
        <w:jc w:val="both"/>
        <w:rPr>
          <w:rFonts w:ascii="Times New Roman" w:hAnsi="Times New Roman" w:cs="Times New Roman"/>
          <w:iCs/>
        </w:rPr>
      </w:pPr>
      <w:r w:rsidRPr="00875D50">
        <w:rPr>
          <w:rFonts w:ascii="Times New Roman" w:hAnsi="Times New Roman" w:cs="Times New Roman"/>
          <w:iCs/>
        </w:rPr>
        <w:t xml:space="preserve">Transfer pre Audiovizuálny fond v hodnote 3,50 mil. eur zachováva úroveň schváleného rozpočtu roku 2012. Navrhovaná výška príspevku prekračuje úroveň celkových plnení povinných prispievateľov, a teda je v súlade s platnou legislatívou (§ 29 zákona </w:t>
      </w:r>
      <w:r w:rsidR="007E79BD">
        <w:rPr>
          <w:rFonts w:ascii="Times New Roman" w:hAnsi="Times New Roman" w:cs="Times New Roman"/>
          <w:iCs/>
        </w:rPr>
        <w:br/>
      </w:r>
      <w:r w:rsidRPr="00875D50">
        <w:rPr>
          <w:rFonts w:ascii="Times New Roman" w:hAnsi="Times New Roman" w:cs="Times New Roman"/>
          <w:iCs/>
        </w:rPr>
        <w:t>č. 516/2008 Z. z. o Audiovizuálnom fonde).</w:t>
      </w:r>
    </w:p>
    <w:p w:rsidR="00875D50" w:rsidRPr="00875D50" w:rsidP="00875D50">
      <w:pPr>
        <w:bidi w:val="0"/>
        <w:ind w:firstLine="708"/>
        <w:jc w:val="both"/>
        <w:rPr>
          <w:rFonts w:ascii="Times New Roman" w:hAnsi="Times New Roman" w:cs="Times New Roman"/>
          <w:iCs/>
        </w:rPr>
      </w:pPr>
    </w:p>
    <w:p w:rsidR="00875D50" w:rsidRPr="00875D50" w:rsidP="00875D50">
      <w:pPr>
        <w:bidi w:val="0"/>
        <w:ind w:firstLine="708"/>
        <w:jc w:val="both"/>
        <w:rPr>
          <w:rFonts w:ascii="Times New Roman" w:hAnsi="Times New Roman" w:cs="Times New Roman"/>
          <w:iCs/>
        </w:rPr>
      </w:pPr>
      <w:r w:rsidRPr="00875D50">
        <w:rPr>
          <w:rFonts w:ascii="Times New Roman" w:hAnsi="Times New Roman" w:cs="Times New Roman"/>
          <w:iCs/>
        </w:rPr>
        <w:t>Výdavky pre Tlačovú agentúru SR sa v roku 2013 rozpočtujú v sume 1,40 mil. eur, čo je oproti schválenému rozpočtu 2012 nárast o 900 tis. eur, t.</w:t>
      </w:r>
      <w:r w:rsidR="00F7137F">
        <w:rPr>
          <w:rFonts w:ascii="Times New Roman" w:hAnsi="Times New Roman" w:cs="Times New Roman"/>
          <w:iCs/>
        </w:rPr>
        <w:t xml:space="preserve"> </w:t>
      </w:r>
      <w:r w:rsidRPr="00875D50">
        <w:rPr>
          <w:rFonts w:ascii="Times New Roman" w:hAnsi="Times New Roman" w:cs="Times New Roman"/>
          <w:iCs/>
        </w:rPr>
        <w:t>j. o 180 %. Finančné prostriedky sú určené na realizáciu služieb vo verejnom záujme.</w:t>
      </w:r>
    </w:p>
    <w:p w:rsidR="00875D50" w:rsidRPr="00875D50" w:rsidP="00875D50">
      <w:pPr>
        <w:bidi w:val="0"/>
        <w:jc w:val="both"/>
        <w:rPr>
          <w:rFonts w:ascii="Times New Roman" w:hAnsi="Times New Roman" w:cs="Times New Roman"/>
          <w:b/>
        </w:rPr>
      </w:pPr>
    </w:p>
    <w:p w:rsidR="00875D50" w:rsidRPr="00875D50" w:rsidP="00875D50">
      <w:pPr>
        <w:bidi w:val="0"/>
        <w:jc w:val="both"/>
        <w:rPr>
          <w:rFonts w:ascii="Times New Roman" w:hAnsi="Times New Roman" w:cs="Times New Roman"/>
          <w:b/>
        </w:rPr>
      </w:pPr>
      <w:r w:rsidRPr="00875D50">
        <w:rPr>
          <w:rFonts w:ascii="Times New Roman" w:hAnsi="Times New Roman" w:cs="Times New Roman"/>
          <w:b/>
        </w:rPr>
        <w:t>Strategické zámery kapitoly</w:t>
      </w:r>
    </w:p>
    <w:p w:rsidR="00875D50" w:rsidRPr="00875D50" w:rsidP="00875D50">
      <w:pPr>
        <w:bidi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3751"/>
        <w:gridCol w:w="798"/>
        <w:gridCol w:w="783"/>
        <w:gridCol w:w="783"/>
        <w:gridCol w:w="783"/>
        <w:gridCol w:w="798"/>
        <w:gridCol w:w="735"/>
        <w:gridCol w:w="781"/>
      </w:tblGrid>
      <w:tr>
        <w:tblPrEx>
          <w:tblW w:w="5000" w:type="pct"/>
          <w:tblCellMar>
            <w:left w:w="70" w:type="dxa"/>
            <w:right w:w="70" w:type="dxa"/>
          </w:tblCellMar>
          <w:tblLook w:val="04A0"/>
        </w:tblPrEx>
        <w:trPr>
          <w:trHeight w:hRule="exact" w:val="255"/>
        </w:trPr>
        <w:tc>
          <w:tcPr>
            <w:tcW w:w="20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v eurách</w:t>
            </w:r>
          </w:p>
        </w:tc>
        <w:tc>
          <w:tcPr>
            <w:tcW w:w="43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2010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2011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R</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OS</w:t>
            </w:r>
          </w:p>
        </w:tc>
        <w:tc>
          <w:tcPr>
            <w:tcW w:w="43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2013 N</w:t>
            </w:r>
          </w:p>
        </w:tc>
        <w:tc>
          <w:tcPr>
            <w:tcW w:w="39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2014 N</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75D50" w:rsidRPr="00875D50" w:rsidP="007A2513">
            <w:pPr>
              <w:bidi w:val="0"/>
              <w:jc w:val="both"/>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Strategické zámery kapitoly</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8 960 975</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4 547 859</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6 793 726</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5 346 367</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4 333 726</w:t>
            </w:r>
          </w:p>
        </w:tc>
        <w:tc>
          <w:tcPr>
            <w:tcW w:w="39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3 193 726</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3 193 726</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jc w:val="both"/>
              <w:rPr>
                <w:rFonts w:ascii="Times New Roman" w:hAnsi="Times New Roman" w:cs="Times New Roman"/>
                <w:sz w:val="14"/>
                <w:szCs w:val="14"/>
                <w:lang w:eastAsia="sk-SK"/>
              </w:rPr>
            </w:pPr>
            <w:r w:rsidRPr="00875D50">
              <w:rPr>
                <w:rFonts w:ascii="Times New Roman" w:hAnsi="Times New Roman" w:cs="Times New Roman"/>
                <w:sz w:val="14"/>
                <w:szCs w:val="14"/>
                <w:lang w:eastAsia="sk-SK"/>
              </w:rPr>
              <w:t>Systematická obnova audiovizuálneho dedičstva</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1 493 726</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1 493 726</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1 493 726</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1 493 726</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1 493 726</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1 493 726</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1 493 726</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Projekt informatizácie kultúry</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4 393 576</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1 828 422</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2 900 000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1 736 286</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1 100 000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1 100 000</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Stratégia rozvoja múzeí a galérii do r. 2011</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1 716 923</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337 967</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Stratégia rozvoja slovenského knihovníctva na r. 2008-2013</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961 751</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887 744</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1 900 000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1 009 030</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1 340 000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Projekt akvizície zbierkových predmetov</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394 999</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500 000</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300 000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500 000</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Obnova nástrojového vybavenia a krojových súčiastok</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607 325</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100 000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100 000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100 000</w:t>
            </w:r>
          </w:p>
        </w:tc>
      </w:tr>
    </w:tbl>
    <w:p w:rsidR="00875D50" w:rsidRPr="00875D50" w:rsidP="00875D50">
      <w:pPr>
        <w:bidi w:val="0"/>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V rámci strategických zámerov kapitoly sa rozpočtujú zdroje na financovanie projektov a stratégií schválených vládou SR, ich disponibilný o</w:t>
      </w:r>
      <w:r w:rsidR="00536D5A">
        <w:rPr>
          <w:rFonts w:ascii="Times New Roman" w:hAnsi="Times New Roman" w:cs="Times New Roman"/>
        </w:rPr>
        <w:t>bjem na rok 2013 predstavuje 4,3</w:t>
      </w:r>
      <w:r w:rsidRPr="00875D50">
        <w:rPr>
          <w:rFonts w:ascii="Times New Roman" w:hAnsi="Times New Roman" w:cs="Times New Roman"/>
        </w:rPr>
        <w:t>3 mil. eur. V porovnaní so schváleným rozpočtom roku 2012 kapitola navrhuje nižšie výdavky na stratégie rezortu o 2,</w:t>
      </w:r>
      <w:r w:rsidR="00604130">
        <w:rPr>
          <w:rFonts w:ascii="Times New Roman" w:hAnsi="Times New Roman" w:cs="Times New Roman"/>
        </w:rPr>
        <w:t>4</w:t>
      </w:r>
      <w:r w:rsidRPr="00875D50">
        <w:rPr>
          <w:rFonts w:ascii="Times New Roman" w:hAnsi="Times New Roman" w:cs="Times New Roman"/>
        </w:rPr>
        <w:t>6 mil. eur, t. j. o 3</w:t>
      </w:r>
      <w:r w:rsidR="00604130">
        <w:rPr>
          <w:rFonts w:ascii="Times New Roman" w:hAnsi="Times New Roman" w:cs="Times New Roman"/>
        </w:rPr>
        <w:t>6</w:t>
      </w:r>
      <w:r w:rsidRPr="00875D50">
        <w:rPr>
          <w:rFonts w:ascii="Times New Roman" w:hAnsi="Times New Roman" w:cs="Times New Roman"/>
        </w:rPr>
        <w:t>,</w:t>
      </w:r>
      <w:r w:rsidR="00604130">
        <w:rPr>
          <w:rFonts w:ascii="Times New Roman" w:hAnsi="Times New Roman" w:cs="Times New Roman"/>
        </w:rPr>
        <w:t>2</w:t>
      </w:r>
      <w:r w:rsidRPr="00875D50">
        <w:rPr>
          <w:rFonts w:ascii="Times New Roman" w:hAnsi="Times New Roman" w:cs="Times New Roman"/>
        </w:rPr>
        <w:t xml:space="preserve"> %. </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Na financovanie obnovy audiovizuálneho dedičstva sú alokované zdroje pre Slovenský filmový ústav vo výške 1,49 mil. eur, čo zodpovedá úrovni schváleného rozpočtu roku 2012. Prostriedky sú určené na obnovu kinematografických a audiovizuálnych diel a ich postupné sprístupňovanie verejnosti.</w:t>
      </w:r>
    </w:p>
    <w:p w:rsidR="00875D50" w:rsidRPr="00875D50" w:rsidP="00875D50">
      <w:pPr>
        <w:bidi w:val="0"/>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V oblasti informatizácie kultúry je cieľom kapitoly zabezpečiť udržateľnosť projektov s celorezortnou pôsobnosťou. Ide najmä o štatistické zisťovanie za oblasť kultúry (KEŠKULT), poskytovanie dotácií (IS dotácie MK SR), Centrálny jednotný ekonomický systém MK SR a prevádzku rezortnej siete. V roku 2013 sú na financovanie projektu informatizácie kultúry rozpočtované prostriedky vo výške 1,10 mil. eur, čo znamená 62,1% medziročný pokles.</w:t>
      </w:r>
    </w:p>
    <w:p w:rsidR="00875D50" w:rsidRPr="00875D50" w:rsidP="00875D50">
      <w:pPr>
        <w:bidi w:val="0"/>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Zámerom stratégie rozvoja slovenského knihovníctva je vytvorenie podmienok pre knižnice a knižničnú činnosť, aby knižničný systém Slovenskej republiky zohrával aktívnu úlohu v poskytovaní informácií a v sprostredkúvaní poznatkov. Na uvedenú stratégiu sú v roku 2013 plánované zdroje v sume 1,34 mil. eur, čo je o  29,5 % menej oproti schválenému rozpočtu na rok 2012.</w:t>
      </w:r>
    </w:p>
    <w:p w:rsidR="00875D50" w:rsidRPr="00875D50" w:rsidP="00875D50">
      <w:pPr>
        <w:bidi w:val="0"/>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V rámci projektu akvizície zbierkových predmetov rezort v roku 2013 vyčlenil finančné prostriedky na získanie zbierkových predmetov do zbierkových fondov organizácií v objeme 300 tis. eur. V porovnaní so schváleným rozpočtom  roku 2012 dochádza k ich 40% poklesu.</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V roku 2013 sú na  obnovu a zlepšenie nevyhovujúceho nástrojového vybavenia a krojových súčastí umeleckých telies a súborov rozpočtované výdavky vo výške 100 tis. eur. Nakoľko predmetné výdavky neboli zahrnuté v schválenom rozpočte roku 2012 ich medziročný nárast predstavuje 100 %.</w:t>
      </w:r>
    </w:p>
    <w:p w:rsidR="00875D50" w:rsidRPr="00875D50" w:rsidP="00875D50">
      <w:pPr>
        <w:bidi w:val="0"/>
        <w:ind w:firstLine="708"/>
        <w:jc w:val="both"/>
        <w:rPr>
          <w:rFonts w:ascii="Times New Roman" w:hAnsi="Times New Roman" w:cs="Times New Roman"/>
        </w:rPr>
      </w:pPr>
    </w:p>
    <w:p w:rsidR="00875D50" w:rsidRPr="00875D50" w:rsidP="00875D50">
      <w:pPr>
        <w:bidi w:val="0"/>
        <w:jc w:val="both"/>
        <w:rPr>
          <w:rFonts w:ascii="Times New Roman" w:hAnsi="Times New Roman" w:cs="Times New Roman"/>
          <w:b/>
        </w:rPr>
      </w:pPr>
      <w:r w:rsidRPr="00875D50">
        <w:rPr>
          <w:rFonts w:ascii="Times New Roman" w:hAnsi="Times New Roman" w:cs="Times New Roman"/>
          <w:b/>
        </w:rPr>
        <w:t>Cirkvi a náboženské spoločnosti</w:t>
      </w:r>
    </w:p>
    <w:p w:rsidR="00875D50" w:rsidRPr="00875D50" w:rsidP="00875D50">
      <w:pPr>
        <w:bidi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3746"/>
        <w:gridCol w:w="793"/>
        <w:gridCol w:w="778"/>
        <w:gridCol w:w="778"/>
        <w:gridCol w:w="778"/>
        <w:gridCol w:w="793"/>
        <w:gridCol w:w="770"/>
        <w:gridCol w:w="776"/>
      </w:tblGrid>
      <w:tr>
        <w:tblPrEx>
          <w:tblW w:w="5000" w:type="pct"/>
          <w:tblCellMar>
            <w:left w:w="70" w:type="dxa"/>
            <w:right w:w="70" w:type="dxa"/>
          </w:tblCellMar>
          <w:tblLook w:val="04A0"/>
        </w:tblPrEx>
        <w:trPr>
          <w:trHeight w:hRule="exact" w:val="255"/>
        </w:trPr>
        <w:tc>
          <w:tcPr>
            <w:tcW w:w="20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v eurách</w:t>
            </w:r>
          </w:p>
        </w:tc>
        <w:tc>
          <w:tcPr>
            <w:tcW w:w="43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2010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2011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R</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OS</w:t>
            </w:r>
          </w:p>
        </w:tc>
        <w:tc>
          <w:tcPr>
            <w:tcW w:w="43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2013 N</w:t>
            </w:r>
          </w:p>
        </w:tc>
        <w:tc>
          <w:tcPr>
            <w:tcW w:w="39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2014 N</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75D50" w:rsidRPr="00875D50" w:rsidP="007A2513">
            <w:pPr>
              <w:bidi w:val="0"/>
              <w:jc w:val="both"/>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Cirkvi a náboženské spoločnosti</w:t>
            </w:r>
            <w:r w:rsidRPr="00875D50">
              <w:rPr>
                <w:rFonts w:ascii="Times New Roman" w:hAnsi="Times New Roman" w:cs="Times New Roman"/>
                <w:sz w:val="14"/>
                <w:szCs w:val="14"/>
                <w:lang w:eastAsia="sk-SK"/>
              </w:rPr>
              <w:t xml:space="preserve"> </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40 330 512</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37 461 769</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37 211 961</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37 379 973</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37 379 973</w:t>
            </w:r>
          </w:p>
        </w:tc>
        <w:tc>
          <w:tcPr>
            <w:tcW w:w="39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37 379 973</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37 379 973</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bežné výdavky</w:t>
            </w:r>
          </w:p>
        </w:tc>
        <w:tc>
          <w:tcPr>
            <w:tcW w:w="433"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37 480 512</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37 461 769</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37 211 961</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37 379 973</w:t>
            </w:r>
          </w:p>
        </w:tc>
        <w:tc>
          <w:tcPr>
            <w:tcW w:w="433"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37 379 973</w:t>
            </w:r>
          </w:p>
        </w:tc>
        <w:tc>
          <w:tcPr>
            <w:tcW w:w="399"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37 379 973</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37 379 973</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kapitálové výdavky</w:t>
            </w:r>
          </w:p>
        </w:tc>
        <w:tc>
          <w:tcPr>
            <w:tcW w:w="433"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2 850 000</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3"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399"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r>
    </w:tbl>
    <w:p w:rsidR="00875D50" w:rsidRPr="00875D50" w:rsidP="00875D50">
      <w:pPr>
        <w:bidi w:val="0"/>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 xml:space="preserve">Financovanie cirkví a náboženských spoločností vyplýva zo zákona č. 218/1949 Zb. o hospodárskom zabezpečení cirkví a náboženských spoločností štátom v znení neskorších predpisov. </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Z rozpočtovaných prostriedkov sa financujú platy a poistné duchovných, prevádzka ústredí cirkví a náboženských spoločností a charitných domov (domovy dôchodcov pre kňazov). Výdavky na úhradu nákladov súvisiacich so zameraním vydaných nehnuteľností pre cirkvi a náboženské spoločnosti podľa zákona č. 282/1993 Z. z. o zmiernení niektorých majetkových krívd spôsobených cirkvám a náboženským spoločnostiam sú zahrnuté v administratívnej oblasti kapitoly.</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Objem prostriedkov rozpočtovaný pre cirkvi a náboženské spoločnosti na roky 2013 až 2015 je mierne nad úrovňou schváleného rozpočtu roku 2012. Nárast v sume 168 tis. eur (0,45 %) predstavuje alokovanie výdavkov na dofinancovanie Novoapoštolskej cirkvi a úpravu výšky výdavkov na platy duchovných.</w:t>
      </w:r>
    </w:p>
    <w:p w:rsidR="00F7137F" w:rsidP="00875D50">
      <w:pPr>
        <w:bidi w:val="0"/>
        <w:jc w:val="both"/>
        <w:rPr>
          <w:rFonts w:ascii="Times New Roman" w:hAnsi="Times New Roman" w:cs="Times New Roman"/>
          <w:b/>
        </w:rPr>
      </w:pPr>
    </w:p>
    <w:p w:rsidR="00875D50" w:rsidRPr="00875D50" w:rsidP="00875D50">
      <w:pPr>
        <w:bidi w:val="0"/>
        <w:jc w:val="both"/>
        <w:rPr>
          <w:rFonts w:ascii="Times New Roman" w:hAnsi="Times New Roman" w:cs="Times New Roman"/>
          <w:b/>
        </w:rPr>
      </w:pPr>
      <w:r w:rsidRPr="00875D50">
        <w:rPr>
          <w:rFonts w:ascii="Times New Roman" w:hAnsi="Times New Roman" w:cs="Times New Roman"/>
          <w:b/>
        </w:rPr>
        <w:t>Administratíva a iné výdavkové tituly</w:t>
      </w:r>
    </w:p>
    <w:p w:rsidR="00875D50" w:rsidRPr="00875D50" w:rsidP="00875D50">
      <w:pPr>
        <w:bidi w:val="0"/>
        <w:jc w:val="both"/>
        <w:rPr>
          <w:rFonts w:ascii="Times New Roman" w:hAnsi="Times New Roman" w:cs="Times New Roman"/>
          <w:sz w:val="20"/>
          <w:szCs w:val="20"/>
          <w:lang w:eastAsia="sk-SK"/>
        </w:rPr>
      </w:pPr>
    </w:p>
    <w:p w:rsidR="00875D50" w:rsidRPr="00875D50" w:rsidP="00875D50">
      <w:pPr>
        <w:bidi w:val="0"/>
        <w:jc w:val="both"/>
        <w:rPr>
          <w:rFonts w:ascii="Times New Roman" w:hAnsi="Times New Roman" w:cs="Times New Roman"/>
          <w:sz w:val="20"/>
          <w:szCs w:val="20"/>
          <w:lang w:eastAsia="sk-SK"/>
        </w:rPr>
      </w:pPr>
    </w:p>
    <w:tbl>
      <w:tblPr>
        <w:tblStyle w:val="TableNormal"/>
        <w:tblW w:w="5000" w:type="pct"/>
        <w:tblCellMar>
          <w:left w:w="70" w:type="dxa"/>
          <w:right w:w="70" w:type="dxa"/>
        </w:tblCellMar>
        <w:tblLook w:val="04A0"/>
      </w:tblPr>
      <w:tblGrid>
        <w:gridCol w:w="3751"/>
        <w:gridCol w:w="798"/>
        <w:gridCol w:w="783"/>
        <w:gridCol w:w="783"/>
        <w:gridCol w:w="783"/>
        <w:gridCol w:w="798"/>
        <w:gridCol w:w="735"/>
        <w:gridCol w:w="781"/>
      </w:tblGrid>
      <w:tr>
        <w:tblPrEx>
          <w:tblW w:w="5000" w:type="pct"/>
          <w:tblCellMar>
            <w:left w:w="70" w:type="dxa"/>
            <w:right w:w="70" w:type="dxa"/>
          </w:tblCellMar>
          <w:tblLook w:val="04A0"/>
        </w:tblPrEx>
        <w:trPr>
          <w:trHeight w:hRule="exact" w:val="255"/>
        </w:trPr>
        <w:tc>
          <w:tcPr>
            <w:tcW w:w="2036"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75D50" w:rsidRPr="00875D50" w:rsidP="007A2513">
            <w:pPr>
              <w:bidi w:val="0"/>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v eurách</w:t>
            </w:r>
          </w:p>
        </w:tc>
        <w:tc>
          <w:tcPr>
            <w:tcW w:w="43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2010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2011 S</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R</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2012 OS</w:t>
            </w:r>
          </w:p>
        </w:tc>
        <w:tc>
          <w:tcPr>
            <w:tcW w:w="433"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2013 N</w:t>
            </w:r>
          </w:p>
        </w:tc>
        <w:tc>
          <w:tcPr>
            <w:tcW w:w="399"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2014 N</w:t>
            </w:r>
          </w:p>
        </w:tc>
        <w:tc>
          <w:tcPr>
            <w:tcW w:w="4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875D50" w:rsidRPr="00875D50" w:rsidP="007A2513">
            <w:pPr>
              <w:bidi w:val="0"/>
              <w:jc w:val="center"/>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75D50" w:rsidRPr="00875D50" w:rsidP="007A2513">
            <w:pPr>
              <w:bidi w:val="0"/>
              <w:jc w:val="both"/>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Aparát a iné výdavkové tituly</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8 803 951</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15 416 753</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18 167 751</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9 851 231</w:t>
            </w:r>
          </w:p>
        </w:tc>
        <w:tc>
          <w:tcPr>
            <w:tcW w:w="433"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12 999 456</w:t>
            </w:r>
          </w:p>
        </w:tc>
        <w:tc>
          <w:tcPr>
            <w:tcW w:w="399"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7 999 192</w:t>
            </w:r>
          </w:p>
        </w:tc>
        <w:tc>
          <w:tcPr>
            <w:tcW w:w="425" w:type="pct"/>
            <w:tcBorders>
              <w:top w:val="nil"/>
              <w:left w:val="nil"/>
              <w:bottom w:val="single" w:sz="4" w:space="0" w:color="auto"/>
              <w:right w:val="single" w:sz="4" w:space="0" w:color="auto"/>
            </w:tcBorders>
            <w:shd w:val="clear" w:color="000000" w:fill="BFBFBF"/>
            <w:noWrap/>
            <w:textDirection w:val="lrTb"/>
            <w:vAlign w:val="center"/>
            <w:hideMark/>
          </w:tcPr>
          <w:p w:rsidR="00875D50" w:rsidRPr="00875D50" w:rsidP="007A2513">
            <w:pPr>
              <w:bidi w:val="0"/>
              <w:jc w:val="right"/>
              <w:rPr>
                <w:rFonts w:ascii="Times New Roman" w:hAnsi="Times New Roman" w:cs="Times New Roman"/>
                <w:b/>
                <w:bCs/>
                <w:sz w:val="14"/>
                <w:szCs w:val="14"/>
                <w:lang w:eastAsia="sk-SK"/>
              </w:rPr>
            </w:pPr>
            <w:r w:rsidRPr="00875D50">
              <w:rPr>
                <w:rFonts w:ascii="Times New Roman" w:hAnsi="Times New Roman" w:cs="Times New Roman"/>
                <w:b/>
                <w:bCs/>
                <w:sz w:val="14"/>
                <w:szCs w:val="14"/>
                <w:lang w:eastAsia="sk-SK"/>
              </w:rPr>
              <w:t>7 998 649</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Koncepčná a riadiaca činnosť</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6 956 720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14 573 370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18 165 095</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9 834 675</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12 996 800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7 996 536</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7 995 993</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 xml:space="preserve">Podpora riadenia programov     </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1 770 629</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566 302</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Ostatné výdavky (štrukturálne fondy)</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76 602</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274 901</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r>
      <w:tr>
        <w:tblPrEx>
          <w:tblW w:w="5000" w:type="pct"/>
          <w:tblCellMar>
            <w:left w:w="70" w:type="dxa"/>
            <w:right w:w="70" w:type="dxa"/>
          </w:tblCellMar>
          <w:tblLook w:val="04A0"/>
        </w:tblPrEx>
        <w:trPr>
          <w:trHeight w:hRule="exact" w:val="255"/>
        </w:trPr>
        <w:tc>
          <w:tcPr>
            <w:tcW w:w="2036" w:type="pct"/>
            <w:tcBorders>
              <w:top w:val="nil"/>
              <w:left w:val="single" w:sz="4" w:space="0" w:color="auto"/>
              <w:bottom w:val="single" w:sz="4" w:space="0" w:color="auto"/>
              <w:right w:val="single" w:sz="4" w:space="0" w:color="auto"/>
            </w:tcBorders>
            <w:noWrap/>
            <w:textDirection w:val="lrTb"/>
            <w:vAlign w:val="center"/>
            <w:hideMark/>
          </w:tcPr>
          <w:p w:rsidR="00875D50" w:rsidRPr="00875D50" w:rsidP="007A2513">
            <w:pPr>
              <w:bidi w:val="0"/>
              <w:rPr>
                <w:rFonts w:ascii="Times New Roman" w:hAnsi="Times New Roman" w:cs="Times New Roman"/>
                <w:sz w:val="14"/>
                <w:szCs w:val="14"/>
                <w:lang w:eastAsia="sk-SK"/>
              </w:rPr>
            </w:pPr>
            <w:r w:rsidRPr="00875D50">
              <w:rPr>
                <w:rFonts w:ascii="Times New Roman" w:hAnsi="Times New Roman" w:cs="Times New Roman"/>
                <w:sz w:val="14"/>
                <w:szCs w:val="14"/>
                <w:lang w:eastAsia="sk-SK"/>
              </w:rPr>
              <w:t xml:space="preserve">Hospodárska mobilizácia  </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2 180</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2 656</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2 656</w:t>
            </w:r>
          </w:p>
        </w:tc>
        <w:tc>
          <w:tcPr>
            <w:tcW w:w="433"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2 656</w:t>
            </w:r>
          </w:p>
        </w:tc>
        <w:tc>
          <w:tcPr>
            <w:tcW w:w="399"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2 656</w:t>
            </w:r>
          </w:p>
        </w:tc>
        <w:tc>
          <w:tcPr>
            <w:tcW w:w="425" w:type="pct"/>
            <w:tcBorders>
              <w:top w:val="nil"/>
              <w:left w:val="nil"/>
              <w:bottom w:val="single" w:sz="4" w:space="0" w:color="auto"/>
              <w:right w:val="single" w:sz="4" w:space="0" w:color="auto"/>
            </w:tcBorders>
            <w:noWrap/>
            <w:textDirection w:val="lrTb"/>
            <w:vAlign w:val="center"/>
            <w:hideMark/>
          </w:tcPr>
          <w:p w:rsidR="00875D50" w:rsidRPr="00875D50" w:rsidP="007A2513">
            <w:pPr>
              <w:bidi w:val="0"/>
              <w:jc w:val="right"/>
              <w:rPr>
                <w:rFonts w:ascii="Times New Roman" w:hAnsi="Times New Roman" w:cs="Times New Roman"/>
                <w:sz w:val="14"/>
                <w:szCs w:val="14"/>
                <w:lang w:eastAsia="sk-SK"/>
              </w:rPr>
            </w:pPr>
            <w:r w:rsidRPr="00875D50">
              <w:rPr>
                <w:rFonts w:ascii="Times New Roman" w:hAnsi="Times New Roman" w:cs="Times New Roman"/>
                <w:sz w:val="14"/>
                <w:szCs w:val="14"/>
                <w:lang w:eastAsia="sk-SK"/>
              </w:rPr>
              <w:t>2 656</w:t>
            </w:r>
          </w:p>
        </w:tc>
      </w:tr>
    </w:tbl>
    <w:p w:rsidR="00875D50" w:rsidRPr="00875D50" w:rsidP="00875D50">
      <w:pPr>
        <w:bidi w:val="0"/>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 xml:space="preserve">V roku 2013 má kapitola na administratívu k dispozícii 13,0 mil. eur určených na pokrytie výdavkov na koncepčnú a riadiacu činnosť a hospodársku mobilizáciu. </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V porovnaní so schváleným rozpočtom roku 2012 dochádza z dôvodu mimoriadne získaných zdrojov v roku 2012 k výraznému poklesu výdavkov na koncepčnú a riadiacu činnosť o 5,17 tis. eur, t. j. o 28,5 %. Bez zohľadnenia jednorazových výdavkov na SNG je výsledkom 2,06% zníženie finančných prostriedkov, v absolútnom vyjadrení o 168 tis. eur.</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 xml:space="preserve">V rámci koncepčnej a riadiacej činnosti výdavky na aparát kapitoly predstavujú </w:t>
        <w:br/>
        <w:t>8,00 mil. eur, z toho 207 tis. eur sú výdavky určené na úhradu nákladov súvisiacich so zameraním vydaných nehnuteľností pre cirkvi a náboženské spoločnosti a zvyšnú časť tvoria výdavky na vzdelávanie v hodnote 25,6 tis. eur.</w:t>
      </w:r>
    </w:p>
    <w:p w:rsidR="00875D50" w:rsidRPr="00875D50" w:rsidP="00875D50">
      <w:pPr>
        <w:bidi w:val="0"/>
        <w:ind w:firstLine="708"/>
        <w:jc w:val="both"/>
        <w:rPr>
          <w:rFonts w:ascii="Times New Roman" w:hAnsi="Times New Roman" w:cs="Times New Roman"/>
        </w:rPr>
      </w:pPr>
    </w:p>
    <w:p w:rsidR="00875D50" w:rsidRPr="00875D50" w:rsidP="00875D50">
      <w:pPr>
        <w:bidi w:val="0"/>
        <w:ind w:firstLine="708"/>
        <w:jc w:val="both"/>
        <w:rPr>
          <w:rFonts w:ascii="Times New Roman" w:hAnsi="Times New Roman" w:cs="Times New Roman"/>
        </w:rPr>
      </w:pPr>
      <w:r w:rsidRPr="00875D50">
        <w:rPr>
          <w:rFonts w:ascii="Times New Roman" w:hAnsi="Times New Roman" w:cs="Times New Roman"/>
        </w:rPr>
        <w:t>V roku 2013 sa kapitálové výdavky v rámci koncepčnej a riadiacej činnosti rozpočtujú v sume 5 mil. eur na rekonštrukciu a modernizáciu Slovenskej národnej galérie.</w:t>
      </w:r>
    </w:p>
    <w:p w:rsidR="00875D50" w:rsidRPr="00875D50" w:rsidP="00875D50">
      <w:pPr>
        <w:bidi w:val="0"/>
        <w:ind w:firstLine="708"/>
        <w:jc w:val="both"/>
        <w:rPr>
          <w:rFonts w:ascii="Times New Roman" w:hAnsi="Times New Roman" w:cs="Times New Roman"/>
        </w:rPr>
      </w:pPr>
    </w:p>
    <w:p w:rsidR="00875D50" w:rsidP="00875D50">
      <w:pPr>
        <w:bidi w:val="0"/>
        <w:ind w:firstLine="708"/>
        <w:jc w:val="both"/>
        <w:rPr>
          <w:rFonts w:ascii="Times New Roman" w:hAnsi="Times New Roman" w:cs="Times New Roman"/>
        </w:rPr>
      </w:pPr>
      <w:r w:rsidRPr="00875D50">
        <w:rPr>
          <w:rFonts w:ascii="Times New Roman" w:hAnsi="Times New Roman" w:cs="Times New Roman"/>
        </w:rPr>
        <w:t>Prostriedky na hospodársku mobilizáciu zachovávajú úroveň schváleného rozpočtu na rok 2012.</w:t>
      </w:r>
    </w:p>
    <w:p w:rsidR="00E8137D" w:rsidP="00E8137D">
      <w:pPr>
        <w:bidi w:val="0"/>
        <w:ind w:firstLine="708"/>
        <w:jc w:val="both"/>
        <w:rPr>
          <w:rFonts w:ascii="Times New Roman" w:hAnsi="Times New Roman" w:cs="Times New Roman"/>
        </w:rPr>
      </w:pPr>
      <w:r w:rsidRPr="003E0CB3">
        <w:rPr>
          <w:rFonts w:ascii="Times New Roman" w:hAnsi="Times New Roman" w:cs="Times New Roman"/>
        </w:rPr>
        <w:t xml:space="preserve"> </w:t>
      </w:r>
    </w:p>
    <w:p w:rsidR="009D2A34" w:rsidRPr="007E0D85" w:rsidP="009D2A34">
      <w:pPr>
        <w:bidi w:val="0"/>
        <w:jc w:val="both"/>
        <w:rPr>
          <w:rFonts w:ascii="Times New Roman" w:hAnsi="Times New Roman" w:cs="Times New Roman"/>
          <w:highlight w:val="yellow"/>
        </w:rPr>
      </w:pPr>
    </w:p>
    <w:p w:rsidR="009D2A34" w:rsidRPr="000129DE" w:rsidP="009D2A34">
      <w:pPr>
        <w:pBdr>
          <w:bottom w:val="single" w:sz="4" w:space="1" w:color="auto"/>
        </w:pBdr>
        <w:bidi w:val="0"/>
        <w:jc w:val="both"/>
        <w:rPr>
          <w:rFonts w:ascii="Times New Roman" w:hAnsi="Times New Roman" w:cs="Times New Roman"/>
          <w:b/>
        </w:rPr>
      </w:pPr>
      <w:r w:rsidRPr="000129DE">
        <w:rPr>
          <w:rFonts w:ascii="Times New Roman" w:hAnsi="Times New Roman" w:cs="Times New Roman"/>
          <w:b/>
        </w:rPr>
        <w:t xml:space="preserve">Ministerstvo zahraničných vecí </w:t>
      </w:r>
      <w:r>
        <w:rPr>
          <w:rFonts w:ascii="Times New Roman" w:hAnsi="Times New Roman" w:cs="Times New Roman"/>
          <w:b/>
        </w:rPr>
        <w:t xml:space="preserve">a európskych záležitostí </w:t>
      </w:r>
      <w:r w:rsidRPr="000129DE">
        <w:rPr>
          <w:rFonts w:ascii="Times New Roman" w:hAnsi="Times New Roman" w:cs="Times New Roman"/>
          <w:b/>
        </w:rPr>
        <w:t>SR</w:t>
      </w:r>
    </w:p>
    <w:p w:rsidR="009D2A34" w:rsidRPr="000129DE" w:rsidP="009D2A34">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481"/>
        <w:gridCol w:w="961"/>
        <w:gridCol w:w="962"/>
        <w:gridCol w:w="962"/>
        <w:gridCol w:w="962"/>
        <w:gridCol w:w="962"/>
        <w:gridCol w:w="962"/>
        <w:gridCol w:w="960"/>
      </w:tblGrid>
      <w:tr>
        <w:tblPrEx>
          <w:tblW w:w="5000" w:type="pct"/>
          <w:tblCellMar>
            <w:left w:w="70" w:type="dxa"/>
            <w:right w:w="70" w:type="dxa"/>
          </w:tblCellMar>
          <w:tblLook w:val="04A0"/>
        </w:tblPrEx>
        <w:trPr>
          <w:trHeight w:val="255"/>
        </w:trPr>
        <w:tc>
          <w:tcPr>
            <w:tcW w:w="1347"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0129DE" w:rsidP="006338E5">
            <w:pPr>
              <w:bidi w:val="0"/>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v eurách</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2010</w:t>
            </w:r>
            <w:r w:rsidR="007D5C52">
              <w:rPr>
                <w:rFonts w:ascii="Times New Roman" w:hAnsi="Times New Roman" w:cs="Times New Roman"/>
                <w:b/>
                <w:bCs/>
                <w:color w:val="000000"/>
                <w:sz w:val="14"/>
                <w:szCs w:val="14"/>
                <w:lang w:eastAsia="sk-SK"/>
              </w:rPr>
              <w:t xml:space="preserve"> </w:t>
            </w:r>
            <w:r w:rsidRPr="000129DE">
              <w:rPr>
                <w:rFonts w:ascii="Times New Roman" w:hAnsi="Times New Roman" w:cs="Times New Roman"/>
                <w:b/>
                <w:bCs/>
                <w:color w:val="000000"/>
                <w:sz w:val="14"/>
                <w:szCs w:val="14"/>
                <w:lang w:eastAsia="sk-SK"/>
              </w:rPr>
              <w:t>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2011</w:t>
            </w:r>
            <w:r w:rsidR="007D5C52">
              <w:rPr>
                <w:rFonts w:ascii="Times New Roman" w:hAnsi="Times New Roman" w:cs="Times New Roman"/>
                <w:b/>
                <w:bCs/>
                <w:color w:val="000000"/>
                <w:sz w:val="14"/>
                <w:szCs w:val="14"/>
                <w:lang w:eastAsia="sk-SK"/>
              </w:rPr>
              <w:t xml:space="preserve"> </w:t>
            </w:r>
            <w:r w:rsidRPr="000129DE">
              <w:rPr>
                <w:rFonts w:ascii="Times New Roman" w:hAnsi="Times New Roman" w:cs="Times New Roman"/>
                <w:b/>
                <w:bCs/>
                <w:color w:val="000000"/>
                <w:sz w:val="14"/>
                <w:szCs w:val="14"/>
                <w:lang w:eastAsia="sk-SK"/>
              </w:rPr>
              <w:t>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2012 R</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2012 OS</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2013 N</w:t>
            </w:r>
          </w:p>
        </w:tc>
        <w:tc>
          <w:tcPr>
            <w:tcW w:w="52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2014 N</w:t>
            </w:r>
          </w:p>
        </w:tc>
        <w:tc>
          <w:tcPr>
            <w:tcW w:w="52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2015 N</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0129DE" w:rsidP="006338E5">
            <w:pPr>
              <w:bidi w:val="0"/>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Zdroje príslušnej kapitoly</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110 758 151</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125 610 782</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122 977 167</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139 682 557</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117 340 164</w:t>
            </w:r>
          </w:p>
        </w:tc>
        <w:tc>
          <w:tcPr>
            <w:tcW w:w="522"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color w:val="000000"/>
                <w:sz w:val="14"/>
                <w:szCs w:val="14"/>
              </w:rPr>
            </w:pPr>
            <w:r w:rsidRPr="000129DE">
              <w:rPr>
                <w:rFonts w:ascii="Times New Roman" w:hAnsi="Times New Roman" w:cs="Times New Roman"/>
                <w:b/>
                <w:color w:val="000000"/>
                <w:sz w:val="14"/>
                <w:szCs w:val="14"/>
              </w:rPr>
              <w:t>115 630 029</w:t>
            </w:r>
          </w:p>
        </w:tc>
        <w:tc>
          <w:tcPr>
            <w:tcW w:w="52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color w:val="000000"/>
                <w:sz w:val="14"/>
                <w:szCs w:val="14"/>
              </w:rPr>
            </w:pPr>
            <w:r w:rsidRPr="000129DE">
              <w:rPr>
                <w:rFonts w:ascii="Times New Roman" w:hAnsi="Times New Roman" w:cs="Times New Roman"/>
                <w:b/>
                <w:color w:val="000000"/>
                <w:sz w:val="14"/>
                <w:szCs w:val="14"/>
              </w:rPr>
              <w:t>115 646 156</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rozpočtové zdroje kapitoly</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101 789 605</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117 553 191</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122 977 167</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123 192 987</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117 340 164</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rPr>
            </w:pPr>
            <w:r w:rsidRPr="000129DE">
              <w:rPr>
                <w:rFonts w:ascii="Times New Roman" w:hAnsi="Times New Roman" w:cs="Times New Roman"/>
                <w:b/>
                <w:color w:val="000000"/>
                <w:sz w:val="14"/>
                <w:szCs w:val="14"/>
              </w:rPr>
              <w:t>115 630 029</w:t>
            </w:r>
          </w:p>
        </w:tc>
        <w:tc>
          <w:tcPr>
            <w:tcW w:w="521"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rPr>
            </w:pPr>
            <w:r w:rsidRPr="000129DE">
              <w:rPr>
                <w:rFonts w:ascii="Times New Roman" w:hAnsi="Times New Roman" w:cs="Times New Roman"/>
                <w:b/>
                <w:color w:val="000000"/>
                <w:sz w:val="14"/>
                <w:szCs w:val="14"/>
              </w:rPr>
              <w:t>115 646 156</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v tom: bežné výdavky  600</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101 077 888</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112 367 603</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115 327 943</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116 344 519</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111 047 028</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111 430 423</w:t>
            </w:r>
          </w:p>
        </w:tc>
        <w:tc>
          <w:tcPr>
            <w:tcW w:w="521"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111 855 009</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610 mzdy</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47 783 835</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49 165 322</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50 695 879</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51 343 014</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48 230 820 </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 xml:space="preserve">48 235 079 </w:t>
            </w:r>
          </w:p>
        </w:tc>
        <w:tc>
          <w:tcPr>
            <w:tcW w:w="521"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 xml:space="preserve">48 247 111 </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620 odvody</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5 064 197</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11 023 770</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11 177 844</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11 177 844</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10 359 327 </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 xml:space="preserve">10 359 537 </w:t>
            </w:r>
          </w:p>
        </w:tc>
        <w:tc>
          <w:tcPr>
            <w:tcW w:w="521"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 xml:space="preserve">10 360 300 </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630 tovary a služby</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39 969 967</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35 499 462</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34 628 018</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35 000 459</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32 322 699 </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 xml:space="preserve">32 323 831 </w:t>
            </w:r>
          </w:p>
        </w:tc>
        <w:tc>
          <w:tcPr>
            <w:tcW w:w="521"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 xml:space="preserve">32 327 163 </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640 bežné transfery</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8 259 889</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16 679 049</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18 826 202</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18 823 202</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20 134 182 </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 xml:space="preserve">20 511 976 </w:t>
            </w:r>
          </w:p>
        </w:tc>
        <w:tc>
          <w:tcPr>
            <w:tcW w:w="521"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 xml:space="preserve">20 920 435 </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kapitálové výdavky 700</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711 717</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5 185 588</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7 649 224</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6 848 468</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6 293 136 </w:t>
            </w:r>
          </w:p>
        </w:tc>
        <w:tc>
          <w:tcPr>
            <w:tcW w:w="522"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 xml:space="preserve">4 199 606 </w:t>
            </w:r>
          </w:p>
        </w:tc>
        <w:tc>
          <w:tcPr>
            <w:tcW w:w="521" w:type="pct"/>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 xml:space="preserve">3 791 147 </w:t>
            </w:r>
          </w:p>
        </w:tc>
      </w:tr>
      <w:tr>
        <w:tblPrEx>
          <w:tblW w:w="5000" w:type="pct"/>
          <w:tblCellMar>
            <w:left w:w="70" w:type="dxa"/>
            <w:right w:w="70" w:type="dxa"/>
          </w:tblCellMar>
          <w:tblLook w:val="04A0"/>
        </w:tblPrEx>
        <w:trPr>
          <w:trHeight w:val="255"/>
        </w:trPr>
        <w:tc>
          <w:tcPr>
            <w:tcW w:w="1347" w:type="pct"/>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presun z minulých rokov</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8 968 545</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8 057 591</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0</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16 489 570</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0</w:t>
            </w:r>
          </w:p>
        </w:tc>
        <w:tc>
          <w:tcPr>
            <w:tcW w:w="522"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0</w:t>
            </w:r>
          </w:p>
        </w:tc>
        <w:tc>
          <w:tcPr>
            <w:tcW w:w="521"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
                <w:color w:val="000000"/>
                <w:sz w:val="14"/>
                <w:szCs w:val="14"/>
                <w:lang w:eastAsia="sk-SK"/>
              </w:rPr>
            </w:pPr>
            <w:r w:rsidRPr="000129DE">
              <w:rPr>
                <w:rFonts w:ascii="Times New Roman" w:hAnsi="Times New Roman" w:cs="Times New Roman"/>
                <w:b/>
                <w:color w:val="000000"/>
                <w:sz w:val="14"/>
                <w:szCs w:val="14"/>
                <w:lang w:eastAsia="sk-SK"/>
              </w:rPr>
              <w:t>0</w:t>
            </w:r>
          </w:p>
        </w:tc>
      </w:tr>
    </w:tbl>
    <w:p w:rsidR="009D2A34" w:rsidRPr="007E0D85" w:rsidP="009D2A34">
      <w:pPr>
        <w:bidi w:val="0"/>
        <w:jc w:val="both"/>
        <w:rPr>
          <w:rFonts w:ascii="Times New Roman" w:hAnsi="Times New Roman" w:cs="Times New Roman"/>
          <w:b/>
          <w:color w:val="000000"/>
          <w:highlight w:val="yellow"/>
        </w:rPr>
      </w:pPr>
    </w:p>
    <w:p w:rsidR="009D2A34" w:rsidRPr="000129DE" w:rsidP="009D2A34">
      <w:pPr>
        <w:bidi w:val="0"/>
        <w:ind w:firstLine="708"/>
        <w:jc w:val="both"/>
        <w:rPr>
          <w:rFonts w:ascii="Times New Roman" w:hAnsi="Times New Roman" w:cs="Times New Roman"/>
        </w:rPr>
      </w:pPr>
      <w:r w:rsidRPr="000129DE">
        <w:rPr>
          <w:rFonts w:ascii="Times New Roman" w:hAnsi="Times New Roman" w:cs="Times New Roman"/>
        </w:rPr>
        <w:t xml:space="preserve">Celkové výdavky kapitoly na rok 2013 sú v porovnaní so schváleným rozpočtom roku 2012 nižšie o 5,64 mil. eur, t. j. o 4,58 %. </w:t>
      </w:r>
    </w:p>
    <w:p w:rsidR="009D2A34" w:rsidRPr="000129DE" w:rsidP="009D2A34">
      <w:pPr>
        <w:bidi w:val="0"/>
        <w:ind w:firstLine="708"/>
        <w:jc w:val="both"/>
        <w:rPr>
          <w:rFonts w:ascii="Times New Roman" w:hAnsi="Times New Roman" w:cs="Times New Roman"/>
        </w:rPr>
      </w:pPr>
    </w:p>
    <w:p w:rsidR="009D2A34" w:rsidRPr="000129DE" w:rsidP="009D2A34">
      <w:pPr>
        <w:bidi w:val="0"/>
        <w:ind w:firstLine="708"/>
        <w:jc w:val="both"/>
        <w:rPr>
          <w:rFonts w:ascii="Times New Roman" w:hAnsi="Times New Roman" w:cs="Times New Roman"/>
        </w:rPr>
      </w:pPr>
      <w:r w:rsidRPr="000129DE">
        <w:rPr>
          <w:rFonts w:ascii="Times New Roman" w:hAnsi="Times New Roman" w:cs="Times New Roman"/>
        </w:rPr>
        <w:t>Na rok 2013 sa navrhujú osobné výdavky v sume 58,6 mil. eur, čo predstavuje pokles oproti schválenému rozpočtu roku 2012 o 3,28 mil. eur, t. j. 5,31 %.</w:t>
      </w:r>
    </w:p>
    <w:p w:rsidR="009D2A34" w:rsidRPr="000129DE" w:rsidP="009D2A34">
      <w:pPr>
        <w:bidi w:val="0"/>
        <w:ind w:firstLine="708"/>
        <w:jc w:val="both"/>
        <w:rPr>
          <w:rFonts w:ascii="Times New Roman" w:hAnsi="Times New Roman" w:cs="Times New Roman"/>
        </w:rPr>
      </w:pPr>
    </w:p>
    <w:p w:rsidR="009D2A34" w:rsidP="009D2A34">
      <w:pPr>
        <w:bidi w:val="0"/>
        <w:ind w:firstLine="708"/>
        <w:jc w:val="both"/>
        <w:rPr>
          <w:rFonts w:ascii="Times New Roman" w:hAnsi="Times New Roman" w:cs="Times New Roman"/>
        </w:rPr>
      </w:pPr>
      <w:r w:rsidRPr="000129DE">
        <w:rPr>
          <w:rFonts w:ascii="Times New Roman" w:hAnsi="Times New Roman" w:cs="Times New Roman"/>
        </w:rPr>
        <w:t>Výdavky na tovary a služby sa navrhujú v sume 32,3 mil. eur, čo predstavuje pokles oproti schválenému rozpočtu roku 2012 o 2,31 mil. eur, t. j. 6,66 %. Kapitola si plánované 10% viazanie kompenzovala znížením bežných transferov a kapitálových výdavkov.</w:t>
      </w:r>
    </w:p>
    <w:p w:rsidR="009D2A34" w:rsidRPr="000129DE" w:rsidP="009D2A34">
      <w:pPr>
        <w:bidi w:val="0"/>
        <w:ind w:firstLine="708"/>
        <w:jc w:val="both"/>
        <w:rPr>
          <w:rFonts w:ascii="Times New Roman" w:hAnsi="Times New Roman" w:cs="Times New Roman"/>
        </w:rPr>
      </w:pPr>
    </w:p>
    <w:p w:rsidR="009D2A34" w:rsidRPr="000129DE" w:rsidP="009D2A34">
      <w:pPr>
        <w:bidi w:val="0"/>
        <w:ind w:firstLine="708"/>
        <w:jc w:val="both"/>
        <w:rPr>
          <w:rFonts w:ascii="Times New Roman" w:hAnsi="Times New Roman" w:cs="Times New Roman"/>
        </w:rPr>
      </w:pPr>
      <w:r w:rsidRPr="000129DE">
        <w:rPr>
          <w:rFonts w:ascii="Times New Roman" w:hAnsi="Times New Roman" w:cs="Times New Roman"/>
        </w:rPr>
        <w:t>V oblasti bežných transferov sa navrhuje suma 20,1 mil. eur, čo predstavuje nárast oproti schválenému rozpočtu roku 2012 o 1,31mil. eur, t.</w:t>
      </w:r>
      <w:r w:rsidR="007D5C52">
        <w:rPr>
          <w:rFonts w:ascii="Times New Roman" w:hAnsi="Times New Roman" w:cs="Times New Roman"/>
        </w:rPr>
        <w:t xml:space="preserve"> </w:t>
      </w:r>
      <w:r w:rsidRPr="000129DE">
        <w:rPr>
          <w:rFonts w:ascii="Times New Roman" w:hAnsi="Times New Roman" w:cs="Times New Roman"/>
        </w:rPr>
        <w:t xml:space="preserve">j. </w:t>
      </w:r>
      <w:r>
        <w:rPr>
          <w:rFonts w:ascii="Times New Roman" w:hAnsi="Times New Roman" w:cs="Times New Roman"/>
        </w:rPr>
        <w:t>6</w:t>
      </w:r>
      <w:r w:rsidRPr="000129DE">
        <w:rPr>
          <w:rFonts w:ascii="Times New Roman" w:hAnsi="Times New Roman" w:cs="Times New Roman"/>
        </w:rPr>
        <w:t>,</w:t>
      </w:r>
      <w:r>
        <w:rPr>
          <w:rFonts w:ascii="Times New Roman" w:hAnsi="Times New Roman" w:cs="Times New Roman"/>
        </w:rPr>
        <w:t>95</w:t>
      </w:r>
      <w:r w:rsidRPr="000129DE">
        <w:rPr>
          <w:rFonts w:ascii="Times New Roman" w:hAnsi="Times New Roman" w:cs="Times New Roman"/>
        </w:rPr>
        <w:t xml:space="preserve"> %. Nárast j</w:t>
      </w:r>
      <w:r>
        <w:rPr>
          <w:rFonts w:ascii="Times New Roman" w:hAnsi="Times New Roman" w:cs="Times New Roman"/>
        </w:rPr>
        <w:t>e</w:t>
      </w:r>
      <w:r w:rsidRPr="000129DE">
        <w:rPr>
          <w:rFonts w:ascii="Times New Roman" w:hAnsi="Times New Roman" w:cs="Times New Roman"/>
        </w:rPr>
        <w:t xml:space="preserve"> zaznamenaný na povinných príspevkoch do </w:t>
      </w:r>
      <w:r>
        <w:rPr>
          <w:rFonts w:ascii="Times New Roman" w:hAnsi="Times New Roman" w:cs="Times New Roman"/>
        </w:rPr>
        <w:t>medzinárodných organizácií</w:t>
      </w:r>
      <w:r w:rsidRPr="000129DE">
        <w:rPr>
          <w:rFonts w:ascii="Times New Roman" w:hAnsi="Times New Roman" w:cs="Times New Roman"/>
        </w:rPr>
        <w:t xml:space="preserve"> v objeme 1,57 mil. eur, zároveň bol znížený príspevok pre príspevkovú organizáciu Správa účelových zariadení (ďalej len „SÚZA“) o 202 tis. eur. Ostatné významné bežné transfery ako oficiálna rozvojová pomoc ostávajú na úrovni schváleného minuloročného rozpočtu. </w:t>
      </w:r>
    </w:p>
    <w:p w:rsidR="009D2A34" w:rsidRPr="000129DE" w:rsidP="009D2A34">
      <w:pPr>
        <w:bidi w:val="0"/>
        <w:ind w:firstLine="708"/>
        <w:jc w:val="both"/>
        <w:rPr>
          <w:rFonts w:ascii="Times New Roman" w:hAnsi="Times New Roman" w:cs="Times New Roman"/>
        </w:rPr>
      </w:pPr>
    </w:p>
    <w:p w:rsidR="009D2A34" w:rsidRPr="000129DE" w:rsidP="009D2A34">
      <w:pPr>
        <w:bidi w:val="0"/>
        <w:ind w:firstLine="708"/>
        <w:jc w:val="both"/>
        <w:rPr>
          <w:rFonts w:ascii="Times New Roman" w:hAnsi="Times New Roman" w:cs="Times New Roman"/>
        </w:rPr>
      </w:pPr>
      <w:r w:rsidRPr="000129DE">
        <w:rPr>
          <w:rFonts w:ascii="Times New Roman" w:hAnsi="Times New Roman" w:cs="Times New Roman"/>
        </w:rPr>
        <w:t>V rámci kapitálových výdavkov sa rozpisujú výdavky vo výške 6,29 mil. eur, čo predstavuje medziročný pokles o 1,36 mil. eur, t.</w:t>
      </w:r>
      <w:r w:rsidR="007D5C52">
        <w:rPr>
          <w:rFonts w:ascii="Times New Roman" w:hAnsi="Times New Roman" w:cs="Times New Roman"/>
        </w:rPr>
        <w:t xml:space="preserve"> </w:t>
      </w:r>
      <w:r w:rsidRPr="000129DE">
        <w:rPr>
          <w:rFonts w:ascii="Times New Roman" w:hAnsi="Times New Roman" w:cs="Times New Roman"/>
        </w:rPr>
        <w:t>j. 17,7 %. Kapitálové výdavky sa plánujú použiť najmä na výstavbu budovy Pražská 7, rekonštrukciu sídla NATO (kapitálový transfer), ďalej na nákup kancelárskych strojov, nákup softvéru a licencií.</w:t>
      </w:r>
    </w:p>
    <w:p w:rsidR="009D2A34" w:rsidRPr="000129DE" w:rsidP="009D2A34">
      <w:pPr>
        <w:bidi w:val="0"/>
        <w:ind w:firstLine="708"/>
        <w:jc w:val="both"/>
        <w:rPr>
          <w:rFonts w:ascii="Times New Roman" w:hAnsi="Times New Roman" w:cs="Times New Roman"/>
        </w:rPr>
      </w:pPr>
    </w:p>
    <w:p w:rsidR="009D2A34" w:rsidRPr="007E0D85" w:rsidP="009D2A34">
      <w:pPr>
        <w:bidi w:val="0"/>
        <w:ind w:firstLine="708"/>
        <w:jc w:val="both"/>
        <w:rPr>
          <w:rFonts w:ascii="Times New Roman" w:hAnsi="Times New Roman" w:cs="Times New Roman"/>
          <w:color w:val="0070C0"/>
          <w:highlight w:val="yellow"/>
        </w:rPr>
      </w:pPr>
      <w:r w:rsidRPr="000129DE">
        <w:rPr>
          <w:rFonts w:ascii="Times New Roman" w:hAnsi="Times New Roman" w:cs="Times New Roman"/>
        </w:rPr>
        <w:t>Rozpočet Ministerstva zahraničných vecí</w:t>
      </w:r>
      <w:r>
        <w:rPr>
          <w:rFonts w:ascii="Times New Roman" w:hAnsi="Times New Roman" w:cs="Times New Roman"/>
        </w:rPr>
        <w:t xml:space="preserve"> a európskych záležitostí </w:t>
      </w:r>
      <w:r w:rsidRPr="000129DE">
        <w:rPr>
          <w:rFonts w:ascii="Times New Roman" w:hAnsi="Times New Roman" w:cs="Times New Roman"/>
        </w:rPr>
        <w:t>SR (ďalej len „MZV</w:t>
      </w:r>
      <w:r>
        <w:rPr>
          <w:rFonts w:ascii="Times New Roman" w:hAnsi="Times New Roman" w:cs="Times New Roman"/>
        </w:rPr>
        <w:t>a EZ SR</w:t>
      </w:r>
      <w:r w:rsidRPr="000129DE">
        <w:rPr>
          <w:rFonts w:ascii="Times New Roman" w:hAnsi="Times New Roman" w:cs="Times New Roman"/>
        </w:rPr>
        <w:t>“) je smerovaný do týchto oblastí.</w:t>
      </w:r>
      <w:r>
        <w:rPr>
          <w:rFonts w:ascii="Times New Roman" w:hAnsi="Times New Roman" w:cs="Times New Roman"/>
        </w:rPr>
        <w:t xml:space="preserve"> </w:t>
      </w:r>
    </w:p>
    <w:p w:rsidR="009D2A34" w:rsidRPr="007E0D85" w:rsidP="009D2A34">
      <w:pPr>
        <w:bidi w:val="0"/>
        <w:jc w:val="both"/>
        <w:rPr>
          <w:rFonts w:ascii="Times New Roman" w:hAnsi="Times New Roman" w:cs="Times New Roman"/>
          <w:b/>
          <w:color w:val="000000"/>
          <w:highlight w:val="yellow"/>
        </w:rPr>
      </w:pPr>
    </w:p>
    <w:tbl>
      <w:tblPr>
        <w:tblStyle w:val="TableNormal"/>
        <w:tblW w:w="5000" w:type="pct"/>
        <w:tblLayout w:type="fixed"/>
        <w:tblCellMar>
          <w:left w:w="70" w:type="dxa"/>
          <w:right w:w="70" w:type="dxa"/>
        </w:tblCellMar>
        <w:tblLook w:val="04A0"/>
      </w:tblPr>
      <w:tblGrid>
        <w:gridCol w:w="2766"/>
        <w:gridCol w:w="920"/>
        <w:gridCol w:w="921"/>
        <w:gridCol w:w="921"/>
        <w:gridCol w:w="921"/>
        <w:gridCol w:w="921"/>
        <w:gridCol w:w="921"/>
        <w:gridCol w:w="921"/>
      </w:tblGrid>
      <w:tr>
        <w:tblPrEx>
          <w:tblW w:w="5000" w:type="pct"/>
          <w:tblLayout w:type="fixed"/>
          <w:tblCellMar>
            <w:left w:w="70" w:type="dxa"/>
            <w:right w:w="70" w:type="dxa"/>
          </w:tblCellMar>
          <w:tblLook w:val="04A0"/>
        </w:tblPrEx>
        <w:trPr>
          <w:trHeight w:val="259"/>
        </w:trPr>
        <w:tc>
          <w:tcPr>
            <w:tcW w:w="1501"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0129DE" w:rsidP="006338E5">
            <w:pPr>
              <w:bidi w:val="0"/>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 v eurách</w:t>
            </w:r>
          </w:p>
        </w:tc>
        <w:tc>
          <w:tcPr>
            <w:tcW w:w="499"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2010 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2011</w:t>
            </w:r>
            <w:r w:rsidR="007D5C52">
              <w:rPr>
                <w:rFonts w:ascii="Times New Roman" w:hAnsi="Times New Roman" w:cs="Times New Roman"/>
                <w:b/>
                <w:bCs/>
                <w:color w:val="000000"/>
                <w:sz w:val="14"/>
                <w:szCs w:val="14"/>
                <w:lang w:eastAsia="sk-SK"/>
              </w:rPr>
              <w:t xml:space="preserve"> </w:t>
            </w:r>
            <w:r w:rsidRPr="000129DE">
              <w:rPr>
                <w:rFonts w:ascii="Times New Roman" w:hAnsi="Times New Roman" w:cs="Times New Roman"/>
                <w:b/>
                <w:bCs/>
                <w:color w:val="000000"/>
                <w:sz w:val="14"/>
                <w:szCs w:val="14"/>
                <w:lang w:eastAsia="sk-SK"/>
              </w:rPr>
              <w:t>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2012 R</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2012 OS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2013 N</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2014 N</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129DE" w:rsidP="006338E5">
            <w:pPr>
              <w:bidi w:val="0"/>
              <w:jc w:val="center"/>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2015 N</w:t>
            </w:r>
          </w:p>
        </w:tc>
      </w:tr>
      <w:tr>
        <w:tblPrEx>
          <w:tblW w:w="5000" w:type="pct"/>
          <w:tblLayout w:type="fixed"/>
          <w:tblCellMar>
            <w:left w:w="70" w:type="dxa"/>
            <w:right w:w="70" w:type="dxa"/>
          </w:tblCellMar>
          <w:tblLook w:val="04A0"/>
        </w:tblPrEx>
        <w:trPr>
          <w:trHeight w:val="259"/>
        </w:trPr>
        <w:tc>
          <w:tcPr>
            <w:tcW w:w="1501"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0129DE" w:rsidP="006338E5">
            <w:pPr>
              <w:bidi w:val="0"/>
              <w:rPr>
                <w:rFonts w:ascii="Times New Roman" w:hAnsi="Times New Roman" w:cs="Times New Roman"/>
                <w:b/>
                <w:bCs/>
                <w:color w:val="000000"/>
                <w:sz w:val="14"/>
                <w:szCs w:val="14"/>
                <w:lang w:eastAsia="sk-SK"/>
              </w:rPr>
            </w:pPr>
            <w:r w:rsidRPr="000129DE">
              <w:rPr>
                <w:rFonts w:ascii="Times New Roman" w:hAnsi="Times New Roman" w:cs="Times New Roman"/>
                <w:b/>
                <w:bCs/>
                <w:color w:val="000000"/>
                <w:sz w:val="14"/>
                <w:szCs w:val="14"/>
                <w:lang w:eastAsia="sk-SK"/>
              </w:rPr>
              <w:t>Zdroje príslušnej kapitoly</w:t>
            </w:r>
          </w:p>
        </w:tc>
        <w:tc>
          <w:tcPr>
            <w:tcW w:w="499"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bCs/>
                <w:color w:val="000000"/>
                <w:sz w:val="14"/>
                <w:szCs w:val="14"/>
              </w:rPr>
            </w:pPr>
            <w:r w:rsidRPr="000129DE">
              <w:rPr>
                <w:rFonts w:ascii="Times New Roman" w:hAnsi="Times New Roman" w:cs="Times New Roman"/>
                <w:b/>
                <w:bCs/>
                <w:color w:val="000000"/>
                <w:sz w:val="14"/>
                <w:szCs w:val="14"/>
              </w:rPr>
              <w:t>110 758 151</w:t>
            </w:r>
          </w:p>
        </w:tc>
        <w:tc>
          <w:tcPr>
            <w:tcW w:w="500"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bCs/>
                <w:color w:val="000000"/>
                <w:sz w:val="14"/>
                <w:szCs w:val="14"/>
              </w:rPr>
            </w:pPr>
            <w:r w:rsidRPr="000129DE">
              <w:rPr>
                <w:rFonts w:ascii="Times New Roman" w:hAnsi="Times New Roman" w:cs="Times New Roman"/>
                <w:b/>
                <w:bCs/>
                <w:color w:val="000000"/>
                <w:sz w:val="14"/>
                <w:szCs w:val="14"/>
              </w:rPr>
              <w:t>125 610 782</w:t>
            </w:r>
          </w:p>
        </w:tc>
        <w:tc>
          <w:tcPr>
            <w:tcW w:w="500"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bCs/>
                <w:color w:val="000000"/>
                <w:sz w:val="14"/>
                <w:szCs w:val="14"/>
              </w:rPr>
            </w:pPr>
            <w:r w:rsidRPr="000129DE">
              <w:rPr>
                <w:rFonts w:ascii="Times New Roman" w:hAnsi="Times New Roman" w:cs="Times New Roman"/>
                <w:b/>
                <w:bCs/>
                <w:color w:val="000000"/>
                <w:sz w:val="14"/>
                <w:szCs w:val="14"/>
              </w:rPr>
              <w:t>122 977 167</w:t>
            </w:r>
          </w:p>
        </w:tc>
        <w:tc>
          <w:tcPr>
            <w:tcW w:w="500"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bCs/>
                <w:color w:val="000000"/>
                <w:sz w:val="14"/>
                <w:szCs w:val="14"/>
              </w:rPr>
            </w:pPr>
            <w:r w:rsidRPr="000129DE">
              <w:rPr>
                <w:rFonts w:ascii="Times New Roman" w:hAnsi="Times New Roman" w:cs="Times New Roman"/>
                <w:b/>
                <w:bCs/>
                <w:color w:val="000000"/>
                <w:sz w:val="14"/>
                <w:szCs w:val="14"/>
              </w:rPr>
              <w:t>139 682 557</w:t>
            </w:r>
          </w:p>
        </w:tc>
        <w:tc>
          <w:tcPr>
            <w:tcW w:w="500"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bCs/>
                <w:color w:val="000000"/>
                <w:sz w:val="14"/>
                <w:szCs w:val="14"/>
              </w:rPr>
            </w:pPr>
            <w:r w:rsidRPr="000129DE">
              <w:rPr>
                <w:rFonts w:ascii="Times New Roman" w:hAnsi="Times New Roman" w:cs="Times New Roman"/>
                <w:b/>
                <w:bCs/>
                <w:color w:val="000000"/>
                <w:sz w:val="14"/>
                <w:szCs w:val="14"/>
              </w:rPr>
              <w:t>117 340 164</w:t>
            </w:r>
          </w:p>
        </w:tc>
        <w:tc>
          <w:tcPr>
            <w:tcW w:w="500"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bCs/>
                <w:color w:val="000000"/>
                <w:sz w:val="14"/>
                <w:szCs w:val="14"/>
              </w:rPr>
            </w:pPr>
            <w:r w:rsidRPr="000129DE">
              <w:rPr>
                <w:rFonts w:ascii="Times New Roman" w:hAnsi="Times New Roman" w:cs="Times New Roman"/>
                <w:b/>
                <w:bCs/>
                <w:color w:val="000000"/>
                <w:sz w:val="14"/>
                <w:szCs w:val="14"/>
              </w:rPr>
              <w:t>115 630 029</w:t>
            </w:r>
          </w:p>
        </w:tc>
        <w:tc>
          <w:tcPr>
            <w:tcW w:w="500" w:type="pct"/>
            <w:tcBorders>
              <w:top w:val="nil"/>
              <w:left w:val="nil"/>
              <w:bottom w:val="single" w:sz="4" w:space="0" w:color="auto"/>
              <w:right w:val="single" w:sz="4" w:space="0" w:color="auto"/>
            </w:tcBorders>
            <w:shd w:val="clear" w:color="000000" w:fill="BFBFBF"/>
            <w:noWrap/>
            <w:textDirection w:val="lrTb"/>
            <w:vAlign w:val="center"/>
            <w:hideMark/>
          </w:tcPr>
          <w:p w:rsidR="009D2A34" w:rsidRPr="000129DE" w:rsidP="006338E5">
            <w:pPr>
              <w:bidi w:val="0"/>
              <w:jc w:val="right"/>
              <w:rPr>
                <w:rFonts w:ascii="Times New Roman" w:hAnsi="Times New Roman" w:cs="Times New Roman"/>
                <w:b/>
                <w:bCs/>
                <w:color w:val="000000"/>
                <w:sz w:val="14"/>
                <w:szCs w:val="14"/>
              </w:rPr>
            </w:pPr>
            <w:r w:rsidRPr="000129DE">
              <w:rPr>
                <w:rFonts w:ascii="Times New Roman" w:hAnsi="Times New Roman" w:cs="Times New Roman"/>
                <w:b/>
                <w:bCs/>
                <w:color w:val="000000"/>
                <w:sz w:val="14"/>
                <w:szCs w:val="14"/>
              </w:rPr>
              <w:t>115 646 156</w:t>
            </w:r>
          </w:p>
        </w:tc>
      </w:tr>
      <w:tr>
        <w:tblPrEx>
          <w:tblW w:w="5000" w:type="pct"/>
          <w:tblLayout w:type="fixed"/>
          <w:tblCellMar>
            <w:left w:w="70" w:type="dxa"/>
            <w:right w:w="70" w:type="dxa"/>
          </w:tblCellMar>
          <w:tblLook w:val="04A0"/>
        </w:tblPrEx>
        <w:trPr>
          <w:trHeight w:val="259"/>
        </w:trPr>
        <w:tc>
          <w:tcPr>
            <w:tcW w:w="1501" w:type="pct"/>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rPr>
              <w:t>Rozvoj zahraničných vzťahov</w:t>
            </w:r>
          </w:p>
        </w:tc>
        <w:tc>
          <w:tcPr>
            <w:tcW w:w="499"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100 152 808</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106 677 479</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104 764 333</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118 928 188</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Cs/>
                <w:color w:val="000000"/>
                <w:sz w:val="14"/>
                <w:szCs w:val="14"/>
              </w:rPr>
            </w:pPr>
            <w:r w:rsidRPr="000129DE">
              <w:rPr>
                <w:rFonts w:ascii="Times New Roman" w:hAnsi="Times New Roman" w:cs="Times New Roman"/>
                <w:bCs/>
                <w:color w:val="000000"/>
                <w:sz w:val="14"/>
                <w:szCs w:val="14"/>
              </w:rPr>
              <w:t>96 943 924</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Cs/>
                <w:color w:val="000000"/>
                <w:sz w:val="14"/>
                <w:szCs w:val="14"/>
              </w:rPr>
            </w:pPr>
            <w:r w:rsidRPr="000129DE">
              <w:rPr>
                <w:rFonts w:ascii="Times New Roman" w:hAnsi="Times New Roman" w:cs="Times New Roman"/>
                <w:bCs/>
                <w:color w:val="000000"/>
                <w:sz w:val="14"/>
                <w:szCs w:val="14"/>
              </w:rPr>
              <w:t>93 949 525</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Cs/>
                <w:color w:val="000000"/>
                <w:sz w:val="14"/>
                <w:szCs w:val="14"/>
              </w:rPr>
            </w:pPr>
            <w:r w:rsidRPr="000129DE">
              <w:rPr>
                <w:rFonts w:ascii="Times New Roman" w:hAnsi="Times New Roman" w:cs="Times New Roman"/>
                <w:bCs/>
                <w:color w:val="000000"/>
                <w:sz w:val="14"/>
                <w:szCs w:val="14"/>
              </w:rPr>
              <w:t>93 965 652</w:t>
            </w:r>
          </w:p>
        </w:tc>
      </w:tr>
      <w:tr>
        <w:tblPrEx>
          <w:tblW w:w="5000" w:type="pct"/>
          <w:tblLayout w:type="fixed"/>
          <w:tblCellMar>
            <w:left w:w="70" w:type="dxa"/>
            <w:right w:w="70" w:type="dxa"/>
          </w:tblCellMar>
          <w:tblLook w:val="04A0"/>
        </w:tblPrEx>
        <w:trPr>
          <w:trHeight w:val="259"/>
        </w:trPr>
        <w:tc>
          <w:tcPr>
            <w:tcW w:w="1501" w:type="pct"/>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rPr>
              <w:t>Oficiálna rozvojová pomoc</w:t>
            </w:r>
          </w:p>
        </w:tc>
        <w:tc>
          <w:tcPr>
            <w:tcW w:w="499"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6 541 893</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7 152 377</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5 980 936</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8 522 471</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Cs/>
                <w:color w:val="000000"/>
                <w:sz w:val="14"/>
                <w:szCs w:val="14"/>
              </w:rPr>
            </w:pPr>
            <w:r w:rsidRPr="000129DE">
              <w:rPr>
                <w:rFonts w:ascii="Times New Roman" w:hAnsi="Times New Roman" w:cs="Times New Roman"/>
                <w:bCs/>
                <w:color w:val="000000"/>
                <w:sz w:val="14"/>
                <w:szCs w:val="14"/>
              </w:rPr>
              <w:t>5 998 544</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Cs/>
                <w:color w:val="000000"/>
                <w:sz w:val="14"/>
                <w:szCs w:val="14"/>
              </w:rPr>
            </w:pPr>
            <w:r w:rsidRPr="000129DE">
              <w:rPr>
                <w:rFonts w:ascii="Times New Roman" w:hAnsi="Times New Roman" w:cs="Times New Roman"/>
                <w:bCs/>
                <w:color w:val="000000"/>
                <w:sz w:val="14"/>
                <w:szCs w:val="14"/>
              </w:rPr>
              <w:t>5 998 544</w:t>
            </w:r>
          </w:p>
        </w:tc>
        <w:tc>
          <w:tcPr>
            <w:tcW w:w="500" w:type="pct"/>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bCs/>
                <w:color w:val="000000"/>
                <w:sz w:val="14"/>
                <w:szCs w:val="14"/>
              </w:rPr>
            </w:pPr>
            <w:r w:rsidRPr="000129DE">
              <w:rPr>
                <w:rFonts w:ascii="Times New Roman" w:hAnsi="Times New Roman" w:cs="Times New Roman"/>
                <w:bCs/>
                <w:color w:val="000000"/>
                <w:sz w:val="14"/>
                <w:szCs w:val="14"/>
              </w:rPr>
              <w:t>5 998 544</w:t>
            </w:r>
          </w:p>
        </w:tc>
      </w:tr>
      <w:tr>
        <w:tblPrEx>
          <w:tblW w:w="5000" w:type="pct"/>
          <w:tblLayout w:type="fixed"/>
          <w:tblCellMar>
            <w:left w:w="70" w:type="dxa"/>
            <w:right w:w="70" w:type="dxa"/>
          </w:tblCellMar>
          <w:tblLook w:val="04A0"/>
        </w:tblPrEx>
        <w:trPr>
          <w:trHeight w:val="259"/>
        </w:trPr>
        <w:tc>
          <w:tcPr>
            <w:tcW w:w="150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rPr>
              <w:t>Príspevky SR do medzinárodných organizácií</w:t>
            </w:r>
          </w:p>
        </w:tc>
        <w:tc>
          <w:tcPr>
            <w:tcW w:w="499" w:type="pct"/>
            <w:tcBorders>
              <w:top w:val="single" w:sz="4" w:space="0" w:color="auto"/>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4 063 450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11 780 926</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12 231 898</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12 231 898</w:t>
            </w:r>
          </w:p>
        </w:tc>
        <w:tc>
          <w:tcPr>
            <w:tcW w:w="500" w:type="pct"/>
            <w:tcBorders>
              <w:top w:val="single" w:sz="4" w:space="0" w:color="auto"/>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Cs/>
                <w:color w:val="000000"/>
                <w:sz w:val="14"/>
                <w:szCs w:val="14"/>
              </w:rPr>
            </w:pPr>
            <w:r w:rsidRPr="000129DE">
              <w:rPr>
                <w:rFonts w:ascii="Times New Roman" w:hAnsi="Times New Roman" w:cs="Times New Roman"/>
                <w:bCs/>
                <w:color w:val="000000"/>
                <w:sz w:val="14"/>
                <w:szCs w:val="14"/>
              </w:rPr>
              <w:t>14 359 696</w:t>
            </w:r>
          </w:p>
        </w:tc>
        <w:tc>
          <w:tcPr>
            <w:tcW w:w="500" w:type="pct"/>
            <w:tcBorders>
              <w:top w:val="single" w:sz="4" w:space="0" w:color="auto"/>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Cs/>
                <w:color w:val="000000"/>
                <w:sz w:val="14"/>
                <w:szCs w:val="14"/>
              </w:rPr>
            </w:pPr>
            <w:r w:rsidRPr="000129DE">
              <w:rPr>
                <w:rFonts w:ascii="Times New Roman" w:hAnsi="Times New Roman" w:cs="Times New Roman"/>
                <w:bCs/>
                <w:color w:val="000000"/>
                <w:sz w:val="14"/>
                <w:szCs w:val="14"/>
              </w:rPr>
              <w:t>15 643 960</w:t>
            </w:r>
          </w:p>
        </w:tc>
        <w:tc>
          <w:tcPr>
            <w:tcW w:w="500" w:type="pct"/>
            <w:tcBorders>
              <w:top w:val="single" w:sz="4" w:space="0" w:color="auto"/>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Cs/>
                <w:color w:val="000000"/>
                <w:sz w:val="14"/>
                <w:szCs w:val="14"/>
              </w:rPr>
            </w:pPr>
            <w:r w:rsidRPr="000129DE">
              <w:rPr>
                <w:rFonts w:ascii="Times New Roman" w:hAnsi="Times New Roman" w:cs="Times New Roman"/>
                <w:bCs/>
                <w:color w:val="000000"/>
                <w:sz w:val="14"/>
                <w:szCs w:val="14"/>
              </w:rPr>
              <w:t>15 643 960</w:t>
            </w:r>
          </w:p>
        </w:tc>
      </w:tr>
      <w:tr>
        <w:tblPrEx>
          <w:tblW w:w="5000" w:type="pct"/>
          <w:tblLayout w:type="fixed"/>
          <w:tblCellMar>
            <w:left w:w="70" w:type="dxa"/>
            <w:right w:w="70" w:type="dxa"/>
          </w:tblCellMar>
          <w:tblLook w:val="04A0"/>
        </w:tblPrEx>
        <w:trPr>
          <w:trHeight w:val="259"/>
        </w:trPr>
        <w:tc>
          <w:tcPr>
            <w:tcW w:w="1501"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rPr>
            </w:pPr>
            <w:r w:rsidRPr="000129DE">
              <w:rPr>
                <w:rFonts w:ascii="Times New Roman" w:hAnsi="Times New Roman" w:cs="Times New Roman"/>
                <w:color w:val="000000"/>
                <w:sz w:val="14"/>
                <w:szCs w:val="14"/>
              </w:rPr>
              <w:t>Vysielanie civilných expertov do aktivít krízového manažmentu mimo územia SR</w:t>
            </w:r>
          </w:p>
        </w:tc>
        <w:tc>
          <w:tcPr>
            <w:tcW w:w="499" w:type="pct"/>
            <w:tcBorders>
              <w:top w:val="single" w:sz="4" w:space="0" w:color="auto"/>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 </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38 000</w:t>
            </w:r>
          </w:p>
        </w:tc>
        <w:tc>
          <w:tcPr>
            <w:tcW w:w="500" w:type="pct"/>
            <w:tcBorders>
              <w:top w:val="single" w:sz="4" w:space="0" w:color="auto"/>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38 000</w:t>
            </w:r>
          </w:p>
        </w:tc>
        <w:tc>
          <w:tcPr>
            <w:tcW w:w="500" w:type="pct"/>
            <w:tcBorders>
              <w:top w:val="single" w:sz="4" w:space="0" w:color="auto"/>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color w:val="000000"/>
                <w:sz w:val="14"/>
                <w:szCs w:val="14"/>
              </w:rPr>
            </w:pPr>
            <w:r w:rsidRPr="000129DE">
              <w:rPr>
                <w:rFonts w:ascii="Times New Roman" w:hAnsi="Times New Roman" w:cs="Times New Roman"/>
                <w:color w:val="000000"/>
                <w:sz w:val="14"/>
                <w:szCs w:val="14"/>
              </w:rPr>
              <w:t>38 000</w:t>
            </w:r>
          </w:p>
        </w:tc>
      </w:tr>
    </w:tbl>
    <w:p w:rsidR="009D2A34" w:rsidRPr="007E0D85" w:rsidP="009D2A34">
      <w:pPr>
        <w:bidi w:val="0"/>
        <w:jc w:val="both"/>
        <w:rPr>
          <w:rFonts w:ascii="Times New Roman" w:hAnsi="Times New Roman" w:cs="Times New Roman"/>
          <w:b/>
          <w:bCs/>
          <w:highlight w:val="yellow"/>
          <w:lang w:eastAsia="sk-SK"/>
        </w:rPr>
      </w:pPr>
    </w:p>
    <w:p w:rsidR="009D2A34" w:rsidRPr="000129DE" w:rsidP="009D2A34">
      <w:pPr>
        <w:bidi w:val="0"/>
        <w:jc w:val="both"/>
        <w:rPr>
          <w:rFonts w:ascii="Times New Roman" w:hAnsi="Times New Roman" w:cs="Times New Roman"/>
          <w:b/>
          <w:bCs/>
          <w:lang w:eastAsia="sk-SK"/>
        </w:rPr>
      </w:pPr>
      <w:r w:rsidRPr="000129DE">
        <w:rPr>
          <w:rFonts w:ascii="Times New Roman" w:hAnsi="Times New Roman" w:cs="Times New Roman"/>
          <w:b/>
          <w:bCs/>
          <w:lang w:eastAsia="sk-SK"/>
        </w:rPr>
        <w:t>Rozvoj zahraničných vzťahov</w:t>
      </w:r>
    </w:p>
    <w:p w:rsidR="009D2A34" w:rsidRPr="007E0D85" w:rsidP="009D2A34">
      <w:pPr>
        <w:bidi w:val="0"/>
        <w:jc w:val="both"/>
        <w:rPr>
          <w:rFonts w:ascii="Times New Roman" w:hAnsi="Times New Roman" w:cs="Times New Roman"/>
          <w:highlight w:val="yellow"/>
        </w:rPr>
      </w:pPr>
    </w:p>
    <w:tbl>
      <w:tblPr>
        <w:tblStyle w:val="TableNormal"/>
        <w:tblW w:w="0" w:type="auto"/>
        <w:tblInd w:w="56" w:type="dxa"/>
        <w:tblLayout w:type="fixed"/>
        <w:tblCellMar>
          <w:left w:w="70" w:type="dxa"/>
          <w:right w:w="70" w:type="dxa"/>
        </w:tblCellMar>
        <w:tblLook w:val="04A0"/>
      </w:tblPr>
      <w:tblGrid>
        <w:gridCol w:w="2241"/>
        <w:gridCol w:w="977"/>
        <w:gridCol w:w="978"/>
        <w:gridCol w:w="978"/>
        <w:gridCol w:w="978"/>
        <w:gridCol w:w="978"/>
        <w:gridCol w:w="978"/>
        <w:gridCol w:w="978"/>
      </w:tblGrid>
      <w:tr>
        <w:tblPrEx>
          <w:tblW w:w="0" w:type="auto"/>
          <w:tblInd w:w="56" w:type="dxa"/>
          <w:tblLayout w:type="fixed"/>
          <w:tblCellMar>
            <w:left w:w="70" w:type="dxa"/>
            <w:right w:w="70" w:type="dxa"/>
          </w:tblCellMar>
          <w:tblLook w:val="04A0"/>
        </w:tblPrEx>
        <w:trPr>
          <w:trHeight w:val="261"/>
        </w:trPr>
        <w:tc>
          <w:tcPr>
            <w:tcW w:w="224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0129DE" w:rsidP="006338E5">
            <w:pPr>
              <w:bidi w:val="0"/>
              <w:rPr>
                <w:rFonts w:ascii="Times New Roman" w:hAnsi="Times New Roman" w:cs="Times New Roman"/>
                <w:b/>
                <w:bCs/>
                <w:sz w:val="14"/>
                <w:szCs w:val="14"/>
                <w:lang w:eastAsia="sk-SK"/>
              </w:rPr>
            </w:pPr>
            <w:r w:rsidRPr="000129DE">
              <w:rPr>
                <w:rFonts w:ascii="Times New Roman" w:hAnsi="Times New Roman" w:cs="Times New Roman"/>
                <w:b/>
                <w:bCs/>
                <w:sz w:val="14"/>
                <w:szCs w:val="14"/>
                <w:lang w:eastAsia="sk-SK"/>
              </w:rPr>
              <w:t> v eurách</w:t>
            </w:r>
          </w:p>
        </w:tc>
        <w:tc>
          <w:tcPr>
            <w:tcW w:w="977"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0129DE" w:rsidP="006338E5">
            <w:pPr>
              <w:bidi w:val="0"/>
              <w:jc w:val="center"/>
              <w:rPr>
                <w:rFonts w:ascii="Times New Roman" w:hAnsi="Times New Roman" w:cs="Times New Roman"/>
                <w:b/>
                <w:bCs/>
                <w:sz w:val="14"/>
                <w:szCs w:val="14"/>
                <w:lang w:eastAsia="sk-SK"/>
              </w:rPr>
            </w:pPr>
            <w:r w:rsidRPr="000129DE">
              <w:rPr>
                <w:rFonts w:ascii="Times New Roman" w:hAnsi="Times New Roman" w:cs="Times New Roman"/>
                <w:b/>
                <w:bCs/>
                <w:sz w:val="14"/>
                <w:szCs w:val="14"/>
                <w:lang w:eastAsia="sk-SK"/>
              </w:rPr>
              <w:t>2010 S</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129DE" w:rsidP="006338E5">
            <w:pPr>
              <w:bidi w:val="0"/>
              <w:jc w:val="center"/>
              <w:rPr>
                <w:rFonts w:ascii="Times New Roman" w:hAnsi="Times New Roman" w:cs="Times New Roman"/>
                <w:b/>
                <w:bCs/>
                <w:sz w:val="14"/>
                <w:szCs w:val="14"/>
                <w:lang w:eastAsia="sk-SK"/>
              </w:rPr>
            </w:pPr>
            <w:r w:rsidRPr="000129DE">
              <w:rPr>
                <w:rFonts w:ascii="Times New Roman" w:hAnsi="Times New Roman" w:cs="Times New Roman"/>
                <w:b/>
                <w:bCs/>
                <w:sz w:val="14"/>
                <w:szCs w:val="14"/>
                <w:lang w:eastAsia="sk-SK"/>
              </w:rPr>
              <w:t>2011 S</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129DE" w:rsidP="006338E5">
            <w:pPr>
              <w:bidi w:val="0"/>
              <w:jc w:val="center"/>
              <w:rPr>
                <w:rFonts w:ascii="Times New Roman" w:hAnsi="Times New Roman" w:cs="Times New Roman"/>
                <w:b/>
                <w:bCs/>
                <w:sz w:val="14"/>
                <w:szCs w:val="14"/>
                <w:lang w:eastAsia="sk-SK"/>
              </w:rPr>
            </w:pPr>
            <w:r w:rsidRPr="000129DE">
              <w:rPr>
                <w:rFonts w:ascii="Times New Roman" w:hAnsi="Times New Roman" w:cs="Times New Roman"/>
                <w:b/>
                <w:bCs/>
                <w:sz w:val="14"/>
                <w:szCs w:val="14"/>
                <w:lang w:eastAsia="sk-SK"/>
              </w:rPr>
              <w:t>2012 R</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129DE" w:rsidP="006338E5">
            <w:pPr>
              <w:bidi w:val="0"/>
              <w:jc w:val="center"/>
              <w:rPr>
                <w:rFonts w:ascii="Times New Roman" w:hAnsi="Times New Roman" w:cs="Times New Roman"/>
                <w:b/>
                <w:bCs/>
                <w:sz w:val="14"/>
                <w:szCs w:val="14"/>
                <w:lang w:eastAsia="sk-SK"/>
              </w:rPr>
            </w:pPr>
            <w:r w:rsidRPr="000129DE">
              <w:rPr>
                <w:rFonts w:ascii="Times New Roman" w:hAnsi="Times New Roman" w:cs="Times New Roman"/>
                <w:b/>
                <w:bCs/>
                <w:sz w:val="14"/>
                <w:szCs w:val="14"/>
                <w:lang w:eastAsia="sk-SK"/>
              </w:rPr>
              <w:t>2012 OS</w:t>
            </w:r>
          </w:p>
        </w:tc>
        <w:tc>
          <w:tcPr>
            <w:tcW w:w="978"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0129DE" w:rsidP="006338E5">
            <w:pPr>
              <w:bidi w:val="0"/>
              <w:jc w:val="center"/>
              <w:rPr>
                <w:rFonts w:ascii="Times New Roman" w:hAnsi="Times New Roman" w:cs="Times New Roman"/>
                <w:b/>
                <w:bCs/>
                <w:sz w:val="14"/>
                <w:szCs w:val="14"/>
                <w:lang w:eastAsia="sk-SK"/>
              </w:rPr>
            </w:pPr>
            <w:r w:rsidRPr="000129DE">
              <w:rPr>
                <w:rFonts w:ascii="Times New Roman" w:hAnsi="Times New Roman" w:cs="Times New Roman"/>
                <w:b/>
                <w:bCs/>
                <w:sz w:val="14"/>
                <w:szCs w:val="14"/>
                <w:lang w:eastAsia="sk-SK"/>
              </w:rPr>
              <w:t>2013 N</w:t>
            </w:r>
          </w:p>
        </w:tc>
        <w:tc>
          <w:tcPr>
            <w:tcW w:w="978"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0129DE" w:rsidP="006338E5">
            <w:pPr>
              <w:bidi w:val="0"/>
              <w:jc w:val="center"/>
              <w:rPr>
                <w:rFonts w:ascii="Times New Roman" w:hAnsi="Times New Roman" w:cs="Times New Roman"/>
                <w:b/>
                <w:bCs/>
                <w:sz w:val="14"/>
                <w:szCs w:val="14"/>
                <w:lang w:eastAsia="sk-SK"/>
              </w:rPr>
            </w:pPr>
            <w:r w:rsidRPr="000129DE">
              <w:rPr>
                <w:rFonts w:ascii="Times New Roman" w:hAnsi="Times New Roman" w:cs="Times New Roman"/>
                <w:b/>
                <w:bCs/>
                <w:sz w:val="14"/>
                <w:szCs w:val="14"/>
                <w:lang w:eastAsia="sk-SK"/>
              </w:rPr>
              <w:t>2014 N</w:t>
            </w:r>
          </w:p>
        </w:tc>
        <w:tc>
          <w:tcPr>
            <w:tcW w:w="978"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0129DE" w:rsidP="006338E5">
            <w:pPr>
              <w:bidi w:val="0"/>
              <w:jc w:val="center"/>
              <w:rPr>
                <w:rFonts w:ascii="Times New Roman" w:hAnsi="Times New Roman" w:cs="Times New Roman"/>
                <w:b/>
                <w:bCs/>
                <w:sz w:val="14"/>
                <w:szCs w:val="14"/>
                <w:lang w:eastAsia="sk-SK"/>
              </w:rPr>
            </w:pPr>
            <w:r w:rsidRPr="000129DE">
              <w:rPr>
                <w:rFonts w:ascii="Times New Roman" w:hAnsi="Times New Roman" w:cs="Times New Roman"/>
                <w:b/>
                <w:bCs/>
                <w:sz w:val="14"/>
                <w:szCs w:val="14"/>
                <w:lang w:eastAsia="sk-SK"/>
              </w:rPr>
              <w:t>2015 N</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0129DE" w:rsidP="006338E5">
            <w:pPr>
              <w:bidi w:val="0"/>
              <w:rPr>
                <w:rFonts w:ascii="Times New Roman" w:hAnsi="Times New Roman" w:cs="Times New Roman"/>
                <w:b/>
                <w:bCs/>
                <w:sz w:val="14"/>
                <w:szCs w:val="14"/>
                <w:lang w:eastAsia="sk-SK"/>
              </w:rPr>
            </w:pPr>
            <w:r w:rsidRPr="000129DE">
              <w:rPr>
                <w:rFonts w:ascii="Times New Roman" w:hAnsi="Times New Roman" w:cs="Times New Roman"/>
                <w:b/>
                <w:bCs/>
                <w:sz w:val="14"/>
                <w:szCs w:val="14"/>
                <w:lang w:eastAsia="sk-SK"/>
              </w:rPr>
              <w:t>Rozvoj zahraničných vzťahov</w:t>
            </w:r>
          </w:p>
        </w:tc>
        <w:tc>
          <w:tcPr>
            <w:tcW w:w="977" w:type="dxa"/>
            <w:tcBorders>
              <w:top w:val="nil"/>
              <w:left w:val="nil"/>
              <w:bottom w:val="single" w:sz="4" w:space="0" w:color="auto"/>
              <w:right w:val="single" w:sz="4" w:space="0" w:color="auto"/>
            </w:tcBorders>
            <w:shd w:val="clear" w:color="000000" w:fill="C0C0C0"/>
            <w:textDirection w:val="lrTb"/>
            <w:vAlign w:val="center"/>
            <w:hideMark/>
          </w:tcPr>
          <w:p w:rsidR="009D2A34" w:rsidRPr="000129DE" w:rsidP="006338E5">
            <w:pPr>
              <w:bidi w:val="0"/>
              <w:jc w:val="right"/>
              <w:rPr>
                <w:rFonts w:ascii="Times New Roman" w:hAnsi="Times New Roman" w:cs="Times New Roman"/>
                <w:b/>
                <w:color w:val="000000"/>
                <w:sz w:val="14"/>
                <w:szCs w:val="14"/>
              </w:rPr>
            </w:pPr>
            <w:r w:rsidRPr="000129DE">
              <w:rPr>
                <w:rFonts w:ascii="Times New Roman" w:hAnsi="Times New Roman" w:cs="Times New Roman"/>
                <w:b/>
                <w:color w:val="000000"/>
                <w:sz w:val="14"/>
                <w:szCs w:val="14"/>
              </w:rPr>
              <w:t>100 152 808</w:t>
            </w:r>
          </w:p>
        </w:tc>
        <w:tc>
          <w:tcPr>
            <w:tcW w:w="978" w:type="dxa"/>
            <w:tcBorders>
              <w:top w:val="nil"/>
              <w:left w:val="nil"/>
              <w:bottom w:val="single" w:sz="4" w:space="0" w:color="auto"/>
              <w:right w:val="single" w:sz="4" w:space="0" w:color="auto"/>
            </w:tcBorders>
            <w:shd w:val="clear" w:color="000000" w:fill="C0C0C0"/>
            <w:textDirection w:val="lrTb"/>
            <w:vAlign w:val="center"/>
            <w:hideMark/>
          </w:tcPr>
          <w:p w:rsidR="009D2A34" w:rsidRPr="000129DE" w:rsidP="006338E5">
            <w:pPr>
              <w:bidi w:val="0"/>
              <w:jc w:val="right"/>
              <w:rPr>
                <w:rFonts w:ascii="Times New Roman" w:hAnsi="Times New Roman" w:cs="Times New Roman"/>
                <w:b/>
                <w:color w:val="000000"/>
                <w:sz w:val="14"/>
                <w:szCs w:val="14"/>
              </w:rPr>
            </w:pPr>
            <w:r w:rsidRPr="000129DE">
              <w:rPr>
                <w:rFonts w:ascii="Times New Roman" w:hAnsi="Times New Roman" w:cs="Times New Roman"/>
                <w:b/>
                <w:color w:val="000000"/>
                <w:sz w:val="14"/>
                <w:szCs w:val="14"/>
              </w:rPr>
              <w:t>106 677 479</w:t>
            </w:r>
          </w:p>
        </w:tc>
        <w:tc>
          <w:tcPr>
            <w:tcW w:w="978" w:type="dxa"/>
            <w:tcBorders>
              <w:top w:val="nil"/>
              <w:left w:val="nil"/>
              <w:bottom w:val="single" w:sz="4" w:space="0" w:color="auto"/>
              <w:right w:val="single" w:sz="4" w:space="0" w:color="auto"/>
            </w:tcBorders>
            <w:shd w:val="clear" w:color="000000" w:fill="C0C0C0"/>
            <w:textDirection w:val="lrTb"/>
            <w:vAlign w:val="center"/>
            <w:hideMark/>
          </w:tcPr>
          <w:p w:rsidR="009D2A34" w:rsidRPr="000129DE" w:rsidP="006338E5">
            <w:pPr>
              <w:bidi w:val="0"/>
              <w:jc w:val="right"/>
              <w:rPr>
                <w:rFonts w:ascii="Times New Roman" w:hAnsi="Times New Roman" w:cs="Times New Roman"/>
                <w:b/>
                <w:color w:val="000000"/>
                <w:sz w:val="14"/>
                <w:szCs w:val="14"/>
              </w:rPr>
            </w:pPr>
            <w:r w:rsidRPr="000129DE">
              <w:rPr>
                <w:rFonts w:ascii="Times New Roman" w:hAnsi="Times New Roman" w:cs="Times New Roman"/>
                <w:b/>
                <w:color w:val="000000"/>
                <w:sz w:val="14"/>
                <w:szCs w:val="14"/>
              </w:rPr>
              <w:t>104 764 333</w:t>
            </w:r>
          </w:p>
        </w:tc>
        <w:tc>
          <w:tcPr>
            <w:tcW w:w="978" w:type="dxa"/>
            <w:tcBorders>
              <w:top w:val="nil"/>
              <w:left w:val="nil"/>
              <w:bottom w:val="single" w:sz="4" w:space="0" w:color="auto"/>
              <w:right w:val="single" w:sz="4" w:space="0" w:color="auto"/>
            </w:tcBorders>
            <w:shd w:val="clear" w:color="000000" w:fill="C0C0C0"/>
            <w:textDirection w:val="lrTb"/>
            <w:vAlign w:val="center"/>
            <w:hideMark/>
          </w:tcPr>
          <w:p w:rsidR="009D2A34" w:rsidRPr="000129DE" w:rsidP="006338E5">
            <w:pPr>
              <w:bidi w:val="0"/>
              <w:jc w:val="right"/>
              <w:rPr>
                <w:rFonts w:ascii="Times New Roman" w:hAnsi="Times New Roman" w:cs="Times New Roman"/>
                <w:b/>
                <w:bCs/>
                <w:color w:val="000000"/>
                <w:sz w:val="14"/>
                <w:szCs w:val="14"/>
              </w:rPr>
            </w:pPr>
            <w:r w:rsidRPr="000129DE">
              <w:rPr>
                <w:rFonts w:ascii="Times New Roman" w:hAnsi="Times New Roman" w:cs="Times New Roman"/>
                <w:b/>
                <w:bCs/>
                <w:color w:val="000000"/>
                <w:sz w:val="14"/>
                <w:szCs w:val="14"/>
              </w:rPr>
              <w:t>118 928 188</w:t>
            </w:r>
          </w:p>
        </w:tc>
        <w:tc>
          <w:tcPr>
            <w:tcW w:w="978" w:type="dxa"/>
            <w:tcBorders>
              <w:top w:val="nil"/>
              <w:left w:val="nil"/>
              <w:bottom w:val="single" w:sz="4" w:space="0" w:color="auto"/>
              <w:right w:val="single" w:sz="4" w:space="0" w:color="auto"/>
            </w:tcBorders>
            <w:shd w:val="clear" w:color="000000" w:fill="C0C0C0"/>
            <w:textDirection w:val="lrTb"/>
            <w:vAlign w:val="center"/>
            <w:hideMark/>
          </w:tcPr>
          <w:p w:rsidR="009D2A34" w:rsidRPr="000129DE" w:rsidP="006338E5">
            <w:pPr>
              <w:bidi w:val="0"/>
              <w:jc w:val="right"/>
              <w:rPr>
                <w:rFonts w:ascii="Times New Roman" w:hAnsi="Times New Roman" w:cs="Times New Roman"/>
                <w:b/>
                <w:bCs/>
                <w:color w:val="000000"/>
                <w:sz w:val="14"/>
                <w:szCs w:val="14"/>
              </w:rPr>
            </w:pPr>
            <w:r w:rsidRPr="000129DE">
              <w:rPr>
                <w:rFonts w:ascii="Times New Roman" w:hAnsi="Times New Roman" w:cs="Times New Roman"/>
                <w:b/>
                <w:bCs/>
                <w:color w:val="000000"/>
                <w:sz w:val="14"/>
                <w:szCs w:val="14"/>
              </w:rPr>
              <w:t>96 943 924</w:t>
            </w:r>
          </w:p>
        </w:tc>
        <w:tc>
          <w:tcPr>
            <w:tcW w:w="978" w:type="dxa"/>
            <w:tcBorders>
              <w:top w:val="nil"/>
              <w:left w:val="nil"/>
              <w:bottom w:val="single" w:sz="4" w:space="0" w:color="auto"/>
              <w:right w:val="single" w:sz="4" w:space="0" w:color="auto"/>
            </w:tcBorders>
            <w:shd w:val="clear" w:color="000000" w:fill="C0C0C0"/>
            <w:textDirection w:val="lrTb"/>
            <w:vAlign w:val="center"/>
            <w:hideMark/>
          </w:tcPr>
          <w:p w:rsidR="009D2A34" w:rsidRPr="000129DE" w:rsidP="006338E5">
            <w:pPr>
              <w:bidi w:val="0"/>
              <w:jc w:val="right"/>
              <w:rPr>
                <w:rFonts w:ascii="Times New Roman" w:hAnsi="Times New Roman" w:cs="Times New Roman"/>
                <w:b/>
                <w:bCs/>
                <w:color w:val="000000"/>
                <w:sz w:val="14"/>
                <w:szCs w:val="14"/>
              </w:rPr>
            </w:pPr>
            <w:r w:rsidRPr="000129DE">
              <w:rPr>
                <w:rFonts w:ascii="Times New Roman" w:hAnsi="Times New Roman" w:cs="Times New Roman"/>
                <w:b/>
                <w:bCs/>
                <w:color w:val="000000"/>
                <w:sz w:val="14"/>
                <w:szCs w:val="14"/>
              </w:rPr>
              <w:t>93 949 525</w:t>
            </w:r>
          </w:p>
        </w:tc>
        <w:tc>
          <w:tcPr>
            <w:tcW w:w="978" w:type="dxa"/>
            <w:tcBorders>
              <w:top w:val="nil"/>
              <w:left w:val="nil"/>
              <w:bottom w:val="single" w:sz="4" w:space="0" w:color="auto"/>
              <w:right w:val="single" w:sz="4" w:space="0" w:color="auto"/>
            </w:tcBorders>
            <w:shd w:val="clear" w:color="000000" w:fill="C0C0C0"/>
            <w:textDirection w:val="lrTb"/>
            <w:vAlign w:val="center"/>
            <w:hideMark/>
          </w:tcPr>
          <w:p w:rsidR="009D2A34" w:rsidRPr="000129DE" w:rsidP="006338E5">
            <w:pPr>
              <w:bidi w:val="0"/>
              <w:jc w:val="right"/>
              <w:rPr>
                <w:rFonts w:ascii="Times New Roman" w:hAnsi="Times New Roman" w:cs="Times New Roman"/>
                <w:b/>
                <w:bCs/>
                <w:color w:val="000000"/>
                <w:sz w:val="14"/>
                <w:szCs w:val="14"/>
              </w:rPr>
            </w:pPr>
            <w:r w:rsidRPr="000129DE">
              <w:rPr>
                <w:rFonts w:ascii="Times New Roman" w:hAnsi="Times New Roman" w:cs="Times New Roman"/>
                <w:b/>
                <w:bCs/>
                <w:color w:val="000000"/>
                <w:sz w:val="14"/>
                <w:szCs w:val="14"/>
              </w:rPr>
              <w:t>93 965 652</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b/>
                <w:bCs/>
                <w:sz w:val="14"/>
                <w:szCs w:val="14"/>
                <w:lang w:eastAsia="sk-SK"/>
              </w:rPr>
            </w:pPr>
            <w:r w:rsidRPr="000129DE">
              <w:rPr>
                <w:rFonts w:ascii="Times New Roman" w:hAnsi="Times New Roman" w:cs="Times New Roman"/>
                <w:b/>
                <w:bCs/>
                <w:sz w:val="14"/>
                <w:szCs w:val="14"/>
                <w:lang w:eastAsia="sk-SK"/>
              </w:rPr>
              <w:t xml:space="preserve">     Reprezentácia SR v zahraničí</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b/>
                <w:sz w:val="14"/>
                <w:szCs w:val="14"/>
              </w:rPr>
            </w:pPr>
            <w:r w:rsidRPr="000129DE">
              <w:rPr>
                <w:rFonts w:ascii="Times New Roman" w:hAnsi="Times New Roman" w:cs="Times New Roman"/>
                <w:b/>
                <w:sz w:val="14"/>
                <w:szCs w:val="14"/>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sz w:val="14"/>
                <w:szCs w:val="14"/>
              </w:rPr>
            </w:pPr>
            <w:r w:rsidRPr="000129DE">
              <w:rPr>
                <w:rFonts w:ascii="Times New Roman" w:hAnsi="Times New Roman" w:cs="Times New Roman"/>
                <w:b/>
                <w:sz w:val="14"/>
                <w:szCs w:val="14"/>
              </w:rPr>
              <w:t>69 375 516</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sz w:val="14"/>
                <w:szCs w:val="14"/>
              </w:rPr>
            </w:pPr>
            <w:r w:rsidRPr="000129DE">
              <w:rPr>
                <w:rFonts w:ascii="Times New Roman" w:hAnsi="Times New Roman" w:cs="Times New Roman"/>
                <w:b/>
                <w:sz w:val="14"/>
                <w:szCs w:val="14"/>
              </w:rPr>
              <w:t>72 215 750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bCs/>
                <w:sz w:val="14"/>
                <w:szCs w:val="14"/>
              </w:rPr>
            </w:pPr>
            <w:r w:rsidRPr="000129DE">
              <w:rPr>
                <w:rFonts w:ascii="Times New Roman" w:hAnsi="Times New Roman" w:cs="Times New Roman"/>
                <w:b/>
                <w:bCs/>
                <w:sz w:val="14"/>
                <w:szCs w:val="14"/>
              </w:rPr>
              <w:t>71 240 390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sz w:val="14"/>
                <w:szCs w:val="14"/>
              </w:rPr>
            </w:pPr>
            <w:r w:rsidRPr="000129DE">
              <w:rPr>
                <w:rFonts w:ascii="Times New Roman" w:hAnsi="Times New Roman" w:cs="Times New Roman"/>
                <w:b/>
                <w:sz w:val="14"/>
                <w:szCs w:val="14"/>
              </w:rPr>
              <w:t>67 128 447</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sz w:val="14"/>
                <w:szCs w:val="14"/>
              </w:rPr>
            </w:pPr>
            <w:r w:rsidRPr="000129DE">
              <w:rPr>
                <w:rFonts w:ascii="Times New Roman" w:hAnsi="Times New Roman" w:cs="Times New Roman"/>
                <w:b/>
                <w:sz w:val="14"/>
                <w:szCs w:val="14"/>
              </w:rPr>
              <w:t>67 131 988</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sz w:val="14"/>
                <w:szCs w:val="14"/>
              </w:rPr>
            </w:pPr>
            <w:r w:rsidRPr="000129DE">
              <w:rPr>
                <w:rFonts w:ascii="Times New Roman" w:hAnsi="Times New Roman" w:cs="Times New Roman"/>
                <w:b/>
                <w:sz w:val="14"/>
                <w:szCs w:val="14"/>
              </w:rPr>
              <w:t>67 141 781</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sz w:val="14"/>
                <w:szCs w:val="14"/>
                <w:lang w:eastAsia="sk-SK"/>
              </w:rPr>
            </w:pPr>
            <w:r w:rsidRPr="000129DE">
              <w:rPr>
                <w:rFonts w:ascii="Times New Roman" w:hAnsi="Times New Roman" w:cs="Times New Roman"/>
                <w:sz w:val="14"/>
                <w:szCs w:val="14"/>
                <w:lang w:eastAsia="sk-SK"/>
              </w:rPr>
              <w:t xml:space="preserve">         bežné výdavky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69 375 516</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Cs/>
                <w:sz w:val="14"/>
                <w:szCs w:val="14"/>
              </w:rPr>
            </w:pPr>
            <w:r w:rsidRPr="000129DE">
              <w:rPr>
                <w:rFonts w:ascii="Times New Roman" w:hAnsi="Times New Roman" w:cs="Times New Roman"/>
                <w:bCs/>
                <w:sz w:val="14"/>
                <w:szCs w:val="14"/>
              </w:rPr>
              <w:t>72 215 750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71 240 390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67 128 447</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67 131 988</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67 141 781</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610 mzdy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39 748 373</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42 146 598</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42 794 005</w:t>
            </w:r>
          </w:p>
        </w:tc>
        <w:tc>
          <w:tcPr>
            <w:tcW w:w="978" w:type="dxa"/>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39 660 309</w:t>
            </w:r>
          </w:p>
        </w:tc>
        <w:tc>
          <w:tcPr>
            <w:tcW w:w="978" w:type="dxa"/>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39 663 850</w:t>
            </w:r>
          </w:p>
        </w:tc>
        <w:tc>
          <w:tcPr>
            <w:tcW w:w="978" w:type="dxa"/>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39 673 643</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620 odvody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7 760 841</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8 179 948</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7 834 206</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7 176 759</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7 176 759</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7 176 759</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630 tovary a služby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21 831 059</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21 856 204</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20 592 179</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20 276 379</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20 276 379</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20 276 379</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640 bežné transfery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35 243</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33 000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20 000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15 000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15 000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15 000</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sz w:val="14"/>
                <w:szCs w:val="14"/>
                <w:lang w:eastAsia="sk-SK"/>
              </w:rPr>
            </w:pPr>
            <w:r w:rsidRPr="000129DE">
              <w:rPr>
                <w:rFonts w:ascii="Times New Roman" w:hAnsi="Times New Roman" w:cs="Times New Roman"/>
                <w:sz w:val="14"/>
                <w:szCs w:val="14"/>
                <w:lang w:eastAsia="sk-SK"/>
              </w:rPr>
              <w:t xml:space="preserve">        kapitálové výdavky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lang w:eastAsia="sk-SK"/>
              </w:rPr>
            </w:pPr>
            <w:r w:rsidRPr="000129DE">
              <w:rPr>
                <w:rFonts w:ascii="Times New Roman" w:hAnsi="Times New Roman" w:cs="Times New Roman"/>
                <w:sz w:val="14"/>
                <w:szCs w:val="14"/>
                <w:lang w:eastAsia="sk-SK"/>
              </w:rPr>
              <w:t xml:space="preserve">0 </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0</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b/>
                <w:bCs/>
                <w:sz w:val="14"/>
                <w:szCs w:val="14"/>
                <w:lang w:eastAsia="sk-SK"/>
              </w:rPr>
            </w:pPr>
            <w:r w:rsidRPr="000129DE">
              <w:rPr>
                <w:rFonts w:ascii="Times New Roman" w:hAnsi="Times New Roman" w:cs="Times New Roman"/>
                <w:b/>
                <w:bCs/>
                <w:sz w:val="14"/>
                <w:szCs w:val="14"/>
                <w:lang w:eastAsia="sk-SK"/>
              </w:rPr>
              <w:t xml:space="preserve">     Tvorba a implementácia politík</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b/>
                <w:sz w:val="14"/>
                <w:szCs w:val="14"/>
              </w:rPr>
            </w:pPr>
            <w:r w:rsidRPr="000129DE">
              <w:rPr>
                <w:rFonts w:ascii="Times New Roman" w:hAnsi="Times New Roman" w:cs="Times New Roman"/>
                <w:b/>
                <w:sz w:val="14"/>
                <w:szCs w:val="14"/>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sz w:val="14"/>
                <w:szCs w:val="14"/>
              </w:rPr>
            </w:pPr>
            <w:r w:rsidRPr="000129DE">
              <w:rPr>
                <w:rFonts w:ascii="Times New Roman" w:hAnsi="Times New Roman" w:cs="Times New Roman"/>
                <w:b/>
                <w:sz w:val="14"/>
                <w:szCs w:val="14"/>
              </w:rPr>
              <w:t>37 301 963</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sz w:val="14"/>
                <w:szCs w:val="14"/>
              </w:rPr>
            </w:pPr>
            <w:r w:rsidRPr="000129DE">
              <w:rPr>
                <w:rFonts w:ascii="Times New Roman" w:hAnsi="Times New Roman" w:cs="Times New Roman"/>
                <w:b/>
                <w:sz w:val="14"/>
                <w:szCs w:val="14"/>
              </w:rPr>
              <w:t>32 548 583</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bCs/>
                <w:sz w:val="14"/>
                <w:szCs w:val="14"/>
              </w:rPr>
            </w:pPr>
            <w:r w:rsidRPr="000129DE">
              <w:rPr>
                <w:rFonts w:ascii="Times New Roman" w:hAnsi="Times New Roman" w:cs="Times New Roman"/>
                <w:b/>
                <w:bCs/>
                <w:sz w:val="14"/>
                <w:szCs w:val="14"/>
              </w:rPr>
              <w:t>47 687 798</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bCs/>
                <w:sz w:val="14"/>
                <w:szCs w:val="14"/>
              </w:rPr>
            </w:pPr>
            <w:r w:rsidRPr="000129DE">
              <w:rPr>
                <w:rFonts w:ascii="Times New Roman" w:hAnsi="Times New Roman" w:cs="Times New Roman"/>
                <w:b/>
                <w:bCs/>
                <w:sz w:val="14"/>
                <w:szCs w:val="14"/>
              </w:rPr>
              <w:t>29 815 477</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bCs/>
                <w:sz w:val="14"/>
                <w:szCs w:val="14"/>
              </w:rPr>
            </w:pPr>
            <w:r w:rsidRPr="000129DE">
              <w:rPr>
                <w:rFonts w:ascii="Times New Roman" w:hAnsi="Times New Roman" w:cs="Times New Roman"/>
                <w:b/>
                <w:bCs/>
                <w:sz w:val="14"/>
                <w:szCs w:val="14"/>
              </w:rPr>
              <w:t>26 817 537</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b/>
                <w:bCs/>
                <w:sz w:val="14"/>
                <w:szCs w:val="14"/>
              </w:rPr>
            </w:pPr>
            <w:r w:rsidRPr="000129DE">
              <w:rPr>
                <w:rFonts w:ascii="Times New Roman" w:hAnsi="Times New Roman" w:cs="Times New Roman"/>
                <w:b/>
                <w:bCs/>
                <w:sz w:val="14"/>
                <w:szCs w:val="14"/>
              </w:rPr>
              <w:t>26 823 871</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sz w:val="14"/>
                <w:szCs w:val="14"/>
                <w:lang w:eastAsia="sk-SK"/>
              </w:rPr>
            </w:pPr>
            <w:r w:rsidRPr="000129DE">
              <w:rPr>
                <w:rFonts w:ascii="Times New Roman" w:hAnsi="Times New Roman" w:cs="Times New Roman"/>
                <w:sz w:val="14"/>
                <w:szCs w:val="14"/>
                <w:lang w:eastAsia="sk-SK"/>
              </w:rPr>
              <w:t xml:space="preserve">         bežné výdavky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29 441 902</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bCs/>
                <w:sz w:val="14"/>
                <w:szCs w:val="14"/>
              </w:rPr>
              <w:t>26 231 933</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28 223 869</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25 415 477</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25 417 537</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25 423 871</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610 mzdy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9 255 183</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8 388 155</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8 387 883</w:t>
            </w:r>
          </w:p>
        </w:tc>
        <w:tc>
          <w:tcPr>
            <w:tcW w:w="978" w:type="dxa"/>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8 392 441</w:t>
            </w:r>
          </w:p>
        </w:tc>
        <w:tc>
          <w:tcPr>
            <w:tcW w:w="978" w:type="dxa"/>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8 393 159</w:t>
            </w:r>
          </w:p>
        </w:tc>
        <w:tc>
          <w:tcPr>
            <w:tcW w:w="978" w:type="dxa"/>
            <w:tcBorders>
              <w:top w:val="nil"/>
              <w:left w:val="nil"/>
              <w:bottom w:val="single" w:sz="4" w:space="0" w:color="auto"/>
              <w:right w:val="single" w:sz="4" w:space="0" w:color="auto"/>
            </w:tcBorders>
            <w:noWrap/>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8 395 398</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620 odvody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3 203 823</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2 982 606</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3 328 348</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3 121 414</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3 121 624</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3 122 387</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630 tovary a služby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14 366 873</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12 617 490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14 253 956</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11 899 169</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11 900 301</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11 903 633</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 xml:space="preserve">                  640 bežné transfery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2 616 023</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2 243 682</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2 253 682</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2 002 453</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2 002 453</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2 002 453</w:t>
            </w:r>
          </w:p>
        </w:tc>
      </w:tr>
      <w:tr>
        <w:tblPrEx>
          <w:tblW w:w="0" w:type="auto"/>
          <w:tblInd w:w="56" w:type="dxa"/>
          <w:tblLayout w:type="fixed"/>
          <w:tblCellMar>
            <w:left w:w="70" w:type="dxa"/>
            <w:right w:w="70" w:type="dxa"/>
          </w:tblCellMar>
          <w:tblLook w:val="04A0"/>
        </w:tblPrEx>
        <w:trPr>
          <w:trHeight w:val="261"/>
        </w:trPr>
        <w:tc>
          <w:tcPr>
            <w:tcW w:w="2241" w:type="dxa"/>
            <w:tcBorders>
              <w:top w:val="nil"/>
              <w:left w:val="single" w:sz="4" w:space="0" w:color="auto"/>
              <w:bottom w:val="single" w:sz="4" w:space="0" w:color="auto"/>
              <w:right w:val="single" w:sz="4" w:space="0" w:color="auto"/>
            </w:tcBorders>
            <w:noWrap/>
            <w:textDirection w:val="lrTb"/>
            <w:vAlign w:val="center"/>
            <w:hideMark/>
          </w:tcPr>
          <w:p w:rsidR="009D2A34" w:rsidRPr="000129DE" w:rsidP="006338E5">
            <w:pPr>
              <w:bidi w:val="0"/>
              <w:rPr>
                <w:rFonts w:ascii="Times New Roman" w:hAnsi="Times New Roman" w:cs="Times New Roman"/>
                <w:sz w:val="14"/>
                <w:szCs w:val="14"/>
                <w:lang w:eastAsia="sk-SK"/>
              </w:rPr>
            </w:pPr>
            <w:r w:rsidRPr="000129DE">
              <w:rPr>
                <w:rFonts w:ascii="Times New Roman" w:hAnsi="Times New Roman" w:cs="Times New Roman"/>
                <w:sz w:val="14"/>
                <w:szCs w:val="14"/>
                <w:lang w:eastAsia="sk-SK"/>
              </w:rPr>
              <w:t xml:space="preserve">        kapitálové výdavky</w:t>
            </w:r>
          </w:p>
        </w:tc>
        <w:tc>
          <w:tcPr>
            <w:tcW w:w="977" w:type="dxa"/>
            <w:tcBorders>
              <w:top w:val="nil"/>
              <w:left w:val="nil"/>
              <w:bottom w:val="single" w:sz="4" w:space="0" w:color="auto"/>
              <w:right w:val="single" w:sz="4" w:space="0" w:color="auto"/>
            </w:tcBorders>
            <w:textDirection w:val="lrTb"/>
            <w:vAlign w:val="center"/>
            <w:hideMark/>
          </w:tcPr>
          <w:p w:rsidR="009D2A34" w:rsidRPr="000129DE" w:rsidP="006338E5">
            <w:pPr>
              <w:bidi w:val="0"/>
              <w:jc w:val="center"/>
              <w:rPr>
                <w:rFonts w:ascii="Times New Roman" w:hAnsi="Times New Roman" w:cs="Times New Roman"/>
                <w:color w:val="000000"/>
                <w:sz w:val="14"/>
                <w:szCs w:val="14"/>
                <w:lang w:eastAsia="sk-SK"/>
              </w:rPr>
            </w:pPr>
            <w:r w:rsidRPr="000129DE">
              <w:rPr>
                <w:rFonts w:ascii="Times New Roman" w:hAnsi="Times New Roman" w:cs="Times New Roman"/>
                <w:color w:val="000000"/>
                <w:sz w:val="14"/>
                <w:szCs w:val="14"/>
                <w:lang w:eastAsia="sk-SK"/>
              </w:rPr>
              <w:t>n/a</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7 860 061</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bCs/>
                <w:sz w:val="14"/>
                <w:szCs w:val="14"/>
              </w:rPr>
              <w:t>6 316 650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19 463 929</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4 400 000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1 400 000</w:t>
            </w:r>
          </w:p>
        </w:tc>
        <w:tc>
          <w:tcPr>
            <w:tcW w:w="978" w:type="dxa"/>
            <w:tcBorders>
              <w:top w:val="nil"/>
              <w:left w:val="nil"/>
              <w:bottom w:val="single" w:sz="4" w:space="0" w:color="auto"/>
              <w:right w:val="single" w:sz="4" w:space="0" w:color="auto"/>
            </w:tcBorders>
            <w:textDirection w:val="lrTb"/>
            <w:vAlign w:val="center"/>
            <w:hideMark/>
          </w:tcPr>
          <w:p w:rsidR="009D2A34" w:rsidRPr="000129DE" w:rsidP="006338E5">
            <w:pPr>
              <w:bidi w:val="0"/>
              <w:jc w:val="right"/>
              <w:rPr>
                <w:rFonts w:ascii="Times New Roman" w:hAnsi="Times New Roman" w:cs="Times New Roman"/>
                <w:sz w:val="14"/>
                <w:szCs w:val="14"/>
              </w:rPr>
            </w:pPr>
            <w:r w:rsidRPr="000129DE">
              <w:rPr>
                <w:rFonts w:ascii="Times New Roman" w:hAnsi="Times New Roman" w:cs="Times New Roman"/>
                <w:sz w:val="14"/>
                <w:szCs w:val="14"/>
              </w:rPr>
              <w:t>1 400 000</w:t>
            </w:r>
          </w:p>
        </w:tc>
      </w:tr>
    </w:tbl>
    <w:p w:rsidR="009D2A34" w:rsidRPr="000129DE" w:rsidP="009D2A34">
      <w:pPr>
        <w:bidi w:val="0"/>
        <w:jc w:val="both"/>
        <w:rPr>
          <w:rFonts w:ascii="Times New Roman" w:hAnsi="Times New Roman" w:cs="Times New Roman"/>
          <w:sz w:val="14"/>
          <w:szCs w:val="14"/>
        </w:rPr>
      </w:pPr>
      <w:r w:rsidRPr="000129DE">
        <w:rPr>
          <w:rFonts w:ascii="Times New Roman" w:hAnsi="Times New Roman" w:cs="Times New Roman"/>
          <w:sz w:val="14"/>
          <w:szCs w:val="14"/>
        </w:rPr>
        <w:t>*n/a – zmena programovej štruktúry kapitoly od roku 2011</w:t>
      </w:r>
    </w:p>
    <w:p w:rsidR="009D2A34" w:rsidRPr="007E0D85" w:rsidP="009D2A34">
      <w:pPr>
        <w:bidi w:val="0"/>
        <w:jc w:val="both"/>
        <w:rPr>
          <w:rFonts w:ascii="Times New Roman" w:hAnsi="Times New Roman" w:cs="Times New Roman"/>
          <w:highlight w:val="yellow"/>
        </w:rPr>
      </w:pPr>
    </w:p>
    <w:p w:rsidR="009D2A34" w:rsidRPr="009376E2" w:rsidP="009D2A34">
      <w:pPr>
        <w:bidi w:val="0"/>
        <w:ind w:firstLine="708"/>
        <w:jc w:val="both"/>
        <w:rPr>
          <w:rFonts w:ascii="Times New Roman" w:hAnsi="Times New Roman" w:cs="Times New Roman"/>
        </w:rPr>
      </w:pPr>
      <w:r w:rsidRPr="009376E2">
        <w:rPr>
          <w:rFonts w:ascii="Times New Roman" w:hAnsi="Times New Roman" w:cs="Times New Roman"/>
        </w:rPr>
        <w:t>V rámci výdavkov na zahraničnú politiku sa rozpočtujú prostriedky predovšetkým na zastupiteľské úrady SR v zahraničí, v rámci ktorých sa okrem osobných výdavkov zahraničnej služby rozpočtuje prenájom bytov, administratívnych budov, rezidencií, lekárske prehliadky počas výkonu zahraničnej služby, školné a zápisné pre deti zamestnancov zahraničnej služby. Ďalšie výdavky na zahraničnú politiku sú rozpísané pre slovenské inštitúty v zahraničí, kde sa okrem osobných výdavkov zabezpečujú najmä výdavky súvisiace s reprezentáciou a propagáciou SR v zahraničí pri usporiadaní výstav, kultúrnych podujatí a programov.</w:t>
      </w:r>
    </w:p>
    <w:p w:rsidR="009D2A34" w:rsidRPr="009376E2" w:rsidP="009D2A34">
      <w:pPr>
        <w:bidi w:val="0"/>
        <w:ind w:firstLine="708"/>
        <w:jc w:val="both"/>
        <w:rPr>
          <w:rFonts w:ascii="Times New Roman" w:hAnsi="Times New Roman" w:cs="Times New Roman"/>
        </w:rPr>
      </w:pPr>
    </w:p>
    <w:p w:rsidR="009D2A34" w:rsidRPr="009376E2" w:rsidP="009D2A34">
      <w:pPr>
        <w:bidi w:val="0"/>
        <w:ind w:firstLine="708"/>
        <w:jc w:val="both"/>
        <w:rPr>
          <w:rFonts w:ascii="Times New Roman" w:hAnsi="Times New Roman" w:cs="Times New Roman"/>
        </w:rPr>
      </w:pPr>
      <w:r w:rsidRPr="009376E2">
        <w:rPr>
          <w:rFonts w:ascii="Times New Roman" w:hAnsi="Times New Roman" w:cs="Times New Roman"/>
        </w:rPr>
        <w:t>Pre ústredie MZV</w:t>
      </w:r>
      <w:r>
        <w:rPr>
          <w:rFonts w:ascii="Times New Roman" w:hAnsi="Times New Roman" w:cs="Times New Roman"/>
        </w:rPr>
        <w:t>aEZ</w:t>
      </w:r>
      <w:r w:rsidRPr="009376E2">
        <w:rPr>
          <w:rFonts w:ascii="Times New Roman" w:hAnsi="Times New Roman" w:cs="Times New Roman"/>
        </w:rPr>
        <w:t xml:space="preserve"> SR sú okrem osobných výdavkov a prostriedkov na prevádzku rozpočtované aj bežné výdavky na spoluprácu s tretím sektorom v sume 40,0 tis. eur a vzdelávanie zamestnancov v objeme 216 tis. eur. V bežných transferoch bol rozpísaný transfer pre príspevkovú organizáciu SÚZA vo výške 1,81 mil. eur a prostriedky na dotácie v pôsobnosti MZV</w:t>
      </w:r>
      <w:r>
        <w:rPr>
          <w:rFonts w:ascii="Times New Roman" w:hAnsi="Times New Roman" w:cs="Times New Roman"/>
        </w:rPr>
        <w:t>aEZ</w:t>
      </w:r>
      <w:r w:rsidRPr="009376E2">
        <w:rPr>
          <w:rFonts w:ascii="Times New Roman" w:hAnsi="Times New Roman" w:cs="Times New Roman"/>
        </w:rPr>
        <w:t xml:space="preserve"> SR v sume 55,3 tis. eur.</w:t>
      </w:r>
    </w:p>
    <w:p w:rsidR="009D2A34" w:rsidRPr="009376E2" w:rsidP="009D2A34">
      <w:pPr>
        <w:bidi w:val="0"/>
        <w:ind w:left="45"/>
        <w:jc w:val="both"/>
        <w:rPr>
          <w:rFonts w:ascii="Times New Roman" w:hAnsi="Times New Roman" w:cs="Times New Roman"/>
        </w:rPr>
      </w:pPr>
    </w:p>
    <w:p w:rsidR="009D2A34" w:rsidRPr="009376E2" w:rsidP="009D2A34">
      <w:pPr>
        <w:bidi w:val="0"/>
        <w:ind w:left="45"/>
        <w:jc w:val="both"/>
        <w:rPr>
          <w:rFonts w:ascii="Times New Roman" w:hAnsi="Times New Roman" w:cs="Times New Roman"/>
          <w:b/>
        </w:rPr>
      </w:pPr>
      <w:r w:rsidRPr="009376E2">
        <w:rPr>
          <w:rFonts w:ascii="Times New Roman" w:hAnsi="Times New Roman" w:cs="Times New Roman"/>
          <w:b/>
        </w:rPr>
        <w:t>Oficiálna rozvojová pomoc</w:t>
      </w:r>
    </w:p>
    <w:p w:rsidR="009D2A34" w:rsidRPr="007E0D85" w:rsidP="009D2A34">
      <w:pPr>
        <w:bidi w:val="0"/>
        <w:ind w:left="45"/>
        <w:jc w:val="both"/>
        <w:rPr>
          <w:rFonts w:ascii="Times New Roman" w:hAnsi="Times New Roman" w:cs="Times New Roman"/>
          <w:highlight w:val="yellow"/>
        </w:rPr>
      </w:pPr>
    </w:p>
    <w:tbl>
      <w:tblPr>
        <w:tblStyle w:val="TableNormal"/>
        <w:tblW w:w="0" w:type="auto"/>
        <w:tblInd w:w="56" w:type="dxa"/>
        <w:tblLayout w:type="fixed"/>
        <w:tblCellMar>
          <w:left w:w="70" w:type="dxa"/>
          <w:right w:w="70" w:type="dxa"/>
        </w:tblCellMar>
        <w:tblLook w:val="04A0"/>
      </w:tblPr>
      <w:tblGrid>
        <w:gridCol w:w="2566"/>
        <w:gridCol w:w="931"/>
        <w:gridCol w:w="931"/>
        <w:gridCol w:w="932"/>
        <w:gridCol w:w="931"/>
        <w:gridCol w:w="932"/>
        <w:gridCol w:w="931"/>
        <w:gridCol w:w="932"/>
      </w:tblGrid>
      <w:tr>
        <w:tblPrEx>
          <w:tblW w:w="0" w:type="auto"/>
          <w:tblInd w:w="56" w:type="dxa"/>
          <w:tblLayout w:type="fixed"/>
          <w:tblCellMar>
            <w:left w:w="70" w:type="dxa"/>
            <w:right w:w="70" w:type="dxa"/>
          </w:tblCellMar>
          <w:tblLook w:val="04A0"/>
        </w:tblPrEx>
        <w:trPr>
          <w:trHeight w:val="261"/>
        </w:trPr>
        <w:tc>
          <w:tcPr>
            <w:tcW w:w="256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76E2" w:rsidP="006338E5">
            <w:pPr>
              <w:bidi w:val="0"/>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 v eurách</w:t>
            </w:r>
          </w:p>
        </w:tc>
        <w:tc>
          <w:tcPr>
            <w:tcW w:w="93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2010 S</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2011 S</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2012 R</w:t>
            </w:r>
          </w:p>
        </w:tc>
        <w:tc>
          <w:tcPr>
            <w:tcW w:w="93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2012 OS</w:t>
            </w:r>
          </w:p>
        </w:tc>
        <w:tc>
          <w:tcPr>
            <w:tcW w:w="932"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2013 N</w:t>
            </w:r>
          </w:p>
        </w:tc>
        <w:tc>
          <w:tcPr>
            <w:tcW w:w="931" w:type="dxa"/>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2014 N</w:t>
            </w:r>
          </w:p>
        </w:tc>
        <w:tc>
          <w:tcPr>
            <w:tcW w:w="93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2015 N</w:t>
            </w:r>
          </w:p>
        </w:tc>
      </w:tr>
      <w:tr>
        <w:tblPrEx>
          <w:tblW w:w="0" w:type="auto"/>
          <w:tblInd w:w="56" w:type="dxa"/>
          <w:tblLayout w:type="fixed"/>
          <w:tblCellMar>
            <w:left w:w="70" w:type="dxa"/>
            <w:right w:w="70" w:type="dxa"/>
          </w:tblCellMar>
          <w:tblLook w:val="04A0"/>
        </w:tblPrEx>
        <w:trPr>
          <w:trHeight w:val="261"/>
        </w:trPr>
        <w:tc>
          <w:tcPr>
            <w:tcW w:w="2566"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9D2A34" w:rsidRPr="009376E2" w:rsidP="006338E5">
            <w:pPr>
              <w:bidi w:val="0"/>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Oficiálna rozvojová pomoc</w:t>
            </w:r>
          </w:p>
        </w:tc>
        <w:tc>
          <w:tcPr>
            <w:tcW w:w="931" w:type="dxa"/>
            <w:tcBorders>
              <w:top w:val="nil"/>
              <w:left w:val="nil"/>
              <w:bottom w:val="single" w:sz="4" w:space="0" w:color="auto"/>
              <w:right w:val="single" w:sz="4" w:space="0" w:color="auto"/>
            </w:tcBorders>
            <w:shd w:val="clear" w:color="auto" w:fill="BFBFBF"/>
            <w:textDirection w:val="lrTb"/>
            <w:vAlign w:val="center"/>
            <w:hideMark/>
          </w:tcPr>
          <w:p w:rsidR="009D2A34" w:rsidRPr="009376E2" w:rsidP="006338E5">
            <w:pPr>
              <w:bidi w:val="0"/>
              <w:jc w:val="right"/>
              <w:rPr>
                <w:rFonts w:ascii="Times New Roman" w:hAnsi="Times New Roman" w:cs="Times New Roman"/>
                <w:b/>
                <w:bCs/>
                <w:sz w:val="14"/>
                <w:szCs w:val="14"/>
              </w:rPr>
            </w:pPr>
            <w:r w:rsidRPr="009376E2">
              <w:rPr>
                <w:rFonts w:ascii="Times New Roman" w:hAnsi="Times New Roman" w:cs="Times New Roman"/>
                <w:b/>
                <w:bCs/>
                <w:sz w:val="14"/>
                <w:szCs w:val="14"/>
              </w:rPr>
              <w:t>6 541 893</w:t>
            </w:r>
          </w:p>
        </w:tc>
        <w:tc>
          <w:tcPr>
            <w:tcW w:w="931" w:type="dxa"/>
            <w:tcBorders>
              <w:top w:val="nil"/>
              <w:left w:val="nil"/>
              <w:bottom w:val="single" w:sz="4" w:space="0" w:color="auto"/>
              <w:right w:val="single" w:sz="4" w:space="0" w:color="auto"/>
            </w:tcBorders>
            <w:shd w:val="clear" w:color="auto" w:fill="BFBFBF"/>
            <w:textDirection w:val="lrTb"/>
            <w:vAlign w:val="center"/>
            <w:hideMark/>
          </w:tcPr>
          <w:p w:rsidR="009D2A34" w:rsidRPr="009376E2" w:rsidP="006338E5">
            <w:pPr>
              <w:bidi w:val="0"/>
              <w:jc w:val="right"/>
              <w:rPr>
                <w:rFonts w:ascii="Times New Roman" w:hAnsi="Times New Roman" w:cs="Times New Roman"/>
                <w:b/>
                <w:bCs/>
                <w:sz w:val="14"/>
                <w:szCs w:val="14"/>
              </w:rPr>
            </w:pPr>
            <w:r w:rsidRPr="009376E2">
              <w:rPr>
                <w:rFonts w:ascii="Times New Roman" w:hAnsi="Times New Roman" w:cs="Times New Roman"/>
                <w:b/>
                <w:bCs/>
                <w:sz w:val="14"/>
                <w:szCs w:val="14"/>
              </w:rPr>
              <w:t>7 152 377</w:t>
            </w:r>
          </w:p>
        </w:tc>
        <w:tc>
          <w:tcPr>
            <w:tcW w:w="932" w:type="dxa"/>
            <w:tcBorders>
              <w:top w:val="nil"/>
              <w:left w:val="nil"/>
              <w:bottom w:val="single" w:sz="4" w:space="0" w:color="auto"/>
              <w:right w:val="single" w:sz="4" w:space="0" w:color="auto"/>
            </w:tcBorders>
            <w:shd w:val="clear" w:color="auto" w:fill="BFBFBF"/>
            <w:textDirection w:val="lrTb"/>
            <w:vAlign w:val="center"/>
            <w:hideMark/>
          </w:tcPr>
          <w:p w:rsidR="009D2A34" w:rsidRPr="009376E2" w:rsidP="006338E5">
            <w:pPr>
              <w:bidi w:val="0"/>
              <w:jc w:val="right"/>
              <w:rPr>
                <w:rFonts w:ascii="Times New Roman" w:hAnsi="Times New Roman" w:cs="Times New Roman"/>
                <w:b/>
                <w:bCs/>
                <w:sz w:val="14"/>
                <w:szCs w:val="14"/>
              </w:rPr>
            </w:pPr>
            <w:r w:rsidRPr="009376E2">
              <w:rPr>
                <w:rFonts w:ascii="Times New Roman" w:hAnsi="Times New Roman" w:cs="Times New Roman"/>
                <w:b/>
                <w:bCs/>
                <w:sz w:val="14"/>
                <w:szCs w:val="14"/>
              </w:rPr>
              <w:t>5 980 936</w:t>
            </w:r>
          </w:p>
        </w:tc>
        <w:tc>
          <w:tcPr>
            <w:tcW w:w="931" w:type="dxa"/>
            <w:tcBorders>
              <w:top w:val="nil"/>
              <w:left w:val="nil"/>
              <w:bottom w:val="single" w:sz="4" w:space="0" w:color="auto"/>
              <w:right w:val="single" w:sz="4" w:space="0" w:color="auto"/>
            </w:tcBorders>
            <w:shd w:val="clear" w:color="auto" w:fill="BFBFBF"/>
            <w:textDirection w:val="lrTb"/>
            <w:vAlign w:val="center"/>
            <w:hideMark/>
          </w:tcPr>
          <w:p w:rsidR="009D2A34" w:rsidRPr="009376E2" w:rsidP="006338E5">
            <w:pPr>
              <w:bidi w:val="0"/>
              <w:jc w:val="right"/>
              <w:rPr>
                <w:rFonts w:ascii="Times New Roman" w:hAnsi="Times New Roman" w:cs="Times New Roman"/>
                <w:b/>
                <w:bCs/>
                <w:sz w:val="14"/>
                <w:szCs w:val="14"/>
              </w:rPr>
            </w:pPr>
            <w:r w:rsidRPr="009376E2">
              <w:rPr>
                <w:rFonts w:ascii="Times New Roman" w:hAnsi="Times New Roman" w:cs="Times New Roman"/>
                <w:b/>
                <w:bCs/>
                <w:sz w:val="14"/>
                <w:szCs w:val="14"/>
              </w:rPr>
              <w:t>8 522 471</w:t>
            </w:r>
          </w:p>
        </w:tc>
        <w:tc>
          <w:tcPr>
            <w:tcW w:w="932" w:type="dxa"/>
            <w:tcBorders>
              <w:top w:val="nil"/>
              <w:left w:val="nil"/>
              <w:bottom w:val="single" w:sz="4" w:space="0" w:color="auto"/>
              <w:right w:val="single" w:sz="4" w:space="0" w:color="auto"/>
            </w:tcBorders>
            <w:shd w:val="clear" w:color="auto" w:fill="BFBFBF"/>
            <w:textDirection w:val="lrTb"/>
            <w:vAlign w:val="center"/>
            <w:hideMark/>
          </w:tcPr>
          <w:p w:rsidR="009D2A34" w:rsidRPr="009376E2" w:rsidP="006338E5">
            <w:pPr>
              <w:bidi w:val="0"/>
              <w:jc w:val="right"/>
              <w:rPr>
                <w:rFonts w:ascii="Times New Roman" w:hAnsi="Times New Roman" w:cs="Times New Roman"/>
                <w:b/>
                <w:sz w:val="14"/>
                <w:szCs w:val="14"/>
              </w:rPr>
            </w:pPr>
            <w:r w:rsidRPr="009376E2">
              <w:rPr>
                <w:rFonts w:ascii="Times New Roman" w:hAnsi="Times New Roman" w:cs="Times New Roman"/>
                <w:b/>
                <w:sz w:val="14"/>
                <w:szCs w:val="14"/>
              </w:rPr>
              <w:t>5 998 544</w:t>
            </w:r>
          </w:p>
        </w:tc>
        <w:tc>
          <w:tcPr>
            <w:tcW w:w="931" w:type="dxa"/>
            <w:tcBorders>
              <w:top w:val="nil"/>
              <w:left w:val="nil"/>
              <w:bottom w:val="single" w:sz="4" w:space="0" w:color="auto"/>
              <w:right w:val="single" w:sz="4" w:space="0" w:color="auto"/>
            </w:tcBorders>
            <w:shd w:val="clear" w:color="auto" w:fill="BFBFBF"/>
            <w:textDirection w:val="lrTb"/>
            <w:vAlign w:val="center"/>
            <w:hideMark/>
          </w:tcPr>
          <w:p w:rsidR="009D2A34" w:rsidRPr="009376E2" w:rsidP="006338E5">
            <w:pPr>
              <w:bidi w:val="0"/>
              <w:jc w:val="right"/>
              <w:rPr>
                <w:rFonts w:ascii="Times New Roman" w:hAnsi="Times New Roman" w:cs="Times New Roman"/>
                <w:b/>
                <w:sz w:val="14"/>
                <w:szCs w:val="14"/>
              </w:rPr>
            </w:pPr>
            <w:r w:rsidRPr="009376E2">
              <w:rPr>
                <w:rFonts w:ascii="Times New Roman" w:hAnsi="Times New Roman" w:cs="Times New Roman"/>
                <w:b/>
                <w:sz w:val="14"/>
                <w:szCs w:val="14"/>
              </w:rPr>
              <w:t>5 998 544</w:t>
            </w:r>
          </w:p>
        </w:tc>
        <w:tc>
          <w:tcPr>
            <w:tcW w:w="932" w:type="dxa"/>
            <w:tcBorders>
              <w:top w:val="nil"/>
              <w:left w:val="nil"/>
              <w:bottom w:val="single" w:sz="4" w:space="0" w:color="auto"/>
              <w:right w:val="single" w:sz="4" w:space="0" w:color="auto"/>
            </w:tcBorders>
            <w:shd w:val="clear" w:color="auto" w:fill="BFBFBF"/>
            <w:textDirection w:val="lrTb"/>
            <w:vAlign w:val="center"/>
            <w:hideMark/>
          </w:tcPr>
          <w:p w:rsidR="009D2A34" w:rsidRPr="009376E2" w:rsidP="006338E5">
            <w:pPr>
              <w:bidi w:val="0"/>
              <w:jc w:val="right"/>
              <w:rPr>
                <w:rFonts w:ascii="Times New Roman" w:hAnsi="Times New Roman" w:cs="Times New Roman"/>
                <w:b/>
                <w:sz w:val="14"/>
                <w:szCs w:val="14"/>
              </w:rPr>
            </w:pPr>
            <w:r w:rsidRPr="009376E2">
              <w:rPr>
                <w:rFonts w:ascii="Times New Roman" w:hAnsi="Times New Roman" w:cs="Times New Roman"/>
                <w:b/>
                <w:sz w:val="14"/>
                <w:szCs w:val="14"/>
              </w:rPr>
              <w:t>5 998 544</w:t>
            </w:r>
          </w:p>
        </w:tc>
      </w:tr>
      <w:tr>
        <w:tblPrEx>
          <w:tblW w:w="0" w:type="auto"/>
          <w:tblInd w:w="56" w:type="dxa"/>
          <w:tblLayout w:type="fixed"/>
          <w:tblCellMar>
            <w:left w:w="70" w:type="dxa"/>
            <w:right w:w="70" w:type="dxa"/>
          </w:tblCellMar>
          <w:tblLook w:val="04A0"/>
        </w:tblPrEx>
        <w:trPr>
          <w:trHeight w:val="261"/>
        </w:trPr>
        <w:tc>
          <w:tcPr>
            <w:tcW w:w="2566" w:type="dxa"/>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rozpočtové zdroje kapitoly</w:t>
            </w:r>
          </w:p>
        </w:tc>
        <w:tc>
          <w:tcPr>
            <w:tcW w:w="931" w:type="dxa"/>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2 913 960</w:t>
            </w:r>
          </w:p>
        </w:tc>
        <w:tc>
          <w:tcPr>
            <w:tcW w:w="931" w:type="dxa"/>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3 482 377</w:t>
            </w:r>
          </w:p>
        </w:tc>
        <w:tc>
          <w:tcPr>
            <w:tcW w:w="932" w:type="dxa"/>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5 980 936</w:t>
            </w:r>
          </w:p>
        </w:tc>
        <w:tc>
          <w:tcPr>
            <w:tcW w:w="931" w:type="dxa"/>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5 980 936</w:t>
            </w:r>
          </w:p>
        </w:tc>
        <w:tc>
          <w:tcPr>
            <w:tcW w:w="932" w:type="dxa"/>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5 998 544</w:t>
            </w:r>
          </w:p>
        </w:tc>
        <w:tc>
          <w:tcPr>
            <w:tcW w:w="931" w:type="dxa"/>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5 998 544</w:t>
            </w:r>
          </w:p>
        </w:tc>
        <w:tc>
          <w:tcPr>
            <w:tcW w:w="932" w:type="dxa"/>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5 998 544</w:t>
            </w:r>
          </w:p>
        </w:tc>
      </w:tr>
      <w:tr>
        <w:tblPrEx>
          <w:tblW w:w="0" w:type="auto"/>
          <w:tblInd w:w="56" w:type="dxa"/>
          <w:tblLayout w:type="fixed"/>
          <w:tblCellMar>
            <w:left w:w="70" w:type="dxa"/>
            <w:right w:w="70" w:type="dxa"/>
          </w:tblCellMar>
          <w:tblLook w:val="04A0"/>
        </w:tblPrEx>
        <w:trPr>
          <w:trHeight w:val="261"/>
        </w:trPr>
        <w:tc>
          <w:tcPr>
            <w:tcW w:w="2566" w:type="dxa"/>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color w:val="000000"/>
                <w:sz w:val="14"/>
                <w:szCs w:val="14"/>
              </w:rPr>
              <w:t>presun z minulých rokov</w:t>
            </w:r>
          </w:p>
        </w:tc>
        <w:tc>
          <w:tcPr>
            <w:tcW w:w="931" w:type="dxa"/>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3 627 933</w:t>
            </w:r>
          </w:p>
        </w:tc>
        <w:tc>
          <w:tcPr>
            <w:tcW w:w="931" w:type="dxa"/>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3 670 000</w:t>
            </w:r>
          </w:p>
        </w:tc>
        <w:tc>
          <w:tcPr>
            <w:tcW w:w="932" w:type="dxa"/>
            <w:tcBorders>
              <w:top w:val="nil"/>
              <w:left w:val="nil"/>
              <w:bottom w:val="single" w:sz="4" w:space="0" w:color="auto"/>
              <w:right w:val="single" w:sz="4" w:space="0" w:color="auto"/>
            </w:tcBorders>
            <w:textDirection w:val="lrTb"/>
            <w:vAlign w:val="center"/>
            <w:hideMark/>
          </w:tcPr>
          <w:p w:rsidR="009D2A34" w:rsidRPr="009376E2" w:rsidP="006338E5">
            <w:pPr>
              <w:bidi w:val="0"/>
              <w:jc w:val="center"/>
              <w:rPr>
                <w:rFonts w:ascii="Times New Roman" w:hAnsi="Times New Roman" w:cs="Times New Roman"/>
                <w:sz w:val="14"/>
                <w:szCs w:val="14"/>
              </w:rPr>
            </w:pPr>
            <w:r w:rsidRPr="009376E2">
              <w:rPr>
                <w:rFonts w:ascii="Times New Roman" w:hAnsi="Times New Roman" w:cs="Times New Roman"/>
                <w:sz w:val="14"/>
                <w:szCs w:val="14"/>
              </w:rPr>
              <w:t xml:space="preserve"> - </w:t>
            </w:r>
          </w:p>
        </w:tc>
        <w:tc>
          <w:tcPr>
            <w:tcW w:w="931" w:type="dxa"/>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2 541 535</w:t>
            </w:r>
          </w:p>
        </w:tc>
        <w:tc>
          <w:tcPr>
            <w:tcW w:w="932" w:type="dxa"/>
            <w:tcBorders>
              <w:top w:val="nil"/>
              <w:left w:val="nil"/>
              <w:bottom w:val="single" w:sz="4" w:space="0" w:color="auto"/>
              <w:right w:val="single" w:sz="4" w:space="0" w:color="auto"/>
            </w:tcBorders>
            <w:textDirection w:val="lrTb"/>
            <w:vAlign w:val="center"/>
            <w:hideMark/>
          </w:tcPr>
          <w:p w:rsidR="009D2A34" w:rsidRPr="009376E2" w:rsidP="006338E5">
            <w:pPr>
              <w:bidi w:val="0"/>
              <w:jc w:val="center"/>
              <w:rPr>
                <w:rFonts w:ascii="Times New Roman" w:hAnsi="Times New Roman" w:cs="Times New Roman"/>
                <w:sz w:val="14"/>
                <w:szCs w:val="14"/>
              </w:rPr>
            </w:pPr>
            <w:r w:rsidRPr="009376E2">
              <w:rPr>
                <w:rFonts w:ascii="Times New Roman" w:hAnsi="Times New Roman" w:cs="Times New Roman"/>
                <w:sz w:val="14"/>
                <w:szCs w:val="14"/>
              </w:rPr>
              <w:t xml:space="preserve"> - </w:t>
            </w:r>
          </w:p>
        </w:tc>
        <w:tc>
          <w:tcPr>
            <w:tcW w:w="931" w:type="dxa"/>
            <w:tcBorders>
              <w:top w:val="nil"/>
              <w:left w:val="nil"/>
              <w:bottom w:val="single" w:sz="4" w:space="0" w:color="auto"/>
              <w:right w:val="single" w:sz="4" w:space="0" w:color="auto"/>
            </w:tcBorders>
            <w:textDirection w:val="lrTb"/>
            <w:vAlign w:val="center"/>
            <w:hideMark/>
          </w:tcPr>
          <w:p w:rsidR="009D2A34" w:rsidRPr="009376E2" w:rsidP="006338E5">
            <w:pPr>
              <w:bidi w:val="0"/>
              <w:jc w:val="center"/>
              <w:rPr>
                <w:rFonts w:ascii="Times New Roman" w:hAnsi="Times New Roman" w:cs="Times New Roman"/>
                <w:sz w:val="14"/>
                <w:szCs w:val="14"/>
              </w:rPr>
            </w:pPr>
            <w:r w:rsidRPr="009376E2">
              <w:rPr>
                <w:rFonts w:ascii="Times New Roman" w:hAnsi="Times New Roman" w:cs="Times New Roman"/>
                <w:sz w:val="14"/>
                <w:szCs w:val="14"/>
              </w:rPr>
              <w:t xml:space="preserve"> - </w:t>
            </w:r>
          </w:p>
        </w:tc>
        <w:tc>
          <w:tcPr>
            <w:tcW w:w="932" w:type="dxa"/>
            <w:tcBorders>
              <w:top w:val="nil"/>
              <w:left w:val="nil"/>
              <w:bottom w:val="single" w:sz="4" w:space="0" w:color="auto"/>
              <w:right w:val="single" w:sz="4" w:space="0" w:color="auto"/>
            </w:tcBorders>
            <w:textDirection w:val="lrTb"/>
            <w:vAlign w:val="center"/>
            <w:hideMark/>
          </w:tcPr>
          <w:p w:rsidR="009D2A34" w:rsidRPr="009376E2" w:rsidP="006338E5">
            <w:pPr>
              <w:bidi w:val="0"/>
              <w:jc w:val="center"/>
              <w:rPr>
                <w:rFonts w:ascii="Times New Roman" w:hAnsi="Times New Roman" w:cs="Times New Roman"/>
                <w:sz w:val="14"/>
                <w:szCs w:val="14"/>
              </w:rPr>
            </w:pPr>
            <w:r w:rsidRPr="009376E2">
              <w:rPr>
                <w:rFonts w:ascii="Times New Roman" w:hAnsi="Times New Roman" w:cs="Times New Roman"/>
                <w:sz w:val="14"/>
                <w:szCs w:val="14"/>
              </w:rPr>
              <w:t xml:space="preserve"> - </w:t>
            </w:r>
          </w:p>
        </w:tc>
      </w:tr>
    </w:tbl>
    <w:p w:rsidR="009D2A34" w:rsidRPr="007E0D85" w:rsidP="009D2A34">
      <w:pPr>
        <w:bidi w:val="0"/>
        <w:ind w:left="45" w:firstLine="663"/>
        <w:jc w:val="both"/>
        <w:rPr>
          <w:rFonts w:ascii="Times New Roman" w:hAnsi="Times New Roman" w:cs="Times New Roman"/>
          <w:color w:val="0070C0"/>
          <w:highlight w:val="yellow"/>
        </w:rPr>
      </w:pPr>
    </w:p>
    <w:p w:rsidR="009D2A34" w:rsidRPr="009376E2" w:rsidP="009D2A34">
      <w:pPr>
        <w:bidi w:val="0"/>
        <w:ind w:firstLine="708"/>
        <w:jc w:val="both"/>
        <w:rPr>
          <w:rFonts w:ascii="Times New Roman" w:hAnsi="Times New Roman" w:cs="Times New Roman"/>
        </w:rPr>
      </w:pPr>
      <w:r w:rsidRPr="009376E2">
        <w:rPr>
          <w:rFonts w:ascii="Times New Roman" w:hAnsi="Times New Roman" w:cs="Times New Roman"/>
        </w:rPr>
        <w:t xml:space="preserve">Z prostriedkov rozpočtovaných v rámci oblasti na oficiálnu rozvojovú pomoc (ODA) sa rozpočtuje pomoc rozvojovým krajinám a krajinám v procese transformácie s tým, že prostriedky sú určené na projekty v prioritných krajinách a na projekty pre programové krajiny Srbsko, Afganistan a Keňa. Výdavky na túto oblasť ostávajú približne na úrovni schváleného rozpočtu na rok 2012. Výdavky určené na financovanie projektov v rozvojových krajinách, projektov rozvojového vzdelávania, projektov zameraných na budovanie kapacít a na verejnú informovanosť, rozpočtované na bežných transferoch, sa oproti schválenému rozpočtu na rok 2012 nemenia a sú vo výške 5,65 mil. eur. </w:t>
      </w:r>
    </w:p>
    <w:p w:rsidR="009D2A34"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54020A" w:rsidP="009D2A34">
      <w:pPr>
        <w:bidi w:val="0"/>
        <w:jc w:val="both"/>
        <w:rPr>
          <w:rFonts w:ascii="Times New Roman" w:hAnsi="Times New Roman" w:cs="Times New Roman"/>
        </w:rPr>
      </w:pPr>
    </w:p>
    <w:p w:rsidR="0054020A" w:rsidP="009D2A34">
      <w:pPr>
        <w:bidi w:val="0"/>
        <w:jc w:val="both"/>
        <w:rPr>
          <w:rFonts w:ascii="Times New Roman" w:hAnsi="Times New Roman" w:cs="Times New Roman"/>
        </w:rPr>
      </w:pPr>
    </w:p>
    <w:p w:rsidR="0054020A"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8F78C7" w:rsidP="009D2A34">
      <w:pPr>
        <w:bidi w:val="0"/>
        <w:jc w:val="both"/>
        <w:rPr>
          <w:rFonts w:ascii="Times New Roman" w:hAnsi="Times New Roman" w:cs="Times New Roman"/>
        </w:rPr>
      </w:pPr>
    </w:p>
    <w:p w:rsidR="009D2A34" w:rsidRPr="009376E2" w:rsidP="009D2A34">
      <w:pPr>
        <w:bidi w:val="0"/>
        <w:jc w:val="both"/>
        <w:rPr>
          <w:rFonts w:ascii="Times New Roman" w:hAnsi="Times New Roman" w:cs="Times New Roman"/>
          <w:b/>
        </w:rPr>
      </w:pPr>
      <w:r w:rsidRPr="009376E2">
        <w:rPr>
          <w:rFonts w:ascii="Times New Roman" w:hAnsi="Times New Roman" w:cs="Times New Roman"/>
          <w:b/>
        </w:rPr>
        <w:t>Príspevky do medzinárodných organizácií</w:t>
      </w:r>
    </w:p>
    <w:p w:rsidR="009D2A34" w:rsidRPr="007E0D85" w:rsidP="009D2A34">
      <w:pPr>
        <w:bidi w:val="0"/>
        <w:jc w:val="both"/>
        <w:rPr>
          <w:rFonts w:ascii="Times New Roman" w:hAnsi="Times New Roman" w:cs="Times New Roman"/>
          <w:highlight w:val="yellow"/>
        </w:rPr>
      </w:pPr>
    </w:p>
    <w:tbl>
      <w:tblPr>
        <w:tblStyle w:val="TableNormal"/>
        <w:tblW w:w="5000" w:type="pct"/>
        <w:tblLayout w:type="fixed"/>
        <w:tblCellMar>
          <w:left w:w="70" w:type="dxa"/>
          <w:right w:w="70" w:type="dxa"/>
        </w:tblCellMar>
        <w:tblLook w:val="04A0"/>
      </w:tblPr>
      <w:tblGrid>
        <w:gridCol w:w="3614"/>
        <w:gridCol w:w="799"/>
        <w:gridCol w:w="799"/>
        <w:gridCol w:w="800"/>
        <w:gridCol w:w="800"/>
        <w:gridCol w:w="800"/>
        <w:gridCol w:w="800"/>
        <w:gridCol w:w="800"/>
      </w:tblGrid>
      <w:tr>
        <w:tblPrEx>
          <w:tblW w:w="5000" w:type="pct"/>
          <w:tblLayout w:type="fixed"/>
          <w:tblCellMar>
            <w:left w:w="70" w:type="dxa"/>
            <w:right w:w="70" w:type="dxa"/>
          </w:tblCellMar>
          <w:tblLook w:val="04A0"/>
        </w:tblPrEx>
        <w:trPr>
          <w:trHeight w:val="261"/>
        </w:trPr>
        <w:tc>
          <w:tcPr>
            <w:tcW w:w="196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9376E2" w:rsidP="006338E5">
            <w:pPr>
              <w:bidi w:val="0"/>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 v eurách</w:t>
            </w:r>
          </w:p>
        </w:tc>
        <w:tc>
          <w:tcPr>
            <w:tcW w:w="434" w:type="pct"/>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2010 S</w:t>
            </w:r>
          </w:p>
        </w:tc>
        <w:tc>
          <w:tcPr>
            <w:tcW w:w="43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2011 S</w:t>
            </w:r>
          </w:p>
        </w:tc>
        <w:tc>
          <w:tcPr>
            <w:tcW w:w="43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2012 R</w:t>
            </w:r>
          </w:p>
        </w:tc>
        <w:tc>
          <w:tcPr>
            <w:tcW w:w="43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 xml:space="preserve">2012 OS </w:t>
            </w:r>
          </w:p>
        </w:tc>
        <w:tc>
          <w:tcPr>
            <w:tcW w:w="434" w:type="pct"/>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2013 N</w:t>
            </w:r>
          </w:p>
        </w:tc>
        <w:tc>
          <w:tcPr>
            <w:tcW w:w="434" w:type="pct"/>
            <w:tcBorders>
              <w:top w:val="single" w:sz="4" w:space="0" w:color="auto"/>
              <w:left w:val="nil"/>
              <w:bottom w:val="single" w:sz="4" w:space="0" w:color="auto"/>
              <w:right w:val="single" w:sz="4" w:space="0" w:color="auto"/>
            </w:tcBorders>
            <w:shd w:val="clear" w:color="auto" w:fill="A6A6A6"/>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2014 N</w:t>
            </w:r>
          </w:p>
        </w:tc>
        <w:tc>
          <w:tcPr>
            <w:tcW w:w="43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9376E2" w:rsidP="006338E5">
            <w:pPr>
              <w:bidi w:val="0"/>
              <w:jc w:val="center"/>
              <w:rPr>
                <w:rFonts w:ascii="Times New Roman" w:hAnsi="Times New Roman" w:cs="Times New Roman"/>
                <w:b/>
                <w:bCs/>
                <w:sz w:val="14"/>
                <w:szCs w:val="14"/>
              </w:rPr>
            </w:pPr>
            <w:r w:rsidRPr="009376E2">
              <w:rPr>
                <w:rFonts w:ascii="Times New Roman" w:hAnsi="Times New Roman" w:cs="Times New Roman"/>
                <w:b/>
                <w:bCs/>
                <w:sz w:val="14"/>
                <w:szCs w:val="14"/>
              </w:rPr>
              <w:t>2015 N</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9376E2" w:rsidP="006338E5">
            <w:pPr>
              <w:bidi w:val="0"/>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Príspevky SR do medzinárodných organizácií</w:t>
            </w:r>
          </w:p>
        </w:tc>
        <w:tc>
          <w:tcPr>
            <w:tcW w:w="434" w:type="pct"/>
            <w:tcBorders>
              <w:top w:val="nil"/>
              <w:left w:val="nil"/>
              <w:bottom w:val="single" w:sz="4" w:space="0" w:color="auto"/>
              <w:right w:val="single" w:sz="4" w:space="0" w:color="auto"/>
            </w:tcBorders>
            <w:shd w:val="clear" w:color="000000" w:fill="C0C0C0"/>
            <w:textDirection w:val="lrTb"/>
            <w:vAlign w:val="center"/>
            <w:hideMark/>
          </w:tcPr>
          <w:p w:rsidR="009D2A34" w:rsidRPr="009376E2" w:rsidP="006338E5">
            <w:pPr>
              <w:bidi w:val="0"/>
              <w:jc w:val="right"/>
              <w:rPr>
                <w:rFonts w:ascii="Times New Roman" w:hAnsi="Times New Roman" w:cs="Times New Roman"/>
                <w:b/>
                <w:bCs/>
                <w:sz w:val="14"/>
                <w:szCs w:val="14"/>
              </w:rPr>
            </w:pPr>
            <w:r w:rsidRPr="009376E2">
              <w:rPr>
                <w:rFonts w:ascii="Times New Roman" w:hAnsi="Times New Roman" w:cs="Times New Roman"/>
                <w:b/>
                <w:bCs/>
                <w:sz w:val="14"/>
                <w:szCs w:val="14"/>
              </w:rPr>
              <w:t>4 063 450</w:t>
            </w:r>
          </w:p>
        </w:tc>
        <w:tc>
          <w:tcPr>
            <w:tcW w:w="434" w:type="pct"/>
            <w:tcBorders>
              <w:top w:val="nil"/>
              <w:left w:val="nil"/>
              <w:bottom w:val="single" w:sz="4" w:space="0" w:color="auto"/>
              <w:right w:val="single" w:sz="4" w:space="0" w:color="auto"/>
            </w:tcBorders>
            <w:shd w:val="clear" w:color="000000" w:fill="C0C0C0"/>
            <w:textDirection w:val="lrTb"/>
            <w:vAlign w:val="center"/>
            <w:hideMark/>
          </w:tcPr>
          <w:p w:rsidR="009D2A34" w:rsidRPr="009376E2" w:rsidP="006338E5">
            <w:pPr>
              <w:bidi w:val="0"/>
              <w:jc w:val="right"/>
              <w:rPr>
                <w:rFonts w:ascii="Times New Roman" w:hAnsi="Times New Roman" w:cs="Times New Roman"/>
                <w:b/>
                <w:bCs/>
                <w:sz w:val="14"/>
                <w:szCs w:val="14"/>
              </w:rPr>
            </w:pPr>
            <w:r w:rsidRPr="009376E2">
              <w:rPr>
                <w:rFonts w:ascii="Times New Roman" w:hAnsi="Times New Roman" w:cs="Times New Roman"/>
                <w:b/>
                <w:bCs/>
                <w:sz w:val="14"/>
                <w:szCs w:val="14"/>
              </w:rPr>
              <w:t>11 780 926</w:t>
            </w:r>
          </w:p>
        </w:tc>
        <w:tc>
          <w:tcPr>
            <w:tcW w:w="434" w:type="pct"/>
            <w:tcBorders>
              <w:top w:val="nil"/>
              <w:left w:val="nil"/>
              <w:bottom w:val="single" w:sz="4" w:space="0" w:color="auto"/>
              <w:right w:val="single" w:sz="4" w:space="0" w:color="auto"/>
            </w:tcBorders>
            <w:shd w:val="clear" w:color="000000" w:fill="C0C0C0"/>
            <w:textDirection w:val="lrTb"/>
            <w:vAlign w:val="center"/>
            <w:hideMark/>
          </w:tcPr>
          <w:p w:rsidR="009D2A34" w:rsidRPr="009376E2" w:rsidP="006338E5">
            <w:pPr>
              <w:bidi w:val="0"/>
              <w:jc w:val="right"/>
              <w:rPr>
                <w:rFonts w:ascii="Times New Roman" w:hAnsi="Times New Roman" w:cs="Times New Roman"/>
                <w:b/>
                <w:bCs/>
                <w:sz w:val="14"/>
                <w:szCs w:val="14"/>
              </w:rPr>
            </w:pPr>
            <w:r w:rsidRPr="009376E2">
              <w:rPr>
                <w:rFonts w:ascii="Times New Roman" w:hAnsi="Times New Roman" w:cs="Times New Roman"/>
                <w:b/>
                <w:bCs/>
                <w:sz w:val="14"/>
                <w:szCs w:val="14"/>
              </w:rPr>
              <w:t>12 231 898</w:t>
            </w:r>
          </w:p>
        </w:tc>
        <w:tc>
          <w:tcPr>
            <w:tcW w:w="434" w:type="pct"/>
            <w:tcBorders>
              <w:top w:val="nil"/>
              <w:left w:val="nil"/>
              <w:bottom w:val="single" w:sz="4" w:space="0" w:color="auto"/>
              <w:right w:val="single" w:sz="4" w:space="0" w:color="auto"/>
            </w:tcBorders>
            <w:shd w:val="clear" w:color="000000" w:fill="C0C0C0"/>
            <w:textDirection w:val="lrTb"/>
            <w:vAlign w:val="center"/>
            <w:hideMark/>
          </w:tcPr>
          <w:p w:rsidR="009D2A34" w:rsidRPr="009376E2" w:rsidP="006338E5">
            <w:pPr>
              <w:bidi w:val="0"/>
              <w:jc w:val="right"/>
              <w:rPr>
                <w:rFonts w:ascii="Times New Roman" w:hAnsi="Times New Roman" w:cs="Times New Roman"/>
                <w:b/>
                <w:bCs/>
                <w:sz w:val="14"/>
                <w:szCs w:val="14"/>
              </w:rPr>
            </w:pPr>
            <w:r w:rsidRPr="009376E2">
              <w:rPr>
                <w:rFonts w:ascii="Times New Roman" w:hAnsi="Times New Roman" w:cs="Times New Roman"/>
                <w:b/>
                <w:bCs/>
                <w:sz w:val="14"/>
                <w:szCs w:val="14"/>
              </w:rPr>
              <w:t>12 231 898</w:t>
            </w:r>
          </w:p>
        </w:tc>
        <w:tc>
          <w:tcPr>
            <w:tcW w:w="434" w:type="pct"/>
            <w:tcBorders>
              <w:top w:val="nil"/>
              <w:left w:val="nil"/>
              <w:bottom w:val="single" w:sz="4" w:space="0" w:color="auto"/>
              <w:right w:val="single" w:sz="4" w:space="0" w:color="auto"/>
            </w:tcBorders>
            <w:shd w:val="clear" w:color="000000" w:fill="C0C0C0"/>
            <w:textDirection w:val="lrTb"/>
            <w:vAlign w:val="center"/>
            <w:hideMark/>
          </w:tcPr>
          <w:p w:rsidR="009D2A34" w:rsidRPr="009376E2" w:rsidP="006338E5">
            <w:pPr>
              <w:bidi w:val="0"/>
              <w:jc w:val="right"/>
              <w:rPr>
                <w:rFonts w:ascii="Times New Roman" w:hAnsi="Times New Roman" w:cs="Times New Roman"/>
                <w:b/>
                <w:bCs/>
                <w:sz w:val="14"/>
                <w:szCs w:val="14"/>
              </w:rPr>
            </w:pPr>
            <w:r w:rsidRPr="009376E2">
              <w:rPr>
                <w:rFonts w:ascii="Times New Roman" w:hAnsi="Times New Roman" w:cs="Times New Roman"/>
                <w:b/>
                <w:bCs/>
                <w:sz w:val="14"/>
                <w:szCs w:val="14"/>
              </w:rPr>
              <w:t>14 359 696</w:t>
            </w:r>
          </w:p>
        </w:tc>
        <w:tc>
          <w:tcPr>
            <w:tcW w:w="434" w:type="pct"/>
            <w:tcBorders>
              <w:top w:val="nil"/>
              <w:left w:val="nil"/>
              <w:bottom w:val="single" w:sz="4" w:space="0" w:color="auto"/>
              <w:right w:val="single" w:sz="4" w:space="0" w:color="auto"/>
            </w:tcBorders>
            <w:shd w:val="clear" w:color="000000" w:fill="C0C0C0"/>
            <w:textDirection w:val="lrTb"/>
            <w:vAlign w:val="center"/>
            <w:hideMark/>
          </w:tcPr>
          <w:p w:rsidR="009D2A34" w:rsidRPr="009376E2" w:rsidP="006338E5">
            <w:pPr>
              <w:bidi w:val="0"/>
              <w:jc w:val="right"/>
              <w:rPr>
                <w:rFonts w:ascii="Times New Roman" w:hAnsi="Times New Roman" w:cs="Times New Roman"/>
                <w:b/>
                <w:bCs/>
                <w:sz w:val="14"/>
                <w:szCs w:val="14"/>
              </w:rPr>
            </w:pPr>
            <w:r w:rsidRPr="009376E2">
              <w:rPr>
                <w:rFonts w:ascii="Times New Roman" w:hAnsi="Times New Roman" w:cs="Times New Roman"/>
                <w:b/>
                <w:bCs/>
                <w:sz w:val="14"/>
                <w:szCs w:val="14"/>
              </w:rPr>
              <w:t>15 643 960</w:t>
            </w:r>
          </w:p>
        </w:tc>
        <w:tc>
          <w:tcPr>
            <w:tcW w:w="434" w:type="pct"/>
            <w:tcBorders>
              <w:top w:val="nil"/>
              <w:left w:val="nil"/>
              <w:bottom w:val="single" w:sz="4" w:space="0" w:color="auto"/>
              <w:right w:val="single" w:sz="4" w:space="0" w:color="auto"/>
            </w:tcBorders>
            <w:shd w:val="clear" w:color="000000" w:fill="C0C0C0"/>
            <w:textDirection w:val="lrTb"/>
            <w:vAlign w:val="center"/>
            <w:hideMark/>
          </w:tcPr>
          <w:p w:rsidR="009D2A34" w:rsidRPr="009376E2" w:rsidP="006338E5">
            <w:pPr>
              <w:bidi w:val="0"/>
              <w:jc w:val="right"/>
              <w:rPr>
                <w:rFonts w:ascii="Times New Roman" w:hAnsi="Times New Roman" w:cs="Times New Roman"/>
                <w:b/>
                <w:bCs/>
                <w:sz w:val="14"/>
                <w:szCs w:val="14"/>
              </w:rPr>
            </w:pPr>
            <w:r w:rsidRPr="009376E2">
              <w:rPr>
                <w:rFonts w:ascii="Times New Roman" w:hAnsi="Times New Roman" w:cs="Times New Roman"/>
                <w:b/>
                <w:bCs/>
                <w:sz w:val="14"/>
                <w:szCs w:val="14"/>
              </w:rPr>
              <w:t>15 643 960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 xml:space="preserve">    v tom:</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 </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 </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Rekonštrukcia sídla NATO</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448 006</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811 778</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1 332 574</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1 332 574</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1 893 136</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2 799 606</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2 391 147</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Medzinárodný Vyšehradský fond</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1 500 000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1 500 000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1 500 000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1 750 000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1 750 000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1 750 000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Org. pre hosp. spol. a rozvoj (OECD) celkom</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275 979</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1 085 534</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995 000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995 000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995 000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995 000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995 000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Stredoeurópska iniciatíva (CEI)</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19 800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19 800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19 800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19 800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19 800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19 800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19 800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Úrad vys.pred.pre Bosnu a Herceg.</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10 002</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Rada Európy (RE) celkom</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1 140 886</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1 150 000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1 150 000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1 418 000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1 418 000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1 418 000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ITF - Holokaust</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30 000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30 000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Úrad vys. pred. pre ľudské práva</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7 500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7 500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7 500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7 500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7 500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Wassenaarske usporiadanie (WA)</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1 831</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3 536</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1 900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1 900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1 900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1 900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1 900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Org. pre bezp. a spolupr. v Európe (OBSE)</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264 270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274 931</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260 000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260 000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260 000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260 000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260 000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Spol.konzult.skupina o otvorenom nebi (KK ZON)</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4 464</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2 700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4 000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4 000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4 000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4 000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4 000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 xml:space="preserve">ASEF - The Asia-Europe Foundation </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21 324</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21 324</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21 324</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21 324</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21 324</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Medzinárodné trestné tribunály celkom</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90 519</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190 873</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360 000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360 000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159 000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159 000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159 000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Inštitút pre bezpečnostné štúdie EÚ</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25 214</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11 841</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26 000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26 000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26 000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26 000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26 000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NATO - civilný rozpočet celkom</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299 330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814 833</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857 000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857 000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1 048 000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1 048 000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1 048 000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Org. spojených národov (OSN) - rozpočet</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1 232 945</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2 470 291</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2 355 000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2 355 000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3 000 000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3 377 794</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3 377 794</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Org. spojených národov (OSN) - mierové operácie</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646 810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2 735 932</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2 420 000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2 420 000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2 900 000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2 900 000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3 308 459</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Medzinárodný výbor Červeného kríža (ICRC)</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24 400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24 400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24 400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24 400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24 400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Fond svetového dedičstva UNESCO celkom</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400 682</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366 635</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396 650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396 650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396 650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396 650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396 650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Medzinárodná organizácia Frankofónie (IOF)</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2 208</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2 446</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2 446</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2 446</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2 446</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2 446</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Org. spojených národov - ostatné (OSN)</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28 270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38 020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344 980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344 980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148 189</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148 189</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148 189</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OZOG (Odbor pre kontrolu zbrojenia, odzbrojenie a globálne výzvy)</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11 000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11 000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11 000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11 000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11 000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Medzinárodný trestný súd - výstavba sídla ICC v Haagu</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209 220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215 866</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100 000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100 000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231 000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231 000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231 000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Dohovor o zákazoch alebo obmedzeniach určitých konven. zbraní CCW</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735</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52</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Medzinárodný inštitút pre unifikáciu súkromného práva UNIDROIT</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12 250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12 250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Medzinárodný tribunál pre morské právo ITLOS</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17 517</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18 730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Stály arbitrážny dvor SAD</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3 237</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2 292</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lang w:eastAsia="sk-SK"/>
              </w:rPr>
            </w:pPr>
            <w:r w:rsidRPr="009376E2">
              <w:rPr>
                <w:rFonts w:ascii="Times New Roman" w:hAnsi="Times New Roman" w:cs="Times New Roman"/>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Spoločná konzultatívna skupina Zmluvy o konvenčných ozbrojených silách v Európe</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6 160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3 758</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Svetový potravinový program WFP</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10 750</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nil"/>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Haagska konferencia medzinárodného súkromného práva HKMPS</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18 677</w:t>
            </w:r>
          </w:p>
        </w:tc>
        <w:tc>
          <w:tcPr>
            <w:tcW w:w="434" w:type="pct"/>
            <w:tcBorders>
              <w:top w:val="nil"/>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19 088</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0</w:t>
            </w:r>
          </w:p>
        </w:tc>
        <w:tc>
          <w:tcPr>
            <w:tcW w:w="434" w:type="pct"/>
            <w:tcBorders>
              <w:top w:val="nil"/>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DCAF - Democratic Control of Armed Forces</w:t>
            </w:r>
          </w:p>
        </w:tc>
        <w:tc>
          <w:tcPr>
            <w:tcW w:w="434" w:type="pct"/>
            <w:tcBorders>
              <w:top w:val="single" w:sz="4" w:space="0" w:color="auto"/>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4 000</w:t>
            </w:r>
          </w:p>
        </w:tc>
        <w:tc>
          <w:tcPr>
            <w:tcW w:w="434" w:type="pct"/>
            <w:tcBorders>
              <w:top w:val="single" w:sz="4" w:space="0" w:color="auto"/>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0</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sz w:val="14"/>
                <w:szCs w:val="14"/>
                <w:lang w:eastAsia="sk-SK"/>
              </w:rPr>
            </w:pPr>
            <w:r w:rsidRPr="009376E2">
              <w:rPr>
                <w:rFonts w:ascii="Times New Roman" w:hAnsi="Times New Roman" w:cs="Times New Roman"/>
                <w:sz w:val="14"/>
                <w:szCs w:val="14"/>
                <w:lang w:eastAsia="sk-SK"/>
              </w:rPr>
              <w:t>NPT - Hodnotiaca konferencia zmluvy o nešírení jadrových zbraní</w:t>
            </w:r>
          </w:p>
        </w:tc>
        <w:tc>
          <w:tcPr>
            <w:tcW w:w="434" w:type="pct"/>
            <w:tcBorders>
              <w:top w:val="single" w:sz="4" w:space="0" w:color="auto"/>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0</w:t>
            </w:r>
          </w:p>
        </w:tc>
        <w:tc>
          <w:tcPr>
            <w:tcW w:w="434" w:type="pct"/>
            <w:tcBorders>
              <w:top w:val="single" w:sz="4" w:space="0" w:color="auto"/>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sz w:val="14"/>
                <w:szCs w:val="14"/>
              </w:rPr>
            </w:pPr>
            <w:r w:rsidRPr="009376E2">
              <w:rPr>
                <w:rFonts w:ascii="Times New Roman" w:hAnsi="Times New Roman" w:cs="Times New Roman"/>
                <w:sz w:val="14"/>
                <w:szCs w:val="14"/>
              </w:rPr>
              <w:t>1 300</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0 </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0 </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0</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lang w:eastAsia="sk-SK"/>
              </w:rPr>
            </w:pPr>
            <w:r w:rsidRPr="009376E2">
              <w:rPr>
                <w:rFonts w:ascii="Times New Roman" w:hAnsi="Times New Roman" w:cs="Times New Roman"/>
                <w:color w:val="000000"/>
                <w:sz w:val="14"/>
                <w:szCs w:val="14"/>
                <w:lang w:eastAsia="sk-SK"/>
              </w:rPr>
              <w:t>0</w:t>
            </w:r>
          </w:p>
        </w:tc>
      </w:tr>
      <w:tr>
        <w:tblPrEx>
          <w:tblW w:w="5000" w:type="pct"/>
          <w:tblLayout w:type="fixed"/>
          <w:tblCellMar>
            <w:left w:w="70" w:type="dxa"/>
            <w:right w:w="70" w:type="dxa"/>
          </w:tblCellMar>
          <w:tblLook w:val="04A0"/>
        </w:tblPrEx>
        <w:trPr>
          <w:trHeight w:val="261"/>
        </w:trPr>
        <w:tc>
          <w:tcPr>
            <w:tcW w:w="1962"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9376E2" w:rsidP="006338E5">
            <w:pPr>
              <w:bidi w:val="0"/>
              <w:rPr>
                <w:rFonts w:ascii="Times New Roman" w:hAnsi="Times New Roman" w:cs="Times New Roman"/>
                <w:color w:val="000000"/>
                <w:sz w:val="14"/>
                <w:szCs w:val="14"/>
              </w:rPr>
            </w:pPr>
            <w:r w:rsidRPr="009376E2">
              <w:rPr>
                <w:rFonts w:ascii="Times New Roman" w:hAnsi="Times New Roman" w:cs="Times New Roman"/>
                <w:color w:val="000000"/>
                <w:sz w:val="14"/>
                <w:szCs w:val="14"/>
              </w:rPr>
              <w:t xml:space="preserve"> + súvisiace bankové poplatky v 630</w:t>
            </w:r>
          </w:p>
        </w:tc>
        <w:tc>
          <w:tcPr>
            <w:tcW w:w="434" w:type="pct"/>
            <w:tcBorders>
              <w:top w:val="single" w:sz="4" w:space="0" w:color="auto"/>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575</w:t>
            </w:r>
          </w:p>
        </w:tc>
        <w:tc>
          <w:tcPr>
            <w:tcW w:w="434" w:type="pct"/>
            <w:tcBorders>
              <w:top w:val="single" w:sz="4" w:space="0" w:color="auto"/>
              <w:left w:val="nil"/>
              <w:bottom w:val="single" w:sz="4" w:space="0" w:color="auto"/>
              <w:right w:val="single" w:sz="4" w:space="0" w:color="auto"/>
            </w:tcBorders>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0</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2324</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2324</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2351</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2351</w:t>
            </w:r>
          </w:p>
        </w:tc>
        <w:tc>
          <w:tcPr>
            <w:tcW w:w="434" w:type="pct"/>
            <w:tcBorders>
              <w:top w:val="single" w:sz="4" w:space="0" w:color="auto"/>
              <w:left w:val="nil"/>
              <w:bottom w:val="single" w:sz="4" w:space="0" w:color="auto"/>
              <w:right w:val="single" w:sz="4" w:space="0" w:color="auto"/>
            </w:tcBorders>
            <w:noWrap/>
            <w:textDirection w:val="lrTb"/>
            <w:vAlign w:val="center"/>
            <w:hideMark/>
          </w:tcPr>
          <w:p w:rsidR="009D2A34" w:rsidRPr="009376E2" w:rsidP="006338E5">
            <w:pPr>
              <w:bidi w:val="0"/>
              <w:jc w:val="right"/>
              <w:rPr>
                <w:rFonts w:ascii="Times New Roman" w:hAnsi="Times New Roman" w:cs="Times New Roman"/>
                <w:color w:val="000000"/>
                <w:sz w:val="14"/>
                <w:szCs w:val="14"/>
              </w:rPr>
            </w:pPr>
            <w:r w:rsidRPr="009376E2">
              <w:rPr>
                <w:rFonts w:ascii="Times New Roman" w:hAnsi="Times New Roman" w:cs="Times New Roman"/>
                <w:color w:val="000000"/>
                <w:sz w:val="14"/>
                <w:szCs w:val="14"/>
              </w:rPr>
              <w:t>2351</w:t>
            </w:r>
          </w:p>
        </w:tc>
      </w:tr>
    </w:tbl>
    <w:p w:rsidR="009D2A34" w:rsidRPr="007E0D85" w:rsidP="009D2A34">
      <w:pPr>
        <w:bidi w:val="0"/>
        <w:jc w:val="both"/>
        <w:rPr>
          <w:rFonts w:ascii="Times New Roman" w:hAnsi="Times New Roman" w:cs="Times New Roman"/>
          <w:highlight w:val="yellow"/>
        </w:rPr>
      </w:pPr>
    </w:p>
    <w:p w:rsidR="009D2A34" w:rsidRPr="009376E2" w:rsidP="009D2A34">
      <w:pPr>
        <w:bidi w:val="0"/>
        <w:ind w:firstLine="708"/>
        <w:jc w:val="both"/>
        <w:rPr>
          <w:rFonts w:ascii="Times New Roman" w:hAnsi="Times New Roman" w:cs="Times New Roman"/>
        </w:rPr>
      </w:pPr>
      <w:r w:rsidRPr="009376E2">
        <w:rPr>
          <w:rFonts w:ascii="Times New Roman" w:hAnsi="Times New Roman" w:cs="Times New Roman"/>
        </w:rPr>
        <w:t>V rámci oblasti diplomacie sa zohľadnili aj výdavky v oblasti poplatkov a príspevkov za členstvo SR v medzinárodných organizáciách. Transfer na úhradu členských príspevkov je medziročne zvýše</w:t>
      </w:r>
      <w:r>
        <w:rPr>
          <w:rFonts w:ascii="Times New Roman" w:hAnsi="Times New Roman" w:cs="Times New Roman"/>
        </w:rPr>
        <w:t>ný o 2,13 mil. eur, t.</w:t>
      </w:r>
      <w:r w:rsidR="007D5C52">
        <w:rPr>
          <w:rFonts w:ascii="Times New Roman" w:hAnsi="Times New Roman" w:cs="Times New Roman"/>
        </w:rPr>
        <w:t xml:space="preserve"> </w:t>
      </w:r>
      <w:r>
        <w:rPr>
          <w:rFonts w:ascii="Times New Roman" w:hAnsi="Times New Roman" w:cs="Times New Roman"/>
        </w:rPr>
        <w:t xml:space="preserve">j. 17,4 %. Dôvodom je rozpočtované zvýšenie transferu na </w:t>
      </w:r>
      <w:r w:rsidRPr="009376E2">
        <w:rPr>
          <w:rFonts w:ascii="Times New Roman" w:hAnsi="Times New Roman" w:cs="Times New Roman"/>
        </w:rPr>
        <w:t xml:space="preserve">výstavbu nového sídla NATO na rok 2013 </w:t>
      </w:r>
      <w:r>
        <w:rPr>
          <w:rFonts w:ascii="Times New Roman" w:hAnsi="Times New Roman" w:cs="Times New Roman"/>
        </w:rPr>
        <w:t>o sumu</w:t>
      </w:r>
      <w:r w:rsidRPr="009376E2">
        <w:rPr>
          <w:rFonts w:ascii="Times New Roman" w:hAnsi="Times New Roman" w:cs="Times New Roman"/>
        </w:rPr>
        <w:t xml:space="preserve"> </w:t>
      </w:r>
      <w:r>
        <w:rPr>
          <w:rFonts w:ascii="Times New Roman" w:hAnsi="Times New Roman" w:cs="Times New Roman"/>
        </w:rPr>
        <w:t>561 tis. eur a</w:t>
      </w:r>
      <w:r w:rsidRPr="009376E2">
        <w:rPr>
          <w:rFonts w:ascii="Times New Roman" w:hAnsi="Times New Roman" w:cs="Times New Roman"/>
        </w:rPr>
        <w:t xml:space="preserve"> zvýšeni</w:t>
      </w:r>
      <w:r>
        <w:rPr>
          <w:rFonts w:ascii="Times New Roman" w:hAnsi="Times New Roman" w:cs="Times New Roman"/>
        </w:rPr>
        <w:t>e</w:t>
      </w:r>
      <w:r w:rsidRPr="009376E2">
        <w:rPr>
          <w:rFonts w:ascii="Times New Roman" w:hAnsi="Times New Roman" w:cs="Times New Roman"/>
        </w:rPr>
        <w:t xml:space="preserve"> </w:t>
      </w:r>
      <w:r>
        <w:rPr>
          <w:rFonts w:ascii="Times New Roman" w:hAnsi="Times New Roman" w:cs="Times New Roman"/>
        </w:rPr>
        <w:t xml:space="preserve">niektorých povinných </w:t>
      </w:r>
      <w:r w:rsidRPr="009376E2">
        <w:rPr>
          <w:rFonts w:ascii="Times New Roman" w:hAnsi="Times New Roman" w:cs="Times New Roman"/>
        </w:rPr>
        <w:t>členských príspevkov do medzinárodných organizácií</w:t>
      </w:r>
      <w:r>
        <w:rPr>
          <w:rFonts w:ascii="Times New Roman" w:hAnsi="Times New Roman" w:cs="Times New Roman"/>
        </w:rPr>
        <w:t xml:space="preserve"> o sumu </w:t>
      </w:r>
      <w:r w:rsidR="007D5C52">
        <w:rPr>
          <w:rFonts w:ascii="Times New Roman" w:hAnsi="Times New Roman" w:cs="Times New Roman"/>
        </w:rPr>
        <w:br/>
      </w:r>
      <w:r>
        <w:rPr>
          <w:rFonts w:ascii="Times New Roman" w:hAnsi="Times New Roman" w:cs="Times New Roman"/>
        </w:rPr>
        <w:t>1,57 mil. eur</w:t>
      </w:r>
      <w:r w:rsidRPr="009376E2">
        <w:rPr>
          <w:rFonts w:ascii="Times New Roman" w:hAnsi="Times New Roman" w:cs="Times New Roman"/>
        </w:rPr>
        <w:t>.</w:t>
      </w:r>
    </w:p>
    <w:p w:rsidR="009D2A34" w:rsidP="009D2A34">
      <w:pPr>
        <w:bidi w:val="0"/>
        <w:jc w:val="both"/>
        <w:rPr>
          <w:rFonts w:ascii="Times New Roman" w:hAnsi="Times New Roman" w:cs="Times New Roman"/>
        </w:rPr>
      </w:pPr>
    </w:p>
    <w:p w:rsidR="00BD1196" w:rsidP="009D2A34">
      <w:pPr>
        <w:bidi w:val="0"/>
        <w:jc w:val="both"/>
        <w:rPr>
          <w:rFonts w:ascii="Times New Roman" w:hAnsi="Times New Roman" w:cs="Times New Roman"/>
        </w:rPr>
      </w:pPr>
    </w:p>
    <w:p w:rsidR="00BD1196" w:rsidP="009D2A34">
      <w:pPr>
        <w:bidi w:val="0"/>
        <w:jc w:val="both"/>
        <w:rPr>
          <w:rFonts w:ascii="Times New Roman" w:hAnsi="Times New Roman" w:cs="Times New Roman"/>
        </w:rPr>
      </w:pPr>
    </w:p>
    <w:p w:rsidR="00BD1196" w:rsidP="009D2A34">
      <w:pPr>
        <w:bidi w:val="0"/>
        <w:jc w:val="both"/>
        <w:rPr>
          <w:rFonts w:ascii="Times New Roman" w:hAnsi="Times New Roman" w:cs="Times New Roman"/>
        </w:rPr>
      </w:pPr>
    </w:p>
    <w:p w:rsidR="00BD1196" w:rsidP="009D2A34">
      <w:pPr>
        <w:bidi w:val="0"/>
        <w:jc w:val="both"/>
        <w:rPr>
          <w:rFonts w:ascii="Times New Roman" w:hAnsi="Times New Roman" w:cs="Times New Roman"/>
        </w:rPr>
      </w:pPr>
    </w:p>
    <w:p w:rsidR="009D2A34" w:rsidRPr="009376E2" w:rsidP="009D2A34">
      <w:pPr>
        <w:bidi w:val="0"/>
        <w:jc w:val="both"/>
        <w:rPr>
          <w:rFonts w:ascii="Times New Roman" w:hAnsi="Times New Roman" w:cs="Times New Roman"/>
          <w:b/>
        </w:rPr>
      </w:pPr>
      <w:r w:rsidRPr="009376E2">
        <w:rPr>
          <w:rFonts w:ascii="Times New Roman" w:hAnsi="Times New Roman" w:cs="Times New Roman"/>
          <w:b/>
        </w:rPr>
        <w:t>Vysielanie civilných expertov do aktivít krízového manažmentu mimo územia SR</w:t>
      </w:r>
    </w:p>
    <w:p w:rsidR="009D2A34" w:rsidRPr="009376E2" w:rsidP="009D2A34">
      <w:pPr>
        <w:bidi w:val="0"/>
        <w:jc w:val="both"/>
        <w:rPr>
          <w:rFonts w:ascii="Times New Roman" w:hAnsi="Times New Roman" w:cs="Times New Roman"/>
        </w:rPr>
      </w:pPr>
    </w:p>
    <w:tbl>
      <w:tblPr>
        <w:tblStyle w:val="TableNormal"/>
        <w:tblW w:w="5000" w:type="pct"/>
        <w:tblCellMar>
          <w:left w:w="70" w:type="dxa"/>
          <w:right w:w="70" w:type="dxa"/>
        </w:tblCellMar>
        <w:tblLook w:val="04A0"/>
      </w:tblPr>
      <w:tblGrid>
        <w:gridCol w:w="2766"/>
        <w:gridCol w:w="922"/>
        <w:gridCol w:w="921"/>
        <w:gridCol w:w="921"/>
        <w:gridCol w:w="921"/>
        <w:gridCol w:w="921"/>
        <w:gridCol w:w="921"/>
        <w:gridCol w:w="919"/>
      </w:tblGrid>
      <w:tr>
        <w:tblPrEx>
          <w:tblW w:w="5000" w:type="pct"/>
          <w:tblCellMar>
            <w:left w:w="70" w:type="dxa"/>
            <w:right w:w="70" w:type="dxa"/>
          </w:tblCellMar>
          <w:tblLook w:val="04A0"/>
        </w:tblPrEx>
        <w:trPr>
          <w:trHeight w:val="255"/>
        </w:trPr>
        <w:tc>
          <w:tcPr>
            <w:tcW w:w="1501"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9376E2" w:rsidP="006338E5">
            <w:pPr>
              <w:bidi w:val="0"/>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 v eurách</w:t>
            </w:r>
          </w:p>
        </w:tc>
        <w:tc>
          <w:tcPr>
            <w:tcW w:w="50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9376E2" w:rsidP="006338E5">
            <w:pPr>
              <w:bidi w:val="0"/>
              <w:jc w:val="center"/>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2010 S</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9376E2" w:rsidP="006338E5">
            <w:pPr>
              <w:bidi w:val="0"/>
              <w:jc w:val="center"/>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2011 S</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9376E2" w:rsidP="006338E5">
            <w:pPr>
              <w:bidi w:val="0"/>
              <w:jc w:val="center"/>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2012 R</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9376E2" w:rsidP="006338E5">
            <w:pPr>
              <w:bidi w:val="0"/>
              <w:jc w:val="center"/>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 xml:space="preserve">2012 OS </w:t>
            </w:r>
          </w:p>
        </w:tc>
        <w:tc>
          <w:tcPr>
            <w:tcW w:w="50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9376E2" w:rsidP="006338E5">
            <w:pPr>
              <w:bidi w:val="0"/>
              <w:jc w:val="center"/>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2013 N</w:t>
            </w:r>
          </w:p>
        </w:tc>
        <w:tc>
          <w:tcPr>
            <w:tcW w:w="500"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9D2A34" w:rsidRPr="009376E2" w:rsidP="006338E5">
            <w:pPr>
              <w:bidi w:val="0"/>
              <w:jc w:val="center"/>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2014 N</w:t>
            </w:r>
          </w:p>
        </w:tc>
        <w:tc>
          <w:tcPr>
            <w:tcW w:w="500"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9376E2" w:rsidP="006338E5">
            <w:pPr>
              <w:bidi w:val="0"/>
              <w:jc w:val="center"/>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2015 N</w:t>
            </w:r>
          </w:p>
        </w:tc>
      </w:tr>
      <w:tr>
        <w:tblPrEx>
          <w:tblW w:w="5000" w:type="pct"/>
          <w:tblCellMar>
            <w:left w:w="70" w:type="dxa"/>
            <w:right w:w="70" w:type="dxa"/>
          </w:tblCellMar>
          <w:tblLook w:val="04A0"/>
        </w:tblPrEx>
        <w:trPr>
          <w:trHeight w:val="461"/>
        </w:trPr>
        <w:tc>
          <w:tcPr>
            <w:tcW w:w="1501"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9376E2" w:rsidP="006338E5">
            <w:pPr>
              <w:bidi w:val="0"/>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 xml:space="preserve">Vysielanie civilných expertov do aktivít </w:t>
            </w:r>
          </w:p>
          <w:p w:rsidR="009D2A34" w:rsidRPr="009376E2" w:rsidP="006338E5">
            <w:pPr>
              <w:bidi w:val="0"/>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krízového manažmentu mimo územia SR</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9376E2" w:rsidP="006338E5">
            <w:pPr>
              <w:bidi w:val="0"/>
              <w:jc w:val="right"/>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0 </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9376E2" w:rsidP="006338E5">
            <w:pPr>
              <w:bidi w:val="0"/>
              <w:jc w:val="right"/>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9376E2" w:rsidP="006338E5">
            <w:pPr>
              <w:bidi w:val="0"/>
              <w:jc w:val="right"/>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9376E2" w:rsidP="006338E5">
            <w:pPr>
              <w:bidi w:val="0"/>
              <w:jc w:val="right"/>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9376E2" w:rsidP="006338E5">
            <w:pPr>
              <w:bidi w:val="0"/>
              <w:jc w:val="right"/>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38 000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9376E2" w:rsidP="006338E5">
            <w:pPr>
              <w:bidi w:val="0"/>
              <w:jc w:val="right"/>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38 000</w:t>
            </w:r>
          </w:p>
        </w:tc>
        <w:tc>
          <w:tcPr>
            <w:tcW w:w="500"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9376E2" w:rsidP="006338E5">
            <w:pPr>
              <w:bidi w:val="0"/>
              <w:jc w:val="right"/>
              <w:rPr>
                <w:rFonts w:ascii="Times New Roman" w:hAnsi="Times New Roman" w:cs="Times New Roman"/>
                <w:b/>
                <w:bCs/>
                <w:sz w:val="14"/>
                <w:szCs w:val="14"/>
                <w:lang w:eastAsia="sk-SK"/>
              </w:rPr>
            </w:pPr>
            <w:r w:rsidRPr="009376E2">
              <w:rPr>
                <w:rFonts w:ascii="Times New Roman" w:hAnsi="Times New Roman" w:cs="Times New Roman"/>
                <w:b/>
                <w:bCs/>
                <w:sz w:val="14"/>
                <w:szCs w:val="14"/>
                <w:lang w:eastAsia="sk-SK"/>
              </w:rPr>
              <w:t>38 000</w:t>
            </w:r>
          </w:p>
        </w:tc>
      </w:tr>
    </w:tbl>
    <w:p w:rsidR="00D83F50" w:rsidP="009D2A34">
      <w:pPr>
        <w:bidi w:val="0"/>
        <w:ind w:firstLine="708"/>
        <w:jc w:val="both"/>
        <w:rPr>
          <w:rFonts w:ascii="Times New Roman" w:hAnsi="Times New Roman" w:cs="Times New Roman"/>
        </w:rPr>
      </w:pPr>
    </w:p>
    <w:p w:rsidR="009D2A34" w:rsidP="009D2A34">
      <w:pPr>
        <w:bidi w:val="0"/>
        <w:ind w:firstLine="708"/>
        <w:jc w:val="both"/>
        <w:rPr>
          <w:rFonts w:ascii="Times New Roman" w:hAnsi="Times New Roman" w:cs="Times New Roman"/>
        </w:rPr>
      </w:pPr>
      <w:r w:rsidRPr="009376E2">
        <w:rPr>
          <w:rFonts w:ascii="Times New Roman" w:hAnsi="Times New Roman" w:cs="Times New Roman"/>
        </w:rPr>
        <w:t>V roku 2013 sa po prvýkrát rozpočtujú prostriedky na civilných expertov v aktivitách krízového manažmentu mimo územia SR. Sleduje sa tu zapojenie SR do pozorovateľskej misie EÚ v Gruzínsku formou vyslania civilného experta (v zmysle zákona č. 503/2011 Z. z. o vysielaní civilných expertov na výkon práce v aktivitách krízového manažmentu mimo územia SR a o zmene a doplnení niektorých zákonov) s cieľom posilniť príspevok SR k úsiliu EÚ pri riešení krízovej situácie v tejto krajine.</w:t>
      </w:r>
      <w:r>
        <w:rPr>
          <w:rFonts w:ascii="Times New Roman" w:hAnsi="Times New Roman" w:cs="Times New Roman"/>
        </w:rPr>
        <w:t xml:space="preserve"> </w:t>
      </w:r>
    </w:p>
    <w:p w:rsidR="009D2A34" w:rsidRPr="00434645" w:rsidP="009D2A34">
      <w:pPr>
        <w:bidi w:val="0"/>
        <w:jc w:val="both"/>
        <w:rPr>
          <w:rFonts w:ascii="Times New Roman" w:hAnsi="Times New Roman" w:cs="Times New Roman"/>
        </w:rPr>
      </w:pPr>
    </w:p>
    <w:p w:rsidR="009D2A34" w:rsidRPr="00B7481D" w:rsidP="009D2A34">
      <w:pPr>
        <w:pBdr>
          <w:bottom w:val="single" w:sz="4" w:space="1" w:color="auto"/>
        </w:pBdr>
        <w:bidi w:val="0"/>
        <w:jc w:val="both"/>
        <w:rPr>
          <w:rFonts w:ascii="Times New Roman" w:hAnsi="Times New Roman" w:cs="Times New Roman"/>
          <w:b/>
          <w:bCs/>
        </w:rPr>
      </w:pPr>
      <w:r w:rsidRPr="00B7481D">
        <w:rPr>
          <w:rFonts w:ascii="Times New Roman" w:hAnsi="Times New Roman" w:cs="Times New Roman"/>
          <w:b/>
        </w:rPr>
        <w:t xml:space="preserve">Kancelária Národnej rady SR </w:t>
      </w:r>
    </w:p>
    <w:p w:rsidR="009D2A34" w:rsidRPr="007E0D85" w:rsidP="009D2A34">
      <w:pPr>
        <w:bidi w:val="0"/>
        <w:jc w:val="both"/>
        <w:rPr>
          <w:rFonts w:ascii="Times New Roman" w:hAnsi="Times New Roman" w:cs="Times New Roman"/>
          <w:highlight w:val="yellow"/>
        </w:rPr>
      </w:pPr>
    </w:p>
    <w:tbl>
      <w:tblPr>
        <w:tblStyle w:val="TableNormal"/>
        <w:tblW w:w="5000" w:type="pct"/>
        <w:tblCellMar>
          <w:left w:w="70" w:type="dxa"/>
          <w:right w:w="70" w:type="dxa"/>
        </w:tblCellMar>
        <w:tblLook w:val="04A0"/>
      </w:tblPr>
      <w:tblGrid>
        <w:gridCol w:w="2801"/>
        <w:gridCol w:w="898"/>
        <w:gridCol w:w="897"/>
        <w:gridCol w:w="897"/>
        <w:gridCol w:w="897"/>
        <w:gridCol w:w="941"/>
        <w:gridCol w:w="941"/>
        <w:gridCol w:w="940"/>
      </w:tblGrid>
      <w:tr>
        <w:tblPrEx>
          <w:tblW w:w="5000" w:type="pct"/>
          <w:tblCellMar>
            <w:left w:w="70" w:type="dxa"/>
            <w:right w:w="70" w:type="dxa"/>
          </w:tblCellMar>
          <w:tblLook w:val="04A0"/>
        </w:tblPrEx>
        <w:trPr>
          <w:trHeight w:val="259"/>
        </w:trPr>
        <w:tc>
          <w:tcPr>
            <w:tcW w:w="152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B7481D" w:rsidP="006338E5">
            <w:pPr>
              <w:bidi w:val="0"/>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 v eurách</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2010 S</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2011</w:t>
            </w:r>
            <w:r w:rsidR="007D5C52">
              <w:rPr>
                <w:rFonts w:ascii="Times New Roman" w:hAnsi="Times New Roman" w:cs="Times New Roman"/>
                <w:b/>
                <w:bCs/>
                <w:color w:val="000000"/>
                <w:sz w:val="14"/>
                <w:szCs w:val="14"/>
              </w:rPr>
              <w:t xml:space="preserve"> </w:t>
            </w:r>
            <w:r w:rsidRPr="00B7481D">
              <w:rPr>
                <w:rFonts w:ascii="Times New Roman" w:hAnsi="Times New Roman" w:cs="Times New Roman"/>
                <w:b/>
                <w:bCs/>
                <w:color w:val="000000"/>
                <w:sz w:val="14"/>
                <w:szCs w:val="14"/>
              </w:rPr>
              <w:t>S</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2012 R</w:t>
            </w:r>
          </w:p>
        </w:tc>
        <w:tc>
          <w:tcPr>
            <w:tcW w:w="487"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2012 OS</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2013 N</w:t>
            </w:r>
          </w:p>
        </w:tc>
        <w:tc>
          <w:tcPr>
            <w:tcW w:w="511"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2014 N</w:t>
            </w:r>
          </w:p>
        </w:tc>
        <w:tc>
          <w:tcPr>
            <w:tcW w:w="51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B7481D" w:rsidP="006338E5">
            <w:pPr>
              <w:bidi w:val="0"/>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Zdroje príslušnej kapitoly</w:t>
            </w:r>
          </w:p>
        </w:tc>
        <w:tc>
          <w:tcPr>
            <w:tcW w:w="487"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47 649 850</w:t>
            </w:r>
          </w:p>
        </w:tc>
        <w:tc>
          <w:tcPr>
            <w:tcW w:w="487"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36 240 583</w:t>
            </w:r>
          </w:p>
        </w:tc>
        <w:tc>
          <w:tcPr>
            <w:tcW w:w="487"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25 434 698</w:t>
            </w:r>
          </w:p>
        </w:tc>
        <w:tc>
          <w:tcPr>
            <w:tcW w:w="487"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32 135 066</w:t>
            </w:r>
          </w:p>
        </w:tc>
        <w:tc>
          <w:tcPr>
            <w:tcW w:w="51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24 207 045</w:t>
            </w:r>
          </w:p>
        </w:tc>
        <w:tc>
          <w:tcPr>
            <w:tcW w:w="51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24 470 304</w:t>
            </w:r>
          </w:p>
        </w:tc>
        <w:tc>
          <w:tcPr>
            <w:tcW w:w="510"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25 112 834</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 xml:space="preserve">rozpočtové zdroje kapitoly </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46 679 722</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34 923 331</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25 434 698</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31 074 952</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24 207 045</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24 470 304</w:t>
            </w:r>
          </w:p>
        </w:tc>
        <w:tc>
          <w:tcPr>
            <w:tcW w:w="510"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25 112 834</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v tom: bežné výdavky  600</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26 025 702</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22 649 944</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25 102 706</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25 102 706</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23 875 053</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24 138 312</w:t>
            </w:r>
          </w:p>
        </w:tc>
        <w:tc>
          <w:tcPr>
            <w:tcW w:w="510"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24 780 842</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610 mzdy</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11 922 774</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11 701 914</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11 752 848</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11 752 848</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12 323 699</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12 542 291</w:t>
            </w:r>
          </w:p>
        </w:tc>
        <w:tc>
          <w:tcPr>
            <w:tcW w:w="510"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13 048 307</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620 odvody</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3 194 851</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3 149 366</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3 493 878</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3 504 878</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3 379 871</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3 424 538</w:t>
            </w:r>
          </w:p>
        </w:tc>
        <w:tc>
          <w:tcPr>
            <w:tcW w:w="510"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3 561 052</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630 tovary a služby</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9 536 461</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7 392 634</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8 855 355</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8 855 355</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7 992 236</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7 992 236</w:t>
            </w:r>
          </w:p>
        </w:tc>
        <w:tc>
          <w:tcPr>
            <w:tcW w:w="510"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7 992 236</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640 bežné transfery</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1 371 615</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406 030</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1 000 625</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989 625</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179 247</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179 247</w:t>
            </w:r>
          </w:p>
        </w:tc>
        <w:tc>
          <w:tcPr>
            <w:tcW w:w="510"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179 247</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kapitálové výdavky 700</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20 654 020</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12 273 387</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331 992</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5 972 246</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331 992</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331 992</w:t>
            </w:r>
          </w:p>
        </w:tc>
        <w:tc>
          <w:tcPr>
            <w:tcW w:w="510"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331 992</w:t>
            </w:r>
          </w:p>
        </w:tc>
      </w:tr>
      <w:tr>
        <w:tblPrEx>
          <w:tblW w:w="5000" w:type="pct"/>
          <w:tblCellMar>
            <w:left w:w="70" w:type="dxa"/>
            <w:right w:w="70" w:type="dxa"/>
          </w:tblCellMar>
          <w:tblLook w:val="04A0"/>
        </w:tblPrEx>
        <w:trPr>
          <w:trHeight w:val="259"/>
        </w:trPr>
        <w:tc>
          <w:tcPr>
            <w:tcW w:w="152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presun z minulých rokov</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970 128</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1 317 252</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c>
          <w:tcPr>
            <w:tcW w:w="487"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1 060 114</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c>
          <w:tcPr>
            <w:tcW w:w="511"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c>
          <w:tcPr>
            <w:tcW w:w="510"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r>
    </w:tbl>
    <w:p w:rsidR="009D2A34" w:rsidRPr="007E0D85" w:rsidP="009D2A34">
      <w:pPr>
        <w:bidi w:val="0"/>
        <w:rPr>
          <w:rFonts w:ascii="Times New Roman" w:hAnsi="Times New Roman" w:cs="Times New Roman"/>
          <w:highlight w:val="yellow"/>
        </w:rPr>
      </w:pPr>
    </w:p>
    <w:p w:rsidR="009D2A34" w:rsidRPr="00B7481D" w:rsidP="009D2A34">
      <w:pPr>
        <w:bidi w:val="0"/>
        <w:ind w:firstLine="708"/>
        <w:jc w:val="both"/>
        <w:rPr>
          <w:rFonts w:ascii="Times New Roman" w:hAnsi="Times New Roman" w:cs="Times New Roman"/>
          <w:color w:val="000000"/>
        </w:rPr>
      </w:pPr>
      <w:r w:rsidRPr="00B7481D">
        <w:rPr>
          <w:rFonts w:ascii="Times New Roman" w:hAnsi="Times New Roman" w:cs="Times New Roman"/>
          <w:color w:val="000000"/>
        </w:rPr>
        <w:t>V roku 2013 dosahujú rozpočtované výdavky kapitoly hodnotu 24,2 mil. eur, čo je v porovnaní so schváleným rozpočtom roku 2012 menej</w:t>
      </w:r>
      <w:r>
        <w:rPr>
          <w:rFonts w:ascii="Times New Roman" w:hAnsi="Times New Roman" w:cs="Times New Roman"/>
          <w:color w:val="000000"/>
        </w:rPr>
        <w:t xml:space="preserve"> o 1,23 mil. eur, t.</w:t>
      </w:r>
      <w:r w:rsidR="003F66B4">
        <w:rPr>
          <w:rFonts w:ascii="Times New Roman" w:hAnsi="Times New Roman" w:cs="Times New Roman"/>
          <w:color w:val="000000"/>
        </w:rPr>
        <w:t xml:space="preserve"> </w:t>
      </w:r>
      <w:r>
        <w:rPr>
          <w:rFonts w:ascii="Times New Roman" w:hAnsi="Times New Roman" w:cs="Times New Roman"/>
          <w:color w:val="000000"/>
        </w:rPr>
        <w:t>j.</w:t>
      </w:r>
      <w:r w:rsidRPr="00B7481D">
        <w:rPr>
          <w:rFonts w:ascii="Times New Roman" w:hAnsi="Times New Roman" w:cs="Times New Roman"/>
          <w:color w:val="000000"/>
        </w:rPr>
        <w:t xml:space="preserve"> 4,83 %, pričom pokles je spôsobený najmä nerozpočtovaním prostriedkov, ktoré boli v roku 2012 určené na predčasné voľby do Národnej rady SR ako aj zohľadnením 10% medziročného poklesu výdavkov na tovary a služby.</w:t>
      </w:r>
    </w:p>
    <w:p w:rsidR="009D2A34" w:rsidRPr="00B7481D" w:rsidP="009D2A34">
      <w:pPr>
        <w:bidi w:val="0"/>
        <w:ind w:firstLine="708"/>
        <w:jc w:val="both"/>
        <w:rPr>
          <w:rFonts w:ascii="Times New Roman" w:hAnsi="Times New Roman" w:cs="Times New Roman"/>
          <w:color w:val="000000"/>
        </w:rPr>
      </w:pPr>
    </w:p>
    <w:p w:rsidR="009D2A34" w:rsidRPr="00B7481D" w:rsidP="009D2A34">
      <w:pPr>
        <w:bidi w:val="0"/>
        <w:ind w:firstLine="708"/>
        <w:jc w:val="both"/>
        <w:rPr>
          <w:rFonts w:ascii="Times New Roman" w:hAnsi="Times New Roman" w:cs="Times New Roman"/>
          <w:color w:val="000000"/>
        </w:rPr>
      </w:pPr>
      <w:r w:rsidRPr="00B7481D">
        <w:rPr>
          <w:rFonts w:ascii="Times New Roman" w:hAnsi="Times New Roman" w:cs="Times New Roman"/>
          <w:color w:val="000000"/>
        </w:rPr>
        <w:t>Objem osobných výdavkov sa na rok 2013 rozpočtuje na úrovni 15,7 mil. eur, čo v porovnaní so schváleným rozpočtom roku 2012 predstavuje nárast o 457 tis. eur (2,99 %)</w:t>
      </w:r>
      <w:r w:rsidR="008F6D51">
        <w:rPr>
          <w:rFonts w:ascii="Times New Roman" w:hAnsi="Times New Roman" w:cs="Times New Roman"/>
          <w:color w:val="000000"/>
        </w:rPr>
        <w:t>.</w:t>
      </w:r>
      <w:r w:rsidRPr="00B7481D">
        <w:rPr>
          <w:rFonts w:ascii="Times New Roman" w:hAnsi="Times New Roman" w:cs="Times New Roman"/>
          <w:color w:val="000000"/>
        </w:rPr>
        <w:t xml:space="preserve"> </w:t>
      </w:r>
      <w:r w:rsidR="008F6D51">
        <w:rPr>
          <w:rFonts w:ascii="Times New Roman" w:hAnsi="Times New Roman" w:cs="Times New Roman"/>
          <w:color w:val="000000"/>
        </w:rPr>
        <w:t xml:space="preserve">V rámci osobných výdavkov </w:t>
      </w:r>
      <w:r>
        <w:rPr>
          <w:rFonts w:ascii="Times New Roman" w:hAnsi="Times New Roman" w:cs="Times New Roman"/>
          <w:color w:val="000000"/>
        </w:rPr>
        <w:t xml:space="preserve">je zabezpečený nárast v súvislosti </w:t>
      </w:r>
      <w:r w:rsidR="008F6D51">
        <w:rPr>
          <w:rFonts w:ascii="Times New Roman" w:hAnsi="Times New Roman" w:cs="Times New Roman"/>
          <w:color w:val="000000"/>
        </w:rPr>
        <w:t>s prevádzkou</w:t>
      </w:r>
      <w:r>
        <w:rPr>
          <w:rFonts w:ascii="Times New Roman" w:hAnsi="Times New Roman" w:cs="Times New Roman"/>
          <w:color w:val="000000"/>
        </w:rPr>
        <w:t xml:space="preserve"> Bratislavského hradu.</w:t>
      </w:r>
    </w:p>
    <w:p w:rsidR="009D2A34" w:rsidRPr="00B7481D" w:rsidP="009D2A34">
      <w:pPr>
        <w:bidi w:val="0"/>
        <w:ind w:firstLine="708"/>
        <w:jc w:val="both"/>
        <w:rPr>
          <w:rFonts w:ascii="Times New Roman" w:hAnsi="Times New Roman" w:cs="Times New Roman"/>
          <w:color w:val="000000"/>
        </w:rPr>
      </w:pPr>
    </w:p>
    <w:p w:rsidR="009D2A34" w:rsidRPr="00B7481D" w:rsidP="009D2A34">
      <w:pPr>
        <w:bidi w:val="0"/>
        <w:ind w:firstLine="708"/>
        <w:jc w:val="both"/>
        <w:rPr>
          <w:rFonts w:ascii="Times New Roman" w:hAnsi="Times New Roman" w:cs="Times New Roman"/>
          <w:color w:val="000000"/>
        </w:rPr>
      </w:pPr>
      <w:r w:rsidRPr="00B7481D">
        <w:rPr>
          <w:rFonts w:ascii="Times New Roman" w:hAnsi="Times New Roman" w:cs="Times New Roman"/>
          <w:color w:val="000000"/>
        </w:rPr>
        <w:t xml:space="preserve">Výdavky na tovary a služby v objeme 7,99 mil. eur klesajú oproti schválenému rozpočtu roku 2012 o 863 tis. eur, čo predstavuje pokles o 9,75 %. </w:t>
      </w:r>
    </w:p>
    <w:p w:rsidR="009D2A34" w:rsidRPr="00B7481D" w:rsidP="009D2A34">
      <w:pPr>
        <w:bidi w:val="0"/>
        <w:ind w:firstLine="708"/>
        <w:jc w:val="both"/>
        <w:rPr>
          <w:rFonts w:ascii="Times New Roman" w:hAnsi="Times New Roman" w:cs="Times New Roman"/>
          <w:color w:val="000000"/>
        </w:rPr>
      </w:pPr>
    </w:p>
    <w:p w:rsidR="009D2A34" w:rsidRPr="00B7481D" w:rsidP="009D2A34">
      <w:pPr>
        <w:bidi w:val="0"/>
        <w:ind w:firstLine="708"/>
        <w:jc w:val="both"/>
        <w:rPr>
          <w:rFonts w:ascii="Times New Roman" w:hAnsi="Times New Roman" w:cs="Times New Roman"/>
          <w:color w:val="000000"/>
        </w:rPr>
      </w:pPr>
      <w:r w:rsidRPr="00B7481D">
        <w:rPr>
          <w:rFonts w:ascii="Times New Roman" w:hAnsi="Times New Roman" w:cs="Times New Roman"/>
          <w:color w:val="000000"/>
        </w:rPr>
        <w:t xml:space="preserve">Bežné transfery kapitoly rozpočtované </w:t>
      </w:r>
      <w:r w:rsidR="001F3259">
        <w:rPr>
          <w:rFonts w:ascii="Times New Roman" w:hAnsi="Times New Roman" w:cs="Times New Roman"/>
          <w:color w:val="000000"/>
        </w:rPr>
        <w:t>na</w:t>
      </w:r>
      <w:r w:rsidRPr="00B7481D">
        <w:rPr>
          <w:rFonts w:ascii="Times New Roman" w:hAnsi="Times New Roman" w:cs="Times New Roman"/>
          <w:color w:val="000000"/>
        </w:rPr>
        <w:t xml:space="preserve"> rok 2013 v objeme 179 tis. eur klesajú oproti schválenému rozpočtu roku 2012 o 821 tis. eur, t.</w:t>
      </w:r>
      <w:r w:rsidR="001F3259">
        <w:rPr>
          <w:rFonts w:ascii="Times New Roman" w:hAnsi="Times New Roman" w:cs="Times New Roman"/>
          <w:color w:val="000000"/>
        </w:rPr>
        <w:t xml:space="preserve"> </w:t>
      </w:r>
      <w:r w:rsidRPr="00B7481D">
        <w:rPr>
          <w:rFonts w:ascii="Times New Roman" w:hAnsi="Times New Roman" w:cs="Times New Roman"/>
          <w:color w:val="000000"/>
        </w:rPr>
        <w:t>j. o 82,1 %. Pokles v oboch kategóriách je ovplyvnený rozpočtovaním výdavkov na predčasné parlamentné voľby v roku 2012.</w:t>
      </w:r>
    </w:p>
    <w:p w:rsidR="009D2A34" w:rsidRPr="00B7481D" w:rsidP="009D2A34">
      <w:pPr>
        <w:bidi w:val="0"/>
        <w:ind w:firstLine="708"/>
        <w:jc w:val="both"/>
        <w:rPr>
          <w:rFonts w:ascii="Times New Roman" w:hAnsi="Times New Roman" w:cs="Times New Roman"/>
          <w:color w:val="000000"/>
        </w:rPr>
      </w:pPr>
    </w:p>
    <w:p w:rsidR="009D2A34" w:rsidRPr="00B7481D" w:rsidP="009D2A34">
      <w:pPr>
        <w:bidi w:val="0"/>
        <w:ind w:firstLine="708"/>
        <w:jc w:val="both"/>
        <w:rPr>
          <w:rFonts w:ascii="Times New Roman" w:hAnsi="Times New Roman" w:cs="Times New Roman"/>
          <w:color w:val="000000"/>
        </w:rPr>
      </w:pPr>
      <w:r w:rsidRPr="00B7481D">
        <w:rPr>
          <w:rFonts w:ascii="Times New Roman" w:hAnsi="Times New Roman" w:cs="Times New Roman"/>
          <w:color w:val="000000"/>
        </w:rPr>
        <w:t xml:space="preserve">Kapitálové výdavky sú na úrovni schváleného rozpočtu na rok 2012 v objeme </w:t>
        <w:br/>
        <w:t xml:space="preserve">332 tis. eur a budú použité na nákup softvéru, doplnenie výpočtovej techniky, rozšírenie informačných systémov Systém na sledovanie legislatívneho procesu, Prepis rozpravy zo schôdzí NR SR, Ekonomicko-personálny informačný systém a  bežnú  obmenu zastaraných a nefunkčných strojov a zariadení. </w:t>
      </w:r>
    </w:p>
    <w:p w:rsidR="008F78C7" w:rsidRPr="007E0D85" w:rsidP="009D2A34">
      <w:pPr>
        <w:bidi w:val="0"/>
        <w:jc w:val="both"/>
        <w:rPr>
          <w:rFonts w:ascii="Times New Roman" w:hAnsi="Times New Roman" w:cs="Times New Roman"/>
          <w:highlight w:val="yellow"/>
        </w:rPr>
      </w:pPr>
    </w:p>
    <w:p w:rsidR="009D2A34" w:rsidRPr="002800D4" w:rsidP="009D2A34">
      <w:pPr>
        <w:pBdr>
          <w:bottom w:val="single" w:sz="4" w:space="1" w:color="auto"/>
        </w:pBdr>
        <w:bidi w:val="0"/>
        <w:rPr>
          <w:rFonts w:ascii="Times New Roman" w:hAnsi="Times New Roman" w:cs="Times New Roman"/>
          <w:b/>
          <w:bCs/>
        </w:rPr>
      </w:pPr>
      <w:r w:rsidRPr="002800D4">
        <w:rPr>
          <w:rFonts w:ascii="Times New Roman" w:hAnsi="Times New Roman" w:cs="Times New Roman"/>
          <w:b/>
          <w:bCs/>
        </w:rPr>
        <w:t>Kancelária prezidenta SR</w:t>
      </w:r>
    </w:p>
    <w:p w:rsidR="009D2A34" w:rsidRPr="002800D4" w:rsidP="009D2A34">
      <w:pPr>
        <w:bidi w:val="0"/>
        <w:rPr>
          <w:rFonts w:ascii="Times New Roman" w:hAnsi="Times New Roman" w:cs="Times New Roman"/>
          <w:b/>
          <w:bCs/>
        </w:rPr>
      </w:pPr>
    </w:p>
    <w:tbl>
      <w:tblPr>
        <w:tblStyle w:val="TableNormal"/>
        <w:tblW w:w="5000" w:type="pct"/>
        <w:tblCellMar>
          <w:left w:w="70" w:type="dxa"/>
          <w:right w:w="70" w:type="dxa"/>
        </w:tblCellMar>
        <w:tblLook w:val="04A0"/>
      </w:tblPr>
      <w:tblGrid>
        <w:gridCol w:w="2556"/>
        <w:gridCol w:w="970"/>
        <w:gridCol w:w="970"/>
        <w:gridCol w:w="971"/>
        <w:gridCol w:w="969"/>
        <w:gridCol w:w="971"/>
        <w:gridCol w:w="969"/>
        <w:gridCol w:w="836"/>
      </w:tblGrid>
      <w:tr>
        <w:tblPrEx>
          <w:tblW w:w="5000" w:type="pct"/>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2800D4" w:rsidP="006338E5">
            <w:pPr>
              <w:bidi w:val="0"/>
              <w:rPr>
                <w:rFonts w:ascii="Times New Roman" w:hAnsi="Times New Roman" w:cs="Times New Roman"/>
                <w:b/>
                <w:color w:val="000000"/>
                <w:sz w:val="14"/>
                <w:szCs w:val="14"/>
              </w:rPr>
            </w:pPr>
            <w:r w:rsidRPr="002800D4">
              <w:rPr>
                <w:rFonts w:ascii="Times New Roman" w:hAnsi="Times New Roman" w:cs="Times New Roman"/>
                <w:b/>
                <w:color w:val="000000"/>
                <w:sz w:val="14"/>
                <w:szCs w:val="14"/>
              </w:rPr>
              <w:t>v eurách</w:t>
            </w:r>
          </w:p>
        </w:tc>
        <w:tc>
          <w:tcPr>
            <w:tcW w:w="52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2800D4" w:rsidP="006338E5">
            <w:pPr>
              <w:bidi w:val="0"/>
              <w:jc w:val="center"/>
              <w:rPr>
                <w:rFonts w:ascii="Times New Roman" w:hAnsi="Times New Roman" w:cs="Times New Roman"/>
                <w:b/>
                <w:color w:val="000000"/>
                <w:sz w:val="14"/>
                <w:szCs w:val="14"/>
              </w:rPr>
            </w:pPr>
            <w:r w:rsidRPr="002800D4">
              <w:rPr>
                <w:rFonts w:ascii="Times New Roman" w:hAnsi="Times New Roman" w:cs="Times New Roman"/>
                <w:b/>
                <w:color w:val="000000"/>
                <w:sz w:val="14"/>
                <w:szCs w:val="14"/>
              </w:rPr>
              <w:t>2010 S</w:t>
            </w:r>
          </w:p>
        </w:tc>
        <w:tc>
          <w:tcPr>
            <w:tcW w:w="52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2800D4" w:rsidP="006338E5">
            <w:pPr>
              <w:bidi w:val="0"/>
              <w:jc w:val="center"/>
              <w:rPr>
                <w:rFonts w:ascii="Times New Roman" w:hAnsi="Times New Roman" w:cs="Times New Roman"/>
                <w:b/>
                <w:color w:val="000000"/>
                <w:sz w:val="14"/>
                <w:szCs w:val="14"/>
              </w:rPr>
            </w:pPr>
            <w:r w:rsidRPr="002800D4">
              <w:rPr>
                <w:rFonts w:ascii="Times New Roman" w:hAnsi="Times New Roman" w:cs="Times New Roman"/>
                <w:b/>
                <w:color w:val="000000"/>
                <w:sz w:val="14"/>
                <w:szCs w:val="14"/>
              </w:rPr>
              <w:t>2011 S</w:t>
            </w:r>
          </w:p>
        </w:tc>
        <w:tc>
          <w:tcPr>
            <w:tcW w:w="52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2800D4" w:rsidP="006338E5">
            <w:pPr>
              <w:bidi w:val="0"/>
              <w:jc w:val="center"/>
              <w:rPr>
                <w:rFonts w:ascii="Times New Roman" w:hAnsi="Times New Roman" w:cs="Times New Roman"/>
                <w:b/>
                <w:color w:val="000000"/>
                <w:sz w:val="14"/>
                <w:szCs w:val="14"/>
              </w:rPr>
            </w:pPr>
            <w:r w:rsidRPr="002800D4">
              <w:rPr>
                <w:rFonts w:ascii="Times New Roman" w:hAnsi="Times New Roman" w:cs="Times New Roman"/>
                <w:b/>
                <w:color w:val="000000"/>
                <w:sz w:val="14"/>
                <w:szCs w:val="14"/>
              </w:rPr>
              <w:t>2012 R</w:t>
            </w:r>
          </w:p>
        </w:tc>
        <w:tc>
          <w:tcPr>
            <w:tcW w:w="52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2800D4" w:rsidP="006338E5">
            <w:pPr>
              <w:bidi w:val="0"/>
              <w:jc w:val="center"/>
              <w:rPr>
                <w:rFonts w:ascii="Times New Roman" w:hAnsi="Times New Roman" w:cs="Times New Roman"/>
                <w:b/>
                <w:color w:val="000000"/>
                <w:sz w:val="14"/>
                <w:szCs w:val="14"/>
              </w:rPr>
            </w:pPr>
            <w:r w:rsidRPr="002800D4">
              <w:rPr>
                <w:rFonts w:ascii="Times New Roman" w:hAnsi="Times New Roman" w:cs="Times New Roman"/>
                <w:b/>
                <w:color w:val="000000"/>
                <w:sz w:val="14"/>
                <w:szCs w:val="14"/>
              </w:rPr>
              <w:t>2012 OS</w:t>
            </w:r>
          </w:p>
        </w:tc>
        <w:tc>
          <w:tcPr>
            <w:tcW w:w="52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2800D4" w:rsidP="006338E5">
            <w:pPr>
              <w:bidi w:val="0"/>
              <w:jc w:val="center"/>
              <w:rPr>
                <w:rFonts w:ascii="Times New Roman" w:hAnsi="Times New Roman" w:cs="Times New Roman"/>
                <w:b/>
                <w:color w:val="000000"/>
                <w:sz w:val="14"/>
                <w:szCs w:val="14"/>
              </w:rPr>
            </w:pPr>
            <w:r w:rsidRPr="002800D4">
              <w:rPr>
                <w:rFonts w:ascii="Times New Roman" w:hAnsi="Times New Roman" w:cs="Times New Roman"/>
                <w:b/>
                <w:color w:val="000000"/>
                <w:sz w:val="14"/>
                <w:szCs w:val="14"/>
              </w:rPr>
              <w:t>2013 N</w:t>
            </w:r>
          </w:p>
        </w:tc>
        <w:tc>
          <w:tcPr>
            <w:tcW w:w="52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2800D4" w:rsidP="006338E5">
            <w:pPr>
              <w:bidi w:val="0"/>
              <w:jc w:val="center"/>
              <w:rPr>
                <w:rFonts w:ascii="Times New Roman" w:hAnsi="Times New Roman" w:cs="Times New Roman"/>
                <w:b/>
                <w:color w:val="000000"/>
                <w:sz w:val="14"/>
                <w:szCs w:val="14"/>
              </w:rPr>
            </w:pPr>
            <w:r w:rsidRPr="002800D4">
              <w:rPr>
                <w:rFonts w:ascii="Times New Roman" w:hAnsi="Times New Roman" w:cs="Times New Roman"/>
                <w:b/>
                <w:color w:val="000000"/>
                <w:sz w:val="14"/>
                <w:szCs w:val="14"/>
              </w:rPr>
              <w:t>2014 N</w:t>
            </w:r>
          </w:p>
        </w:tc>
        <w:tc>
          <w:tcPr>
            <w:tcW w:w="45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2800D4" w:rsidP="006338E5">
            <w:pPr>
              <w:bidi w:val="0"/>
              <w:jc w:val="center"/>
              <w:rPr>
                <w:rFonts w:ascii="Times New Roman" w:hAnsi="Times New Roman" w:cs="Times New Roman"/>
                <w:b/>
                <w:color w:val="000000"/>
                <w:sz w:val="14"/>
                <w:szCs w:val="14"/>
              </w:rPr>
            </w:pPr>
            <w:r w:rsidRPr="002800D4">
              <w:rPr>
                <w:rFonts w:ascii="Times New Roman" w:hAnsi="Times New Roman" w:cs="Times New Roman"/>
                <w:b/>
                <w:color w:val="000000"/>
                <w:sz w:val="14"/>
                <w:szCs w:val="14"/>
              </w:rPr>
              <w:t>2015 N</w:t>
            </w:r>
          </w:p>
        </w:tc>
      </w:tr>
      <w:tr>
        <w:tblPrEx>
          <w:tblW w:w="5000" w:type="pct"/>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shd w:val="clear" w:color="000000" w:fill="C0C0C0"/>
            <w:noWrap/>
            <w:textDirection w:val="lrTb"/>
            <w:vAlign w:val="center"/>
            <w:hideMark/>
          </w:tcPr>
          <w:p w:rsidR="009D2A34" w:rsidRPr="002800D4" w:rsidP="006338E5">
            <w:pPr>
              <w:bidi w:val="0"/>
              <w:rPr>
                <w:rFonts w:ascii="Times New Roman" w:hAnsi="Times New Roman" w:cs="Times New Roman"/>
                <w:b/>
                <w:bCs/>
                <w:sz w:val="14"/>
                <w:szCs w:val="14"/>
              </w:rPr>
            </w:pPr>
            <w:r w:rsidRPr="002800D4">
              <w:rPr>
                <w:rFonts w:ascii="Times New Roman" w:hAnsi="Times New Roman" w:cs="Times New Roman"/>
                <w:b/>
                <w:bCs/>
                <w:sz w:val="14"/>
                <w:szCs w:val="14"/>
              </w:rPr>
              <w:t>Zdroje príslušnej kapitoly</w:t>
            </w:r>
          </w:p>
        </w:tc>
        <w:tc>
          <w:tcPr>
            <w:tcW w:w="526" w:type="pct"/>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9D2A34" w:rsidRPr="002800D4" w:rsidP="006338E5">
            <w:pPr>
              <w:bidi w:val="0"/>
              <w:jc w:val="right"/>
              <w:rPr>
                <w:rFonts w:ascii="Times New Roman" w:hAnsi="Times New Roman" w:cs="Times New Roman"/>
                <w:b/>
                <w:bCs/>
                <w:sz w:val="14"/>
                <w:szCs w:val="14"/>
              </w:rPr>
            </w:pPr>
            <w:r w:rsidRPr="002800D4">
              <w:rPr>
                <w:rFonts w:ascii="Times New Roman" w:hAnsi="Times New Roman" w:cs="Times New Roman"/>
                <w:b/>
                <w:bCs/>
                <w:sz w:val="14"/>
                <w:szCs w:val="14"/>
              </w:rPr>
              <w:t>4 120 042</w:t>
            </w:r>
          </w:p>
        </w:tc>
        <w:tc>
          <w:tcPr>
            <w:tcW w:w="526" w:type="pct"/>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9D2A34" w:rsidRPr="002800D4" w:rsidP="006338E5">
            <w:pPr>
              <w:bidi w:val="0"/>
              <w:jc w:val="right"/>
              <w:rPr>
                <w:rFonts w:ascii="Times New Roman" w:hAnsi="Times New Roman" w:cs="Times New Roman"/>
                <w:b/>
                <w:bCs/>
                <w:sz w:val="14"/>
                <w:szCs w:val="14"/>
              </w:rPr>
            </w:pPr>
            <w:r w:rsidRPr="002800D4">
              <w:rPr>
                <w:rFonts w:ascii="Times New Roman" w:hAnsi="Times New Roman" w:cs="Times New Roman"/>
                <w:b/>
                <w:bCs/>
                <w:sz w:val="14"/>
                <w:szCs w:val="14"/>
              </w:rPr>
              <w:t>3 838 763</w:t>
            </w:r>
          </w:p>
        </w:tc>
        <w:tc>
          <w:tcPr>
            <w:tcW w:w="527" w:type="pct"/>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9D2A34" w:rsidRPr="002800D4" w:rsidP="006338E5">
            <w:pPr>
              <w:bidi w:val="0"/>
              <w:jc w:val="right"/>
              <w:rPr>
                <w:rFonts w:ascii="Times New Roman" w:hAnsi="Times New Roman" w:cs="Times New Roman"/>
                <w:b/>
                <w:bCs/>
                <w:sz w:val="14"/>
                <w:szCs w:val="14"/>
              </w:rPr>
            </w:pPr>
            <w:r w:rsidRPr="002800D4">
              <w:rPr>
                <w:rFonts w:ascii="Times New Roman" w:hAnsi="Times New Roman" w:cs="Times New Roman"/>
                <w:b/>
                <w:bCs/>
                <w:sz w:val="14"/>
                <w:szCs w:val="14"/>
              </w:rPr>
              <w:t>3 849 323</w:t>
            </w:r>
          </w:p>
        </w:tc>
        <w:tc>
          <w:tcPr>
            <w:tcW w:w="526" w:type="pct"/>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9D2A34" w:rsidRPr="002800D4" w:rsidP="006338E5">
            <w:pPr>
              <w:bidi w:val="0"/>
              <w:jc w:val="right"/>
              <w:rPr>
                <w:rFonts w:ascii="Times New Roman" w:hAnsi="Times New Roman" w:cs="Times New Roman"/>
                <w:b/>
                <w:bCs/>
                <w:sz w:val="14"/>
                <w:szCs w:val="14"/>
              </w:rPr>
            </w:pPr>
            <w:r w:rsidRPr="002800D4">
              <w:rPr>
                <w:rFonts w:ascii="Times New Roman" w:hAnsi="Times New Roman" w:cs="Times New Roman"/>
                <w:b/>
                <w:bCs/>
                <w:sz w:val="14"/>
                <w:szCs w:val="14"/>
              </w:rPr>
              <w:t>4 622 267</w:t>
            </w:r>
          </w:p>
        </w:tc>
        <w:tc>
          <w:tcPr>
            <w:tcW w:w="527" w:type="pct"/>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9D2A34" w:rsidRPr="002800D4" w:rsidP="006338E5">
            <w:pPr>
              <w:bidi w:val="0"/>
              <w:jc w:val="right"/>
              <w:rPr>
                <w:rFonts w:ascii="Times New Roman" w:hAnsi="Times New Roman" w:cs="Times New Roman"/>
                <w:b/>
                <w:bCs/>
                <w:sz w:val="14"/>
                <w:szCs w:val="14"/>
              </w:rPr>
            </w:pPr>
            <w:r w:rsidRPr="002800D4">
              <w:rPr>
                <w:rFonts w:ascii="Times New Roman" w:hAnsi="Times New Roman" w:cs="Times New Roman"/>
                <w:b/>
                <w:bCs/>
                <w:sz w:val="14"/>
                <w:szCs w:val="14"/>
              </w:rPr>
              <w:t>4 258 904</w:t>
            </w:r>
          </w:p>
        </w:tc>
        <w:tc>
          <w:tcPr>
            <w:tcW w:w="526" w:type="pct"/>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9D2A34" w:rsidRPr="002800D4" w:rsidP="006338E5">
            <w:pPr>
              <w:bidi w:val="0"/>
              <w:jc w:val="right"/>
              <w:rPr>
                <w:rFonts w:ascii="Times New Roman" w:hAnsi="Times New Roman" w:cs="Times New Roman"/>
                <w:b/>
                <w:bCs/>
                <w:sz w:val="14"/>
                <w:szCs w:val="14"/>
              </w:rPr>
            </w:pPr>
            <w:r w:rsidRPr="002800D4">
              <w:rPr>
                <w:rFonts w:ascii="Times New Roman" w:hAnsi="Times New Roman" w:cs="Times New Roman"/>
                <w:b/>
                <w:bCs/>
                <w:sz w:val="14"/>
                <w:szCs w:val="14"/>
              </w:rPr>
              <w:t>4 037 202</w:t>
            </w:r>
          </w:p>
        </w:tc>
        <w:tc>
          <w:tcPr>
            <w:tcW w:w="454" w:type="pct"/>
            <w:tcBorders>
              <w:top w:val="single" w:sz="4" w:space="0" w:color="auto"/>
              <w:left w:val="single" w:sz="4" w:space="0" w:color="auto"/>
              <w:bottom w:val="single" w:sz="4" w:space="0" w:color="auto"/>
              <w:right w:val="single" w:sz="4" w:space="0" w:color="auto"/>
            </w:tcBorders>
            <w:shd w:val="clear" w:color="000000" w:fill="C0C0C0"/>
            <w:textDirection w:val="lrTb"/>
            <w:vAlign w:val="center"/>
          </w:tcPr>
          <w:p w:rsidR="009D2A34" w:rsidRPr="002800D4" w:rsidP="006338E5">
            <w:pPr>
              <w:bidi w:val="0"/>
              <w:jc w:val="right"/>
              <w:rPr>
                <w:rFonts w:ascii="Times New Roman" w:hAnsi="Times New Roman" w:cs="Times New Roman"/>
                <w:b/>
                <w:bCs/>
                <w:sz w:val="14"/>
                <w:szCs w:val="14"/>
              </w:rPr>
            </w:pPr>
            <w:r w:rsidRPr="002800D4">
              <w:rPr>
                <w:rFonts w:ascii="Times New Roman" w:hAnsi="Times New Roman" w:cs="Times New Roman"/>
                <w:b/>
                <w:bCs/>
                <w:sz w:val="14"/>
                <w:szCs w:val="14"/>
              </w:rPr>
              <w:t>4 051 259</w:t>
            </w:r>
          </w:p>
        </w:tc>
      </w:tr>
      <w:tr>
        <w:tblPrEx>
          <w:tblW w:w="5000" w:type="pct"/>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800D4" w:rsidP="006338E5">
            <w:pPr>
              <w:bidi w:val="0"/>
              <w:rPr>
                <w:rFonts w:ascii="Times New Roman" w:hAnsi="Times New Roman" w:cs="Times New Roman"/>
                <w:b/>
                <w:sz w:val="14"/>
                <w:szCs w:val="14"/>
              </w:rPr>
            </w:pPr>
            <w:r w:rsidRPr="002800D4">
              <w:rPr>
                <w:rFonts w:ascii="Times New Roman" w:hAnsi="Times New Roman" w:cs="Times New Roman"/>
                <w:b/>
                <w:sz w:val="14"/>
                <w:szCs w:val="14"/>
              </w:rPr>
              <w:t xml:space="preserve">rozpočtové zdroje kapitoly </w:t>
            </w:r>
          </w:p>
        </w:tc>
        <w:tc>
          <w:tcPr>
            <w:tcW w:w="526" w:type="pct"/>
            <w:tcBorders>
              <w:top w:val="single" w:sz="4" w:space="0" w:color="auto"/>
              <w:left w:val="single" w:sz="4" w:space="0" w:color="auto"/>
              <w:bottom w:val="single" w:sz="4" w:space="0" w:color="auto"/>
              <w:right w:val="single" w:sz="4" w:space="0" w:color="auto"/>
            </w:tcBorders>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3 946 534</w:t>
            </w:r>
          </w:p>
        </w:tc>
        <w:tc>
          <w:tcPr>
            <w:tcW w:w="526" w:type="pct"/>
            <w:tcBorders>
              <w:top w:val="single" w:sz="4" w:space="0" w:color="auto"/>
              <w:left w:val="single" w:sz="4" w:space="0" w:color="auto"/>
              <w:bottom w:val="single" w:sz="4" w:space="0" w:color="auto"/>
              <w:right w:val="single" w:sz="4" w:space="0" w:color="auto"/>
            </w:tcBorders>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3 576 636</w:t>
            </w:r>
          </w:p>
        </w:tc>
        <w:tc>
          <w:tcPr>
            <w:tcW w:w="527" w:type="pct"/>
            <w:tcBorders>
              <w:top w:val="single" w:sz="4" w:space="0" w:color="auto"/>
              <w:left w:val="single" w:sz="4" w:space="0" w:color="auto"/>
              <w:bottom w:val="single" w:sz="4" w:space="0" w:color="auto"/>
              <w:right w:val="single" w:sz="4" w:space="0" w:color="auto"/>
            </w:tcBorders>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3 849 323</w:t>
            </w:r>
          </w:p>
        </w:tc>
        <w:tc>
          <w:tcPr>
            <w:tcW w:w="526" w:type="pct"/>
            <w:tcBorders>
              <w:top w:val="single" w:sz="4" w:space="0" w:color="auto"/>
              <w:left w:val="single" w:sz="4" w:space="0" w:color="auto"/>
              <w:bottom w:val="single" w:sz="4" w:space="0" w:color="auto"/>
              <w:right w:val="single" w:sz="4" w:space="0" w:color="auto"/>
            </w:tcBorders>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3 849 323</w:t>
            </w:r>
          </w:p>
        </w:tc>
        <w:tc>
          <w:tcPr>
            <w:tcW w:w="527" w:type="pct"/>
            <w:tcBorders>
              <w:top w:val="single" w:sz="4" w:space="0" w:color="auto"/>
              <w:left w:val="single" w:sz="4" w:space="0" w:color="auto"/>
              <w:bottom w:val="single" w:sz="4" w:space="0" w:color="auto"/>
              <w:right w:val="single" w:sz="4" w:space="0" w:color="auto"/>
            </w:tcBorders>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4 258 904</w:t>
            </w:r>
          </w:p>
        </w:tc>
        <w:tc>
          <w:tcPr>
            <w:tcW w:w="526" w:type="pct"/>
            <w:tcBorders>
              <w:top w:val="single" w:sz="4" w:space="0" w:color="auto"/>
              <w:left w:val="single" w:sz="4" w:space="0" w:color="auto"/>
              <w:bottom w:val="single" w:sz="4" w:space="0" w:color="auto"/>
              <w:right w:val="single" w:sz="4" w:space="0" w:color="auto"/>
            </w:tcBorders>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4 037 202</w:t>
            </w:r>
          </w:p>
        </w:tc>
        <w:tc>
          <w:tcPr>
            <w:tcW w:w="454" w:type="pct"/>
            <w:tcBorders>
              <w:top w:val="single" w:sz="4" w:space="0" w:color="auto"/>
              <w:left w:val="single" w:sz="4" w:space="0" w:color="auto"/>
              <w:bottom w:val="single" w:sz="4" w:space="0" w:color="auto"/>
              <w:right w:val="single" w:sz="4" w:space="0" w:color="auto"/>
            </w:tcBorders>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4 051 259</w:t>
            </w:r>
          </w:p>
        </w:tc>
      </w:tr>
      <w:tr>
        <w:tblPrEx>
          <w:tblW w:w="5000" w:type="pct"/>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800D4" w:rsidP="006338E5">
            <w:pPr>
              <w:bidi w:val="0"/>
              <w:rPr>
                <w:rFonts w:ascii="Times New Roman" w:hAnsi="Times New Roman" w:cs="Times New Roman"/>
                <w:sz w:val="14"/>
                <w:szCs w:val="14"/>
              </w:rPr>
            </w:pPr>
            <w:r w:rsidRPr="002800D4">
              <w:rPr>
                <w:rFonts w:ascii="Times New Roman" w:hAnsi="Times New Roman" w:cs="Times New Roman"/>
                <w:sz w:val="14"/>
                <w:szCs w:val="14"/>
              </w:rPr>
              <w:t xml:space="preserve">        v tom: bežné výdavky 600</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 3 946 534</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3 562 677</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3 688 479</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3 688 479</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3 871 760</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3 876 358</w:t>
            </w:r>
          </w:p>
        </w:tc>
        <w:tc>
          <w:tcPr>
            <w:tcW w:w="454"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3 890 415</w:t>
            </w:r>
          </w:p>
        </w:tc>
      </w:tr>
      <w:tr>
        <w:tblPrEx>
          <w:tblW w:w="5000" w:type="pct"/>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800D4" w:rsidP="006338E5">
            <w:pPr>
              <w:bidi w:val="0"/>
              <w:rPr>
                <w:rFonts w:ascii="Times New Roman" w:hAnsi="Times New Roman" w:cs="Times New Roman"/>
                <w:sz w:val="14"/>
                <w:szCs w:val="14"/>
              </w:rPr>
            </w:pPr>
            <w:r w:rsidRPr="002800D4">
              <w:rPr>
                <w:rFonts w:ascii="Times New Roman" w:hAnsi="Times New Roman" w:cs="Times New Roman"/>
                <w:sz w:val="14"/>
                <w:szCs w:val="14"/>
              </w:rPr>
              <w:t xml:space="preserve">                               610 mzdy</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1 656 272</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1 571 548</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1 414 813</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1 550 813</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1 550 813</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1 554 221</w:t>
            </w:r>
          </w:p>
        </w:tc>
        <w:tc>
          <w:tcPr>
            <w:tcW w:w="454"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1 564 637</w:t>
            </w:r>
          </w:p>
        </w:tc>
      </w:tr>
      <w:tr>
        <w:tblPrEx>
          <w:tblW w:w="5000" w:type="pct"/>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800D4" w:rsidP="006338E5">
            <w:pPr>
              <w:bidi w:val="0"/>
              <w:rPr>
                <w:rFonts w:ascii="Times New Roman" w:hAnsi="Times New Roman" w:cs="Times New Roman"/>
                <w:sz w:val="14"/>
                <w:szCs w:val="14"/>
              </w:rPr>
            </w:pPr>
            <w:r w:rsidRPr="002800D4">
              <w:rPr>
                <w:rFonts w:ascii="Times New Roman" w:hAnsi="Times New Roman" w:cs="Times New Roman"/>
                <w:sz w:val="14"/>
                <w:szCs w:val="14"/>
              </w:rPr>
              <w:t xml:space="preserve">                               620 odvody</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533 328</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524 789</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493 920</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493 920</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562 929</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562 828</w:t>
            </w:r>
          </w:p>
        </w:tc>
        <w:tc>
          <w:tcPr>
            <w:tcW w:w="454"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562 661</w:t>
            </w:r>
          </w:p>
        </w:tc>
      </w:tr>
      <w:tr>
        <w:tblPrEx>
          <w:tblW w:w="5000" w:type="pct"/>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800D4" w:rsidP="006338E5">
            <w:pPr>
              <w:bidi w:val="0"/>
              <w:rPr>
                <w:rFonts w:ascii="Times New Roman" w:hAnsi="Times New Roman" w:cs="Times New Roman"/>
                <w:sz w:val="14"/>
                <w:szCs w:val="14"/>
              </w:rPr>
            </w:pPr>
            <w:r w:rsidRPr="002800D4">
              <w:rPr>
                <w:rFonts w:ascii="Times New Roman" w:hAnsi="Times New Roman" w:cs="Times New Roman"/>
                <w:sz w:val="14"/>
                <w:szCs w:val="14"/>
              </w:rPr>
              <w:t xml:space="preserve">                               630 tovary a služby</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1 650 483</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1 359 917</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1 677 841</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1 541 841</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1 656 113</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1 657 404</w:t>
            </w:r>
          </w:p>
        </w:tc>
        <w:tc>
          <w:tcPr>
            <w:tcW w:w="454"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1 661 212</w:t>
            </w:r>
          </w:p>
        </w:tc>
      </w:tr>
      <w:tr>
        <w:tblPrEx>
          <w:tblW w:w="5000" w:type="pct"/>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800D4" w:rsidP="006338E5">
            <w:pPr>
              <w:bidi w:val="0"/>
              <w:rPr>
                <w:rFonts w:ascii="Times New Roman" w:hAnsi="Times New Roman" w:cs="Times New Roman"/>
                <w:sz w:val="14"/>
                <w:szCs w:val="14"/>
              </w:rPr>
            </w:pPr>
            <w:r w:rsidRPr="002800D4">
              <w:rPr>
                <w:rFonts w:ascii="Times New Roman" w:hAnsi="Times New Roman" w:cs="Times New Roman"/>
                <w:sz w:val="14"/>
                <w:szCs w:val="14"/>
              </w:rPr>
              <w:t xml:space="preserve">                               640 bežné transfery</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106 451</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106 422</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101 905</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101 905</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101 905</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101 905</w:t>
            </w:r>
          </w:p>
        </w:tc>
        <w:tc>
          <w:tcPr>
            <w:tcW w:w="454"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101 905</w:t>
            </w:r>
          </w:p>
        </w:tc>
      </w:tr>
      <w:tr>
        <w:tblPrEx>
          <w:tblW w:w="5000" w:type="pct"/>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800D4" w:rsidP="006338E5">
            <w:pPr>
              <w:bidi w:val="0"/>
              <w:rPr>
                <w:rFonts w:ascii="Times New Roman" w:hAnsi="Times New Roman" w:cs="Times New Roman"/>
                <w:sz w:val="14"/>
                <w:szCs w:val="14"/>
              </w:rPr>
            </w:pPr>
            <w:r w:rsidRPr="002800D4">
              <w:rPr>
                <w:rFonts w:ascii="Times New Roman" w:hAnsi="Times New Roman" w:cs="Times New Roman"/>
                <w:sz w:val="14"/>
                <w:szCs w:val="14"/>
              </w:rPr>
              <w:t xml:space="preserve">                   kapitálové výdavky 700</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 0</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13 959</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160 844</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160 844</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387 144</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160 844</w:t>
            </w:r>
          </w:p>
        </w:tc>
        <w:tc>
          <w:tcPr>
            <w:tcW w:w="454"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sz w:val="14"/>
                <w:szCs w:val="14"/>
              </w:rPr>
            </w:pPr>
            <w:r w:rsidRPr="002800D4">
              <w:rPr>
                <w:rFonts w:ascii="Times New Roman" w:hAnsi="Times New Roman" w:cs="Times New Roman"/>
                <w:sz w:val="14"/>
                <w:szCs w:val="14"/>
              </w:rPr>
              <w:t>160 844</w:t>
            </w:r>
          </w:p>
        </w:tc>
      </w:tr>
      <w:tr>
        <w:tblPrEx>
          <w:tblW w:w="5000" w:type="pct"/>
          <w:tblCellMar>
            <w:left w:w="70" w:type="dxa"/>
            <w:right w:w="70" w:type="dxa"/>
          </w:tblCellMar>
          <w:tblLook w:val="04A0"/>
        </w:tblPrEx>
        <w:trPr>
          <w:trHeight w:val="259"/>
        </w:trPr>
        <w:tc>
          <w:tcPr>
            <w:tcW w:w="1387"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2800D4" w:rsidP="006338E5">
            <w:pPr>
              <w:bidi w:val="0"/>
              <w:rPr>
                <w:rFonts w:ascii="Times New Roman" w:hAnsi="Times New Roman" w:cs="Times New Roman"/>
                <w:b/>
                <w:color w:val="000000"/>
                <w:sz w:val="14"/>
                <w:szCs w:val="14"/>
              </w:rPr>
            </w:pPr>
            <w:r w:rsidRPr="002800D4">
              <w:rPr>
                <w:rFonts w:ascii="Times New Roman" w:hAnsi="Times New Roman" w:cs="Times New Roman"/>
                <w:b/>
                <w:color w:val="000000"/>
                <w:sz w:val="14"/>
                <w:szCs w:val="14"/>
              </w:rPr>
              <w:t>presun z minulých rokov</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 173 508</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262 127</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0</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772 944</w:t>
            </w:r>
          </w:p>
        </w:tc>
        <w:tc>
          <w:tcPr>
            <w:tcW w:w="527"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 0</w:t>
            </w:r>
          </w:p>
        </w:tc>
        <w:tc>
          <w:tcPr>
            <w:tcW w:w="526"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 0</w:t>
            </w:r>
          </w:p>
        </w:tc>
        <w:tc>
          <w:tcPr>
            <w:tcW w:w="454" w:type="pct"/>
            <w:tcBorders>
              <w:top w:val="single" w:sz="4" w:space="0" w:color="auto"/>
              <w:left w:val="single" w:sz="4" w:space="0" w:color="auto"/>
              <w:bottom w:val="single" w:sz="4" w:space="0" w:color="auto"/>
              <w:right w:val="single" w:sz="4" w:space="0" w:color="auto"/>
            </w:tcBorders>
            <w:noWrap/>
            <w:textDirection w:val="lrTb"/>
            <w:vAlign w:val="center"/>
          </w:tcPr>
          <w:p w:rsidR="009D2A34" w:rsidRPr="002800D4" w:rsidP="006338E5">
            <w:pPr>
              <w:bidi w:val="0"/>
              <w:jc w:val="right"/>
              <w:rPr>
                <w:rFonts w:ascii="Times New Roman" w:hAnsi="Times New Roman" w:cs="Times New Roman"/>
                <w:b/>
                <w:sz w:val="14"/>
                <w:szCs w:val="14"/>
              </w:rPr>
            </w:pPr>
            <w:r w:rsidRPr="002800D4">
              <w:rPr>
                <w:rFonts w:ascii="Times New Roman" w:hAnsi="Times New Roman" w:cs="Times New Roman"/>
                <w:b/>
                <w:sz w:val="14"/>
                <w:szCs w:val="14"/>
              </w:rPr>
              <w:t> 0</w:t>
            </w:r>
          </w:p>
        </w:tc>
      </w:tr>
    </w:tbl>
    <w:p w:rsidR="009D2A34" w:rsidRPr="002800D4" w:rsidP="009D2A34">
      <w:pPr>
        <w:autoSpaceDE w:val="0"/>
        <w:autoSpaceDN w:val="0"/>
        <w:bidi w:val="0"/>
        <w:adjustRightInd w:val="0"/>
        <w:jc w:val="both"/>
        <w:rPr>
          <w:rFonts w:ascii="Times New Roman" w:hAnsi="Times New Roman" w:cs="Times New Roman"/>
          <w:highlight w:val="yellow"/>
        </w:rPr>
      </w:pPr>
    </w:p>
    <w:p w:rsidR="009D2A34" w:rsidRPr="000746AC" w:rsidP="009D2A34">
      <w:pPr>
        <w:autoSpaceDE w:val="0"/>
        <w:autoSpaceDN w:val="0"/>
        <w:bidi w:val="0"/>
        <w:ind w:firstLine="708"/>
        <w:jc w:val="both"/>
        <w:rPr>
          <w:rFonts w:ascii="Times New Roman" w:hAnsi="Times New Roman" w:cs="Times New Roman"/>
        </w:rPr>
      </w:pPr>
      <w:r w:rsidRPr="000746AC">
        <w:rPr>
          <w:rFonts w:ascii="Times New Roman" w:hAnsi="Times New Roman" w:cs="Times New Roman"/>
        </w:rPr>
        <w:t>Na rok 2013 sa pre kapitolu navrhuje limit výdavkov v sume 4,2</w:t>
      </w:r>
      <w:r w:rsidR="00AF4BD6">
        <w:rPr>
          <w:rFonts w:ascii="Times New Roman" w:hAnsi="Times New Roman" w:cs="Times New Roman"/>
        </w:rPr>
        <w:t>6</w:t>
      </w:r>
      <w:r w:rsidRPr="000746AC">
        <w:rPr>
          <w:rFonts w:ascii="Times New Roman" w:hAnsi="Times New Roman" w:cs="Times New Roman"/>
        </w:rPr>
        <w:t xml:space="preserve"> mil. eur, čo je nárast o 410 tis. eur, t.</w:t>
      </w:r>
      <w:r w:rsidR="001F3259">
        <w:rPr>
          <w:rFonts w:ascii="Times New Roman" w:hAnsi="Times New Roman" w:cs="Times New Roman"/>
        </w:rPr>
        <w:t xml:space="preserve"> </w:t>
      </w:r>
      <w:r w:rsidRPr="000746AC">
        <w:rPr>
          <w:rFonts w:ascii="Times New Roman" w:hAnsi="Times New Roman" w:cs="Times New Roman"/>
        </w:rPr>
        <w:t>j. o 10,6 % v porovnaní so schváleným rozpočtom roku 2012. Medziročný nárast odráža zvýšené pracovné aktivity a povinnosti prezidenta republiky spojené s politickou a spoločenskou činnosťou v oblasti vnútornej a zahraničnej politiky.</w:t>
      </w:r>
    </w:p>
    <w:p w:rsidR="009D2A34" w:rsidRPr="000746AC" w:rsidP="009D2A34">
      <w:pPr>
        <w:bidi w:val="0"/>
        <w:ind w:firstLine="708"/>
        <w:jc w:val="both"/>
        <w:rPr>
          <w:rFonts w:ascii="Times New Roman" w:hAnsi="Times New Roman" w:cs="Times New Roman"/>
        </w:rPr>
      </w:pPr>
    </w:p>
    <w:p w:rsidR="009D2A34" w:rsidRPr="000746AC" w:rsidP="009D2A34">
      <w:pPr>
        <w:bidi w:val="0"/>
        <w:ind w:firstLine="708"/>
        <w:jc w:val="both"/>
        <w:rPr>
          <w:rFonts w:ascii="Times New Roman" w:hAnsi="Times New Roman" w:cs="Times New Roman"/>
          <w:color w:val="C00000"/>
        </w:rPr>
      </w:pPr>
      <w:r w:rsidRPr="000746AC">
        <w:rPr>
          <w:rFonts w:ascii="Times New Roman" w:hAnsi="Times New Roman" w:cs="Times New Roman"/>
        </w:rPr>
        <w:t>Objem osobných výdavkov sa na rok 2013 rozpočtuje na úrovni 2,11 mil. eur, čo je nárast o 205 tis. eur, t.</w:t>
      </w:r>
      <w:r w:rsidR="001F3259">
        <w:rPr>
          <w:rFonts w:ascii="Times New Roman" w:hAnsi="Times New Roman" w:cs="Times New Roman"/>
        </w:rPr>
        <w:t xml:space="preserve"> </w:t>
      </w:r>
      <w:r w:rsidRPr="000746AC">
        <w:rPr>
          <w:rFonts w:ascii="Times New Roman" w:hAnsi="Times New Roman" w:cs="Times New Roman"/>
        </w:rPr>
        <w:t>j. o 10,7 % v porovnaní so schváleným rozpočtom roku 2012. Predmetný nárast je spôsobený zvýšením limitu osobných výdavkov na zabezpečenie plnenia úloh v zmysle zákona č. 16/1993 Z.</w:t>
      </w:r>
      <w:r w:rsidR="001F3259">
        <w:rPr>
          <w:rFonts w:ascii="Times New Roman" w:hAnsi="Times New Roman" w:cs="Times New Roman"/>
        </w:rPr>
        <w:t xml:space="preserve"> </w:t>
      </w:r>
      <w:r w:rsidRPr="000746AC">
        <w:rPr>
          <w:rFonts w:ascii="Times New Roman" w:hAnsi="Times New Roman" w:cs="Times New Roman"/>
        </w:rPr>
        <w:t>z. o Kancelárii prezidenta SR pri minimálnom počte 95 zamestnancov.</w:t>
      </w:r>
    </w:p>
    <w:p w:rsidR="009D2A34" w:rsidRPr="000746AC" w:rsidP="009D2A34">
      <w:pPr>
        <w:bidi w:val="0"/>
        <w:jc w:val="both"/>
        <w:rPr>
          <w:rFonts w:ascii="Times New Roman" w:hAnsi="Times New Roman" w:cs="Times New Roman"/>
        </w:rPr>
      </w:pPr>
    </w:p>
    <w:p w:rsidR="009D2A34" w:rsidRPr="000746AC" w:rsidP="009D2A34">
      <w:pPr>
        <w:bidi w:val="0"/>
        <w:ind w:firstLine="708"/>
        <w:jc w:val="both"/>
        <w:rPr>
          <w:rFonts w:ascii="Times New Roman" w:hAnsi="Times New Roman" w:cs="Times New Roman"/>
        </w:rPr>
      </w:pPr>
      <w:r w:rsidRPr="000746AC">
        <w:rPr>
          <w:rFonts w:ascii="Times New Roman" w:hAnsi="Times New Roman" w:cs="Times New Roman"/>
        </w:rPr>
        <w:t>Na tovary a služby sa v roku 2013 rozpisuje suma 1,6</w:t>
      </w:r>
      <w:r w:rsidR="00AF4BD6">
        <w:rPr>
          <w:rFonts w:ascii="Times New Roman" w:hAnsi="Times New Roman" w:cs="Times New Roman"/>
        </w:rPr>
        <w:t>6</w:t>
      </w:r>
      <w:r w:rsidRPr="000746AC">
        <w:rPr>
          <w:rFonts w:ascii="Times New Roman" w:hAnsi="Times New Roman" w:cs="Times New Roman"/>
        </w:rPr>
        <w:t xml:space="preserve"> mil. eur, čo je v porovnaní so schváleným rozpočtom roku 2012 pokles o 21,7 tis. eur, t.</w:t>
      </w:r>
      <w:r w:rsidR="001F3259">
        <w:rPr>
          <w:rFonts w:ascii="Times New Roman" w:hAnsi="Times New Roman" w:cs="Times New Roman"/>
        </w:rPr>
        <w:t xml:space="preserve"> </w:t>
      </w:r>
      <w:r w:rsidRPr="000746AC">
        <w:rPr>
          <w:rFonts w:ascii="Times New Roman" w:hAnsi="Times New Roman" w:cs="Times New Roman"/>
        </w:rPr>
        <w:t>j. o 1,29 %. V ich rámci sa zabezpečujú opravy budov, ktoré nespĺňajú kritéria zaradenia do kapitálových výdavkov.</w:t>
      </w:r>
    </w:p>
    <w:p w:rsidR="009D2A34" w:rsidRPr="000746AC" w:rsidP="009D2A34">
      <w:pPr>
        <w:autoSpaceDE w:val="0"/>
        <w:autoSpaceDN w:val="0"/>
        <w:bidi w:val="0"/>
        <w:adjustRightInd w:val="0"/>
        <w:jc w:val="both"/>
        <w:rPr>
          <w:rFonts w:ascii="Times New Roman" w:hAnsi="Times New Roman" w:cs="Times New Roman"/>
        </w:rPr>
      </w:pPr>
    </w:p>
    <w:p w:rsidR="009D2A34" w:rsidRPr="000746AC" w:rsidP="009D2A34">
      <w:pPr>
        <w:autoSpaceDE w:val="0"/>
        <w:autoSpaceDN w:val="0"/>
        <w:bidi w:val="0"/>
        <w:adjustRightInd w:val="0"/>
        <w:ind w:firstLine="708"/>
        <w:jc w:val="both"/>
        <w:rPr>
          <w:rFonts w:ascii="Times New Roman" w:hAnsi="Times New Roman" w:cs="Times New Roman"/>
        </w:rPr>
      </w:pPr>
      <w:r w:rsidRPr="000746AC">
        <w:rPr>
          <w:rFonts w:ascii="Times New Roman" w:hAnsi="Times New Roman" w:cs="Times New Roman"/>
        </w:rPr>
        <w:t>Výdavky na bežné transfery sa rozpisujú v sume 102 tis. eur, čo je na úrovni schváleného rozpočtu roka 2012.</w:t>
      </w:r>
    </w:p>
    <w:p w:rsidR="009D2A34" w:rsidRPr="000746AC" w:rsidP="009D2A34">
      <w:pPr>
        <w:autoSpaceDE w:val="0"/>
        <w:autoSpaceDN w:val="0"/>
        <w:bidi w:val="0"/>
        <w:adjustRightInd w:val="0"/>
        <w:jc w:val="both"/>
        <w:rPr>
          <w:rFonts w:ascii="Times New Roman" w:hAnsi="Times New Roman" w:cs="Times New Roman"/>
        </w:rPr>
      </w:pPr>
    </w:p>
    <w:p w:rsidR="009D2A34" w:rsidRPr="000746AC" w:rsidP="009D2A34">
      <w:pPr>
        <w:bidi w:val="0"/>
        <w:ind w:firstLine="708"/>
        <w:jc w:val="both"/>
        <w:rPr>
          <w:rFonts w:ascii="Times New Roman" w:hAnsi="Times New Roman" w:cs="Times New Roman"/>
          <w:lang w:eastAsia="sk-SK"/>
        </w:rPr>
      </w:pPr>
      <w:r w:rsidRPr="000746AC">
        <w:rPr>
          <w:rFonts w:ascii="Times New Roman" w:hAnsi="Times New Roman" w:cs="Times New Roman"/>
        </w:rPr>
        <w:t>Kapitálové výdavky sú na rok 2013 rozpočtované v sume 387 tis. eur, čo je nárast o 226 tis. eur v porovnaní so schváleným rozpočtom roku 2012.</w:t>
      </w:r>
      <w:r w:rsidRPr="000746AC">
        <w:rPr>
          <w:rFonts w:ascii="Times New Roman" w:hAnsi="Times New Roman" w:cs="Times New Roman"/>
          <w:lang w:eastAsia="sk-SK"/>
        </w:rPr>
        <w:t xml:space="preserve"> Tieto výdavky budú použité najmä na rekonštrukcie budov v správe Kancelárie prezidenta SR.</w:t>
      </w:r>
    </w:p>
    <w:p w:rsidR="009D2A34" w:rsidRPr="007E0D85" w:rsidP="009D2A34">
      <w:pPr>
        <w:pBdr>
          <w:bottom w:val="single" w:sz="4" w:space="1" w:color="auto"/>
        </w:pBdr>
        <w:bidi w:val="0"/>
        <w:rPr>
          <w:rFonts w:ascii="Arial Narrow" w:hAnsi="Arial Narrow" w:cs="Arial Narrow"/>
          <w:b/>
          <w:bCs/>
          <w:color w:val="FF0000"/>
          <w:sz w:val="22"/>
          <w:szCs w:val="22"/>
          <w:highlight w:val="yellow"/>
        </w:rPr>
      </w:pPr>
    </w:p>
    <w:p w:rsidR="009D2A34" w:rsidRPr="00B7481D" w:rsidP="009D2A34">
      <w:pPr>
        <w:pBdr>
          <w:bottom w:val="single" w:sz="4" w:space="1" w:color="auto"/>
        </w:pBdr>
        <w:bidi w:val="0"/>
        <w:rPr>
          <w:rFonts w:ascii="Times New Roman" w:hAnsi="Times New Roman" w:cs="Times New Roman"/>
          <w:b/>
          <w:bCs/>
        </w:rPr>
      </w:pPr>
      <w:r w:rsidRPr="00B7481D">
        <w:rPr>
          <w:rFonts w:ascii="Times New Roman" w:hAnsi="Times New Roman" w:cs="Times New Roman"/>
          <w:b/>
        </w:rPr>
        <w:t xml:space="preserve">Úrad vlády SR </w:t>
      </w:r>
    </w:p>
    <w:p w:rsidR="009D2A34" w:rsidRPr="007E0D85" w:rsidP="009D2A34">
      <w:pPr>
        <w:bidi w:val="0"/>
        <w:jc w:val="both"/>
        <w:rPr>
          <w:rFonts w:ascii="Times New Roman" w:hAnsi="Times New Roman" w:cs="Times New Roman"/>
          <w:b/>
          <w:highlight w:val="yellow"/>
        </w:rPr>
      </w:pPr>
    </w:p>
    <w:tbl>
      <w:tblPr>
        <w:tblStyle w:val="TableNormal"/>
        <w:tblW w:w="9229" w:type="dxa"/>
        <w:tblInd w:w="55" w:type="dxa"/>
        <w:tblLayout w:type="fixed"/>
        <w:tblCellMar>
          <w:left w:w="70" w:type="dxa"/>
          <w:right w:w="70" w:type="dxa"/>
        </w:tblCellMar>
        <w:tblLook w:val="04A0"/>
      </w:tblPr>
      <w:tblGrid>
        <w:gridCol w:w="2425"/>
        <w:gridCol w:w="972"/>
        <w:gridCol w:w="972"/>
        <w:gridCol w:w="972"/>
        <w:gridCol w:w="972"/>
        <w:gridCol w:w="972"/>
        <w:gridCol w:w="972"/>
        <w:gridCol w:w="972"/>
      </w:tblGrid>
      <w:tr>
        <w:tblPrEx>
          <w:tblW w:w="9229" w:type="dxa"/>
          <w:tblInd w:w="55" w:type="dxa"/>
          <w:tblLayout w:type="fixed"/>
          <w:tblCellMar>
            <w:left w:w="70" w:type="dxa"/>
            <w:right w:w="70" w:type="dxa"/>
          </w:tblCellMar>
          <w:tblLook w:val="04A0"/>
        </w:tblPrEx>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B7481D" w:rsidP="006338E5">
            <w:pPr>
              <w:bidi w:val="0"/>
              <w:rPr>
                <w:rFonts w:ascii="Times New Roman" w:hAnsi="Times New Roman" w:cs="Times New Roman"/>
                <w:b/>
                <w:bCs/>
                <w:color w:val="000000"/>
                <w:sz w:val="14"/>
                <w:szCs w:val="14"/>
              </w:rPr>
            </w:pPr>
            <w:r w:rsidRPr="00B7481D">
              <w:rPr>
                <w:rFonts w:ascii="Times New Roman" w:hAnsi="Times New Roman" w:cs="Times New Roman"/>
                <w:color w:val="000000"/>
                <w:sz w:val="14"/>
                <w:szCs w:val="14"/>
              </w:rPr>
              <w:br w:type="page"/>
            </w:r>
            <w:r w:rsidRPr="00B7481D">
              <w:rPr>
                <w:rFonts w:ascii="Times New Roman" w:hAnsi="Times New Roman" w:cs="Times New Roman"/>
                <w:b/>
                <w:bCs/>
                <w:color w:val="000000"/>
                <w:sz w:val="14"/>
                <w:szCs w:val="14"/>
              </w:rPr>
              <w:t> v eurách</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2010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2011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2012 R</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2012 OS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2013 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2014 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2015 N</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B7481D" w:rsidP="006338E5">
            <w:pPr>
              <w:bidi w:val="0"/>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Zdroje príslušnej kapitoly</w:t>
            </w:r>
          </w:p>
        </w:tc>
        <w:tc>
          <w:tcPr>
            <w:tcW w:w="972" w:type="dxa"/>
            <w:tcBorders>
              <w:top w:val="nil"/>
              <w:left w:val="nil"/>
              <w:bottom w:val="single" w:sz="4" w:space="0" w:color="auto"/>
              <w:right w:val="single" w:sz="4" w:space="0" w:color="auto"/>
            </w:tcBorders>
            <w:shd w:val="clear" w:color="auto"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71 557 278</w:t>
            </w:r>
          </w:p>
        </w:tc>
        <w:tc>
          <w:tcPr>
            <w:tcW w:w="972" w:type="dxa"/>
            <w:tcBorders>
              <w:top w:val="nil"/>
              <w:left w:val="nil"/>
              <w:bottom w:val="single" w:sz="4" w:space="0" w:color="auto"/>
              <w:right w:val="single" w:sz="4" w:space="0" w:color="auto"/>
            </w:tcBorders>
            <w:shd w:val="clear" w:color="auto"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55 681 583</w:t>
            </w:r>
          </w:p>
        </w:tc>
        <w:tc>
          <w:tcPr>
            <w:tcW w:w="972" w:type="dxa"/>
            <w:tcBorders>
              <w:top w:val="nil"/>
              <w:left w:val="nil"/>
              <w:bottom w:val="single" w:sz="4" w:space="0" w:color="auto"/>
              <w:right w:val="single" w:sz="4" w:space="0" w:color="auto"/>
            </w:tcBorders>
            <w:shd w:val="clear" w:color="auto"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39 760 331</w:t>
            </w:r>
          </w:p>
        </w:tc>
        <w:tc>
          <w:tcPr>
            <w:tcW w:w="972" w:type="dxa"/>
            <w:tcBorders>
              <w:top w:val="nil"/>
              <w:left w:val="nil"/>
              <w:bottom w:val="single" w:sz="4" w:space="0" w:color="auto"/>
              <w:right w:val="single" w:sz="4" w:space="0" w:color="auto"/>
            </w:tcBorders>
            <w:shd w:val="clear" w:color="auto"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43 549 515</w:t>
            </w:r>
          </w:p>
        </w:tc>
        <w:tc>
          <w:tcPr>
            <w:tcW w:w="972" w:type="dxa"/>
            <w:tcBorders>
              <w:top w:val="nil"/>
              <w:left w:val="nil"/>
              <w:bottom w:val="single" w:sz="4" w:space="0" w:color="auto"/>
              <w:right w:val="single" w:sz="4" w:space="0" w:color="auto"/>
            </w:tcBorders>
            <w:shd w:val="clear" w:color="auto"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26 745 221</w:t>
            </w:r>
          </w:p>
        </w:tc>
        <w:tc>
          <w:tcPr>
            <w:tcW w:w="972" w:type="dxa"/>
            <w:tcBorders>
              <w:top w:val="nil"/>
              <w:left w:val="nil"/>
              <w:bottom w:val="single" w:sz="4" w:space="0" w:color="auto"/>
              <w:right w:val="single" w:sz="4" w:space="0" w:color="auto"/>
            </w:tcBorders>
            <w:shd w:val="clear" w:color="auto"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26 750 719</w:t>
            </w:r>
          </w:p>
        </w:tc>
        <w:tc>
          <w:tcPr>
            <w:tcW w:w="972" w:type="dxa"/>
            <w:tcBorders>
              <w:top w:val="nil"/>
              <w:left w:val="nil"/>
              <w:bottom w:val="single" w:sz="4" w:space="0" w:color="auto"/>
              <w:right w:val="single" w:sz="4" w:space="0" w:color="auto"/>
            </w:tcBorders>
            <w:shd w:val="clear" w:color="auto"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26 765 440</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rozpočtové zdroje kapitoly</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68 119 655</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54 489 066</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39 760 331</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40 306 879</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26 745 221</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26 750 719</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26 765 440</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v tom: bežné výdavky  600</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57 947 551</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52 701 358</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38 737 256</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38 783 804</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25 888 115</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25 893 613</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25 908 334</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610 mzdy</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6 779 712</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6 419 770</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5 125 999</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5 627 186</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4 541 566</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4 545 869</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4 556 948</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620 odvody</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2 495 412</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2 757 420</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1 856 626</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1 995 808</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1 648 124</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1 649 317</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1 652 957</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630 tovary a služby</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10 667 457</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5 651 822</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6 126 214</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6 338 959</w:t>
            </w:r>
          </w:p>
        </w:tc>
        <w:tc>
          <w:tcPr>
            <w:tcW w:w="972" w:type="dxa"/>
            <w:tcBorders>
              <w:top w:val="nil"/>
              <w:left w:val="nil"/>
              <w:bottom w:val="single" w:sz="4" w:space="0" w:color="auto"/>
              <w:right w:val="single" w:sz="4" w:space="0" w:color="auto"/>
            </w:tcBorders>
            <w:noWrap/>
            <w:textDirection w:val="lrTb"/>
            <w:vAlign w:val="center"/>
            <w:hideMark/>
          </w:tcPr>
          <w:p w:rsidR="009D2A34" w:rsidRPr="00467CBE" w:rsidP="006338E5">
            <w:pPr>
              <w:bidi w:val="0"/>
              <w:jc w:val="right"/>
              <w:rPr>
                <w:rFonts w:ascii="Times New Roman" w:hAnsi="Times New Roman" w:cs="Times New Roman"/>
                <w:color w:val="000000"/>
                <w:sz w:val="14"/>
                <w:szCs w:val="14"/>
              </w:rPr>
            </w:pPr>
            <w:r w:rsidRPr="00467CBE">
              <w:rPr>
                <w:rFonts w:ascii="Times New Roman" w:hAnsi="Times New Roman" w:cs="Times New Roman"/>
                <w:color w:val="000000"/>
                <w:sz w:val="14"/>
                <w:szCs w:val="14"/>
              </w:rPr>
              <w:t>4 289 094</w:t>
            </w:r>
          </w:p>
        </w:tc>
        <w:tc>
          <w:tcPr>
            <w:tcW w:w="972" w:type="dxa"/>
            <w:tcBorders>
              <w:top w:val="nil"/>
              <w:left w:val="nil"/>
              <w:bottom w:val="single" w:sz="4" w:space="0" w:color="auto"/>
              <w:right w:val="single" w:sz="4" w:space="0" w:color="auto"/>
            </w:tcBorders>
            <w:noWrap/>
            <w:textDirection w:val="lrTb"/>
            <w:vAlign w:val="center"/>
            <w:hideMark/>
          </w:tcPr>
          <w:p w:rsidR="009D2A34" w:rsidRPr="00467CBE" w:rsidP="006338E5">
            <w:pPr>
              <w:bidi w:val="0"/>
              <w:jc w:val="right"/>
              <w:rPr>
                <w:rFonts w:ascii="Times New Roman" w:hAnsi="Times New Roman" w:cs="Times New Roman"/>
                <w:color w:val="000000"/>
                <w:sz w:val="14"/>
                <w:szCs w:val="14"/>
              </w:rPr>
            </w:pPr>
            <w:r w:rsidRPr="00467CBE">
              <w:rPr>
                <w:rFonts w:ascii="Times New Roman" w:hAnsi="Times New Roman" w:cs="Times New Roman"/>
                <w:color w:val="000000"/>
                <w:sz w:val="14"/>
                <w:szCs w:val="14"/>
              </w:rPr>
              <w:t>4 289 096</w:t>
            </w:r>
          </w:p>
        </w:tc>
        <w:tc>
          <w:tcPr>
            <w:tcW w:w="972" w:type="dxa"/>
            <w:tcBorders>
              <w:top w:val="nil"/>
              <w:left w:val="nil"/>
              <w:bottom w:val="single" w:sz="4" w:space="0" w:color="auto"/>
              <w:right w:val="single" w:sz="4" w:space="0" w:color="auto"/>
            </w:tcBorders>
            <w:noWrap/>
            <w:textDirection w:val="lrTb"/>
            <w:vAlign w:val="center"/>
            <w:hideMark/>
          </w:tcPr>
          <w:p w:rsidR="009D2A34" w:rsidRPr="00467CBE" w:rsidP="006338E5">
            <w:pPr>
              <w:bidi w:val="0"/>
              <w:jc w:val="right"/>
              <w:rPr>
                <w:rFonts w:ascii="Times New Roman" w:hAnsi="Times New Roman" w:cs="Times New Roman"/>
                <w:color w:val="000000"/>
                <w:sz w:val="14"/>
                <w:szCs w:val="14"/>
              </w:rPr>
            </w:pPr>
            <w:r w:rsidRPr="00467CBE">
              <w:rPr>
                <w:rFonts w:ascii="Times New Roman" w:hAnsi="Times New Roman" w:cs="Times New Roman"/>
                <w:color w:val="000000"/>
                <w:sz w:val="14"/>
                <w:szCs w:val="14"/>
              </w:rPr>
              <w:t>4 289 098</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640 bežné transfery</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38 004 971</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37 872 345</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25 628 417</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24 821 852</w:t>
            </w:r>
          </w:p>
        </w:tc>
        <w:tc>
          <w:tcPr>
            <w:tcW w:w="972" w:type="dxa"/>
            <w:tcBorders>
              <w:top w:val="nil"/>
              <w:left w:val="nil"/>
              <w:bottom w:val="single" w:sz="4" w:space="0" w:color="auto"/>
              <w:right w:val="single" w:sz="4" w:space="0" w:color="auto"/>
            </w:tcBorders>
            <w:noWrap/>
            <w:textDirection w:val="lrTb"/>
            <w:vAlign w:val="center"/>
            <w:hideMark/>
          </w:tcPr>
          <w:p w:rsidR="009D2A34" w:rsidRPr="00467CBE" w:rsidP="006338E5">
            <w:pPr>
              <w:bidi w:val="0"/>
              <w:jc w:val="right"/>
              <w:rPr>
                <w:rFonts w:ascii="Times New Roman" w:hAnsi="Times New Roman" w:cs="Times New Roman"/>
                <w:color w:val="000000"/>
                <w:sz w:val="14"/>
                <w:szCs w:val="14"/>
              </w:rPr>
            </w:pPr>
            <w:r w:rsidRPr="00467CBE">
              <w:rPr>
                <w:rFonts w:ascii="Times New Roman" w:hAnsi="Times New Roman" w:cs="Times New Roman"/>
                <w:color w:val="000000"/>
                <w:sz w:val="14"/>
                <w:szCs w:val="14"/>
              </w:rPr>
              <w:t>15 409 331</w:t>
            </w:r>
          </w:p>
        </w:tc>
        <w:tc>
          <w:tcPr>
            <w:tcW w:w="972" w:type="dxa"/>
            <w:tcBorders>
              <w:top w:val="nil"/>
              <w:left w:val="nil"/>
              <w:bottom w:val="single" w:sz="4" w:space="0" w:color="auto"/>
              <w:right w:val="single" w:sz="4" w:space="0" w:color="auto"/>
            </w:tcBorders>
            <w:noWrap/>
            <w:textDirection w:val="lrTb"/>
            <w:vAlign w:val="center"/>
            <w:hideMark/>
          </w:tcPr>
          <w:p w:rsidR="009D2A34" w:rsidRPr="00467CBE" w:rsidP="006338E5">
            <w:pPr>
              <w:bidi w:val="0"/>
              <w:jc w:val="right"/>
              <w:rPr>
                <w:rFonts w:ascii="Times New Roman" w:hAnsi="Times New Roman" w:cs="Times New Roman"/>
                <w:color w:val="000000"/>
                <w:sz w:val="14"/>
                <w:szCs w:val="14"/>
              </w:rPr>
            </w:pPr>
            <w:r w:rsidRPr="00467CBE">
              <w:rPr>
                <w:rFonts w:ascii="Times New Roman" w:hAnsi="Times New Roman" w:cs="Times New Roman"/>
                <w:color w:val="000000"/>
                <w:sz w:val="14"/>
                <w:szCs w:val="14"/>
              </w:rPr>
              <w:t>15 409 331</w:t>
            </w:r>
          </w:p>
        </w:tc>
        <w:tc>
          <w:tcPr>
            <w:tcW w:w="972" w:type="dxa"/>
            <w:tcBorders>
              <w:top w:val="nil"/>
              <w:left w:val="nil"/>
              <w:bottom w:val="single" w:sz="4" w:space="0" w:color="auto"/>
              <w:right w:val="single" w:sz="4" w:space="0" w:color="auto"/>
            </w:tcBorders>
            <w:noWrap/>
            <w:textDirection w:val="lrTb"/>
            <w:vAlign w:val="center"/>
            <w:hideMark/>
          </w:tcPr>
          <w:p w:rsidR="009D2A34" w:rsidRPr="00467CBE" w:rsidP="006338E5">
            <w:pPr>
              <w:bidi w:val="0"/>
              <w:jc w:val="right"/>
              <w:rPr>
                <w:rFonts w:ascii="Times New Roman" w:hAnsi="Times New Roman" w:cs="Times New Roman"/>
                <w:color w:val="000000"/>
                <w:sz w:val="14"/>
                <w:szCs w:val="14"/>
              </w:rPr>
            </w:pPr>
            <w:r w:rsidRPr="00467CBE">
              <w:rPr>
                <w:rFonts w:ascii="Times New Roman" w:hAnsi="Times New Roman" w:cs="Times New Roman"/>
                <w:color w:val="000000"/>
                <w:sz w:val="14"/>
                <w:szCs w:val="14"/>
              </w:rPr>
              <w:t>15 409 331</w:t>
            </w:r>
          </w:p>
        </w:tc>
      </w:tr>
      <w:tr>
        <w:tblPrEx>
          <w:tblW w:w="9229" w:type="dxa"/>
          <w:tblInd w:w="55" w:type="dxa"/>
          <w:tblLayout w:type="fixed"/>
          <w:tblCellMar>
            <w:left w:w="70" w:type="dxa"/>
            <w:right w:w="70" w:type="dxa"/>
          </w:tblCellMar>
          <w:tblLook w:val="04A0"/>
        </w:tblPrEx>
        <w:trPr>
          <w:trHeight w:val="259"/>
        </w:trPr>
        <w:tc>
          <w:tcPr>
            <w:tcW w:w="2425" w:type="dxa"/>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kapitálové výdavky 700</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10 172 104</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1 787 708</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1 023 075</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1 523 075</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857 106</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857 106</w:t>
            </w:r>
          </w:p>
        </w:tc>
        <w:tc>
          <w:tcPr>
            <w:tcW w:w="972" w:type="dxa"/>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857 106</w:t>
            </w:r>
          </w:p>
        </w:tc>
      </w:tr>
      <w:tr>
        <w:tblPrEx>
          <w:tblW w:w="9229" w:type="dxa"/>
          <w:tblInd w:w="55" w:type="dxa"/>
          <w:tblLayout w:type="fixed"/>
          <w:tblCellMar>
            <w:left w:w="70" w:type="dxa"/>
            <w:right w:w="70" w:type="dxa"/>
          </w:tblCellMar>
          <w:tblLook w:val="04A0"/>
        </w:tblPrEx>
        <w:trPr>
          <w:trHeight w:val="259"/>
        </w:trPr>
        <w:tc>
          <w:tcPr>
            <w:tcW w:w="2425"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presun z minulých rokov</w:t>
            </w:r>
          </w:p>
        </w:tc>
        <w:tc>
          <w:tcPr>
            <w:tcW w:w="972" w:type="dxa"/>
            <w:tcBorders>
              <w:top w:val="single" w:sz="4" w:space="0" w:color="auto"/>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3 437 623</w:t>
            </w:r>
          </w:p>
        </w:tc>
        <w:tc>
          <w:tcPr>
            <w:tcW w:w="972" w:type="dxa"/>
            <w:tcBorders>
              <w:top w:val="single" w:sz="4" w:space="0" w:color="auto"/>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1 192 518</w:t>
            </w:r>
          </w:p>
        </w:tc>
        <w:tc>
          <w:tcPr>
            <w:tcW w:w="972" w:type="dxa"/>
            <w:tcBorders>
              <w:top w:val="single" w:sz="4" w:space="0" w:color="auto"/>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c>
          <w:tcPr>
            <w:tcW w:w="972" w:type="dxa"/>
            <w:tcBorders>
              <w:top w:val="single" w:sz="4" w:space="0" w:color="auto"/>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3 242 635</w:t>
            </w:r>
          </w:p>
        </w:tc>
        <w:tc>
          <w:tcPr>
            <w:tcW w:w="972" w:type="dxa"/>
            <w:tcBorders>
              <w:top w:val="single" w:sz="4" w:space="0" w:color="auto"/>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c>
          <w:tcPr>
            <w:tcW w:w="972" w:type="dxa"/>
            <w:tcBorders>
              <w:top w:val="single" w:sz="4" w:space="0" w:color="auto"/>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c>
          <w:tcPr>
            <w:tcW w:w="972" w:type="dxa"/>
            <w:tcBorders>
              <w:top w:val="single" w:sz="4" w:space="0" w:color="auto"/>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r>
    </w:tbl>
    <w:p w:rsidR="009D2A34" w:rsidRPr="00B7481D" w:rsidP="009D2A34">
      <w:pPr>
        <w:bidi w:val="0"/>
        <w:jc w:val="both"/>
        <w:rPr>
          <w:rFonts w:ascii="Times New Roman" w:hAnsi="Times New Roman" w:cs="Times New Roman"/>
        </w:rPr>
      </w:pPr>
    </w:p>
    <w:p w:rsidR="009D2A34" w:rsidRPr="00B7481D" w:rsidP="009D2A34">
      <w:pPr>
        <w:bidi w:val="0"/>
        <w:ind w:firstLine="708"/>
        <w:jc w:val="both"/>
        <w:rPr>
          <w:rFonts w:ascii="Times New Roman" w:hAnsi="Times New Roman" w:cs="Times New Roman"/>
        </w:rPr>
      </w:pPr>
      <w:r w:rsidRPr="00B7481D">
        <w:rPr>
          <w:rFonts w:ascii="Times New Roman" w:hAnsi="Times New Roman" w:cs="Times New Roman"/>
        </w:rPr>
        <w:t>Rozpočtové výdavky kapitoly v roku 2013 sú plánované v hodnote 26,7 mil. eur, čo je v porovnaní so schváleným rozpočtom roku 2012 menej o 13 mil. eur, t. j. o 32,7 %. Medziročný pokles je spôsobený najmä nerozpočtovaním prostriedkov určených na protipovodňovú ochranu v dôsledku zániku funkcie splnomocnenca pre danú oblasť, ako aj delimitovaním pôsobnosti Úradu splnomocnenca vlády SR pre rómske komunity a Úradu splnomocnenca vlády SR pre rozvoj občianskej spoločnosti na Ministerstvo vnútra SR.</w:t>
      </w:r>
    </w:p>
    <w:p w:rsidR="009D2A34" w:rsidRPr="00B7481D" w:rsidP="009D2A34">
      <w:pPr>
        <w:bidi w:val="0"/>
        <w:ind w:firstLine="708"/>
        <w:jc w:val="both"/>
        <w:rPr>
          <w:rFonts w:ascii="Times New Roman" w:hAnsi="Times New Roman" w:cs="Times New Roman"/>
        </w:rPr>
      </w:pPr>
    </w:p>
    <w:p w:rsidR="009D2A34" w:rsidRPr="00B7481D" w:rsidP="009D2A34">
      <w:pPr>
        <w:bidi w:val="0"/>
        <w:ind w:firstLine="708"/>
        <w:jc w:val="both"/>
        <w:rPr>
          <w:rFonts w:ascii="Times New Roman" w:hAnsi="Times New Roman" w:cs="Times New Roman"/>
        </w:rPr>
      </w:pPr>
      <w:r w:rsidRPr="00B7481D">
        <w:rPr>
          <w:rFonts w:ascii="Times New Roman" w:hAnsi="Times New Roman" w:cs="Times New Roman"/>
        </w:rPr>
        <w:t>Objem osobných výdavkov sa na rok 2013 rozpočtuje na úrovni 6,19 mil. eur, čo v porovnaní so schváleným rozpočtom roku 2012 predstavuje zníženie o 793 tis. eur, t.</w:t>
      </w:r>
      <w:r w:rsidR="001F3259">
        <w:rPr>
          <w:rFonts w:ascii="Times New Roman" w:hAnsi="Times New Roman" w:cs="Times New Roman"/>
        </w:rPr>
        <w:t xml:space="preserve"> </w:t>
      </w:r>
      <w:r w:rsidRPr="00B7481D">
        <w:rPr>
          <w:rFonts w:ascii="Times New Roman" w:hAnsi="Times New Roman" w:cs="Times New Roman"/>
        </w:rPr>
        <w:t xml:space="preserve">j. </w:t>
      </w:r>
      <w:r w:rsidR="001F3259">
        <w:rPr>
          <w:rFonts w:ascii="Times New Roman" w:hAnsi="Times New Roman" w:cs="Times New Roman"/>
        </w:rPr>
        <w:br/>
      </w:r>
      <w:r w:rsidRPr="00B7481D">
        <w:rPr>
          <w:rFonts w:ascii="Times New Roman" w:hAnsi="Times New Roman" w:cs="Times New Roman"/>
        </w:rPr>
        <w:t xml:space="preserve">o 11,4 %. </w:t>
      </w:r>
    </w:p>
    <w:p w:rsidR="009D2A34" w:rsidRPr="00B7481D" w:rsidP="009D2A34">
      <w:pPr>
        <w:bidi w:val="0"/>
        <w:ind w:firstLine="708"/>
        <w:jc w:val="both"/>
        <w:rPr>
          <w:rFonts w:ascii="Times New Roman" w:hAnsi="Times New Roman" w:cs="Times New Roman"/>
        </w:rPr>
      </w:pPr>
    </w:p>
    <w:p w:rsidR="009D2A34" w:rsidRPr="00B7481D" w:rsidP="009D2A34">
      <w:pPr>
        <w:bidi w:val="0"/>
        <w:ind w:firstLine="708"/>
        <w:jc w:val="both"/>
        <w:rPr>
          <w:rFonts w:ascii="Times New Roman" w:hAnsi="Times New Roman" w:cs="Times New Roman"/>
        </w:rPr>
      </w:pPr>
      <w:r w:rsidRPr="00B7481D">
        <w:rPr>
          <w:rFonts w:ascii="Times New Roman" w:hAnsi="Times New Roman" w:cs="Times New Roman"/>
        </w:rPr>
        <w:t>Vo výdavkoch na tovary a služby na rok 2013 v sume 4,2</w:t>
      </w:r>
      <w:r>
        <w:rPr>
          <w:rFonts w:ascii="Times New Roman" w:hAnsi="Times New Roman" w:cs="Times New Roman"/>
        </w:rPr>
        <w:t>9</w:t>
      </w:r>
      <w:r w:rsidRPr="00B7481D">
        <w:rPr>
          <w:rFonts w:ascii="Times New Roman" w:hAnsi="Times New Roman" w:cs="Times New Roman"/>
        </w:rPr>
        <w:t xml:space="preserve"> mil. eur je pokles oproti schválenému rozpočtu 2012 o 1,</w:t>
      </w:r>
      <w:r>
        <w:rPr>
          <w:rFonts w:ascii="Times New Roman" w:hAnsi="Times New Roman" w:cs="Times New Roman"/>
        </w:rPr>
        <w:t>84</w:t>
      </w:r>
      <w:r w:rsidRPr="00B7481D">
        <w:rPr>
          <w:rFonts w:ascii="Times New Roman" w:hAnsi="Times New Roman" w:cs="Times New Roman"/>
        </w:rPr>
        <w:t xml:space="preserve"> mil. eur, t.</w:t>
      </w:r>
      <w:r w:rsidR="001F3259">
        <w:rPr>
          <w:rFonts w:ascii="Times New Roman" w:hAnsi="Times New Roman" w:cs="Times New Roman"/>
        </w:rPr>
        <w:t xml:space="preserve"> </w:t>
      </w:r>
      <w:r w:rsidRPr="00B7481D">
        <w:rPr>
          <w:rFonts w:ascii="Times New Roman" w:hAnsi="Times New Roman" w:cs="Times New Roman"/>
        </w:rPr>
        <w:t>j. o</w:t>
      </w:r>
      <w:r>
        <w:rPr>
          <w:rFonts w:ascii="Times New Roman" w:hAnsi="Times New Roman" w:cs="Times New Roman"/>
        </w:rPr>
        <w:t> 29,9</w:t>
      </w:r>
      <w:r w:rsidRPr="00B7481D">
        <w:rPr>
          <w:rFonts w:ascii="Times New Roman" w:hAnsi="Times New Roman" w:cs="Times New Roman"/>
        </w:rPr>
        <w:t xml:space="preserve"> %. Zníženie zohľadňuje 10% viazanie výdavkov na tovary a služby z úrovne schváleného rozpočtu 2012, presun 1,02 mil. eur na bežné transfery, realizovaný kapitolou pri rozpise rozpočtu a delimitáciu pôsobnosti splnomocnencov. </w:t>
      </w:r>
    </w:p>
    <w:p w:rsidR="009D2A34" w:rsidRPr="00B7481D" w:rsidP="009D2A34">
      <w:pPr>
        <w:bidi w:val="0"/>
        <w:ind w:firstLine="708"/>
        <w:jc w:val="both"/>
        <w:rPr>
          <w:rFonts w:ascii="Times New Roman" w:hAnsi="Times New Roman" w:cs="Times New Roman"/>
        </w:rPr>
      </w:pPr>
    </w:p>
    <w:p w:rsidR="009D2A34" w:rsidRPr="00B7481D" w:rsidP="009D2A34">
      <w:pPr>
        <w:bidi w:val="0"/>
        <w:ind w:firstLine="708"/>
        <w:jc w:val="both"/>
        <w:rPr>
          <w:rFonts w:ascii="Times New Roman" w:hAnsi="Times New Roman" w:cs="Times New Roman"/>
        </w:rPr>
      </w:pPr>
      <w:r w:rsidRPr="00B7481D">
        <w:rPr>
          <w:rFonts w:ascii="Times New Roman" w:hAnsi="Times New Roman" w:cs="Times New Roman"/>
        </w:rPr>
        <w:t xml:space="preserve">Bežné transfery sú rozpočtované </w:t>
      </w:r>
      <w:r w:rsidR="001F3259">
        <w:rPr>
          <w:rFonts w:ascii="Times New Roman" w:hAnsi="Times New Roman" w:cs="Times New Roman"/>
        </w:rPr>
        <w:t>na</w:t>
      </w:r>
      <w:r w:rsidRPr="00B7481D">
        <w:rPr>
          <w:rFonts w:ascii="Times New Roman" w:hAnsi="Times New Roman" w:cs="Times New Roman"/>
        </w:rPr>
        <w:t xml:space="preserve"> rok 2013 na úrovni 15,</w:t>
      </w:r>
      <w:r>
        <w:rPr>
          <w:rFonts w:ascii="Times New Roman" w:hAnsi="Times New Roman" w:cs="Times New Roman"/>
        </w:rPr>
        <w:t>4</w:t>
      </w:r>
      <w:r w:rsidRPr="00B7481D">
        <w:rPr>
          <w:rFonts w:ascii="Times New Roman" w:hAnsi="Times New Roman" w:cs="Times New Roman"/>
        </w:rPr>
        <w:t xml:space="preserve"> mil.</w:t>
      </w:r>
      <w:r>
        <w:rPr>
          <w:rFonts w:ascii="Times New Roman" w:hAnsi="Times New Roman" w:cs="Times New Roman"/>
        </w:rPr>
        <w:t xml:space="preserve"> eur a medziročne klesajú o 10,2</w:t>
      </w:r>
      <w:r w:rsidRPr="00B7481D">
        <w:rPr>
          <w:rFonts w:ascii="Times New Roman" w:hAnsi="Times New Roman" w:cs="Times New Roman"/>
        </w:rPr>
        <w:t xml:space="preserve"> mil. eur, t.</w:t>
      </w:r>
      <w:r w:rsidR="001F3259">
        <w:rPr>
          <w:rFonts w:ascii="Times New Roman" w:hAnsi="Times New Roman" w:cs="Times New Roman"/>
        </w:rPr>
        <w:t xml:space="preserve"> </w:t>
      </w:r>
      <w:r w:rsidRPr="00B7481D">
        <w:rPr>
          <w:rFonts w:ascii="Times New Roman" w:hAnsi="Times New Roman" w:cs="Times New Roman"/>
        </w:rPr>
        <w:t>j. o 39,</w:t>
      </w:r>
      <w:r>
        <w:rPr>
          <w:rFonts w:ascii="Times New Roman" w:hAnsi="Times New Roman" w:cs="Times New Roman"/>
        </w:rPr>
        <w:t>9</w:t>
      </w:r>
      <w:r w:rsidRPr="00B7481D">
        <w:rPr>
          <w:rFonts w:ascii="Times New Roman" w:hAnsi="Times New Roman" w:cs="Times New Roman"/>
        </w:rPr>
        <w:t xml:space="preserve"> %, a to predovšetkým nerozpočtovaním prostriedkov na protipovodňovú ochranu  a presunom prostriedkov určených na dotácie pre rómske komunity do pôsobnosti MV SR. Pokles zaznamenáva aj rozpočet bežných transferov podriadenej organizácie Úradu pre Slovákov žijúcich v zahraničí. Ostatné výdavky na bežných transferoch zostávajú približne na úrovni schváleného rozpočtu roku 2012, prostriedky na menšinovú kultúrnu politiku v objeme 4,25 mil. eur, rezerva predsedu vlády je rozpísaná v sume </w:t>
      </w:r>
      <w:r w:rsidR="001F3259">
        <w:rPr>
          <w:rFonts w:ascii="Times New Roman" w:hAnsi="Times New Roman" w:cs="Times New Roman"/>
        </w:rPr>
        <w:br/>
      </w:r>
      <w:r w:rsidRPr="00B7481D">
        <w:rPr>
          <w:rFonts w:ascii="Times New Roman" w:hAnsi="Times New Roman" w:cs="Times New Roman"/>
        </w:rPr>
        <w:t xml:space="preserve">1,66 mil. eur, prostriedky na dotácie na protidrogovú politiku v sume 515 tis. eur, transfer príspevkovej organizácii Národná agentúra pre sieťové a elektronické služby v sume </w:t>
      </w:r>
      <w:r w:rsidR="001F3259">
        <w:rPr>
          <w:rFonts w:ascii="Times New Roman" w:hAnsi="Times New Roman" w:cs="Times New Roman"/>
        </w:rPr>
        <w:br/>
      </w:r>
      <w:r w:rsidRPr="00B7481D">
        <w:rPr>
          <w:rFonts w:ascii="Times New Roman" w:hAnsi="Times New Roman" w:cs="Times New Roman"/>
        </w:rPr>
        <w:t xml:space="preserve">4 mil. eur a príspevkovej organizácii tanečné divadlo Ifjú Szívek v sume 490 tis. eur.  </w:t>
      </w:r>
    </w:p>
    <w:p w:rsidR="009D2A34" w:rsidRPr="00B7481D" w:rsidP="009D2A34">
      <w:pPr>
        <w:bidi w:val="0"/>
        <w:ind w:firstLine="708"/>
        <w:jc w:val="both"/>
        <w:rPr>
          <w:rFonts w:ascii="Times New Roman" w:hAnsi="Times New Roman" w:cs="Times New Roman"/>
        </w:rPr>
      </w:pPr>
    </w:p>
    <w:p w:rsidR="009D2A34" w:rsidRPr="00B7481D" w:rsidP="009D2A34">
      <w:pPr>
        <w:bidi w:val="0"/>
        <w:ind w:firstLine="708"/>
        <w:jc w:val="both"/>
        <w:rPr>
          <w:rFonts w:ascii="Times New Roman" w:hAnsi="Times New Roman" w:cs="Times New Roman"/>
        </w:rPr>
      </w:pPr>
      <w:r w:rsidRPr="00B7481D">
        <w:rPr>
          <w:rFonts w:ascii="Times New Roman" w:hAnsi="Times New Roman" w:cs="Times New Roman"/>
        </w:rPr>
        <w:t xml:space="preserve">Kapitálové výdavky sú rozpočtované </w:t>
      </w:r>
      <w:r w:rsidR="001F3259">
        <w:rPr>
          <w:rFonts w:ascii="Times New Roman" w:hAnsi="Times New Roman" w:cs="Times New Roman"/>
        </w:rPr>
        <w:t>na</w:t>
      </w:r>
      <w:r w:rsidRPr="00B7481D">
        <w:rPr>
          <w:rFonts w:ascii="Times New Roman" w:hAnsi="Times New Roman" w:cs="Times New Roman"/>
        </w:rPr>
        <w:t xml:space="preserve"> rok 2013 v objeme 857 tis. eur a medziročne klesajú o 166 tis. eur, t.</w:t>
      </w:r>
      <w:r w:rsidR="001F3259">
        <w:rPr>
          <w:rFonts w:ascii="Times New Roman" w:hAnsi="Times New Roman" w:cs="Times New Roman"/>
        </w:rPr>
        <w:t xml:space="preserve"> </w:t>
      </w:r>
      <w:r w:rsidRPr="00B7481D">
        <w:rPr>
          <w:rFonts w:ascii="Times New Roman" w:hAnsi="Times New Roman" w:cs="Times New Roman"/>
        </w:rPr>
        <w:t xml:space="preserve">j. o 16,2 %. Pokles súvisí s delimitovaním kapitálových transferov v pôsobnosti splnomocnenca vlády pre rómske komunity na MV SR. Rozpísané kapitálové výdavky kapitola použije na nákup hmotného a nehmotného majetku, obnovu IT, softvéru, telekomunikačnej techniky a na rozvoj infraštruktúry. </w:t>
      </w:r>
    </w:p>
    <w:p w:rsidR="009D2A34" w:rsidRPr="007E0D85" w:rsidP="009D2A34">
      <w:pPr>
        <w:bidi w:val="0"/>
        <w:rPr>
          <w:highlight w:val="yellow"/>
        </w:rPr>
      </w:pPr>
    </w:p>
    <w:p w:rsidR="009D2A34" w:rsidRPr="00B90CC5" w:rsidP="009D2A34">
      <w:pPr>
        <w:pBdr>
          <w:bottom w:val="single" w:sz="4" w:space="1" w:color="auto"/>
        </w:pBdr>
        <w:bidi w:val="0"/>
        <w:jc w:val="both"/>
        <w:rPr>
          <w:rFonts w:ascii="Times New Roman" w:hAnsi="Times New Roman" w:cs="Times New Roman"/>
          <w:b/>
          <w:bCs/>
        </w:rPr>
      </w:pPr>
      <w:r w:rsidRPr="00B90CC5">
        <w:rPr>
          <w:rFonts w:ascii="Times New Roman" w:hAnsi="Times New Roman" w:cs="Times New Roman"/>
          <w:b/>
          <w:bCs/>
        </w:rPr>
        <w:t>Kancelária Ústavného súdu SR</w:t>
      </w:r>
    </w:p>
    <w:p w:rsidR="009D2A34" w:rsidRPr="00B90CC5" w:rsidP="009D2A34">
      <w:pPr>
        <w:bidi w:val="0"/>
        <w:rPr>
          <w:rFonts w:ascii="Times New Roman" w:hAnsi="Times New Roman" w:cs="Times New Roman"/>
        </w:rPr>
      </w:pPr>
    </w:p>
    <w:tbl>
      <w:tblPr>
        <w:tblStyle w:val="TableNormal"/>
        <w:tblW w:w="90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20"/>
        <w:gridCol w:w="960"/>
        <w:gridCol w:w="960"/>
        <w:gridCol w:w="960"/>
        <w:gridCol w:w="960"/>
        <w:gridCol w:w="960"/>
        <w:gridCol w:w="960"/>
        <w:gridCol w:w="960"/>
      </w:tblGrid>
      <w:tr>
        <w:tblPrEx>
          <w:tblW w:w="90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B90CC5" w:rsidP="006338E5">
            <w:pPr>
              <w:bidi w:val="0"/>
              <w:rPr>
                <w:rFonts w:ascii="Times New Roman" w:hAnsi="Times New Roman" w:cs="Times New Roman"/>
                <w:b/>
                <w:bCs/>
                <w:color w:val="000000"/>
                <w:sz w:val="14"/>
                <w:szCs w:val="14"/>
                <w:lang w:eastAsia="sk-SK"/>
              </w:rPr>
            </w:pPr>
            <w:r w:rsidRPr="00B90CC5">
              <w:rPr>
                <w:rFonts w:ascii="Times New Roman" w:hAnsi="Times New Roman" w:cs="Times New Roman"/>
                <w:b/>
                <w:bCs/>
                <w:color w:val="000000"/>
                <w:sz w:val="14"/>
                <w:szCs w:val="14"/>
                <w:lang w:eastAsia="sk-SK"/>
              </w:rPr>
              <w:t> v eurách</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B90CC5" w:rsidP="006338E5">
            <w:pPr>
              <w:bidi w:val="0"/>
              <w:jc w:val="center"/>
              <w:rPr>
                <w:rFonts w:ascii="Times New Roman" w:hAnsi="Times New Roman" w:cs="Times New Roman"/>
                <w:b/>
                <w:bCs/>
                <w:color w:val="000000"/>
                <w:sz w:val="14"/>
                <w:szCs w:val="14"/>
                <w:lang w:eastAsia="sk-SK"/>
              </w:rPr>
            </w:pPr>
            <w:r w:rsidRPr="00B90CC5">
              <w:rPr>
                <w:rFonts w:ascii="Times New Roman" w:hAnsi="Times New Roman" w:cs="Times New Roman"/>
                <w:b/>
                <w:bCs/>
                <w:color w:val="000000"/>
                <w:sz w:val="14"/>
                <w:szCs w:val="14"/>
                <w:lang w:eastAsia="sk-SK"/>
              </w:rPr>
              <w:t>2010 S</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B90CC5" w:rsidP="006338E5">
            <w:pPr>
              <w:bidi w:val="0"/>
              <w:jc w:val="center"/>
              <w:rPr>
                <w:rFonts w:ascii="Times New Roman" w:hAnsi="Times New Roman" w:cs="Times New Roman"/>
                <w:b/>
                <w:bCs/>
                <w:color w:val="000000"/>
                <w:sz w:val="14"/>
                <w:szCs w:val="14"/>
                <w:lang w:eastAsia="sk-SK"/>
              </w:rPr>
            </w:pPr>
            <w:r w:rsidRPr="00B90CC5">
              <w:rPr>
                <w:rFonts w:ascii="Times New Roman" w:hAnsi="Times New Roman" w:cs="Times New Roman"/>
                <w:b/>
                <w:bCs/>
                <w:color w:val="000000"/>
                <w:sz w:val="14"/>
                <w:szCs w:val="14"/>
                <w:lang w:eastAsia="sk-SK"/>
              </w:rPr>
              <w:t>2011 S</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B90CC5" w:rsidP="006338E5">
            <w:pPr>
              <w:bidi w:val="0"/>
              <w:jc w:val="center"/>
              <w:rPr>
                <w:rFonts w:ascii="Times New Roman" w:hAnsi="Times New Roman" w:cs="Times New Roman"/>
                <w:b/>
                <w:bCs/>
                <w:color w:val="000000"/>
                <w:sz w:val="14"/>
                <w:szCs w:val="14"/>
                <w:lang w:eastAsia="sk-SK"/>
              </w:rPr>
            </w:pPr>
            <w:r w:rsidRPr="00B90CC5">
              <w:rPr>
                <w:rFonts w:ascii="Times New Roman" w:hAnsi="Times New Roman" w:cs="Times New Roman"/>
                <w:b/>
                <w:bCs/>
                <w:color w:val="000000"/>
                <w:sz w:val="14"/>
                <w:szCs w:val="14"/>
                <w:lang w:eastAsia="sk-SK"/>
              </w:rPr>
              <w:t>2012 R</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B90CC5" w:rsidP="006338E5">
            <w:pPr>
              <w:bidi w:val="0"/>
              <w:jc w:val="center"/>
              <w:rPr>
                <w:rFonts w:ascii="Times New Roman" w:hAnsi="Times New Roman" w:cs="Times New Roman"/>
                <w:b/>
                <w:bCs/>
                <w:color w:val="000000"/>
                <w:sz w:val="14"/>
                <w:szCs w:val="14"/>
                <w:lang w:eastAsia="sk-SK"/>
              </w:rPr>
            </w:pPr>
            <w:r w:rsidRPr="00B90CC5">
              <w:rPr>
                <w:rFonts w:ascii="Times New Roman" w:hAnsi="Times New Roman" w:cs="Times New Roman"/>
                <w:b/>
                <w:bCs/>
                <w:color w:val="000000"/>
                <w:sz w:val="14"/>
                <w:szCs w:val="14"/>
                <w:lang w:eastAsia="sk-SK"/>
              </w:rPr>
              <w:t>2012 OS</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B90CC5" w:rsidP="001F3259">
            <w:pPr>
              <w:bidi w:val="0"/>
              <w:jc w:val="center"/>
              <w:rPr>
                <w:rFonts w:ascii="Times New Roman" w:hAnsi="Times New Roman" w:cs="Times New Roman"/>
                <w:b/>
                <w:bCs/>
                <w:color w:val="000000"/>
                <w:sz w:val="14"/>
                <w:szCs w:val="14"/>
                <w:lang w:eastAsia="sk-SK"/>
              </w:rPr>
            </w:pPr>
            <w:r w:rsidRPr="00B90CC5">
              <w:rPr>
                <w:rFonts w:ascii="Times New Roman" w:hAnsi="Times New Roman" w:cs="Times New Roman"/>
                <w:b/>
                <w:bCs/>
                <w:color w:val="000000"/>
                <w:sz w:val="14"/>
                <w:szCs w:val="14"/>
                <w:lang w:eastAsia="sk-SK"/>
              </w:rPr>
              <w:t xml:space="preserve">2013 </w:t>
            </w:r>
            <w:r w:rsidR="001F3259">
              <w:rPr>
                <w:rFonts w:ascii="Times New Roman" w:hAnsi="Times New Roman" w:cs="Times New Roman"/>
                <w:b/>
                <w:bCs/>
                <w:color w:val="000000"/>
                <w:sz w:val="14"/>
                <w:szCs w:val="14"/>
                <w:lang w:eastAsia="sk-SK"/>
              </w:rPr>
              <w:t>N</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B90CC5" w:rsidP="006338E5">
            <w:pPr>
              <w:bidi w:val="0"/>
              <w:jc w:val="center"/>
              <w:rPr>
                <w:rFonts w:ascii="Times New Roman" w:hAnsi="Times New Roman" w:cs="Times New Roman"/>
                <w:b/>
                <w:bCs/>
                <w:color w:val="000000"/>
                <w:sz w:val="14"/>
                <w:szCs w:val="14"/>
                <w:lang w:eastAsia="sk-SK"/>
              </w:rPr>
            </w:pPr>
            <w:r w:rsidRPr="00B90CC5">
              <w:rPr>
                <w:rFonts w:ascii="Times New Roman" w:hAnsi="Times New Roman" w:cs="Times New Roman"/>
                <w:b/>
                <w:bCs/>
                <w:color w:val="000000"/>
                <w:sz w:val="14"/>
                <w:szCs w:val="14"/>
                <w:lang w:eastAsia="sk-SK"/>
              </w:rPr>
              <w:t>2014 N</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B90CC5" w:rsidP="006338E5">
            <w:pPr>
              <w:bidi w:val="0"/>
              <w:jc w:val="center"/>
              <w:rPr>
                <w:rFonts w:ascii="Times New Roman" w:hAnsi="Times New Roman" w:cs="Times New Roman"/>
                <w:b/>
                <w:bCs/>
                <w:color w:val="000000"/>
                <w:sz w:val="14"/>
                <w:szCs w:val="14"/>
                <w:lang w:eastAsia="sk-SK"/>
              </w:rPr>
            </w:pPr>
            <w:r w:rsidRPr="00B90CC5">
              <w:rPr>
                <w:rFonts w:ascii="Times New Roman" w:hAnsi="Times New Roman" w:cs="Times New Roman"/>
                <w:b/>
                <w:bCs/>
                <w:color w:val="000000"/>
                <w:sz w:val="14"/>
                <w:szCs w:val="14"/>
                <w:lang w:eastAsia="sk-SK"/>
              </w:rPr>
              <w:t>2015 N</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D9D9D9"/>
            <w:noWrap/>
            <w:textDirection w:val="lrTb"/>
            <w:vAlign w:val="center"/>
            <w:hideMark/>
          </w:tcPr>
          <w:p w:rsidR="009D2A34" w:rsidRPr="00B90CC5" w:rsidP="006338E5">
            <w:pPr>
              <w:bidi w:val="0"/>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Zdroje príslušnej kapitoly</w:t>
            </w:r>
          </w:p>
        </w:tc>
        <w:tc>
          <w:tcPr>
            <w:tcW w:w="9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4 520 371</w:t>
            </w:r>
          </w:p>
        </w:tc>
        <w:tc>
          <w:tcPr>
            <w:tcW w:w="9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3 458 581</w:t>
            </w:r>
          </w:p>
        </w:tc>
        <w:tc>
          <w:tcPr>
            <w:tcW w:w="9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3 287 894</w:t>
            </w:r>
          </w:p>
        </w:tc>
        <w:tc>
          <w:tcPr>
            <w:tcW w:w="9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4 918 998</w:t>
            </w:r>
          </w:p>
        </w:tc>
        <w:tc>
          <w:tcPr>
            <w:tcW w:w="9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3 356 839</w:t>
            </w:r>
          </w:p>
        </w:tc>
        <w:tc>
          <w:tcPr>
            <w:tcW w:w="9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3 394 298</w:t>
            </w:r>
          </w:p>
        </w:tc>
        <w:tc>
          <w:tcPr>
            <w:tcW w:w="960"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3 442 250</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B90CC5" w:rsidP="006338E5">
            <w:pPr>
              <w:bidi w:val="0"/>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rozpočtové zdroje kapitoly</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3 322 541</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3 357 758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3 287 894</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4 918 998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3 356 839</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3 394 298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3 442 250</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 xml:space="preserve">    v tom: bežné výdavky  600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3 233 098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3 341 453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3 267 380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3 471 705</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3 336 325</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3 373 784</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3 421 736</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 xml:space="preserve">                       610 mzdy</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1 894 589</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1 957 033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1 933 883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2 090 531</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2 048 223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2 080 368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2 121 515</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 xml:space="preserve">                       620 odvody</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456 121</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480 049</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502 338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524 826</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519 399</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524 713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531 518</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 xml:space="preserve">                       630 tovary a služby</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767 973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810 503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744 559</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748 058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670 103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670 103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670 103</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 xml:space="preserve">                       640 bežné transfery</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114 415</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93 868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86 600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108 290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98 600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98 600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98 600</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 xml:space="preserve">               kapitálové výdavky 700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89 443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16 305</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20 514</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1 447 293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20 514</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20 514</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color w:val="000000"/>
                <w:sz w:val="14"/>
                <w:szCs w:val="14"/>
                <w:lang w:eastAsia="sk-SK"/>
              </w:rPr>
            </w:pPr>
            <w:r w:rsidRPr="00B90CC5">
              <w:rPr>
                <w:rFonts w:ascii="Times New Roman" w:hAnsi="Times New Roman" w:cs="Times New Roman"/>
                <w:color w:val="000000"/>
                <w:sz w:val="14"/>
                <w:szCs w:val="14"/>
                <w:lang w:eastAsia="sk-SK"/>
              </w:rPr>
              <w:t>20 514</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presun z minulých rokov</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1 197 830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100 823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0</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B90CC5" w:rsidP="006338E5">
            <w:pPr>
              <w:bidi w:val="0"/>
              <w:jc w:val="right"/>
              <w:rPr>
                <w:rFonts w:ascii="Times New Roman" w:hAnsi="Times New Roman" w:cs="Times New Roman"/>
                <w:b/>
                <w:color w:val="000000"/>
                <w:sz w:val="14"/>
                <w:szCs w:val="14"/>
                <w:lang w:eastAsia="sk-SK"/>
              </w:rPr>
            </w:pPr>
            <w:r w:rsidRPr="00B90CC5">
              <w:rPr>
                <w:rFonts w:ascii="Times New Roman" w:hAnsi="Times New Roman" w:cs="Times New Roman"/>
                <w:b/>
                <w:color w:val="000000"/>
                <w:sz w:val="14"/>
                <w:szCs w:val="14"/>
                <w:lang w:eastAsia="sk-SK"/>
              </w:rPr>
              <w:t>0</w:t>
            </w:r>
          </w:p>
        </w:tc>
      </w:tr>
    </w:tbl>
    <w:p w:rsidR="009D2A34" w:rsidRPr="00B90CC5" w:rsidP="009D2A34">
      <w:pPr>
        <w:bidi w:val="0"/>
        <w:jc w:val="both"/>
        <w:rPr>
          <w:rFonts w:ascii="Times New Roman" w:hAnsi="Times New Roman" w:cs="Times New Roman"/>
        </w:rPr>
      </w:pPr>
    </w:p>
    <w:p w:rsidR="009D2A34" w:rsidRPr="00B90CC5" w:rsidP="009D2A34">
      <w:pPr>
        <w:bidi w:val="0"/>
        <w:ind w:firstLine="708"/>
        <w:jc w:val="both"/>
        <w:rPr>
          <w:rFonts w:ascii="Times New Roman" w:hAnsi="Times New Roman" w:cs="Times New Roman"/>
        </w:rPr>
      </w:pPr>
      <w:r w:rsidRPr="00B90CC5">
        <w:rPr>
          <w:rFonts w:ascii="Times New Roman" w:hAnsi="Times New Roman" w:cs="Times New Roman"/>
        </w:rPr>
        <w:t>Celkové výdavky kapitoly na rok 2013 sa oproti schválenému rozpočtu roku 2012 rozpočtujú v sume 3,36 mil. eur a medziročne rastú o 68,9 tis. eur, t.</w:t>
      </w:r>
      <w:r w:rsidR="001F3259">
        <w:rPr>
          <w:rFonts w:ascii="Times New Roman" w:hAnsi="Times New Roman" w:cs="Times New Roman"/>
        </w:rPr>
        <w:t xml:space="preserve"> </w:t>
      </w:r>
      <w:r w:rsidRPr="00B90CC5">
        <w:rPr>
          <w:rFonts w:ascii="Times New Roman" w:hAnsi="Times New Roman" w:cs="Times New Roman"/>
        </w:rPr>
        <w:t>j. o 2,10 %.</w:t>
      </w:r>
    </w:p>
    <w:p w:rsidR="009D2A34" w:rsidRPr="00B90CC5" w:rsidP="009D2A34">
      <w:pPr>
        <w:bidi w:val="0"/>
        <w:jc w:val="both"/>
        <w:rPr>
          <w:rFonts w:ascii="Times New Roman" w:hAnsi="Times New Roman" w:cs="Times New Roman"/>
        </w:rPr>
      </w:pPr>
    </w:p>
    <w:p w:rsidR="009D2A34" w:rsidRPr="00B90CC5" w:rsidP="009D2A34">
      <w:pPr>
        <w:bidi w:val="0"/>
        <w:ind w:firstLine="708"/>
        <w:jc w:val="both"/>
        <w:rPr>
          <w:rFonts w:ascii="Times New Roman" w:hAnsi="Times New Roman" w:cs="Times New Roman"/>
        </w:rPr>
      </w:pPr>
      <w:r w:rsidRPr="00B90CC5">
        <w:rPr>
          <w:rFonts w:ascii="Times New Roman" w:hAnsi="Times New Roman" w:cs="Times New Roman"/>
        </w:rPr>
        <w:t>Osobné výdavky sa rozpočtujú v sume 2,57 mil. eur, čo predstavuje oproti schválenému rozpočtu roku 2012 zvýšenie o 131 tis. eur, t.</w:t>
      </w:r>
      <w:r w:rsidR="001F3259">
        <w:rPr>
          <w:rFonts w:ascii="Times New Roman" w:hAnsi="Times New Roman" w:cs="Times New Roman"/>
        </w:rPr>
        <w:t xml:space="preserve"> </w:t>
      </w:r>
      <w:r w:rsidRPr="00B90CC5">
        <w:rPr>
          <w:rFonts w:ascii="Times New Roman" w:hAnsi="Times New Roman" w:cs="Times New Roman"/>
        </w:rPr>
        <w:t>j. o 5,39 %.</w:t>
      </w:r>
    </w:p>
    <w:p w:rsidR="009D2A34" w:rsidRPr="00B90CC5" w:rsidP="009D2A34">
      <w:pPr>
        <w:bidi w:val="0"/>
        <w:jc w:val="both"/>
        <w:rPr>
          <w:rFonts w:ascii="Times New Roman" w:hAnsi="Times New Roman" w:cs="Times New Roman"/>
        </w:rPr>
      </w:pPr>
    </w:p>
    <w:p w:rsidR="009D2A34" w:rsidRPr="00B90CC5" w:rsidP="009D2A34">
      <w:pPr>
        <w:bidi w:val="0"/>
        <w:ind w:firstLine="708"/>
        <w:jc w:val="both"/>
        <w:rPr>
          <w:rFonts w:ascii="Times New Roman" w:hAnsi="Times New Roman" w:cs="Times New Roman"/>
          <w:bCs/>
        </w:rPr>
      </w:pPr>
      <w:r w:rsidRPr="00B90CC5">
        <w:rPr>
          <w:rFonts w:ascii="Times New Roman" w:hAnsi="Times New Roman" w:cs="Times New Roman"/>
          <w:bCs/>
        </w:rPr>
        <w:t xml:space="preserve">V osobných výdavkoch kapitoly na rok 2013 sú pre sudcov Ústavného súdu Slovenskej republiky zabezpečené finančné prostriedky na úrovni ich reálne vyplácaných platových náležitostí v roku 2012 v zmysle zákona č. 120/1993 Z. z. </w:t>
      </w:r>
    </w:p>
    <w:p w:rsidR="009D2A34" w:rsidRPr="00B90CC5" w:rsidP="009D2A34">
      <w:pPr>
        <w:bidi w:val="0"/>
        <w:jc w:val="both"/>
        <w:rPr>
          <w:rFonts w:ascii="Times New Roman" w:hAnsi="Times New Roman" w:cs="Times New Roman"/>
        </w:rPr>
      </w:pPr>
    </w:p>
    <w:p w:rsidR="009D2A34" w:rsidRPr="00B90CC5" w:rsidP="009D2A34">
      <w:pPr>
        <w:bidi w:val="0"/>
        <w:ind w:firstLine="708"/>
        <w:jc w:val="both"/>
        <w:rPr>
          <w:rFonts w:ascii="Times New Roman" w:hAnsi="Times New Roman" w:cs="Times New Roman"/>
        </w:rPr>
      </w:pPr>
      <w:r w:rsidRPr="00B90CC5">
        <w:rPr>
          <w:rFonts w:ascii="Times New Roman" w:hAnsi="Times New Roman" w:cs="Times New Roman"/>
        </w:rPr>
        <w:t>Tovary a služby sa rozpočtujú v sume 670 tis. eur, čo predstavuje oproti schválenému rozpočtu roku 2012 pokles o 74,5 tis. eur, t.</w:t>
      </w:r>
      <w:r w:rsidR="001F3259">
        <w:rPr>
          <w:rFonts w:ascii="Times New Roman" w:hAnsi="Times New Roman" w:cs="Times New Roman"/>
        </w:rPr>
        <w:t xml:space="preserve"> </w:t>
      </w:r>
      <w:r w:rsidRPr="00B90CC5">
        <w:rPr>
          <w:rFonts w:ascii="Times New Roman" w:hAnsi="Times New Roman" w:cs="Times New Roman"/>
        </w:rPr>
        <w:t xml:space="preserve">j. o 10 %.   </w:t>
      </w:r>
    </w:p>
    <w:p w:rsidR="009D2A34" w:rsidRPr="00B90CC5" w:rsidP="009D2A34">
      <w:pPr>
        <w:bidi w:val="0"/>
        <w:jc w:val="both"/>
        <w:rPr>
          <w:rFonts w:ascii="Times New Roman" w:hAnsi="Times New Roman" w:cs="Times New Roman"/>
        </w:rPr>
      </w:pPr>
    </w:p>
    <w:p w:rsidR="009D2A34" w:rsidRPr="00B90CC5" w:rsidP="009D2A34">
      <w:pPr>
        <w:bidi w:val="0"/>
        <w:ind w:firstLine="708"/>
        <w:jc w:val="both"/>
        <w:rPr>
          <w:rFonts w:ascii="Times New Roman" w:hAnsi="Times New Roman" w:cs="Times New Roman"/>
        </w:rPr>
      </w:pPr>
      <w:r w:rsidRPr="00B90CC5">
        <w:rPr>
          <w:rFonts w:ascii="Times New Roman" w:hAnsi="Times New Roman" w:cs="Times New Roman"/>
        </w:rPr>
        <w:t>Bežné transfery sa rozpočtujú v sume 98,6 tis. eur, čo predstavuje oproti schválenému rozpočtu roku 2012 zvýšenie o 12 tis. eur, t.</w:t>
      </w:r>
      <w:r w:rsidR="001F3259">
        <w:rPr>
          <w:rFonts w:ascii="Times New Roman" w:hAnsi="Times New Roman" w:cs="Times New Roman"/>
        </w:rPr>
        <w:t xml:space="preserve"> </w:t>
      </w:r>
      <w:r w:rsidRPr="00B90CC5">
        <w:rPr>
          <w:rFonts w:ascii="Times New Roman" w:hAnsi="Times New Roman" w:cs="Times New Roman"/>
        </w:rPr>
        <w:t xml:space="preserve">j. o 13,9 %. Predmetné zvýšenie je spôsobené zvýšenou potrebou príplatku k dôchodku pre sudcov. </w:t>
      </w:r>
    </w:p>
    <w:p w:rsidR="009D2A34" w:rsidP="009D2A34">
      <w:pPr>
        <w:bidi w:val="0"/>
        <w:ind w:firstLine="708"/>
        <w:jc w:val="both"/>
        <w:rPr>
          <w:rFonts w:ascii="Times New Roman" w:hAnsi="Times New Roman" w:cs="Times New Roman"/>
        </w:rPr>
      </w:pPr>
    </w:p>
    <w:p w:rsidR="009D2A34" w:rsidRPr="00B90CC5" w:rsidP="009D2A34">
      <w:pPr>
        <w:bidi w:val="0"/>
        <w:ind w:firstLine="708"/>
        <w:jc w:val="both"/>
        <w:rPr>
          <w:rFonts w:ascii="Times New Roman" w:hAnsi="Times New Roman" w:cs="Times New Roman"/>
        </w:rPr>
      </w:pPr>
      <w:r w:rsidRPr="00B90CC5">
        <w:rPr>
          <w:rFonts w:ascii="Times New Roman" w:hAnsi="Times New Roman" w:cs="Times New Roman"/>
        </w:rPr>
        <w:t>Kapitálové výdavky sa rozpočtujú v sume 20,5 tis. eur, čo predstavuje úroveň schváleného rozpočtu roku 2012.</w:t>
      </w:r>
    </w:p>
    <w:p w:rsidR="009D2A34" w:rsidP="009D2A34">
      <w:pPr>
        <w:bidi w:val="0"/>
        <w:jc w:val="both"/>
        <w:rPr>
          <w:rFonts w:ascii="Times New Roman" w:hAnsi="Times New Roman" w:cs="Times New Roman"/>
          <w:highlight w:val="yellow"/>
        </w:rPr>
      </w:pPr>
    </w:p>
    <w:p w:rsidR="009D2A34" w:rsidRPr="00E14983" w:rsidP="009D2A34">
      <w:pPr>
        <w:pBdr>
          <w:bottom w:val="single" w:sz="4" w:space="1" w:color="auto"/>
        </w:pBdr>
        <w:bidi w:val="0"/>
        <w:rPr>
          <w:rFonts w:ascii="Times New Roman" w:hAnsi="Times New Roman" w:cs="Times New Roman"/>
          <w:b/>
          <w:bCs/>
        </w:rPr>
      </w:pPr>
      <w:r w:rsidRPr="00E14983">
        <w:rPr>
          <w:rFonts w:ascii="Times New Roman" w:hAnsi="Times New Roman" w:cs="Times New Roman"/>
          <w:b/>
          <w:bCs/>
        </w:rPr>
        <w:t>Najvyšší súd SR</w:t>
      </w:r>
    </w:p>
    <w:p w:rsidR="009D2A34" w:rsidRPr="00E14983" w:rsidP="009D2A34">
      <w:pPr>
        <w:bidi w:val="0"/>
        <w:rPr>
          <w:rFonts w:ascii="Times New Roman" w:hAnsi="Times New Roman" w:cs="Times New Roman"/>
        </w:rPr>
      </w:pPr>
    </w:p>
    <w:tbl>
      <w:tblPr>
        <w:tblStyle w:val="TableNormal"/>
        <w:tblW w:w="9040" w:type="dxa"/>
        <w:tblInd w:w="55" w:type="dxa"/>
        <w:tblCellMar>
          <w:left w:w="70" w:type="dxa"/>
          <w:right w:w="70" w:type="dxa"/>
        </w:tblCellMar>
        <w:tblLook w:val="04A0"/>
      </w:tblPr>
      <w:tblGrid>
        <w:gridCol w:w="2320"/>
        <w:gridCol w:w="960"/>
        <w:gridCol w:w="960"/>
        <w:gridCol w:w="960"/>
        <w:gridCol w:w="960"/>
        <w:gridCol w:w="960"/>
        <w:gridCol w:w="960"/>
        <w:gridCol w:w="960"/>
      </w:tblGrid>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C22B35" w:rsidP="006338E5">
            <w:pPr>
              <w:bidi w:val="0"/>
              <w:rPr>
                <w:rFonts w:ascii="Times New Roman" w:hAnsi="Times New Roman" w:cs="Times New Roman"/>
                <w:b/>
                <w:bCs/>
                <w:color w:val="000000"/>
                <w:sz w:val="14"/>
                <w:szCs w:val="14"/>
                <w:lang w:eastAsia="sk-SK"/>
              </w:rPr>
            </w:pPr>
            <w:r w:rsidRPr="00C22B35">
              <w:rPr>
                <w:rFonts w:ascii="Times New Roman" w:hAnsi="Times New Roman" w:cs="Times New Roman"/>
                <w:b/>
                <w:bCs/>
                <w:color w:val="000000"/>
                <w:sz w:val="14"/>
                <w:szCs w:val="14"/>
                <w:lang w:eastAsia="sk-SK"/>
              </w:rPr>
              <w:t> v eurách</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C22B35" w:rsidP="006338E5">
            <w:pPr>
              <w:bidi w:val="0"/>
              <w:jc w:val="center"/>
              <w:rPr>
                <w:rFonts w:ascii="Times New Roman" w:hAnsi="Times New Roman" w:cs="Times New Roman"/>
                <w:b/>
                <w:bCs/>
                <w:color w:val="000000"/>
                <w:sz w:val="14"/>
                <w:szCs w:val="14"/>
                <w:lang w:eastAsia="sk-SK"/>
              </w:rPr>
            </w:pPr>
            <w:r w:rsidRPr="00C22B35">
              <w:rPr>
                <w:rFonts w:ascii="Times New Roman" w:hAnsi="Times New Roman" w:cs="Times New Roman"/>
                <w:b/>
                <w:bCs/>
                <w:color w:val="000000"/>
                <w:sz w:val="14"/>
                <w:szCs w:val="14"/>
                <w:lang w:eastAsia="sk-SK"/>
              </w:rPr>
              <w:t>2010 S</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C22B35" w:rsidP="006338E5">
            <w:pPr>
              <w:bidi w:val="0"/>
              <w:jc w:val="center"/>
              <w:rPr>
                <w:rFonts w:ascii="Times New Roman" w:hAnsi="Times New Roman" w:cs="Times New Roman"/>
                <w:b/>
                <w:bCs/>
                <w:color w:val="000000"/>
                <w:sz w:val="14"/>
                <w:szCs w:val="14"/>
                <w:lang w:eastAsia="sk-SK"/>
              </w:rPr>
            </w:pPr>
            <w:r w:rsidRPr="00C22B35">
              <w:rPr>
                <w:rFonts w:ascii="Times New Roman" w:hAnsi="Times New Roman" w:cs="Times New Roman"/>
                <w:b/>
                <w:bCs/>
                <w:color w:val="000000"/>
                <w:sz w:val="14"/>
                <w:szCs w:val="14"/>
                <w:lang w:eastAsia="sk-SK"/>
              </w:rPr>
              <w:t>2011 S</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C22B35" w:rsidP="006338E5">
            <w:pPr>
              <w:bidi w:val="0"/>
              <w:jc w:val="center"/>
              <w:rPr>
                <w:rFonts w:ascii="Times New Roman" w:hAnsi="Times New Roman" w:cs="Times New Roman"/>
                <w:b/>
                <w:bCs/>
                <w:color w:val="000000"/>
                <w:sz w:val="14"/>
                <w:szCs w:val="14"/>
                <w:lang w:eastAsia="sk-SK"/>
              </w:rPr>
            </w:pPr>
            <w:r w:rsidRPr="00C22B35">
              <w:rPr>
                <w:rFonts w:ascii="Times New Roman" w:hAnsi="Times New Roman" w:cs="Times New Roman"/>
                <w:b/>
                <w:bCs/>
                <w:color w:val="000000"/>
                <w:sz w:val="14"/>
                <w:szCs w:val="14"/>
                <w:lang w:eastAsia="sk-SK"/>
              </w:rPr>
              <w:t>2012 R</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C22B35" w:rsidP="006338E5">
            <w:pPr>
              <w:bidi w:val="0"/>
              <w:jc w:val="center"/>
              <w:rPr>
                <w:rFonts w:ascii="Times New Roman" w:hAnsi="Times New Roman" w:cs="Times New Roman"/>
                <w:b/>
                <w:bCs/>
                <w:color w:val="000000"/>
                <w:sz w:val="14"/>
                <w:szCs w:val="14"/>
                <w:lang w:eastAsia="sk-SK"/>
              </w:rPr>
            </w:pPr>
            <w:r w:rsidRPr="00C22B35">
              <w:rPr>
                <w:rFonts w:ascii="Times New Roman" w:hAnsi="Times New Roman" w:cs="Times New Roman"/>
                <w:b/>
                <w:bCs/>
                <w:color w:val="000000"/>
                <w:sz w:val="14"/>
                <w:szCs w:val="14"/>
                <w:lang w:eastAsia="sk-SK"/>
              </w:rPr>
              <w:t>2012 OS</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C22B35" w:rsidP="001F3259">
            <w:pPr>
              <w:bidi w:val="0"/>
              <w:jc w:val="center"/>
              <w:rPr>
                <w:rFonts w:ascii="Times New Roman" w:hAnsi="Times New Roman" w:cs="Times New Roman"/>
                <w:b/>
                <w:bCs/>
                <w:color w:val="000000"/>
                <w:sz w:val="14"/>
                <w:szCs w:val="14"/>
                <w:lang w:eastAsia="sk-SK"/>
              </w:rPr>
            </w:pPr>
            <w:r w:rsidRPr="00C22B35">
              <w:rPr>
                <w:rFonts w:ascii="Times New Roman" w:hAnsi="Times New Roman" w:cs="Times New Roman"/>
                <w:b/>
                <w:bCs/>
                <w:color w:val="000000"/>
                <w:sz w:val="14"/>
                <w:szCs w:val="14"/>
                <w:lang w:eastAsia="sk-SK"/>
              </w:rPr>
              <w:t xml:space="preserve">2013 </w:t>
            </w:r>
            <w:r w:rsidR="001F3259">
              <w:rPr>
                <w:rFonts w:ascii="Times New Roman" w:hAnsi="Times New Roman" w:cs="Times New Roman"/>
                <w:b/>
                <w:bCs/>
                <w:color w:val="000000"/>
                <w:sz w:val="14"/>
                <w:szCs w:val="14"/>
                <w:lang w:eastAsia="sk-SK"/>
              </w:rPr>
              <w:t>N</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C22B35" w:rsidP="006338E5">
            <w:pPr>
              <w:bidi w:val="0"/>
              <w:jc w:val="center"/>
              <w:rPr>
                <w:rFonts w:ascii="Times New Roman" w:hAnsi="Times New Roman" w:cs="Times New Roman"/>
                <w:b/>
                <w:bCs/>
                <w:color w:val="000000"/>
                <w:sz w:val="14"/>
                <w:szCs w:val="14"/>
                <w:lang w:eastAsia="sk-SK"/>
              </w:rPr>
            </w:pPr>
            <w:r w:rsidRPr="00C22B35">
              <w:rPr>
                <w:rFonts w:ascii="Times New Roman" w:hAnsi="Times New Roman" w:cs="Times New Roman"/>
                <w:b/>
                <w:bCs/>
                <w:color w:val="000000"/>
                <w:sz w:val="14"/>
                <w:szCs w:val="14"/>
                <w:lang w:eastAsia="sk-SK"/>
              </w:rPr>
              <w:t>2014 N</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C22B35" w:rsidP="006338E5">
            <w:pPr>
              <w:bidi w:val="0"/>
              <w:jc w:val="center"/>
              <w:rPr>
                <w:rFonts w:ascii="Times New Roman" w:hAnsi="Times New Roman" w:cs="Times New Roman"/>
                <w:b/>
                <w:bCs/>
                <w:color w:val="000000"/>
                <w:sz w:val="14"/>
                <w:szCs w:val="14"/>
                <w:lang w:eastAsia="sk-SK"/>
              </w:rPr>
            </w:pPr>
            <w:r w:rsidRPr="00C22B35">
              <w:rPr>
                <w:rFonts w:ascii="Times New Roman" w:hAnsi="Times New Roman" w:cs="Times New Roman"/>
                <w:b/>
                <w:bCs/>
                <w:color w:val="000000"/>
                <w:sz w:val="14"/>
                <w:szCs w:val="14"/>
                <w:lang w:eastAsia="sk-SK"/>
              </w:rPr>
              <w:t>2015 N</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C22B35" w:rsidP="006338E5">
            <w:pPr>
              <w:bidi w:val="0"/>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Zdroje príslušnej kapitoly</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9 096 883</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8 032 586</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8 169 283</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8 531 385</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C22B35" w:rsidP="006338E5">
            <w:pPr>
              <w:bidi w:val="0"/>
              <w:jc w:val="right"/>
              <w:rPr>
                <w:rFonts w:ascii="Times New Roman" w:hAnsi="Times New Roman" w:cs="Times New Roman"/>
                <w:b/>
                <w:bCs/>
                <w:color w:val="000000"/>
                <w:sz w:val="14"/>
                <w:szCs w:val="14"/>
              </w:rPr>
            </w:pPr>
            <w:r w:rsidRPr="00C22B35">
              <w:rPr>
                <w:rFonts w:ascii="Times New Roman" w:hAnsi="Times New Roman" w:cs="Times New Roman"/>
                <w:b/>
                <w:bCs/>
                <w:color w:val="000000"/>
                <w:sz w:val="14"/>
                <w:szCs w:val="14"/>
              </w:rPr>
              <w:t>8 788 394</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C22B35" w:rsidP="006338E5">
            <w:pPr>
              <w:bidi w:val="0"/>
              <w:jc w:val="right"/>
              <w:rPr>
                <w:rFonts w:ascii="Times New Roman" w:hAnsi="Times New Roman" w:cs="Times New Roman"/>
                <w:b/>
                <w:bCs/>
                <w:color w:val="000000"/>
                <w:sz w:val="14"/>
                <w:szCs w:val="14"/>
              </w:rPr>
            </w:pPr>
            <w:r w:rsidRPr="00C22B35">
              <w:rPr>
                <w:rFonts w:ascii="Times New Roman" w:hAnsi="Times New Roman" w:cs="Times New Roman"/>
                <w:b/>
                <w:bCs/>
                <w:color w:val="000000"/>
                <w:sz w:val="14"/>
                <w:szCs w:val="14"/>
              </w:rPr>
              <w:t>8 970 432</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C22B35" w:rsidP="006338E5">
            <w:pPr>
              <w:bidi w:val="0"/>
              <w:jc w:val="right"/>
              <w:rPr>
                <w:rFonts w:ascii="Times New Roman" w:hAnsi="Times New Roman" w:cs="Times New Roman"/>
                <w:b/>
                <w:bCs/>
                <w:color w:val="000000"/>
                <w:sz w:val="14"/>
                <w:szCs w:val="14"/>
              </w:rPr>
            </w:pPr>
            <w:r w:rsidRPr="00C22B35">
              <w:rPr>
                <w:rFonts w:ascii="Times New Roman" w:hAnsi="Times New Roman" w:cs="Times New Roman"/>
                <w:b/>
                <w:bCs/>
                <w:color w:val="000000"/>
                <w:sz w:val="14"/>
                <w:szCs w:val="14"/>
              </w:rPr>
              <w:t>9 203 209</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shd w:val="clear" w:color="auto" w:fill="FFFFFF"/>
            <w:noWrap/>
            <w:textDirection w:val="lrTb"/>
            <w:vAlign w:val="center"/>
          </w:tcPr>
          <w:p w:rsidR="009D2A34" w:rsidRPr="00C22B35" w:rsidP="006338E5">
            <w:pPr>
              <w:bidi w:val="0"/>
              <w:rPr>
                <w:rFonts w:ascii="Times New Roman" w:hAnsi="Times New Roman" w:cs="Times New Roman"/>
                <w:b/>
                <w:color w:val="000000"/>
                <w:sz w:val="14"/>
                <w:szCs w:val="14"/>
                <w:lang w:eastAsia="sk-SK"/>
              </w:rPr>
            </w:pPr>
            <w:r>
              <w:rPr>
                <w:rFonts w:ascii="Times New Roman" w:hAnsi="Times New Roman" w:cs="Times New Roman"/>
                <w:b/>
                <w:color w:val="000000"/>
                <w:sz w:val="14"/>
                <w:szCs w:val="14"/>
                <w:lang w:eastAsia="sk-SK"/>
              </w:rPr>
              <w:t>r</w:t>
            </w:r>
            <w:r w:rsidRPr="00C22B35">
              <w:rPr>
                <w:rFonts w:ascii="Times New Roman" w:hAnsi="Times New Roman" w:cs="Times New Roman"/>
                <w:b/>
                <w:color w:val="000000"/>
                <w:sz w:val="14"/>
                <w:szCs w:val="14"/>
                <w:lang w:eastAsia="sk-SK"/>
              </w:rPr>
              <w:t>ozpočtové zdroje kapitoly</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9 045 371</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8 029 200</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8 169 283</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8 531 385</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9D2A34" w:rsidRPr="00C22B35" w:rsidP="006338E5">
            <w:pPr>
              <w:bidi w:val="0"/>
              <w:jc w:val="right"/>
              <w:rPr>
                <w:rFonts w:ascii="Times New Roman" w:hAnsi="Times New Roman" w:cs="Times New Roman"/>
                <w:b/>
                <w:bCs/>
                <w:color w:val="000000"/>
                <w:sz w:val="14"/>
                <w:szCs w:val="14"/>
              </w:rPr>
            </w:pPr>
            <w:r w:rsidRPr="00C22B35">
              <w:rPr>
                <w:rFonts w:ascii="Times New Roman" w:hAnsi="Times New Roman" w:cs="Times New Roman"/>
                <w:b/>
                <w:bCs/>
                <w:color w:val="000000"/>
                <w:sz w:val="14"/>
                <w:szCs w:val="14"/>
              </w:rPr>
              <w:t>8 788 394</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9D2A34" w:rsidRPr="00C22B35" w:rsidP="006338E5">
            <w:pPr>
              <w:bidi w:val="0"/>
              <w:jc w:val="right"/>
              <w:rPr>
                <w:rFonts w:ascii="Times New Roman" w:hAnsi="Times New Roman" w:cs="Times New Roman"/>
                <w:b/>
                <w:bCs/>
                <w:color w:val="000000"/>
                <w:sz w:val="14"/>
                <w:szCs w:val="14"/>
              </w:rPr>
            </w:pPr>
            <w:r w:rsidRPr="00C22B35">
              <w:rPr>
                <w:rFonts w:ascii="Times New Roman" w:hAnsi="Times New Roman" w:cs="Times New Roman"/>
                <w:b/>
                <w:bCs/>
                <w:color w:val="000000"/>
                <w:sz w:val="14"/>
                <w:szCs w:val="14"/>
              </w:rPr>
              <w:t>8 970 432</w:t>
            </w:r>
          </w:p>
        </w:tc>
        <w:tc>
          <w:tcPr>
            <w:tcW w:w="960" w:type="dxa"/>
            <w:tcBorders>
              <w:top w:val="nil"/>
              <w:left w:val="nil"/>
              <w:bottom w:val="single" w:sz="4" w:space="0" w:color="auto"/>
              <w:right w:val="single" w:sz="4" w:space="0" w:color="auto"/>
            </w:tcBorders>
            <w:shd w:val="clear" w:color="auto" w:fill="FFFFFF"/>
            <w:noWrap/>
            <w:textDirection w:val="lrTb"/>
            <w:vAlign w:val="center"/>
          </w:tcPr>
          <w:p w:rsidR="009D2A34" w:rsidRPr="00C22B35" w:rsidP="006338E5">
            <w:pPr>
              <w:bidi w:val="0"/>
              <w:jc w:val="right"/>
              <w:rPr>
                <w:rFonts w:ascii="Times New Roman" w:hAnsi="Times New Roman" w:cs="Times New Roman"/>
                <w:b/>
                <w:bCs/>
                <w:color w:val="000000"/>
                <w:sz w:val="14"/>
                <w:szCs w:val="14"/>
              </w:rPr>
            </w:pPr>
            <w:r w:rsidRPr="00C22B35">
              <w:rPr>
                <w:rFonts w:ascii="Times New Roman" w:hAnsi="Times New Roman" w:cs="Times New Roman"/>
                <w:b/>
                <w:bCs/>
                <w:color w:val="000000"/>
                <w:sz w:val="14"/>
                <w:szCs w:val="14"/>
              </w:rPr>
              <w:t>9 203 209</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C22B35" w:rsidP="006338E5">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v tom: bežné výdavky  600</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8 779 510</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7 972 695</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8 068 991</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8 431 093</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8 688 102</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8 870 140</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9 102 917</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C22B35" w:rsidP="006338E5">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610 mzdy</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5 901 517</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5 453 361</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5 588 566</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5 681 761</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6 085 308</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6 226 376</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6 406 763</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C22B35" w:rsidP="006338E5">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620 odvody</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1 249 574</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1 395 408</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1 718 031</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1 636 385</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1 855 316</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1 896 286</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1 948 676</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C22B35" w:rsidP="006338E5">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630 tovary a služby</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1 510 305</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1 054 958</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690 063</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1 014 608</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672 844</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672 844</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672 844</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C22B35" w:rsidP="006338E5">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640 bežné transfery</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118 114</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68 968</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72 331</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98 339</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74 634</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74 634</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74 634</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C22B35" w:rsidP="006338E5">
            <w:pPr>
              <w:bidi w:val="0"/>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 xml:space="preserve">                kapitálové výdavky 700</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265 861</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56 505</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100 292</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lang w:eastAsia="sk-SK"/>
              </w:rPr>
            </w:pPr>
            <w:r w:rsidRPr="00C22B35">
              <w:rPr>
                <w:rFonts w:ascii="Times New Roman" w:hAnsi="Times New Roman" w:cs="Times New Roman"/>
                <w:color w:val="000000"/>
                <w:sz w:val="14"/>
                <w:szCs w:val="14"/>
                <w:lang w:eastAsia="sk-SK"/>
              </w:rPr>
              <w:t>100 292</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100 292</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100 292</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color w:val="000000"/>
                <w:sz w:val="14"/>
                <w:szCs w:val="14"/>
              </w:rPr>
            </w:pPr>
            <w:r w:rsidRPr="00C22B35">
              <w:rPr>
                <w:rFonts w:ascii="Times New Roman" w:hAnsi="Times New Roman" w:cs="Times New Roman"/>
                <w:color w:val="000000"/>
                <w:sz w:val="14"/>
                <w:szCs w:val="14"/>
              </w:rPr>
              <w:t>100 292</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C22B35" w:rsidP="006338E5">
            <w:pPr>
              <w:bidi w:val="0"/>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presun z minulých rokov</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51 512</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3 386</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0</w:t>
            </w:r>
          </w:p>
        </w:tc>
        <w:tc>
          <w:tcPr>
            <w:tcW w:w="960" w:type="dxa"/>
            <w:tcBorders>
              <w:top w:val="nil"/>
              <w:left w:val="nil"/>
              <w:bottom w:val="single" w:sz="4" w:space="0" w:color="auto"/>
              <w:right w:val="single" w:sz="4" w:space="0" w:color="auto"/>
            </w:tcBorders>
            <w:noWrap/>
            <w:textDirection w:val="lrTb"/>
            <w:vAlign w:val="center"/>
            <w:hideMark/>
          </w:tcPr>
          <w:p w:rsidR="009D2A34" w:rsidRPr="00C22B35" w:rsidP="006338E5">
            <w:pPr>
              <w:bidi w:val="0"/>
              <w:jc w:val="right"/>
              <w:rPr>
                <w:rFonts w:ascii="Times New Roman" w:hAnsi="Times New Roman" w:cs="Times New Roman"/>
                <w:b/>
                <w:color w:val="000000"/>
                <w:sz w:val="14"/>
                <w:szCs w:val="14"/>
                <w:lang w:eastAsia="sk-SK"/>
              </w:rPr>
            </w:pPr>
            <w:r w:rsidRPr="00C22B35">
              <w:rPr>
                <w:rFonts w:ascii="Times New Roman" w:hAnsi="Times New Roman" w:cs="Times New Roman"/>
                <w:b/>
                <w:color w:val="000000"/>
                <w:sz w:val="14"/>
                <w:szCs w:val="14"/>
                <w:lang w:eastAsia="sk-SK"/>
              </w:rPr>
              <w:t>0</w:t>
            </w:r>
          </w:p>
        </w:tc>
        <w:tc>
          <w:tcPr>
            <w:tcW w:w="960" w:type="dxa"/>
            <w:tcBorders>
              <w:top w:val="nil"/>
              <w:left w:val="nil"/>
              <w:bottom w:val="single" w:sz="4" w:space="0" w:color="auto"/>
              <w:right w:val="single" w:sz="4" w:space="0" w:color="auto"/>
            </w:tcBorders>
            <w:noWrap/>
            <w:textDirection w:val="lrTb"/>
            <w:vAlign w:val="center"/>
            <w:hideMark/>
          </w:tcPr>
          <w:p w:rsidR="009D2A34" w:rsidRPr="0017626B" w:rsidP="006338E5">
            <w:pPr>
              <w:bidi w:val="0"/>
              <w:jc w:val="right"/>
              <w:rPr>
                <w:rFonts w:ascii="Times New Roman" w:hAnsi="Times New Roman" w:cs="Times New Roman"/>
                <w:b/>
                <w:color w:val="000000"/>
                <w:sz w:val="14"/>
                <w:szCs w:val="14"/>
              </w:rPr>
            </w:pPr>
            <w:r w:rsidRPr="0017626B">
              <w:rPr>
                <w:rFonts w:ascii="Times New Roman" w:hAnsi="Times New Roman" w:cs="Times New Roman"/>
                <w:b/>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9D2A34" w:rsidRPr="0017626B" w:rsidP="006338E5">
            <w:pPr>
              <w:bidi w:val="0"/>
              <w:jc w:val="right"/>
              <w:rPr>
                <w:rFonts w:ascii="Times New Roman" w:hAnsi="Times New Roman" w:cs="Times New Roman"/>
                <w:b/>
                <w:color w:val="000000"/>
                <w:sz w:val="14"/>
                <w:szCs w:val="14"/>
              </w:rPr>
            </w:pPr>
            <w:r w:rsidRPr="0017626B">
              <w:rPr>
                <w:rFonts w:ascii="Times New Roman" w:hAnsi="Times New Roman" w:cs="Times New Roman"/>
                <w:b/>
                <w:color w:val="000000"/>
                <w:sz w:val="14"/>
                <w:szCs w:val="14"/>
              </w:rPr>
              <w:t>0</w:t>
            </w:r>
          </w:p>
        </w:tc>
        <w:tc>
          <w:tcPr>
            <w:tcW w:w="960" w:type="dxa"/>
            <w:tcBorders>
              <w:top w:val="nil"/>
              <w:left w:val="nil"/>
              <w:bottom w:val="single" w:sz="4" w:space="0" w:color="auto"/>
              <w:right w:val="single" w:sz="4" w:space="0" w:color="auto"/>
            </w:tcBorders>
            <w:noWrap/>
            <w:textDirection w:val="lrTb"/>
            <w:vAlign w:val="center"/>
            <w:hideMark/>
          </w:tcPr>
          <w:p w:rsidR="009D2A34" w:rsidRPr="0017626B" w:rsidP="006338E5">
            <w:pPr>
              <w:bidi w:val="0"/>
              <w:jc w:val="right"/>
              <w:rPr>
                <w:rFonts w:ascii="Times New Roman" w:hAnsi="Times New Roman" w:cs="Times New Roman"/>
                <w:b/>
                <w:color w:val="000000"/>
                <w:sz w:val="14"/>
                <w:szCs w:val="14"/>
              </w:rPr>
            </w:pPr>
            <w:r w:rsidRPr="0017626B">
              <w:rPr>
                <w:rFonts w:ascii="Times New Roman" w:hAnsi="Times New Roman" w:cs="Times New Roman"/>
                <w:b/>
                <w:color w:val="000000"/>
                <w:sz w:val="14"/>
                <w:szCs w:val="14"/>
              </w:rPr>
              <w:t>0</w:t>
            </w:r>
          </w:p>
        </w:tc>
      </w:tr>
    </w:tbl>
    <w:p w:rsidR="009D2A34" w:rsidRPr="00E14983" w:rsidP="009D2A34">
      <w:pPr>
        <w:bidi w:val="0"/>
        <w:rPr>
          <w:rFonts w:ascii="Times New Roman" w:hAnsi="Times New Roman" w:cs="Times New Roman"/>
        </w:rPr>
      </w:pPr>
    </w:p>
    <w:p w:rsidR="009D2A34" w:rsidRPr="00E14983" w:rsidP="009D2A34">
      <w:pPr>
        <w:bidi w:val="0"/>
        <w:ind w:firstLine="708"/>
        <w:jc w:val="both"/>
        <w:rPr>
          <w:rFonts w:ascii="Times New Roman" w:hAnsi="Times New Roman" w:cs="Times New Roman"/>
        </w:rPr>
      </w:pPr>
      <w:r w:rsidRPr="00E14983">
        <w:rPr>
          <w:rFonts w:ascii="Times New Roman" w:hAnsi="Times New Roman" w:cs="Times New Roman"/>
        </w:rPr>
        <w:t>Celkové výdavky kapitoly na rok 2013 sa rozpočtujú v sume 8,7</w:t>
      </w:r>
      <w:r>
        <w:rPr>
          <w:rFonts w:ascii="Times New Roman" w:hAnsi="Times New Roman" w:cs="Times New Roman"/>
        </w:rPr>
        <w:t>9</w:t>
      </w:r>
      <w:r w:rsidRPr="00E14983">
        <w:rPr>
          <w:rFonts w:ascii="Times New Roman" w:hAnsi="Times New Roman" w:cs="Times New Roman"/>
        </w:rPr>
        <w:t xml:space="preserve"> mil. eur </w:t>
      </w:r>
      <w:r>
        <w:rPr>
          <w:rFonts w:ascii="Times New Roman" w:hAnsi="Times New Roman" w:cs="Times New Roman"/>
        </w:rPr>
        <w:t xml:space="preserve">a </w:t>
      </w:r>
      <w:r w:rsidRPr="00E14983">
        <w:rPr>
          <w:rFonts w:ascii="Times New Roman" w:hAnsi="Times New Roman" w:cs="Times New Roman"/>
        </w:rPr>
        <w:t>oproti schválenému rozpočtu roku 2012 medziročne rastú o</w:t>
      </w:r>
      <w:r>
        <w:rPr>
          <w:rFonts w:ascii="Times New Roman" w:hAnsi="Times New Roman" w:cs="Times New Roman"/>
        </w:rPr>
        <w:t> 619 tis. eur, t.</w:t>
      </w:r>
      <w:r w:rsidR="001F3259">
        <w:rPr>
          <w:rFonts w:ascii="Times New Roman" w:hAnsi="Times New Roman" w:cs="Times New Roman"/>
        </w:rPr>
        <w:t xml:space="preserve"> </w:t>
      </w:r>
      <w:r>
        <w:rPr>
          <w:rFonts w:ascii="Times New Roman" w:hAnsi="Times New Roman" w:cs="Times New Roman"/>
        </w:rPr>
        <w:t>j. o 7</w:t>
      </w:r>
      <w:r w:rsidRPr="00E14983">
        <w:rPr>
          <w:rFonts w:ascii="Times New Roman" w:hAnsi="Times New Roman" w:cs="Times New Roman"/>
        </w:rPr>
        <w:t>,5</w:t>
      </w:r>
      <w:r>
        <w:rPr>
          <w:rFonts w:ascii="Times New Roman" w:hAnsi="Times New Roman" w:cs="Times New Roman"/>
        </w:rPr>
        <w:t>8</w:t>
      </w:r>
      <w:r w:rsidRPr="00E14983">
        <w:rPr>
          <w:rFonts w:ascii="Times New Roman" w:hAnsi="Times New Roman" w:cs="Times New Roman"/>
        </w:rPr>
        <w:t xml:space="preserve"> %. </w:t>
      </w:r>
    </w:p>
    <w:p w:rsidR="009D2A34" w:rsidRPr="00E14983" w:rsidP="009D2A34">
      <w:pPr>
        <w:bidi w:val="0"/>
        <w:jc w:val="both"/>
        <w:rPr>
          <w:rFonts w:ascii="Times New Roman" w:hAnsi="Times New Roman" w:cs="Times New Roman"/>
        </w:rPr>
      </w:pPr>
    </w:p>
    <w:p w:rsidR="009D2A34" w:rsidRPr="00E14983" w:rsidP="009D2A34">
      <w:pPr>
        <w:bidi w:val="0"/>
        <w:ind w:firstLine="708"/>
        <w:jc w:val="both"/>
        <w:rPr>
          <w:rFonts w:ascii="Times New Roman" w:hAnsi="Times New Roman" w:cs="Times New Roman"/>
          <w:bCs/>
        </w:rPr>
      </w:pPr>
      <w:r w:rsidRPr="00E14983">
        <w:rPr>
          <w:rFonts w:ascii="Times New Roman" w:hAnsi="Times New Roman" w:cs="Times New Roman"/>
        </w:rPr>
        <w:t>Na rok 2013 sa rozpočtujú osobné výdavky v sume 7,94 mil. eur, čo je o</w:t>
      </w:r>
      <w:r>
        <w:rPr>
          <w:rFonts w:ascii="Times New Roman" w:hAnsi="Times New Roman" w:cs="Times New Roman"/>
        </w:rPr>
        <w:t xml:space="preserve"> 634 tis. eur, </w:t>
      </w:r>
      <w:r w:rsidR="001F3259">
        <w:rPr>
          <w:rFonts w:ascii="Times New Roman" w:hAnsi="Times New Roman" w:cs="Times New Roman"/>
        </w:rPr>
        <w:br/>
      </w:r>
      <w:r>
        <w:rPr>
          <w:rFonts w:ascii="Times New Roman" w:hAnsi="Times New Roman" w:cs="Times New Roman"/>
        </w:rPr>
        <w:t>t.</w:t>
      </w:r>
      <w:r w:rsidR="001F3259">
        <w:rPr>
          <w:rFonts w:ascii="Times New Roman" w:hAnsi="Times New Roman" w:cs="Times New Roman"/>
        </w:rPr>
        <w:t xml:space="preserve"> </w:t>
      </w:r>
      <w:r>
        <w:rPr>
          <w:rFonts w:ascii="Times New Roman" w:hAnsi="Times New Roman" w:cs="Times New Roman"/>
        </w:rPr>
        <w:t xml:space="preserve">j. o </w:t>
      </w:r>
      <w:r w:rsidRPr="00E14983">
        <w:rPr>
          <w:rFonts w:ascii="Times New Roman" w:hAnsi="Times New Roman" w:cs="Times New Roman"/>
        </w:rPr>
        <w:t>8,68 % viac ako schválený rozpočet osobných výdavkov v roku 2012</w:t>
      </w:r>
      <w:r>
        <w:rPr>
          <w:rFonts w:ascii="Times New Roman" w:hAnsi="Times New Roman" w:cs="Times New Roman"/>
        </w:rPr>
        <w:t>. P</w:t>
      </w:r>
      <w:r w:rsidRPr="00E14983">
        <w:rPr>
          <w:rFonts w:ascii="Times New Roman" w:hAnsi="Times New Roman" w:cs="Times New Roman"/>
          <w:bCs/>
        </w:rPr>
        <w:t xml:space="preserve">re sudcov </w:t>
      </w:r>
      <w:r>
        <w:rPr>
          <w:rFonts w:ascii="Times New Roman" w:hAnsi="Times New Roman" w:cs="Times New Roman"/>
          <w:bCs/>
        </w:rPr>
        <w:t>Najvyššieho</w:t>
      </w:r>
      <w:r w:rsidRPr="00E14983">
        <w:rPr>
          <w:rFonts w:ascii="Times New Roman" w:hAnsi="Times New Roman" w:cs="Times New Roman"/>
          <w:bCs/>
        </w:rPr>
        <w:t xml:space="preserve"> súdu Slovenskej republiky</w:t>
      </w:r>
      <w:r>
        <w:rPr>
          <w:rFonts w:ascii="Times New Roman" w:hAnsi="Times New Roman" w:cs="Times New Roman"/>
          <w:bCs/>
        </w:rPr>
        <w:t xml:space="preserve"> sú</w:t>
      </w:r>
      <w:r w:rsidRPr="00E14983">
        <w:rPr>
          <w:rFonts w:ascii="Times New Roman" w:hAnsi="Times New Roman" w:cs="Times New Roman"/>
          <w:bCs/>
        </w:rPr>
        <w:t xml:space="preserve"> zabezpečené finančné prostriedky na úrovni ich reálne vyplácaných platových náležitostí v roku 2012 v zmysle zákona č. 120/1993 Z. z. </w:t>
      </w:r>
    </w:p>
    <w:p w:rsidR="009D2A34" w:rsidRPr="00E14983" w:rsidP="009D2A34">
      <w:pPr>
        <w:bidi w:val="0"/>
        <w:jc w:val="both"/>
        <w:rPr>
          <w:rFonts w:ascii="Times New Roman" w:hAnsi="Times New Roman" w:cs="Times New Roman"/>
        </w:rPr>
      </w:pPr>
    </w:p>
    <w:p w:rsidR="009D2A34" w:rsidRPr="00E14983" w:rsidP="009D2A34">
      <w:pPr>
        <w:bidi w:val="0"/>
        <w:ind w:firstLine="708"/>
        <w:jc w:val="both"/>
        <w:rPr>
          <w:rFonts w:ascii="Times New Roman" w:hAnsi="Times New Roman" w:cs="Times New Roman"/>
        </w:rPr>
      </w:pPr>
      <w:r w:rsidRPr="00E14983">
        <w:rPr>
          <w:rFonts w:ascii="Times New Roman" w:hAnsi="Times New Roman" w:cs="Times New Roman"/>
        </w:rPr>
        <w:t>Tovary a služby sa rozpočtujú v sume 6</w:t>
      </w:r>
      <w:r>
        <w:rPr>
          <w:rFonts w:ascii="Times New Roman" w:hAnsi="Times New Roman" w:cs="Times New Roman"/>
        </w:rPr>
        <w:t>73</w:t>
      </w:r>
      <w:r w:rsidRPr="00E14983">
        <w:rPr>
          <w:rFonts w:ascii="Times New Roman" w:hAnsi="Times New Roman" w:cs="Times New Roman"/>
        </w:rPr>
        <w:t xml:space="preserve"> tis. eur, čo predstavuje pokles </w:t>
      </w:r>
      <w:r w:rsidR="001F3259">
        <w:rPr>
          <w:rFonts w:ascii="Times New Roman" w:hAnsi="Times New Roman" w:cs="Times New Roman"/>
        </w:rPr>
        <w:br/>
      </w:r>
      <w:r w:rsidRPr="00E14983">
        <w:rPr>
          <w:rFonts w:ascii="Times New Roman" w:hAnsi="Times New Roman" w:cs="Times New Roman"/>
        </w:rPr>
        <w:t>o</w:t>
      </w:r>
      <w:r>
        <w:rPr>
          <w:rFonts w:ascii="Times New Roman" w:hAnsi="Times New Roman" w:cs="Times New Roman"/>
        </w:rPr>
        <w:t> 17,2 tis. eur, t.</w:t>
      </w:r>
      <w:r w:rsidR="001F3259">
        <w:rPr>
          <w:rFonts w:ascii="Times New Roman" w:hAnsi="Times New Roman" w:cs="Times New Roman"/>
        </w:rPr>
        <w:t xml:space="preserve"> </w:t>
      </w:r>
      <w:r>
        <w:rPr>
          <w:rFonts w:ascii="Times New Roman" w:hAnsi="Times New Roman" w:cs="Times New Roman"/>
        </w:rPr>
        <w:t>j. o 2</w:t>
      </w:r>
      <w:r w:rsidRPr="00E14983">
        <w:rPr>
          <w:rFonts w:ascii="Times New Roman" w:hAnsi="Times New Roman" w:cs="Times New Roman"/>
        </w:rPr>
        <w:t>,</w:t>
      </w:r>
      <w:r>
        <w:rPr>
          <w:rFonts w:ascii="Times New Roman" w:hAnsi="Times New Roman" w:cs="Times New Roman"/>
        </w:rPr>
        <w:t>5</w:t>
      </w:r>
      <w:r w:rsidRPr="00E14983">
        <w:rPr>
          <w:rFonts w:ascii="Times New Roman" w:hAnsi="Times New Roman" w:cs="Times New Roman"/>
        </w:rPr>
        <w:t>0 % oproti schválenému rozpočtu roku 2012.</w:t>
      </w:r>
    </w:p>
    <w:p w:rsidR="009D2A34" w:rsidRPr="00E14983" w:rsidP="009D2A34">
      <w:pPr>
        <w:bidi w:val="0"/>
        <w:jc w:val="both"/>
        <w:rPr>
          <w:rFonts w:ascii="Times New Roman" w:hAnsi="Times New Roman" w:cs="Times New Roman"/>
        </w:rPr>
      </w:pPr>
    </w:p>
    <w:p w:rsidR="009D2A34" w:rsidRPr="00E14983" w:rsidP="009D2A34">
      <w:pPr>
        <w:bidi w:val="0"/>
        <w:ind w:firstLine="708"/>
        <w:jc w:val="both"/>
        <w:rPr>
          <w:rFonts w:ascii="Times New Roman" w:hAnsi="Times New Roman" w:cs="Times New Roman"/>
        </w:rPr>
      </w:pPr>
      <w:r w:rsidRPr="00E14983">
        <w:rPr>
          <w:rFonts w:ascii="Times New Roman" w:hAnsi="Times New Roman" w:cs="Times New Roman"/>
        </w:rPr>
        <w:t xml:space="preserve">Bežné transfery sa rozpočtujú v sume 74,6 tis. eur, čo predstavuje zvýšenie </w:t>
      </w:r>
      <w:r w:rsidR="001F3259">
        <w:rPr>
          <w:rFonts w:ascii="Times New Roman" w:hAnsi="Times New Roman" w:cs="Times New Roman"/>
        </w:rPr>
        <w:br/>
      </w:r>
      <w:r w:rsidRPr="00E14983">
        <w:rPr>
          <w:rFonts w:ascii="Times New Roman" w:hAnsi="Times New Roman" w:cs="Times New Roman"/>
        </w:rPr>
        <w:t>o</w:t>
      </w:r>
      <w:r>
        <w:rPr>
          <w:rFonts w:ascii="Times New Roman" w:hAnsi="Times New Roman" w:cs="Times New Roman"/>
        </w:rPr>
        <w:t> 2,3 tis. eur, t.</w:t>
      </w:r>
      <w:r w:rsidR="001F3259">
        <w:rPr>
          <w:rFonts w:ascii="Times New Roman" w:hAnsi="Times New Roman" w:cs="Times New Roman"/>
        </w:rPr>
        <w:t xml:space="preserve"> </w:t>
      </w:r>
      <w:r>
        <w:rPr>
          <w:rFonts w:ascii="Times New Roman" w:hAnsi="Times New Roman" w:cs="Times New Roman"/>
        </w:rPr>
        <w:t xml:space="preserve">j. o </w:t>
      </w:r>
      <w:r w:rsidRPr="00E14983">
        <w:rPr>
          <w:rFonts w:ascii="Times New Roman" w:hAnsi="Times New Roman" w:cs="Times New Roman"/>
        </w:rPr>
        <w:t>3,18 % oproti schválenému rozpočtu roku 2012.</w:t>
      </w:r>
    </w:p>
    <w:p w:rsidR="009D2A34" w:rsidRPr="00E14983" w:rsidP="009D2A34">
      <w:pPr>
        <w:bidi w:val="0"/>
        <w:jc w:val="both"/>
        <w:rPr>
          <w:rFonts w:ascii="Times New Roman" w:hAnsi="Times New Roman" w:cs="Times New Roman"/>
        </w:rPr>
      </w:pPr>
    </w:p>
    <w:p w:rsidR="009D2A34" w:rsidRPr="00E14983" w:rsidP="009D2A34">
      <w:pPr>
        <w:bidi w:val="0"/>
        <w:ind w:firstLine="708"/>
        <w:jc w:val="both"/>
        <w:rPr>
          <w:rFonts w:ascii="Times New Roman" w:hAnsi="Times New Roman" w:cs="Times New Roman"/>
        </w:rPr>
      </w:pPr>
      <w:r w:rsidRPr="00E14983">
        <w:rPr>
          <w:rFonts w:ascii="Times New Roman" w:hAnsi="Times New Roman" w:cs="Times New Roman"/>
        </w:rPr>
        <w:t xml:space="preserve">Kapitálové výdavky sa rozpočtujú v sume 100 tis. eur, čo predstavuje úroveň schváleného rozpočtu roku 2012. </w:t>
      </w:r>
    </w:p>
    <w:p w:rsidR="009D2A34" w:rsidRPr="00E14983" w:rsidP="009D2A34">
      <w:pPr>
        <w:bidi w:val="0"/>
        <w:rPr>
          <w:rFonts w:ascii="Times New Roman" w:hAnsi="Times New Roman" w:cs="Times New Roman"/>
        </w:rPr>
      </w:pPr>
    </w:p>
    <w:p w:rsidR="003E7CD4" w:rsidP="001F3259">
      <w:pPr>
        <w:bidi w:val="0"/>
        <w:ind w:firstLine="708"/>
        <w:jc w:val="both"/>
        <w:rPr>
          <w:rFonts w:ascii="Times New Roman" w:hAnsi="Times New Roman" w:cs="Times New Roman"/>
          <w:b/>
        </w:rPr>
      </w:pPr>
      <w:r w:rsidRPr="00E14983" w:rsidR="009D2A34">
        <w:rPr>
          <w:rFonts w:ascii="Times New Roman" w:hAnsi="Times New Roman" w:cs="Times New Roman"/>
        </w:rPr>
        <w:t>Výdavky kapitoly sú sm</w:t>
      </w:r>
      <w:r w:rsidR="001F3259">
        <w:rPr>
          <w:rFonts w:ascii="Times New Roman" w:hAnsi="Times New Roman" w:cs="Times New Roman"/>
        </w:rPr>
        <w:t>erované do nasledovných oblastí:</w:t>
      </w:r>
    </w:p>
    <w:p w:rsidR="003E7CD4" w:rsidP="009D2A34">
      <w:pPr>
        <w:bidi w:val="0"/>
        <w:jc w:val="both"/>
        <w:rPr>
          <w:rFonts w:ascii="Times New Roman" w:hAnsi="Times New Roman" w:cs="Times New Roman"/>
          <w:b/>
        </w:rPr>
      </w:pPr>
    </w:p>
    <w:p w:rsidR="00D83F50" w:rsidP="009D2A34">
      <w:pPr>
        <w:bidi w:val="0"/>
        <w:jc w:val="both"/>
        <w:rPr>
          <w:rFonts w:ascii="Times New Roman" w:hAnsi="Times New Roman" w:cs="Times New Roman"/>
          <w:b/>
        </w:rPr>
      </w:pPr>
    </w:p>
    <w:p w:rsidR="00BE7990" w:rsidP="009D2A34">
      <w:pPr>
        <w:bidi w:val="0"/>
        <w:jc w:val="both"/>
        <w:rPr>
          <w:rFonts w:ascii="Times New Roman" w:hAnsi="Times New Roman" w:cs="Times New Roman"/>
          <w:b/>
        </w:rPr>
      </w:pPr>
    </w:p>
    <w:p w:rsidR="00BE7990" w:rsidP="009D2A34">
      <w:pPr>
        <w:bidi w:val="0"/>
        <w:jc w:val="both"/>
        <w:rPr>
          <w:rFonts w:ascii="Times New Roman" w:hAnsi="Times New Roman" w:cs="Times New Roman"/>
          <w:b/>
        </w:rPr>
      </w:pPr>
    </w:p>
    <w:p w:rsidR="00BE7990" w:rsidP="009D2A34">
      <w:pPr>
        <w:bidi w:val="0"/>
        <w:jc w:val="both"/>
        <w:rPr>
          <w:rFonts w:ascii="Times New Roman" w:hAnsi="Times New Roman" w:cs="Times New Roman"/>
          <w:b/>
        </w:rPr>
      </w:pPr>
    </w:p>
    <w:p w:rsidR="009D2A34" w:rsidRPr="00E14983" w:rsidP="009D2A34">
      <w:pPr>
        <w:bidi w:val="0"/>
        <w:jc w:val="both"/>
        <w:rPr>
          <w:rFonts w:ascii="Times New Roman" w:hAnsi="Times New Roman" w:cs="Times New Roman"/>
          <w:b/>
        </w:rPr>
      </w:pPr>
      <w:r w:rsidRPr="00E14983">
        <w:rPr>
          <w:rFonts w:ascii="Times New Roman" w:hAnsi="Times New Roman" w:cs="Times New Roman"/>
          <w:b/>
        </w:rPr>
        <w:t>Najvyšší súd SR</w:t>
      </w:r>
    </w:p>
    <w:p w:rsidR="009D2A34" w:rsidRPr="00E14983" w:rsidP="009D2A34">
      <w:pPr>
        <w:bidi w:val="0"/>
        <w:jc w:val="both"/>
        <w:rPr>
          <w:rFonts w:ascii="Times New Roman" w:hAnsi="Times New Roman" w:cs="Times New Roman"/>
          <w:b/>
        </w:rPr>
      </w:pPr>
    </w:p>
    <w:tbl>
      <w:tblPr>
        <w:tblStyle w:val="TableNormal"/>
        <w:tblW w:w="9087" w:type="dxa"/>
        <w:tblInd w:w="55" w:type="dxa"/>
        <w:tblLayout w:type="fixed"/>
        <w:tblCellMar>
          <w:left w:w="70" w:type="dxa"/>
          <w:right w:w="70" w:type="dxa"/>
        </w:tblCellMar>
        <w:tblLook w:val="04A0"/>
      </w:tblPr>
      <w:tblGrid>
        <w:gridCol w:w="2283"/>
        <w:gridCol w:w="972"/>
        <w:gridCol w:w="972"/>
        <w:gridCol w:w="972"/>
        <w:gridCol w:w="972"/>
        <w:gridCol w:w="972"/>
        <w:gridCol w:w="972"/>
        <w:gridCol w:w="972"/>
      </w:tblGrid>
      <w:tr>
        <w:tblPrEx>
          <w:tblW w:w="9087" w:type="dxa"/>
          <w:tblInd w:w="55" w:type="dxa"/>
          <w:tblLayout w:type="fixed"/>
          <w:tblCellMar>
            <w:left w:w="70" w:type="dxa"/>
            <w:right w:w="70" w:type="dxa"/>
          </w:tblCellMar>
          <w:tblLook w:val="04A0"/>
        </w:tblPrEx>
        <w:trPr>
          <w:trHeight w:val="261"/>
        </w:trPr>
        <w:tc>
          <w:tcPr>
            <w:tcW w:w="228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E14983" w:rsidP="006338E5">
            <w:pPr>
              <w:bidi w:val="0"/>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E14983">
              <w:rPr>
                <w:rFonts w:ascii="Times New Roman" w:hAnsi="Times New Roman" w:cs="Times New Roman"/>
                <w:b/>
                <w:bCs/>
                <w:color w:val="000000"/>
                <w:sz w:val="14"/>
                <w:szCs w:val="14"/>
                <w:lang w:eastAsia="sk-SK"/>
              </w:rPr>
              <w:t>eurách</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2010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2011 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2012 R</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2012 OS</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14983" w:rsidP="001F3259">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 xml:space="preserve">2013 </w:t>
            </w:r>
            <w:r w:rsidR="001F3259">
              <w:rPr>
                <w:rFonts w:ascii="Times New Roman" w:hAnsi="Times New Roman" w:cs="Times New Roman"/>
                <w:b/>
                <w:bCs/>
                <w:color w:val="000000"/>
                <w:sz w:val="14"/>
                <w:szCs w:val="14"/>
                <w:lang w:eastAsia="sk-SK"/>
              </w:rPr>
              <w:t>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2014 N</w:t>
            </w:r>
          </w:p>
        </w:tc>
        <w:tc>
          <w:tcPr>
            <w:tcW w:w="972"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2015 N</w:t>
            </w:r>
          </w:p>
        </w:tc>
      </w:tr>
      <w:tr>
        <w:tblPrEx>
          <w:tblW w:w="9087" w:type="dxa"/>
          <w:tblInd w:w="55" w:type="dxa"/>
          <w:tblLayout w:type="fixed"/>
          <w:tblCellMar>
            <w:left w:w="70" w:type="dxa"/>
            <w:right w:w="70" w:type="dxa"/>
          </w:tblCellMar>
          <w:tblLook w:val="04A0"/>
        </w:tblPrEx>
        <w:trPr>
          <w:trHeight w:val="261"/>
        </w:trPr>
        <w:tc>
          <w:tcPr>
            <w:tcW w:w="228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E14983" w:rsidP="006338E5">
            <w:pPr>
              <w:bidi w:val="0"/>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 xml:space="preserve">Najvyšší súd SR </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E14983" w:rsidP="006338E5">
            <w:pPr>
              <w:bidi w:val="0"/>
              <w:jc w:val="right"/>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8 693 533</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E14983" w:rsidP="006338E5">
            <w:pPr>
              <w:bidi w:val="0"/>
              <w:jc w:val="right"/>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7 562 689</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E14983" w:rsidP="006338E5">
            <w:pPr>
              <w:bidi w:val="0"/>
              <w:jc w:val="right"/>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7 713 604</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E14983" w:rsidP="006338E5">
            <w:pPr>
              <w:bidi w:val="0"/>
              <w:jc w:val="right"/>
              <w:rPr>
                <w:rFonts w:ascii="Times New Roman" w:hAnsi="Times New Roman" w:cs="Times New Roman"/>
                <w:b/>
                <w:color w:val="000000"/>
                <w:sz w:val="14"/>
                <w:szCs w:val="14"/>
              </w:rPr>
            </w:pPr>
            <w:r w:rsidRPr="00E14983">
              <w:rPr>
                <w:rFonts w:ascii="Times New Roman" w:hAnsi="Times New Roman" w:cs="Times New Roman"/>
                <w:b/>
                <w:color w:val="000000"/>
                <w:sz w:val="14"/>
                <w:szCs w:val="14"/>
              </w:rPr>
              <w:t>8 075 706</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6D6260" w:rsidP="006338E5">
            <w:pPr>
              <w:bidi w:val="0"/>
              <w:jc w:val="right"/>
              <w:rPr>
                <w:rFonts w:ascii="Times New Roman" w:hAnsi="Times New Roman" w:cs="Times New Roman"/>
                <w:b/>
                <w:bCs/>
                <w:color w:val="000000"/>
                <w:sz w:val="14"/>
                <w:szCs w:val="14"/>
              </w:rPr>
            </w:pPr>
            <w:r w:rsidRPr="006D6260">
              <w:rPr>
                <w:rFonts w:ascii="Times New Roman" w:hAnsi="Times New Roman" w:cs="Times New Roman"/>
                <w:b/>
                <w:bCs/>
                <w:color w:val="000000"/>
                <w:sz w:val="14"/>
                <w:szCs w:val="14"/>
              </w:rPr>
              <w:t>8 360 256</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6D6260" w:rsidP="006338E5">
            <w:pPr>
              <w:bidi w:val="0"/>
              <w:jc w:val="right"/>
              <w:rPr>
                <w:rFonts w:ascii="Times New Roman" w:hAnsi="Times New Roman" w:cs="Times New Roman"/>
                <w:b/>
                <w:bCs/>
                <w:color w:val="000000"/>
                <w:sz w:val="14"/>
                <w:szCs w:val="14"/>
              </w:rPr>
            </w:pPr>
            <w:r w:rsidRPr="006D6260">
              <w:rPr>
                <w:rFonts w:ascii="Times New Roman" w:hAnsi="Times New Roman" w:cs="Times New Roman"/>
                <w:b/>
                <w:bCs/>
                <w:color w:val="000000"/>
                <w:sz w:val="14"/>
                <w:szCs w:val="14"/>
              </w:rPr>
              <w:t>8 542 294</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6D6260" w:rsidP="006338E5">
            <w:pPr>
              <w:bidi w:val="0"/>
              <w:jc w:val="right"/>
              <w:rPr>
                <w:rFonts w:ascii="Times New Roman" w:hAnsi="Times New Roman" w:cs="Times New Roman"/>
                <w:b/>
                <w:bCs/>
                <w:color w:val="000000"/>
                <w:sz w:val="14"/>
                <w:szCs w:val="14"/>
              </w:rPr>
            </w:pPr>
            <w:r w:rsidRPr="006D6260">
              <w:rPr>
                <w:rFonts w:ascii="Times New Roman" w:hAnsi="Times New Roman" w:cs="Times New Roman"/>
                <w:b/>
                <w:bCs/>
                <w:color w:val="000000"/>
                <w:sz w:val="14"/>
                <w:szCs w:val="14"/>
              </w:rPr>
              <w:t>8 775 071</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610 mzdy</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5 709 082</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5 211 707</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5 346 911</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5 440 106</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5 855 736</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5 996 804</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6 177 191</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620 odvody</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1 198 346</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1 309 670</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1 630 425</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1 548 779</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1 775 081</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1 816 051</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1 868 441</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630 tovary a služby</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1 366 993</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924 293</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578 563</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903 108</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571 734</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571 734</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571 734</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640 bežné transfery</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117 674</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62 271</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67 331</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93 339</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67 331</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67 331</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67 331</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kapitálové výdavky 700</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301 438</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54 748</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90 374</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90 374</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90 374</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90 374</w:t>
            </w:r>
          </w:p>
        </w:tc>
        <w:tc>
          <w:tcPr>
            <w:tcW w:w="972" w:type="dxa"/>
            <w:tcBorders>
              <w:top w:val="nil"/>
              <w:left w:val="nil"/>
              <w:bottom w:val="single" w:sz="4" w:space="0" w:color="auto"/>
              <w:right w:val="single" w:sz="4" w:space="0" w:color="auto"/>
            </w:tcBorders>
            <w:noWrap/>
            <w:textDirection w:val="lrTb"/>
            <w:vAlign w:val="center"/>
            <w:hideMark/>
          </w:tcPr>
          <w:p w:rsidR="009D2A34" w:rsidRPr="006D6260" w:rsidP="006338E5">
            <w:pPr>
              <w:bidi w:val="0"/>
              <w:jc w:val="right"/>
              <w:rPr>
                <w:rFonts w:ascii="Times New Roman" w:hAnsi="Times New Roman" w:cs="Times New Roman"/>
                <w:color w:val="000000"/>
                <w:sz w:val="14"/>
                <w:szCs w:val="14"/>
              </w:rPr>
            </w:pPr>
            <w:r w:rsidRPr="006D6260">
              <w:rPr>
                <w:rFonts w:ascii="Times New Roman" w:hAnsi="Times New Roman" w:cs="Times New Roman"/>
                <w:color w:val="000000"/>
                <w:sz w:val="14"/>
                <w:szCs w:val="14"/>
              </w:rPr>
              <w:t>90 374</w:t>
            </w:r>
          </w:p>
        </w:tc>
      </w:tr>
    </w:tbl>
    <w:p w:rsidR="009D2A34" w:rsidRPr="00E14983" w:rsidP="009D2A34">
      <w:pPr>
        <w:bidi w:val="0"/>
        <w:jc w:val="both"/>
        <w:rPr>
          <w:rFonts w:ascii="Times New Roman" w:hAnsi="Times New Roman" w:cs="Times New Roman"/>
        </w:rPr>
      </w:pPr>
    </w:p>
    <w:p w:rsidR="009D2A34" w:rsidRPr="00E14983" w:rsidP="009D2A34">
      <w:pPr>
        <w:bidi w:val="0"/>
        <w:ind w:firstLine="708"/>
        <w:jc w:val="both"/>
        <w:rPr>
          <w:rFonts w:ascii="Times New Roman" w:hAnsi="Times New Roman" w:cs="Times New Roman"/>
        </w:rPr>
      </w:pPr>
      <w:r w:rsidRPr="00E14983">
        <w:rPr>
          <w:rFonts w:ascii="Times New Roman" w:hAnsi="Times New Roman" w:cs="Times New Roman"/>
        </w:rPr>
        <w:t>Na program Jednotný výklad, aplikácia zákona – program najvyššieho súdu sa na rok 2013 rozpočtujú prostriedky v sume 8,3</w:t>
      </w:r>
      <w:r>
        <w:rPr>
          <w:rFonts w:ascii="Times New Roman" w:hAnsi="Times New Roman" w:cs="Times New Roman"/>
        </w:rPr>
        <w:t>6</w:t>
      </w:r>
      <w:r w:rsidRPr="00E14983">
        <w:rPr>
          <w:rFonts w:ascii="Times New Roman" w:hAnsi="Times New Roman" w:cs="Times New Roman"/>
        </w:rPr>
        <w:t xml:space="preserve"> mil. eur a sú oproti schválenému rozpočtu roku 2012 vyššie o</w:t>
      </w:r>
      <w:r>
        <w:rPr>
          <w:rFonts w:ascii="Times New Roman" w:hAnsi="Times New Roman" w:cs="Times New Roman"/>
        </w:rPr>
        <w:t> 647 tis. eur, t.</w:t>
      </w:r>
      <w:r w:rsidR="001F3259">
        <w:rPr>
          <w:rFonts w:ascii="Times New Roman" w:hAnsi="Times New Roman" w:cs="Times New Roman"/>
        </w:rPr>
        <w:t xml:space="preserve"> </w:t>
      </w:r>
      <w:r>
        <w:rPr>
          <w:rFonts w:ascii="Times New Roman" w:hAnsi="Times New Roman" w:cs="Times New Roman"/>
        </w:rPr>
        <w:t>j. o 8</w:t>
      </w:r>
      <w:r w:rsidRPr="00E14983">
        <w:rPr>
          <w:rFonts w:ascii="Times New Roman" w:hAnsi="Times New Roman" w:cs="Times New Roman"/>
        </w:rPr>
        <w:t>,</w:t>
      </w:r>
      <w:r>
        <w:rPr>
          <w:rFonts w:ascii="Times New Roman" w:hAnsi="Times New Roman" w:cs="Times New Roman"/>
        </w:rPr>
        <w:t>38</w:t>
      </w:r>
      <w:r w:rsidRPr="00E14983">
        <w:rPr>
          <w:rFonts w:ascii="Times New Roman" w:hAnsi="Times New Roman" w:cs="Times New Roman"/>
        </w:rPr>
        <w:t xml:space="preserve"> %.</w:t>
      </w:r>
    </w:p>
    <w:p w:rsidR="009D2A34" w:rsidRPr="00E14983" w:rsidP="009D2A34">
      <w:pPr>
        <w:bidi w:val="0"/>
        <w:jc w:val="both"/>
        <w:rPr>
          <w:rFonts w:ascii="Times New Roman" w:hAnsi="Times New Roman" w:cs="Times New Roman"/>
        </w:rPr>
      </w:pPr>
    </w:p>
    <w:p w:rsidR="009D2A34" w:rsidRPr="00E14983" w:rsidP="009D2A34">
      <w:pPr>
        <w:bidi w:val="0"/>
        <w:jc w:val="both"/>
        <w:rPr>
          <w:rFonts w:ascii="Times New Roman" w:hAnsi="Times New Roman" w:cs="Times New Roman"/>
          <w:b/>
        </w:rPr>
      </w:pPr>
      <w:r w:rsidRPr="00E14983">
        <w:rPr>
          <w:rFonts w:ascii="Times New Roman" w:hAnsi="Times New Roman" w:cs="Times New Roman"/>
          <w:b/>
        </w:rPr>
        <w:t>Kancelária Súdnej rady SR</w:t>
      </w:r>
    </w:p>
    <w:p w:rsidR="009D2A34" w:rsidRPr="00E14983" w:rsidP="009D2A34">
      <w:pPr>
        <w:bidi w:val="0"/>
        <w:jc w:val="both"/>
        <w:rPr>
          <w:rFonts w:ascii="Times New Roman" w:hAnsi="Times New Roman" w:cs="Times New Roman"/>
        </w:rPr>
      </w:pPr>
    </w:p>
    <w:tbl>
      <w:tblPr>
        <w:tblStyle w:val="TableNormal"/>
        <w:tblW w:w="9087" w:type="dxa"/>
        <w:tblInd w:w="55" w:type="dxa"/>
        <w:tblLayout w:type="fixed"/>
        <w:tblCellMar>
          <w:left w:w="70" w:type="dxa"/>
          <w:right w:w="70" w:type="dxa"/>
        </w:tblCellMar>
        <w:tblLook w:val="04A0"/>
      </w:tblPr>
      <w:tblGrid>
        <w:gridCol w:w="2283"/>
        <w:gridCol w:w="972"/>
        <w:gridCol w:w="972"/>
        <w:gridCol w:w="972"/>
        <w:gridCol w:w="972"/>
        <w:gridCol w:w="972"/>
        <w:gridCol w:w="972"/>
        <w:gridCol w:w="972"/>
      </w:tblGrid>
      <w:tr>
        <w:tblPrEx>
          <w:tblW w:w="9087" w:type="dxa"/>
          <w:tblInd w:w="55" w:type="dxa"/>
          <w:tblLayout w:type="fixed"/>
          <w:tblCellMar>
            <w:left w:w="70" w:type="dxa"/>
            <w:right w:w="70" w:type="dxa"/>
          </w:tblCellMar>
          <w:tblLook w:val="04A0"/>
        </w:tblPrEx>
        <w:trPr>
          <w:trHeight w:val="261"/>
        </w:trPr>
        <w:tc>
          <w:tcPr>
            <w:tcW w:w="2283"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E14983" w:rsidP="006338E5">
            <w:pPr>
              <w:bidi w:val="0"/>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E14983">
              <w:rPr>
                <w:rFonts w:ascii="Times New Roman" w:hAnsi="Times New Roman" w:cs="Times New Roman"/>
                <w:b/>
                <w:bCs/>
                <w:color w:val="000000"/>
                <w:sz w:val="14"/>
                <w:szCs w:val="14"/>
                <w:lang w:eastAsia="sk-SK"/>
              </w:rPr>
              <w:t>eurách</w:t>
            </w:r>
          </w:p>
        </w:tc>
        <w:tc>
          <w:tcPr>
            <w:tcW w:w="97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2010 S</w:t>
            </w:r>
          </w:p>
        </w:tc>
        <w:tc>
          <w:tcPr>
            <w:tcW w:w="97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2011 S</w:t>
            </w:r>
          </w:p>
        </w:tc>
        <w:tc>
          <w:tcPr>
            <w:tcW w:w="97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2012 R</w:t>
            </w:r>
          </w:p>
        </w:tc>
        <w:tc>
          <w:tcPr>
            <w:tcW w:w="97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2012 OS</w:t>
            </w:r>
          </w:p>
        </w:tc>
        <w:tc>
          <w:tcPr>
            <w:tcW w:w="97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E14983" w:rsidP="001F3259">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 xml:space="preserve">2013 </w:t>
            </w:r>
            <w:r w:rsidR="001F3259">
              <w:rPr>
                <w:rFonts w:ascii="Times New Roman" w:hAnsi="Times New Roman" w:cs="Times New Roman"/>
                <w:b/>
                <w:bCs/>
                <w:color w:val="000000"/>
                <w:sz w:val="14"/>
                <w:szCs w:val="14"/>
                <w:lang w:eastAsia="sk-SK"/>
              </w:rPr>
              <w:t>N</w:t>
            </w:r>
          </w:p>
        </w:tc>
        <w:tc>
          <w:tcPr>
            <w:tcW w:w="97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2014 N</w:t>
            </w:r>
          </w:p>
        </w:tc>
        <w:tc>
          <w:tcPr>
            <w:tcW w:w="972" w:type="dxa"/>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2015 N</w:t>
            </w:r>
          </w:p>
        </w:tc>
      </w:tr>
      <w:tr>
        <w:tblPrEx>
          <w:tblW w:w="9087" w:type="dxa"/>
          <w:tblInd w:w="55" w:type="dxa"/>
          <w:tblLayout w:type="fixed"/>
          <w:tblCellMar>
            <w:left w:w="70" w:type="dxa"/>
            <w:right w:w="70" w:type="dxa"/>
          </w:tblCellMar>
          <w:tblLook w:val="04A0"/>
        </w:tblPrEx>
        <w:trPr>
          <w:trHeight w:val="261"/>
        </w:trPr>
        <w:tc>
          <w:tcPr>
            <w:tcW w:w="228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E14983" w:rsidP="006338E5">
            <w:pPr>
              <w:bidi w:val="0"/>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Kancelária  Súdnej rady SR</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E14983" w:rsidP="006338E5">
            <w:pPr>
              <w:bidi w:val="0"/>
              <w:jc w:val="right"/>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403 349</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E14983" w:rsidP="006338E5">
            <w:pPr>
              <w:bidi w:val="0"/>
              <w:jc w:val="right"/>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469 897</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E14983" w:rsidP="006338E5">
            <w:pPr>
              <w:bidi w:val="0"/>
              <w:jc w:val="right"/>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455 679</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E14983" w:rsidP="006338E5">
            <w:pPr>
              <w:bidi w:val="0"/>
              <w:jc w:val="right"/>
              <w:rPr>
                <w:rFonts w:ascii="Times New Roman" w:hAnsi="Times New Roman" w:cs="Times New Roman"/>
                <w:b/>
                <w:color w:val="000000"/>
                <w:sz w:val="14"/>
                <w:szCs w:val="14"/>
              </w:rPr>
            </w:pPr>
            <w:r w:rsidRPr="00E14983">
              <w:rPr>
                <w:rFonts w:ascii="Times New Roman" w:hAnsi="Times New Roman" w:cs="Times New Roman"/>
                <w:b/>
                <w:color w:val="000000"/>
                <w:sz w:val="14"/>
                <w:szCs w:val="14"/>
              </w:rPr>
              <w:t>455 679</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E14983" w:rsidP="006338E5">
            <w:pPr>
              <w:bidi w:val="0"/>
              <w:jc w:val="right"/>
              <w:rPr>
                <w:rFonts w:ascii="Times New Roman" w:hAnsi="Times New Roman" w:cs="Times New Roman"/>
                <w:b/>
                <w:color w:val="000000"/>
                <w:sz w:val="14"/>
                <w:szCs w:val="14"/>
              </w:rPr>
            </w:pPr>
            <w:r w:rsidRPr="00E14983">
              <w:rPr>
                <w:rFonts w:ascii="Times New Roman" w:hAnsi="Times New Roman" w:cs="Times New Roman"/>
                <w:b/>
                <w:color w:val="000000"/>
                <w:sz w:val="14"/>
                <w:szCs w:val="14"/>
              </w:rPr>
              <w:t>428 138</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E14983" w:rsidP="006338E5">
            <w:pPr>
              <w:bidi w:val="0"/>
              <w:jc w:val="right"/>
              <w:rPr>
                <w:rFonts w:ascii="Times New Roman" w:hAnsi="Times New Roman" w:cs="Times New Roman"/>
                <w:b/>
                <w:color w:val="000000"/>
                <w:sz w:val="14"/>
                <w:szCs w:val="14"/>
              </w:rPr>
            </w:pPr>
            <w:r w:rsidRPr="00E14983">
              <w:rPr>
                <w:rFonts w:ascii="Times New Roman" w:hAnsi="Times New Roman" w:cs="Times New Roman"/>
                <w:b/>
                <w:color w:val="000000"/>
                <w:sz w:val="14"/>
                <w:szCs w:val="14"/>
              </w:rPr>
              <w:t>428 138</w:t>
            </w:r>
          </w:p>
        </w:tc>
        <w:tc>
          <w:tcPr>
            <w:tcW w:w="972" w:type="dxa"/>
            <w:tcBorders>
              <w:top w:val="single" w:sz="4" w:space="0" w:color="auto"/>
              <w:left w:val="nil"/>
              <w:bottom w:val="single" w:sz="4" w:space="0" w:color="auto"/>
              <w:right w:val="single" w:sz="4" w:space="0" w:color="auto"/>
            </w:tcBorders>
            <w:shd w:val="clear" w:color="auto" w:fill="BFBFBF"/>
            <w:noWrap/>
            <w:textDirection w:val="lrTb"/>
            <w:vAlign w:val="center"/>
            <w:hideMark/>
          </w:tcPr>
          <w:p w:rsidR="009D2A34" w:rsidRPr="00E14983" w:rsidP="006338E5">
            <w:pPr>
              <w:bidi w:val="0"/>
              <w:jc w:val="right"/>
              <w:rPr>
                <w:rFonts w:ascii="Times New Roman" w:hAnsi="Times New Roman" w:cs="Times New Roman"/>
                <w:b/>
                <w:color w:val="000000"/>
                <w:sz w:val="14"/>
                <w:szCs w:val="14"/>
              </w:rPr>
            </w:pPr>
            <w:r w:rsidRPr="00E14983">
              <w:rPr>
                <w:rFonts w:ascii="Times New Roman" w:hAnsi="Times New Roman" w:cs="Times New Roman"/>
                <w:b/>
                <w:color w:val="000000"/>
                <w:sz w:val="14"/>
                <w:szCs w:val="14"/>
              </w:rPr>
              <w:t>428 138</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610 mzdy</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192 435</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241 654</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241 655</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241 655</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229 572</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229 572</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229 572</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620 odvody</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51 228</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85 738</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87 606</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87 606</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80 235</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80 235</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80 235</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630 tovary a</w:t>
            </w:r>
            <w:r>
              <w:rPr>
                <w:rFonts w:ascii="Times New Roman" w:hAnsi="Times New Roman" w:cs="Times New Roman"/>
                <w:color w:val="000000"/>
                <w:sz w:val="14"/>
                <w:szCs w:val="14"/>
                <w:lang w:eastAsia="sk-SK"/>
              </w:rPr>
              <w:t> </w:t>
            </w:r>
            <w:r w:rsidRPr="00E14983">
              <w:rPr>
                <w:rFonts w:ascii="Times New Roman" w:hAnsi="Times New Roman" w:cs="Times New Roman"/>
                <w:color w:val="000000"/>
                <w:sz w:val="14"/>
                <w:szCs w:val="14"/>
                <w:lang w:eastAsia="sk-SK"/>
              </w:rPr>
              <w:t>služby</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143 312</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130 665</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111 500</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111 500</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101 110</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101 110</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101 110</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640 bežné transfery</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440</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6 697</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5 000</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5 000</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7 303</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7 303</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7 303</w:t>
            </w:r>
          </w:p>
        </w:tc>
      </w:tr>
      <w:tr>
        <w:tblPrEx>
          <w:tblW w:w="9087" w:type="dxa"/>
          <w:tblInd w:w="55" w:type="dxa"/>
          <w:tblLayout w:type="fixed"/>
          <w:tblCellMar>
            <w:left w:w="70" w:type="dxa"/>
            <w:right w:w="70" w:type="dxa"/>
          </w:tblCellMar>
          <w:tblLook w:val="04A0"/>
        </w:tblPrEx>
        <w:trPr>
          <w:trHeight w:val="261"/>
        </w:trPr>
        <w:tc>
          <w:tcPr>
            <w:tcW w:w="2283"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kapitálové výdavky 700</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15 935</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5 143</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9 918</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9 918</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9 918</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9 918</w:t>
            </w:r>
          </w:p>
        </w:tc>
        <w:tc>
          <w:tcPr>
            <w:tcW w:w="972" w:type="dxa"/>
            <w:tcBorders>
              <w:top w:val="nil"/>
              <w:left w:val="nil"/>
              <w:bottom w:val="single" w:sz="4" w:space="0" w:color="auto"/>
              <w:right w:val="single" w:sz="4" w:space="0" w:color="auto"/>
            </w:tcBorders>
            <w:noWrap/>
            <w:textDirection w:val="lrTb"/>
            <w:vAlign w:val="center"/>
            <w:hideMark/>
          </w:tcPr>
          <w:p w:rsidR="009D2A34" w:rsidRPr="00E14983" w:rsidP="006338E5">
            <w:pPr>
              <w:bidi w:val="0"/>
              <w:jc w:val="right"/>
              <w:rPr>
                <w:rFonts w:ascii="Times New Roman" w:hAnsi="Times New Roman" w:cs="Times New Roman"/>
                <w:color w:val="000000"/>
                <w:sz w:val="14"/>
                <w:szCs w:val="14"/>
              </w:rPr>
            </w:pPr>
            <w:r w:rsidRPr="00E14983">
              <w:rPr>
                <w:rFonts w:ascii="Times New Roman" w:hAnsi="Times New Roman" w:cs="Times New Roman"/>
                <w:color w:val="000000"/>
                <w:sz w:val="14"/>
                <w:szCs w:val="14"/>
              </w:rPr>
              <w:t>9 918</w:t>
            </w:r>
          </w:p>
        </w:tc>
      </w:tr>
    </w:tbl>
    <w:p w:rsidR="00D83F50" w:rsidP="009D2A34">
      <w:pPr>
        <w:bidi w:val="0"/>
        <w:ind w:firstLine="709"/>
        <w:jc w:val="both"/>
        <w:rPr>
          <w:rFonts w:ascii="Times New Roman" w:hAnsi="Times New Roman" w:cs="Times New Roman"/>
        </w:rPr>
      </w:pPr>
    </w:p>
    <w:p w:rsidR="009D2A34" w:rsidRPr="00E14983" w:rsidP="009D2A34">
      <w:pPr>
        <w:bidi w:val="0"/>
        <w:ind w:firstLine="709"/>
        <w:jc w:val="both"/>
        <w:rPr>
          <w:rFonts w:ascii="Times New Roman" w:hAnsi="Times New Roman" w:cs="Times New Roman"/>
        </w:rPr>
      </w:pPr>
      <w:r w:rsidRPr="00E14983">
        <w:rPr>
          <w:rFonts w:ascii="Times New Roman" w:hAnsi="Times New Roman" w:cs="Times New Roman"/>
        </w:rPr>
        <w:t>Pre Kanceláriu Súdnej rady sa na rok 2013 rozpočtuje 4,</w:t>
      </w:r>
      <w:r>
        <w:rPr>
          <w:rFonts w:ascii="Times New Roman" w:hAnsi="Times New Roman" w:cs="Times New Roman"/>
        </w:rPr>
        <w:t>87</w:t>
      </w:r>
      <w:r w:rsidRPr="00E14983">
        <w:rPr>
          <w:rFonts w:ascii="Times New Roman" w:hAnsi="Times New Roman" w:cs="Times New Roman"/>
        </w:rPr>
        <w:t xml:space="preserve"> % finančných prostriedkov z celkového rozpočtu kapitoly Najvyšší súd SR a tieto prostriedky </w:t>
      </w:r>
      <w:r>
        <w:rPr>
          <w:rFonts w:ascii="Times New Roman" w:hAnsi="Times New Roman" w:cs="Times New Roman"/>
        </w:rPr>
        <w:t xml:space="preserve">vo výške 428 tis. eur </w:t>
      </w:r>
      <w:r w:rsidR="001F3259">
        <w:rPr>
          <w:rFonts w:ascii="Times New Roman" w:hAnsi="Times New Roman" w:cs="Times New Roman"/>
        </w:rPr>
        <w:t>na</w:t>
      </w:r>
      <w:r>
        <w:rPr>
          <w:rFonts w:ascii="Times New Roman" w:hAnsi="Times New Roman" w:cs="Times New Roman"/>
        </w:rPr>
        <w:t xml:space="preserve"> rok 2013 </w:t>
      </w:r>
      <w:r w:rsidRPr="00E14983">
        <w:rPr>
          <w:rFonts w:ascii="Times New Roman" w:hAnsi="Times New Roman" w:cs="Times New Roman"/>
        </w:rPr>
        <w:t>sú oproti schválenému rozpočtu roku 2012 nižšie o</w:t>
      </w:r>
      <w:r>
        <w:rPr>
          <w:rFonts w:ascii="Times New Roman" w:hAnsi="Times New Roman" w:cs="Times New Roman"/>
        </w:rPr>
        <w:t> 27,5 tis. eur, t.</w:t>
      </w:r>
      <w:r w:rsidR="001F3259">
        <w:rPr>
          <w:rFonts w:ascii="Times New Roman" w:hAnsi="Times New Roman" w:cs="Times New Roman"/>
        </w:rPr>
        <w:t xml:space="preserve"> </w:t>
      </w:r>
      <w:r>
        <w:rPr>
          <w:rFonts w:ascii="Times New Roman" w:hAnsi="Times New Roman" w:cs="Times New Roman"/>
        </w:rPr>
        <w:t xml:space="preserve">j. o </w:t>
      </w:r>
      <w:r w:rsidRPr="00E14983">
        <w:rPr>
          <w:rFonts w:ascii="Times New Roman" w:hAnsi="Times New Roman" w:cs="Times New Roman"/>
        </w:rPr>
        <w:t>6,04 %.</w:t>
      </w:r>
    </w:p>
    <w:p w:rsidR="009D2A34" w:rsidP="009D2A34">
      <w:pPr>
        <w:bidi w:val="0"/>
      </w:pPr>
    </w:p>
    <w:p w:rsidR="009D2A34" w:rsidRPr="00E14983" w:rsidP="009D2A34">
      <w:pPr>
        <w:pBdr>
          <w:bottom w:val="single" w:sz="4" w:space="1" w:color="auto"/>
        </w:pBdr>
        <w:bidi w:val="0"/>
        <w:jc w:val="both"/>
        <w:rPr>
          <w:rFonts w:ascii="Times New Roman" w:hAnsi="Times New Roman" w:cs="Times New Roman"/>
        </w:rPr>
      </w:pPr>
      <w:r w:rsidRPr="00E14983">
        <w:rPr>
          <w:rFonts w:ascii="Times New Roman" w:hAnsi="Times New Roman" w:cs="Times New Roman"/>
          <w:b/>
          <w:bCs/>
        </w:rPr>
        <w:t>Generálna prokuratúra SR</w:t>
      </w:r>
    </w:p>
    <w:p w:rsidR="009D2A34" w:rsidRPr="00E14983" w:rsidP="009D2A34">
      <w:pPr>
        <w:bidi w:val="0"/>
        <w:rPr>
          <w:rFonts w:ascii="Times New Roman" w:hAnsi="Times New Roman" w:cs="Times New Roman"/>
        </w:rPr>
      </w:pPr>
    </w:p>
    <w:tbl>
      <w:tblPr>
        <w:tblStyle w:val="TableNormal"/>
        <w:tblW w:w="9040" w:type="dxa"/>
        <w:tblInd w:w="55" w:type="dxa"/>
        <w:tblCellMar>
          <w:left w:w="70" w:type="dxa"/>
          <w:right w:w="70" w:type="dxa"/>
        </w:tblCellMar>
        <w:tblLook w:val="04A0"/>
      </w:tblPr>
      <w:tblGrid>
        <w:gridCol w:w="2320"/>
        <w:gridCol w:w="960"/>
        <w:gridCol w:w="960"/>
        <w:gridCol w:w="960"/>
        <w:gridCol w:w="960"/>
        <w:gridCol w:w="960"/>
        <w:gridCol w:w="960"/>
        <w:gridCol w:w="960"/>
      </w:tblGrid>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E14983" w:rsidP="006338E5">
            <w:pPr>
              <w:bidi w:val="0"/>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 v</w:t>
            </w:r>
            <w:r>
              <w:rPr>
                <w:rFonts w:ascii="Times New Roman" w:hAnsi="Times New Roman" w:cs="Times New Roman"/>
                <w:b/>
                <w:bCs/>
                <w:color w:val="000000"/>
                <w:sz w:val="14"/>
                <w:szCs w:val="14"/>
                <w:lang w:eastAsia="sk-SK"/>
              </w:rPr>
              <w:t> </w:t>
            </w:r>
            <w:r w:rsidRPr="00E14983">
              <w:rPr>
                <w:rFonts w:ascii="Times New Roman" w:hAnsi="Times New Roman" w:cs="Times New Roman"/>
                <w:b/>
                <w:bCs/>
                <w:color w:val="000000"/>
                <w:sz w:val="14"/>
                <w:szCs w:val="14"/>
                <w:lang w:eastAsia="sk-SK"/>
              </w:rPr>
              <w:t>eurách</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2010 S</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2011 S</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2012 R</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2012 OS</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14983" w:rsidP="001F3259">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 xml:space="preserve">2013 </w:t>
            </w:r>
            <w:r w:rsidR="001F3259">
              <w:rPr>
                <w:rFonts w:ascii="Times New Roman" w:hAnsi="Times New Roman" w:cs="Times New Roman"/>
                <w:b/>
                <w:bCs/>
                <w:color w:val="000000"/>
                <w:sz w:val="14"/>
                <w:szCs w:val="14"/>
                <w:lang w:eastAsia="sk-SK"/>
              </w:rPr>
              <w:t>N</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2014 N</w:t>
            </w:r>
          </w:p>
        </w:tc>
        <w:tc>
          <w:tcPr>
            <w:tcW w:w="96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E14983" w:rsidP="006338E5">
            <w:pPr>
              <w:bidi w:val="0"/>
              <w:jc w:val="center"/>
              <w:rPr>
                <w:rFonts w:ascii="Times New Roman" w:hAnsi="Times New Roman" w:cs="Times New Roman"/>
                <w:b/>
                <w:bCs/>
                <w:color w:val="000000"/>
                <w:sz w:val="14"/>
                <w:szCs w:val="14"/>
                <w:lang w:eastAsia="sk-SK"/>
              </w:rPr>
            </w:pPr>
            <w:r w:rsidRPr="00E14983">
              <w:rPr>
                <w:rFonts w:ascii="Times New Roman" w:hAnsi="Times New Roman" w:cs="Times New Roman"/>
                <w:b/>
                <w:bCs/>
                <w:color w:val="000000"/>
                <w:sz w:val="14"/>
                <w:szCs w:val="14"/>
                <w:lang w:eastAsia="sk-SK"/>
              </w:rPr>
              <w:t>2015 N</w:t>
            </w:r>
          </w:p>
        </w:tc>
      </w:tr>
      <w:tr>
        <w:tblPrEx>
          <w:tblW w:w="9040" w:type="dxa"/>
          <w:tblInd w:w="55" w:type="dxa"/>
          <w:tblCellMar>
            <w:left w:w="70" w:type="dxa"/>
            <w:right w:w="70" w:type="dxa"/>
          </w:tblCellMar>
          <w:tblLook w:val="04A0"/>
        </w:tblPrEx>
        <w:trPr>
          <w:trHeight w:val="261"/>
        </w:trPr>
        <w:tc>
          <w:tcPr>
            <w:tcW w:w="232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E14983" w:rsidP="006338E5">
            <w:pPr>
              <w:bidi w:val="0"/>
              <w:rPr>
                <w:rFonts w:ascii="Times New Roman" w:hAnsi="Times New Roman" w:cs="Times New Roman"/>
                <w:b/>
                <w:color w:val="000000"/>
                <w:sz w:val="14"/>
                <w:szCs w:val="14"/>
                <w:lang w:eastAsia="sk-SK"/>
              </w:rPr>
            </w:pPr>
            <w:r w:rsidRPr="00E14983">
              <w:rPr>
                <w:rFonts w:ascii="Times New Roman" w:hAnsi="Times New Roman" w:cs="Times New Roman"/>
                <w:b/>
                <w:color w:val="000000"/>
                <w:sz w:val="14"/>
                <w:szCs w:val="14"/>
                <w:lang w:eastAsia="sk-SK"/>
              </w:rPr>
              <w:t>Zdroje príslušnej kapitoly</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C03AA" w:rsidP="006338E5">
            <w:pPr>
              <w:bidi w:val="0"/>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63 634 848</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C03AA" w:rsidP="006338E5">
            <w:pPr>
              <w:bidi w:val="0"/>
              <w:jc w:val="right"/>
              <w:rPr>
                <w:rFonts w:ascii="Times New Roman" w:hAnsi="Times New Roman" w:cs="Times New Roman"/>
                <w:b/>
                <w:bCs/>
                <w:color w:val="000000"/>
                <w:sz w:val="14"/>
                <w:szCs w:val="14"/>
                <w:lang w:eastAsia="sk-SK"/>
              </w:rPr>
            </w:pPr>
            <w:r w:rsidRPr="001C03AA">
              <w:rPr>
                <w:rFonts w:ascii="Times New Roman" w:hAnsi="Times New Roman" w:cs="Times New Roman"/>
                <w:b/>
                <w:bCs/>
                <w:color w:val="000000"/>
                <w:sz w:val="14"/>
                <w:szCs w:val="14"/>
                <w:lang w:eastAsia="sk-SK"/>
              </w:rPr>
              <w:t>63 597 339</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C03AA" w:rsidP="006338E5">
            <w:pPr>
              <w:bidi w:val="0"/>
              <w:jc w:val="right"/>
              <w:rPr>
                <w:rFonts w:ascii="Times New Roman" w:hAnsi="Times New Roman" w:cs="Times New Roman"/>
                <w:b/>
                <w:bCs/>
                <w:color w:val="000000"/>
                <w:sz w:val="14"/>
                <w:szCs w:val="14"/>
                <w:lang w:eastAsia="sk-SK"/>
              </w:rPr>
            </w:pPr>
            <w:r w:rsidRPr="001C03AA">
              <w:rPr>
                <w:rFonts w:ascii="Times New Roman" w:hAnsi="Times New Roman" w:cs="Times New Roman"/>
                <w:b/>
                <w:bCs/>
                <w:color w:val="000000"/>
                <w:sz w:val="14"/>
                <w:szCs w:val="14"/>
                <w:lang w:eastAsia="sk-SK"/>
              </w:rPr>
              <w:t>60 309 536</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1C03AA" w:rsidP="006338E5">
            <w:pPr>
              <w:bidi w:val="0"/>
              <w:jc w:val="right"/>
              <w:rPr>
                <w:rFonts w:ascii="Times New Roman" w:hAnsi="Times New Roman" w:cs="Times New Roman"/>
                <w:b/>
                <w:bCs/>
                <w:color w:val="000000"/>
                <w:sz w:val="14"/>
                <w:szCs w:val="14"/>
                <w:lang w:eastAsia="sk-SK"/>
              </w:rPr>
            </w:pPr>
            <w:r w:rsidRPr="001C03AA">
              <w:rPr>
                <w:rFonts w:ascii="Times New Roman" w:hAnsi="Times New Roman" w:cs="Times New Roman"/>
                <w:b/>
                <w:bCs/>
                <w:color w:val="000000"/>
                <w:sz w:val="14"/>
                <w:szCs w:val="14"/>
                <w:lang w:eastAsia="sk-SK"/>
              </w:rPr>
              <w:t>65 442 639</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BF7E42" w:rsidP="006338E5">
            <w:pPr>
              <w:bidi w:val="0"/>
              <w:jc w:val="right"/>
              <w:rPr>
                <w:rFonts w:ascii="Times New Roman" w:hAnsi="Times New Roman" w:cs="Times New Roman"/>
                <w:b/>
                <w:bCs/>
                <w:color w:val="000000"/>
                <w:sz w:val="14"/>
                <w:szCs w:val="14"/>
              </w:rPr>
            </w:pPr>
            <w:r w:rsidRPr="00BF7E42">
              <w:rPr>
                <w:rFonts w:ascii="Times New Roman" w:hAnsi="Times New Roman" w:cs="Times New Roman"/>
                <w:b/>
                <w:bCs/>
                <w:color w:val="000000"/>
                <w:sz w:val="14"/>
                <w:szCs w:val="14"/>
              </w:rPr>
              <w:t>65 324 149</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BF7E42" w:rsidP="006338E5">
            <w:pPr>
              <w:bidi w:val="0"/>
              <w:jc w:val="right"/>
              <w:rPr>
                <w:rFonts w:ascii="Times New Roman" w:hAnsi="Times New Roman" w:cs="Times New Roman"/>
                <w:b/>
                <w:bCs/>
                <w:color w:val="000000"/>
                <w:sz w:val="14"/>
                <w:szCs w:val="14"/>
              </w:rPr>
            </w:pPr>
            <w:r w:rsidRPr="00BF7E42">
              <w:rPr>
                <w:rFonts w:ascii="Times New Roman" w:hAnsi="Times New Roman" w:cs="Times New Roman"/>
                <w:b/>
                <w:bCs/>
                <w:color w:val="000000"/>
                <w:sz w:val="14"/>
                <w:szCs w:val="14"/>
              </w:rPr>
              <w:t>66 681 866</w:t>
            </w:r>
          </w:p>
        </w:tc>
        <w:tc>
          <w:tcPr>
            <w:tcW w:w="960" w:type="dxa"/>
            <w:tcBorders>
              <w:top w:val="single" w:sz="4" w:space="0" w:color="auto"/>
              <w:left w:val="nil"/>
              <w:bottom w:val="single" w:sz="4" w:space="0" w:color="auto"/>
              <w:right w:val="single" w:sz="4" w:space="0" w:color="auto"/>
            </w:tcBorders>
            <w:shd w:val="clear" w:color="auto" w:fill="BFBFBF"/>
            <w:textDirection w:val="lrTb"/>
            <w:vAlign w:val="center"/>
            <w:hideMark/>
          </w:tcPr>
          <w:p w:rsidR="009D2A34" w:rsidRPr="00BF7E42" w:rsidP="006338E5">
            <w:pPr>
              <w:bidi w:val="0"/>
              <w:jc w:val="right"/>
              <w:rPr>
                <w:rFonts w:ascii="Times New Roman" w:hAnsi="Times New Roman" w:cs="Times New Roman"/>
                <w:b/>
                <w:bCs/>
                <w:color w:val="000000"/>
                <w:sz w:val="14"/>
                <w:szCs w:val="14"/>
              </w:rPr>
            </w:pPr>
            <w:r w:rsidRPr="00BF7E42">
              <w:rPr>
                <w:rFonts w:ascii="Times New Roman" w:hAnsi="Times New Roman" w:cs="Times New Roman"/>
                <w:b/>
                <w:bCs/>
                <w:color w:val="000000"/>
                <w:sz w:val="14"/>
                <w:szCs w:val="14"/>
              </w:rPr>
              <w:t>68 563 750</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tcPr>
          <w:p w:rsidR="009D2A34" w:rsidRPr="00434645" w:rsidP="006338E5">
            <w:pPr>
              <w:bidi w:val="0"/>
              <w:rPr>
                <w:rFonts w:ascii="Times New Roman" w:hAnsi="Times New Roman" w:cs="Times New Roman"/>
                <w:b/>
                <w:color w:val="000000"/>
                <w:sz w:val="14"/>
                <w:szCs w:val="14"/>
                <w:lang w:eastAsia="sk-SK"/>
              </w:rPr>
            </w:pPr>
            <w:r w:rsidRPr="00434645">
              <w:rPr>
                <w:rFonts w:ascii="Times New Roman" w:hAnsi="Times New Roman" w:cs="Times New Roman"/>
                <w:b/>
                <w:color w:val="000000"/>
                <w:sz w:val="14"/>
                <w:szCs w:val="14"/>
                <w:lang w:eastAsia="sk-SK"/>
              </w:rPr>
              <w:t>rozpočtové zdroje kapitoly</w:t>
            </w:r>
          </w:p>
        </w:tc>
        <w:tc>
          <w:tcPr>
            <w:tcW w:w="960" w:type="dxa"/>
            <w:tcBorders>
              <w:top w:val="nil"/>
              <w:left w:val="nil"/>
              <w:bottom w:val="single" w:sz="4" w:space="0" w:color="auto"/>
              <w:right w:val="single" w:sz="4" w:space="0" w:color="auto"/>
            </w:tcBorders>
            <w:noWrap/>
            <w:textDirection w:val="lrTb"/>
            <w:vAlign w:val="center"/>
          </w:tcPr>
          <w:p w:rsidR="009D2A34" w:rsidRPr="00434645" w:rsidP="006338E5">
            <w:pPr>
              <w:bidi w:val="0"/>
              <w:jc w:val="right"/>
              <w:rPr>
                <w:rFonts w:ascii="Times New Roman" w:hAnsi="Times New Roman" w:cs="Times New Roman"/>
                <w:b/>
                <w:color w:val="000000"/>
                <w:sz w:val="14"/>
                <w:szCs w:val="14"/>
                <w:lang w:eastAsia="sk-SK"/>
              </w:rPr>
            </w:pPr>
            <w:r w:rsidRPr="00434645">
              <w:rPr>
                <w:rFonts w:ascii="Times New Roman" w:hAnsi="Times New Roman" w:cs="Times New Roman"/>
                <w:b/>
                <w:color w:val="000000"/>
                <w:sz w:val="14"/>
                <w:szCs w:val="14"/>
                <w:lang w:eastAsia="sk-SK"/>
              </w:rPr>
              <w:t>63 634 848</w:t>
            </w:r>
          </w:p>
        </w:tc>
        <w:tc>
          <w:tcPr>
            <w:tcW w:w="960" w:type="dxa"/>
            <w:tcBorders>
              <w:top w:val="nil"/>
              <w:left w:val="nil"/>
              <w:bottom w:val="single" w:sz="4" w:space="0" w:color="auto"/>
              <w:right w:val="single" w:sz="4" w:space="0" w:color="auto"/>
            </w:tcBorders>
            <w:noWrap/>
            <w:textDirection w:val="lrTb"/>
            <w:vAlign w:val="center"/>
          </w:tcPr>
          <w:p w:rsidR="009D2A34" w:rsidRPr="00434645" w:rsidP="006338E5">
            <w:pPr>
              <w:bidi w:val="0"/>
              <w:jc w:val="right"/>
              <w:rPr>
                <w:rFonts w:ascii="Times New Roman" w:hAnsi="Times New Roman" w:cs="Times New Roman"/>
                <w:b/>
                <w:color w:val="000000"/>
                <w:sz w:val="14"/>
                <w:szCs w:val="14"/>
                <w:lang w:eastAsia="sk-SK"/>
              </w:rPr>
            </w:pPr>
            <w:r w:rsidRPr="00434645">
              <w:rPr>
                <w:rFonts w:ascii="Times New Roman" w:hAnsi="Times New Roman" w:cs="Times New Roman"/>
                <w:b/>
                <w:color w:val="000000"/>
                <w:sz w:val="14"/>
                <w:szCs w:val="14"/>
                <w:lang w:eastAsia="sk-SK"/>
              </w:rPr>
              <w:t>63 597 339</w:t>
            </w:r>
          </w:p>
        </w:tc>
        <w:tc>
          <w:tcPr>
            <w:tcW w:w="960" w:type="dxa"/>
            <w:tcBorders>
              <w:top w:val="nil"/>
              <w:left w:val="nil"/>
              <w:bottom w:val="single" w:sz="4" w:space="0" w:color="auto"/>
              <w:right w:val="single" w:sz="4" w:space="0" w:color="auto"/>
            </w:tcBorders>
            <w:noWrap/>
            <w:textDirection w:val="lrTb"/>
            <w:vAlign w:val="center"/>
          </w:tcPr>
          <w:p w:rsidR="009D2A34" w:rsidRPr="00434645" w:rsidP="006338E5">
            <w:pPr>
              <w:bidi w:val="0"/>
              <w:jc w:val="right"/>
              <w:rPr>
                <w:rFonts w:ascii="Times New Roman" w:hAnsi="Times New Roman" w:cs="Times New Roman"/>
                <w:b/>
                <w:color w:val="000000"/>
                <w:sz w:val="14"/>
                <w:szCs w:val="14"/>
                <w:lang w:eastAsia="sk-SK"/>
              </w:rPr>
            </w:pPr>
            <w:r w:rsidRPr="00434645">
              <w:rPr>
                <w:rFonts w:ascii="Times New Roman" w:hAnsi="Times New Roman" w:cs="Times New Roman"/>
                <w:b/>
                <w:color w:val="000000"/>
                <w:sz w:val="14"/>
                <w:szCs w:val="14"/>
                <w:lang w:eastAsia="sk-SK"/>
              </w:rPr>
              <w:t>60 309 536</w:t>
            </w:r>
          </w:p>
        </w:tc>
        <w:tc>
          <w:tcPr>
            <w:tcW w:w="960" w:type="dxa"/>
            <w:tcBorders>
              <w:top w:val="nil"/>
              <w:left w:val="nil"/>
              <w:bottom w:val="single" w:sz="4" w:space="0" w:color="auto"/>
              <w:right w:val="single" w:sz="4" w:space="0" w:color="auto"/>
            </w:tcBorders>
            <w:noWrap/>
            <w:textDirection w:val="lrTb"/>
            <w:vAlign w:val="center"/>
          </w:tcPr>
          <w:p w:rsidR="009D2A34" w:rsidRPr="00434645" w:rsidP="006338E5">
            <w:pPr>
              <w:bidi w:val="0"/>
              <w:jc w:val="right"/>
              <w:rPr>
                <w:rFonts w:ascii="Times New Roman" w:hAnsi="Times New Roman" w:cs="Times New Roman"/>
                <w:b/>
                <w:color w:val="000000"/>
                <w:sz w:val="14"/>
                <w:szCs w:val="14"/>
                <w:lang w:eastAsia="sk-SK"/>
              </w:rPr>
            </w:pPr>
            <w:r w:rsidRPr="00434645">
              <w:rPr>
                <w:rFonts w:ascii="Times New Roman" w:hAnsi="Times New Roman" w:cs="Times New Roman"/>
                <w:b/>
                <w:color w:val="000000"/>
                <w:sz w:val="14"/>
                <w:szCs w:val="14"/>
                <w:lang w:eastAsia="sk-SK"/>
              </w:rPr>
              <w:t>65 442 639</w:t>
            </w:r>
          </w:p>
        </w:tc>
        <w:tc>
          <w:tcPr>
            <w:tcW w:w="960" w:type="dxa"/>
            <w:tcBorders>
              <w:top w:val="nil"/>
              <w:left w:val="nil"/>
              <w:bottom w:val="single" w:sz="4" w:space="0" w:color="auto"/>
              <w:right w:val="single" w:sz="4" w:space="0" w:color="auto"/>
            </w:tcBorders>
            <w:noWrap/>
            <w:textDirection w:val="lrTb"/>
            <w:vAlign w:val="center"/>
          </w:tcPr>
          <w:p w:rsidR="009D2A34" w:rsidRPr="00BF7E42" w:rsidP="006338E5">
            <w:pPr>
              <w:bidi w:val="0"/>
              <w:jc w:val="right"/>
              <w:rPr>
                <w:rFonts w:ascii="Times New Roman" w:hAnsi="Times New Roman" w:cs="Times New Roman"/>
                <w:b/>
                <w:bCs/>
                <w:color w:val="000000"/>
                <w:sz w:val="14"/>
                <w:szCs w:val="14"/>
              </w:rPr>
            </w:pPr>
            <w:r w:rsidRPr="00BF7E42">
              <w:rPr>
                <w:rFonts w:ascii="Times New Roman" w:hAnsi="Times New Roman" w:cs="Times New Roman"/>
                <w:b/>
                <w:bCs/>
                <w:color w:val="000000"/>
                <w:sz w:val="14"/>
                <w:szCs w:val="14"/>
              </w:rPr>
              <w:t>65 324 149</w:t>
            </w:r>
          </w:p>
        </w:tc>
        <w:tc>
          <w:tcPr>
            <w:tcW w:w="960" w:type="dxa"/>
            <w:tcBorders>
              <w:top w:val="nil"/>
              <w:left w:val="nil"/>
              <w:bottom w:val="single" w:sz="4" w:space="0" w:color="auto"/>
              <w:right w:val="single" w:sz="4" w:space="0" w:color="auto"/>
            </w:tcBorders>
            <w:noWrap/>
            <w:textDirection w:val="lrTb"/>
            <w:vAlign w:val="center"/>
          </w:tcPr>
          <w:p w:rsidR="009D2A34" w:rsidRPr="00BF7E42" w:rsidP="006338E5">
            <w:pPr>
              <w:bidi w:val="0"/>
              <w:jc w:val="right"/>
              <w:rPr>
                <w:rFonts w:ascii="Times New Roman" w:hAnsi="Times New Roman" w:cs="Times New Roman"/>
                <w:b/>
                <w:bCs/>
                <w:color w:val="000000"/>
                <w:sz w:val="14"/>
                <w:szCs w:val="14"/>
              </w:rPr>
            </w:pPr>
            <w:r w:rsidRPr="00BF7E42">
              <w:rPr>
                <w:rFonts w:ascii="Times New Roman" w:hAnsi="Times New Roman" w:cs="Times New Roman"/>
                <w:b/>
                <w:bCs/>
                <w:color w:val="000000"/>
                <w:sz w:val="14"/>
                <w:szCs w:val="14"/>
              </w:rPr>
              <w:t>66 681 866</w:t>
            </w:r>
          </w:p>
        </w:tc>
        <w:tc>
          <w:tcPr>
            <w:tcW w:w="960" w:type="dxa"/>
            <w:tcBorders>
              <w:top w:val="nil"/>
              <w:left w:val="nil"/>
              <w:bottom w:val="single" w:sz="4" w:space="0" w:color="auto"/>
              <w:right w:val="single" w:sz="4" w:space="0" w:color="auto"/>
            </w:tcBorders>
            <w:noWrap/>
            <w:textDirection w:val="lrTb"/>
            <w:vAlign w:val="center"/>
          </w:tcPr>
          <w:p w:rsidR="009D2A34" w:rsidRPr="00BF7E42" w:rsidP="006338E5">
            <w:pPr>
              <w:bidi w:val="0"/>
              <w:jc w:val="right"/>
              <w:rPr>
                <w:rFonts w:ascii="Times New Roman" w:hAnsi="Times New Roman" w:cs="Times New Roman"/>
                <w:b/>
                <w:bCs/>
                <w:color w:val="000000"/>
                <w:sz w:val="14"/>
                <w:szCs w:val="14"/>
              </w:rPr>
            </w:pPr>
            <w:r w:rsidRPr="00BF7E42">
              <w:rPr>
                <w:rFonts w:ascii="Times New Roman" w:hAnsi="Times New Roman" w:cs="Times New Roman"/>
                <w:b/>
                <w:bCs/>
                <w:color w:val="000000"/>
                <w:sz w:val="14"/>
                <w:szCs w:val="14"/>
              </w:rPr>
              <w:t>68 563 750</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v tom: bežné výdavky  600</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61 291 442</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61 623 263</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59 694 051</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64 827 154</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64 708 664</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66 066 381</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67 948 265</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E14983">
              <w:rPr>
                <w:rFonts w:ascii="Times New Roman" w:hAnsi="Times New Roman" w:cs="Times New Roman"/>
                <w:color w:val="000000"/>
                <w:sz w:val="14"/>
                <w:szCs w:val="14"/>
                <w:lang w:eastAsia="sk-SK"/>
              </w:rPr>
              <w:t xml:space="preserve">  610 mzdy</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40 402 358</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39 734 806</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38 958 246</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42 853 649</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43 138 552</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44 277 192</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45 736 490</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E14983">
              <w:rPr>
                <w:rFonts w:ascii="Times New Roman" w:hAnsi="Times New Roman" w:cs="Times New Roman"/>
                <w:color w:val="000000"/>
                <w:sz w:val="14"/>
                <w:szCs w:val="14"/>
                <w:lang w:eastAsia="sk-SK"/>
              </w:rPr>
              <w:t xml:space="preserve">        620 odvody</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10 737 297</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11 109 028</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12 079 420</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13 044 120</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13 271 139</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13 601 003</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14 023 589</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E14983">
              <w:rPr>
                <w:rFonts w:ascii="Times New Roman" w:hAnsi="Times New Roman" w:cs="Times New Roman"/>
                <w:color w:val="000000"/>
                <w:sz w:val="14"/>
                <w:szCs w:val="14"/>
                <w:lang w:eastAsia="sk-SK"/>
              </w:rPr>
              <w:t xml:space="preserve">      630 tovary a</w:t>
            </w:r>
            <w:r>
              <w:rPr>
                <w:rFonts w:ascii="Times New Roman" w:hAnsi="Times New Roman" w:cs="Times New Roman"/>
                <w:color w:val="000000"/>
                <w:sz w:val="14"/>
                <w:szCs w:val="14"/>
                <w:lang w:eastAsia="sk-SK"/>
              </w:rPr>
              <w:t> </w:t>
            </w:r>
            <w:r w:rsidRPr="00E14983">
              <w:rPr>
                <w:rFonts w:ascii="Times New Roman" w:hAnsi="Times New Roman" w:cs="Times New Roman"/>
                <w:color w:val="000000"/>
                <w:sz w:val="14"/>
                <w:szCs w:val="14"/>
                <w:lang w:eastAsia="sk-SK"/>
              </w:rPr>
              <w:t>služby</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8 981 225</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8 836 168</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7 269 709</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7 269 709</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6 912 297</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6 801 510</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6 801 510</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E14983">
              <w:rPr>
                <w:rFonts w:ascii="Times New Roman" w:hAnsi="Times New Roman" w:cs="Times New Roman"/>
                <w:color w:val="000000"/>
                <w:sz w:val="14"/>
                <w:szCs w:val="14"/>
                <w:lang w:eastAsia="sk-SK"/>
              </w:rPr>
              <w:t xml:space="preserve">      640 bežné transfery</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1 757 052</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1 943 261</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1 386 676</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1 659 676</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1 386 676</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1 386 676</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1 386 676</w:t>
            </w:r>
          </w:p>
        </w:tc>
      </w:tr>
      <w:tr>
        <w:tblPrEx>
          <w:tblW w:w="9040" w:type="dxa"/>
          <w:tblInd w:w="55" w:type="dxa"/>
          <w:tblCellMar>
            <w:left w:w="70" w:type="dxa"/>
            <w:right w:w="70" w:type="dxa"/>
          </w:tblCellMar>
          <w:tblLook w:val="04A0"/>
        </w:tblPrEx>
        <w:trPr>
          <w:trHeight w:val="261"/>
        </w:trPr>
        <w:tc>
          <w:tcPr>
            <w:tcW w:w="2320" w:type="dxa"/>
            <w:tcBorders>
              <w:top w:val="nil"/>
              <w:left w:val="single" w:sz="4" w:space="0" w:color="auto"/>
              <w:bottom w:val="single" w:sz="4" w:space="0" w:color="auto"/>
              <w:right w:val="single" w:sz="4" w:space="0" w:color="auto"/>
            </w:tcBorders>
            <w:noWrap/>
            <w:textDirection w:val="lrTb"/>
            <w:vAlign w:val="center"/>
            <w:hideMark/>
          </w:tcPr>
          <w:p w:rsidR="009D2A34" w:rsidRPr="00E14983" w:rsidP="006338E5">
            <w:pPr>
              <w:bidi w:val="0"/>
              <w:rPr>
                <w:rFonts w:ascii="Times New Roman" w:hAnsi="Times New Roman" w:cs="Times New Roman"/>
                <w:color w:val="000000"/>
                <w:sz w:val="14"/>
                <w:szCs w:val="14"/>
                <w:lang w:eastAsia="sk-SK"/>
              </w:rPr>
            </w:pPr>
            <w:r w:rsidRPr="00E14983">
              <w:rPr>
                <w:rFonts w:ascii="Times New Roman" w:hAnsi="Times New Roman" w:cs="Times New Roman"/>
                <w:color w:val="000000"/>
                <w:sz w:val="14"/>
                <w:szCs w:val="14"/>
                <w:lang w:eastAsia="sk-SK"/>
              </w:rPr>
              <w:t xml:space="preserve">                kapitálové výdavky 700</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2 343 406</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1 974 076</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615 485</w:t>
            </w:r>
          </w:p>
        </w:tc>
        <w:tc>
          <w:tcPr>
            <w:tcW w:w="960" w:type="dxa"/>
            <w:tcBorders>
              <w:top w:val="nil"/>
              <w:left w:val="nil"/>
              <w:bottom w:val="single" w:sz="4" w:space="0" w:color="auto"/>
              <w:right w:val="single" w:sz="4" w:space="0" w:color="auto"/>
            </w:tcBorders>
            <w:noWrap/>
            <w:textDirection w:val="lrTb"/>
            <w:vAlign w:val="center"/>
            <w:hideMark/>
          </w:tcPr>
          <w:p w:rsidR="009D2A34" w:rsidRPr="001C03AA" w:rsidP="006338E5">
            <w:pPr>
              <w:bidi w:val="0"/>
              <w:jc w:val="right"/>
              <w:rPr>
                <w:rFonts w:ascii="Times New Roman" w:hAnsi="Times New Roman" w:cs="Times New Roman"/>
                <w:color w:val="000000"/>
                <w:sz w:val="14"/>
                <w:szCs w:val="14"/>
                <w:lang w:eastAsia="sk-SK"/>
              </w:rPr>
            </w:pPr>
            <w:r w:rsidRPr="001C03AA">
              <w:rPr>
                <w:rFonts w:ascii="Times New Roman" w:hAnsi="Times New Roman" w:cs="Times New Roman"/>
                <w:color w:val="000000"/>
                <w:sz w:val="14"/>
                <w:szCs w:val="14"/>
                <w:lang w:eastAsia="sk-SK"/>
              </w:rPr>
              <w:t>615 485</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615 485</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615 485</w:t>
            </w:r>
          </w:p>
        </w:tc>
        <w:tc>
          <w:tcPr>
            <w:tcW w:w="960" w:type="dxa"/>
            <w:tcBorders>
              <w:top w:val="nil"/>
              <w:left w:val="nil"/>
              <w:bottom w:val="single" w:sz="4" w:space="0" w:color="auto"/>
              <w:right w:val="single" w:sz="4" w:space="0" w:color="auto"/>
            </w:tcBorders>
            <w:noWrap/>
            <w:textDirection w:val="lrTb"/>
            <w:vAlign w:val="center"/>
            <w:hideMark/>
          </w:tcPr>
          <w:p w:rsidR="009D2A34" w:rsidRPr="00BF7E42" w:rsidP="006338E5">
            <w:pPr>
              <w:bidi w:val="0"/>
              <w:jc w:val="right"/>
              <w:rPr>
                <w:rFonts w:ascii="Times New Roman" w:hAnsi="Times New Roman" w:cs="Times New Roman"/>
                <w:color w:val="000000"/>
                <w:sz w:val="14"/>
                <w:szCs w:val="14"/>
              </w:rPr>
            </w:pPr>
            <w:r w:rsidRPr="00BF7E42">
              <w:rPr>
                <w:rFonts w:ascii="Times New Roman" w:hAnsi="Times New Roman" w:cs="Times New Roman"/>
                <w:color w:val="000000"/>
                <w:sz w:val="14"/>
                <w:szCs w:val="14"/>
              </w:rPr>
              <w:t>615 485</w:t>
            </w:r>
          </w:p>
        </w:tc>
      </w:tr>
    </w:tbl>
    <w:p w:rsidR="009D2A34" w:rsidRPr="00E14983" w:rsidP="009D2A34">
      <w:pPr>
        <w:bidi w:val="0"/>
        <w:rPr>
          <w:rFonts w:ascii="Times New Roman" w:hAnsi="Times New Roman" w:cs="Times New Roman"/>
        </w:rPr>
      </w:pPr>
    </w:p>
    <w:p w:rsidR="009D2A34" w:rsidRPr="00E14983" w:rsidP="009D2A34">
      <w:pPr>
        <w:bidi w:val="0"/>
        <w:ind w:firstLine="708"/>
        <w:jc w:val="both"/>
        <w:rPr>
          <w:rFonts w:ascii="Times New Roman" w:hAnsi="Times New Roman" w:cs="Times New Roman"/>
        </w:rPr>
      </w:pPr>
      <w:r w:rsidRPr="00E14983">
        <w:rPr>
          <w:rFonts w:ascii="Times New Roman" w:hAnsi="Times New Roman" w:cs="Times New Roman"/>
        </w:rPr>
        <w:t>Celkové výdavky kapitoly na rok 2013 sa rozpočtujú v sume 6</w:t>
      </w:r>
      <w:r>
        <w:rPr>
          <w:rFonts w:ascii="Times New Roman" w:hAnsi="Times New Roman" w:cs="Times New Roman"/>
        </w:rPr>
        <w:t>5,3</w:t>
      </w:r>
      <w:r w:rsidRPr="00E14983">
        <w:rPr>
          <w:rFonts w:ascii="Times New Roman" w:hAnsi="Times New Roman" w:cs="Times New Roman"/>
        </w:rPr>
        <w:t xml:space="preserve"> mil. eur a oproti schválenému rozpočtu roku 2012 rastú o</w:t>
      </w:r>
      <w:r>
        <w:rPr>
          <w:rFonts w:ascii="Times New Roman" w:hAnsi="Times New Roman" w:cs="Times New Roman"/>
        </w:rPr>
        <w:t> 5,02 mil. eur, t.</w:t>
      </w:r>
      <w:r w:rsidR="001F3259">
        <w:rPr>
          <w:rFonts w:ascii="Times New Roman" w:hAnsi="Times New Roman" w:cs="Times New Roman"/>
        </w:rPr>
        <w:t xml:space="preserve"> </w:t>
      </w:r>
      <w:r>
        <w:rPr>
          <w:rFonts w:ascii="Times New Roman" w:hAnsi="Times New Roman" w:cs="Times New Roman"/>
        </w:rPr>
        <w:t>j. o 8</w:t>
      </w:r>
      <w:r w:rsidRPr="00E14983">
        <w:rPr>
          <w:rFonts w:ascii="Times New Roman" w:hAnsi="Times New Roman" w:cs="Times New Roman"/>
        </w:rPr>
        <w:t>,</w:t>
      </w:r>
      <w:r>
        <w:rPr>
          <w:rFonts w:ascii="Times New Roman" w:hAnsi="Times New Roman" w:cs="Times New Roman"/>
        </w:rPr>
        <w:t>31</w:t>
      </w:r>
      <w:r w:rsidRPr="00E14983">
        <w:rPr>
          <w:rFonts w:ascii="Times New Roman" w:hAnsi="Times New Roman" w:cs="Times New Roman"/>
        </w:rPr>
        <w:t xml:space="preserve"> %. </w:t>
      </w:r>
    </w:p>
    <w:p w:rsidR="009D2A34" w:rsidRPr="00E14983" w:rsidP="009D2A34">
      <w:pPr>
        <w:bidi w:val="0"/>
        <w:jc w:val="both"/>
        <w:rPr>
          <w:rFonts w:ascii="Times New Roman" w:hAnsi="Times New Roman" w:cs="Times New Roman"/>
        </w:rPr>
      </w:pPr>
    </w:p>
    <w:p w:rsidR="009D2A34" w:rsidRPr="00E14983" w:rsidP="009D2A34">
      <w:pPr>
        <w:bidi w:val="0"/>
        <w:ind w:firstLine="708"/>
        <w:jc w:val="both"/>
        <w:rPr>
          <w:rFonts w:ascii="Times New Roman" w:hAnsi="Times New Roman" w:cs="Times New Roman"/>
          <w:bCs/>
        </w:rPr>
      </w:pPr>
      <w:r w:rsidRPr="00E14983">
        <w:rPr>
          <w:rFonts w:ascii="Times New Roman" w:hAnsi="Times New Roman" w:cs="Times New Roman"/>
        </w:rPr>
        <w:t>Na rok 2013 sa rozpočtujú osobné výdavky</w:t>
      </w:r>
      <w:r>
        <w:rPr>
          <w:rFonts w:ascii="Times New Roman" w:hAnsi="Times New Roman" w:cs="Times New Roman"/>
        </w:rPr>
        <w:t xml:space="preserve"> v sume 56,4 mil. eur, ktoré sú</w:t>
      </w:r>
      <w:r w:rsidRPr="00E14983">
        <w:rPr>
          <w:rFonts w:ascii="Times New Roman" w:hAnsi="Times New Roman" w:cs="Times New Roman"/>
        </w:rPr>
        <w:t xml:space="preserve"> oproti schválenému rozpočtu roku 2012 vyššie o</w:t>
      </w:r>
      <w:r>
        <w:rPr>
          <w:rFonts w:ascii="Times New Roman" w:hAnsi="Times New Roman" w:cs="Times New Roman"/>
        </w:rPr>
        <w:t> 5,37 mil. eur, t.</w:t>
      </w:r>
      <w:r w:rsidR="001F3259">
        <w:rPr>
          <w:rFonts w:ascii="Times New Roman" w:hAnsi="Times New Roman" w:cs="Times New Roman"/>
        </w:rPr>
        <w:t xml:space="preserve"> </w:t>
      </w:r>
      <w:r>
        <w:rPr>
          <w:rFonts w:ascii="Times New Roman" w:hAnsi="Times New Roman" w:cs="Times New Roman"/>
        </w:rPr>
        <w:t xml:space="preserve">j. o </w:t>
      </w:r>
      <w:r w:rsidRPr="00E14983">
        <w:rPr>
          <w:rFonts w:ascii="Times New Roman" w:hAnsi="Times New Roman" w:cs="Times New Roman"/>
        </w:rPr>
        <w:t>10,5 %</w:t>
      </w:r>
      <w:r>
        <w:rPr>
          <w:rFonts w:ascii="Times New Roman" w:hAnsi="Times New Roman" w:cs="Times New Roman"/>
        </w:rPr>
        <w:t>. P</w:t>
      </w:r>
      <w:r w:rsidRPr="00E14983">
        <w:rPr>
          <w:rFonts w:ascii="Times New Roman" w:hAnsi="Times New Roman" w:cs="Times New Roman"/>
          <w:bCs/>
        </w:rPr>
        <w:t xml:space="preserve">re </w:t>
      </w:r>
      <w:r>
        <w:rPr>
          <w:rFonts w:ascii="Times New Roman" w:hAnsi="Times New Roman" w:cs="Times New Roman"/>
          <w:bCs/>
        </w:rPr>
        <w:t>prokurátorov Generálnej prokuratúry</w:t>
      </w:r>
      <w:r w:rsidRPr="00E14983">
        <w:rPr>
          <w:rFonts w:ascii="Times New Roman" w:hAnsi="Times New Roman" w:cs="Times New Roman"/>
          <w:bCs/>
        </w:rPr>
        <w:t xml:space="preserve"> Slovenskej republiky</w:t>
      </w:r>
      <w:r>
        <w:rPr>
          <w:rFonts w:ascii="Times New Roman" w:hAnsi="Times New Roman" w:cs="Times New Roman"/>
          <w:bCs/>
        </w:rPr>
        <w:t xml:space="preserve"> sú</w:t>
      </w:r>
      <w:r w:rsidRPr="00E14983">
        <w:rPr>
          <w:rFonts w:ascii="Times New Roman" w:hAnsi="Times New Roman" w:cs="Times New Roman"/>
          <w:bCs/>
        </w:rPr>
        <w:t xml:space="preserve"> zabezpečené finančné prostriedky na úrovni ich reálne vyplácaných platových náležitostí v roku 2012 v zmysle zákona č. 120/1993 Z. z. </w:t>
      </w:r>
    </w:p>
    <w:p w:rsidR="009D2A34" w:rsidRPr="00E14983" w:rsidP="009D2A34">
      <w:pPr>
        <w:bidi w:val="0"/>
        <w:jc w:val="both"/>
        <w:rPr>
          <w:rFonts w:ascii="Times New Roman" w:hAnsi="Times New Roman" w:cs="Times New Roman"/>
        </w:rPr>
      </w:pPr>
    </w:p>
    <w:p w:rsidR="009D2A34" w:rsidP="009D2A34">
      <w:pPr>
        <w:bidi w:val="0"/>
        <w:ind w:firstLine="708"/>
        <w:jc w:val="both"/>
        <w:rPr>
          <w:rFonts w:ascii="Times New Roman" w:hAnsi="Times New Roman" w:cs="Times New Roman"/>
        </w:rPr>
      </w:pPr>
      <w:r w:rsidRPr="00E14983">
        <w:rPr>
          <w:rFonts w:ascii="Times New Roman" w:hAnsi="Times New Roman" w:cs="Times New Roman"/>
        </w:rPr>
        <w:t>Tovary a služby sa rozpočtujú v sume 6,</w:t>
      </w:r>
      <w:r>
        <w:rPr>
          <w:rFonts w:ascii="Times New Roman" w:hAnsi="Times New Roman" w:cs="Times New Roman"/>
        </w:rPr>
        <w:t>91</w:t>
      </w:r>
      <w:r w:rsidRPr="00E14983">
        <w:rPr>
          <w:rFonts w:ascii="Times New Roman" w:hAnsi="Times New Roman" w:cs="Times New Roman"/>
        </w:rPr>
        <w:t xml:space="preserve"> mil. eur, čo predstavuje oproti schválenému rozpočtu roku 2012 pokles o</w:t>
      </w:r>
      <w:r>
        <w:rPr>
          <w:rFonts w:ascii="Times New Roman" w:hAnsi="Times New Roman" w:cs="Times New Roman"/>
        </w:rPr>
        <w:t> 357 tis. eur, t.</w:t>
      </w:r>
      <w:r w:rsidR="001F3259">
        <w:rPr>
          <w:rFonts w:ascii="Times New Roman" w:hAnsi="Times New Roman" w:cs="Times New Roman"/>
        </w:rPr>
        <w:t xml:space="preserve"> </w:t>
      </w:r>
      <w:r>
        <w:rPr>
          <w:rFonts w:ascii="Times New Roman" w:hAnsi="Times New Roman" w:cs="Times New Roman"/>
        </w:rPr>
        <w:t>j. o 4,92</w:t>
      </w:r>
      <w:r w:rsidRPr="00E14983">
        <w:rPr>
          <w:rFonts w:ascii="Times New Roman" w:hAnsi="Times New Roman" w:cs="Times New Roman"/>
        </w:rPr>
        <w:t xml:space="preserve"> %.</w:t>
      </w:r>
    </w:p>
    <w:p w:rsidR="009D2A34" w:rsidRPr="00E14983" w:rsidP="009D2A34">
      <w:pPr>
        <w:bidi w:val="0"/>
        <w:ind w:firstLine="708"/>
        <w:jc w:val="both"/>
      </w:pPr>
      <w:r w:rsidRPr="00E14983">
        <w:rPr>
          <w:rFonts w:ascii="Times New Roman" w:hAnsi="Times New Roman" w:cs="Times New Roman"/>
        </w:rPr>
        <w:t xml:space="preserve">Kapitálové výdavky sa rozpočtujú v sume 615 tis. eur, čo predstavuje úroveň schváleného rozpočtu roku 2012. </w:t>
      </w:r>
    </w:p>
    <w:p w:rsidR="009D2A34" w:rsidP="009D2A34">
      <w:pPr>
        <w:bidi w:val="0"/>
        <w:ind w:firstLine="708"/>
        <w:jc w:val="both"/>
        <w:rPr>
          <w:rFonts w:ascii="Times New Roman" w:hAnsi="Times New Roman" w:cs="Times New Roman"/>
          <w:color w:val="000000"/>
        </w:rPr>
      </w:pPr>
    </w:p>
    <w:p w:rsidR="009D2A34" w:rsidP="009D2A34">
      <w:pPr>
        <w:bidi w:val="0"/>
        <w:ind w:firstLine="708"/>
        <w:jc w:val="both"/>
        <w:rPr>
          <w:rFonts w:ascii="Times New Roman" w:hAnsi="Times New Roman" w:cs="Times New Roman"/>
        </w:rPr>
      </w:pPr>
      <w:r>
        <w:rPr>
          <w:rFonts w:ascii="Times New Roman" w:hAnsi="Times New Roman" w:cs="Times New Roman"/>
        </w:rPr>
        <w:t>Uvedený rozpočet neobsahuje delimitáciu vojenských prokuratúr na roky 2013 až 2015 z rezortu Ministerstva obrany Slovenskej republiky.</w:t>
      </w:r>
    </w:p>
    <w:p w:rsidR="009D2A34" w:rsidP="009D2A34">
      <w:pPr>
        <w:bidi w:val="0"/>
      </w:pPr>
    </w:p>
    <w:p w:rsidR="009D2A34" w:rsidRPr="00B7481D" w:rsidP="009D2A34">
      <w:pPr>
        <w:pBdr>
          <w:bottom w:val="single" w:sz="4" w:space="1" w:color="auto"/>
        </w:pBdr>
        <w:bidi w:val="0"/>
        <w:jc w:val="both"/>
        <w:rPr>
          <w:rFonts w:ascii="Times New Roman" w:hAnsi="Times New Roman" w:cs="Times New Roman"/>
          <w:b/>
          <w:bCs/>
        </w:rPr>
      </w:pPr>
      <w:r w:rsidRPr="00B7481D">
        <w:rPr>
          <w:rFonts w:ascii="Times New Roman" w:hAnsi="Times New Roman" w:cs="Times New Roman"/>
          <w:b/>
        </w:rPr>
        <w:t>Najvyšší kontrolný úrad SR</w:t>
      </w:r>
      <w:r w:rsidRPr="00B7481D">
        <w:rPr>
          <w:rFonts w:ascii="Times New Roman" w:hAnsi="Times New Roman" w:cs="Times New Roman"/>
          <w:b/>
          <w:bCs/>
        </w:rPr>
        <w:t xml:space="preserve"> </w:t>
      </w:r>
    </w:p>
    <w:p w:rsidR="009D2A34" w:rsidP="009D2A34">
      <w:pPr>
        <w:bidi w:val="0"/>
        <w:jc w:val="both"/>
        <w:rPr>
          <w:rFonts w:ascii="Times New Roman" w:hAnsi="Times New Roman" w:cs="Times New Roman"/>
          <w:b/>
          <w:highlight w:val="yellow"/>
        </w:rPr>
      </w:pPr>
    </w:p>
    <w:tbl>
      <w:tblPr>
        <w:tblStyle w:val="TableNormal"/>
        <w:tblW w:w="5000" w:type="pct"/>
        <w:tblCellMar>
          <w:left w:w="70" w:type="dxa"/>
          <w:right w:w="70" w:type="dxa"/>
        </w:tblCellMar>
        <w:tblLook w:val="04A0"/>
      </w:tblPr>
      <w:tblGrid>
        <w:gridCol w:w="2818"/>
        <w:gridCol w:w="914"/>
        <w:gridCol w:w="914"/>
        <w:gridCol w:w="914"/>
        <w:gridCol w:w="914"/>
        <w:gridCol w:w="914"/>
        <w:gridCol w:w="914"/>
        <w:gridCol w:w="910"/>
      </w:tblGrid>
      <w:tr>
        <w:tblPrEx>
          <w:tblW w:w="5000" w:type="pct"/>
          <w:tblCellMar>
            <w:left w:w="70" w:type="dxa"/>
            <w:right w:w="70" w:type="dxa"/>
          </w:tblCellMar>
          <w:tblLook w:val="04A0"/>
        </w:tblPrEx>
        <w:trPr>
          <w:trHeight w:val="259"/>
        </w:trPr>
        <w:tc>
          <w:tcPr>
            <w:tcW w:w="153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B7481D" w:rsidP="006338E5">
            <w:pPr>
              <w:bidi w:val="0"/>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 v</w:t>
            </w:r>
            <w:r>
              <w:rPr>
                <w:rFonts w:ascii="Times New Roman" w:hAnsi="Times New Roman" w:cs="Times New Roman"/>
                <w:b/>
                <w:bCs/>
                <w:color w:val="000000"/>
                <w:sz w:val="14"/>
                <w:szCs w:val="14"/>
              </w:rPr>
              <w:t> </w:t>
            </w:r>
            <w:r w:rsidRPr="00B7481D">
              <w:rPr>
                <w:rFonts w:ascii="Times New Roman" w:hAnsi="Times New Roman" w:cs="Times New Roman"/>
                <w:b/>
                <w:bCs/>
                <w:color w:val="000000"/>
                <w:sz w:val="14"/>
                <w:szCs w:val="14"/>
              </w:rPr>
              <w:t>eurách</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2010 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2011 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2012 R</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2012 OS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2013 N</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2014 N</w:t>
            </w:r>
          </w:p>
        </w:tc>
        <w:tc>
          <w:tcPr>
            <w:tcW w:w="49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B7481D" w:rsidP="006338E5">
            <w:pPr>
              <w:bidi w:val="0"/>
              <w:jc w:val="cente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B7481D" w:rsidP="006338E5">
            <w:pPr>
              <w:bidi w:val="0"/>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Zdroje príslušnej kapitoly</w:t>
            </w:r>
          </w:p>
        </w:tc>
        <w:tc>
          <w:tcPr>
            <w:tcW w:w="496"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9 369 745</w:t>
            </w:r>
          </w:p>
        </w:tc>
        <w:tc>
          <w:tcPr>
            <w:tcW w:w="496"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11 856 829</w:t>
            </w:r>
          </w:p>
        </w:tc>
        <w:tc>
          <w:tcPr>
            <w:tcW w:w="496"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7 976 235</w:t>
            </w:r>
          </w:p>
        </w:tc>
        <w:tc>
          <w:tcPr>
            <w:tcW w:w="496"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7 976 304</w:t>
            </w:r>
          </w:p>
        </w:tc>
        <w:tc>
          <w:tcPr>
            <w:tcW w:w="496"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7 971 216</w:t>
            </w:r>
          </w:p>
        </w:tc>
        <w:tc>
          <w:tcPr>
            <w:tcW w:w="496"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7 971 216</w:t>
            </w:r>
          </w:p>
        </w:tc>
        <w:tc>
          <w:tcPr>
            <w:tcW w:w="494" w:type="pct"/>
            <w:tcBorders>
              <w:top w:val="nil"/>
              <w:left w:val="nil"/>
              <w:bottom w:val="single" w:sz="4" w:space="0" w:color="auto"/>
              <w:right w:val="single" w:sz="4" w:space="0" w:color="auto"/>
            </w:tcBorders>
            <w:shd w:val="clear" w:color="000000" w:fill="BFBFBF"/>
            <w:noWrap/>
            <w:textDirection w:val="lrTb"/>
            <w:vAlign w:val="center"/>
            <w:hideMark/>
          </w:tcPr>
          <w:p w:rsidR="009D2A34" w:rsidRPr="00B7481D" w:rsidP="006338E5">
            <w:pPr>
              <w:bidi w:val="0"/>
              <w:jc w:val="right"/>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7 971 216</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 xml:space="preserve">rozpočtové zdroje kapitoly </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8 701 035</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11 736 068</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7 976 235</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7 976 235</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7 971 216</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7 971 216</w:t>
            </w:r>
          </w:p>
        </w:tc>
        <w:tc>
          <w:tcPr>
            <w:tcW w:w="494"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7 971 216</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v tom: bežné výdavky  600</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8 446 581</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8 601 332</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7 871 235</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7 871 235</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7 852 216</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7 852 216</w:t>
            </w:r>
          </w:p>
        </w:tc>
        <w:tc>
          <w:tcPr>
            <w:tcW w:w="494"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7 852 216</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610 mzdy</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4 957 919</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4 523 293</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4 536 862</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4 536 862</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4 530 139</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4 530 139</w:t>
            </w:r>
          </w:p>
        </w:tc>
        <w:tc>
          <w:tcPr>
            <w:tcW w:w="494"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4 530 139</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620 odvody</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1 652 058</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1 529 125</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1 585 118</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1 585 118</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1 583 284</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1 583 284</w:t>
            </w:r>
          </w:p>
        </w:tc>
        <w:tc>
          <w:tcPr>
            <w:tcW w:w="494"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1 583 284</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630 tovary a služby</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1 771 292</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2 525 803</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1 730 755</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autoSpaceDE w:val="0"/>
              <w:autoSpaceDN w:val="0"/>
              <w:bidi w:val="0"/>
              <w:adjustRightInd w:val="0"/>
              <w:jc w:val="right"/>
              <w:rPr>
                <w:rFonts w:ascii="Times New Roman" w:hAnsi="Times New Roman" w:cs="Times New Roman"/>
                <w:color w:val="000000"/>
                <w:sz w:val="14"/>
                <w:szCs w:val="14"/>
              </w:rPr>
            </w:pPr>
            <w:r w:rsidRPr="00B7481D">
              <w:rPr>
                <w:rFonts w:ascii="Times New Roman" w:hAnsi="Times New Roman" w:cs="Times New Roman"/>
                <w:sz w:val="14"/>
                <w:szCs w:val="14"/>
                <w:lang w:eastAsia="en-US"/>
              </w:rPr>
              <w:t>1 709 321</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1 718 293</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1 718 293</w:t>
            </w:r>
          </w:p>
        </w:tc>
        <w:tc>
          <w:tcPr>
            <w:tcW w:w="494"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1 718 293</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640 bežné transfery</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65 312</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23 111</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18 500</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autoSpaceDE w:val="0"/>
              <w:autoSpaceDN w:val="0"/>
              <w:bidi w:val="0"/>
              <w:adjustRightInd w:val="0"/>
              <w:jc w:val="right"/>
              <w:rPr>
                <w:rFonts w:ascii="Times New Roman" w:hAnsi="Times New Roman" w:cs="Times New Roman"/>
                <w:color w:val="000000"/>
                <w:sz w:val="14"/>
                <w:szCs w:val="14"/>
              </w:rPr>
            </w:pPr>
            <w:r w:rsidRPr="00B7481D">
              <w:rPr>
                <w:rFonts w:ascii="Times New Roman" w:hAnsi="Times New Roman" w:cs="Times New Roman"/>
                <w:sz w:val="14"/>
                <w:szCs w:val="14"/>
                <w:lang w:eastAsia="en-US"/>
              </w:rPr>
              <w:t>39 934</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20 500</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20 500</w:t>
            </w:r>
          </w:p>
        </w:tc>
        <w:tc>
          <w:tcPr>
            <w:tcW w:w="494"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20 500</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kapitálové výdavky 700</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254 455</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3 134 736</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105 000</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105 000</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119 000</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119 000</w:t>
            </w:r>
          </w:p>
        </w:tc>
        <w:tc>
          <w:tcPr>
            <w:tcW w:w="494"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color w:val="000000"/>
                <w:sz w:val="14"/>
                <w:szCs w:val="14"/>
              </w:rPr>
            </w:pPr>
            <w:r w:rsidRPr="00B7481D">
              <w:rPr>
                <w:rFonts w:ascii="Times New Roman" w:hAnsi="Times New Roman" w:cs="Times New Roman"/>
                <w:color w:val="000000"/>
                <w:sz w:val="14"/>
                <w:szCs w:val="14"/>
              </w:rPr>
              <w:t>119 000</w:t>
            </w:r>
          </w:p>
        </w:tc>
      </w:tr>
      <w:tr>
        <w:tblPrEx>
          <w:tblW w:w="5000" w:type="pct"/>
          <w:tblCellMar>
            <w:left w:w="70" w:type="dxa"/>
            <w:right w:w="70" w:type="dxa"/>
          </w:tblCellMar>
          <w:tblLook w:val="04A0"/>
        </w:tblPrEx>
        <w:trPr>
          <w:trHeight w:val="259"/>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B7481D" w:rsidP="006338E5">
            <w:pPr>
              <w:bidi w:val="0"/>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presun z minulých rokov</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668 710</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120 761</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69</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c>
          <w:tcPr>
            <w:tcW w:w="496"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c>
          <w:tcPr>
            <w:tcW w:w="494" w:type="pct"/>
            <w:tcBorders>
              <w:top w:val="nil"/>
              <w:left w:val="nil"/>
              <w:bottom w:val="single" w:sz="4" w:space="0" w:color="auto"/>
              <w:right w:val="single" w:sz="4" w:space="0" w:color="auto"/>
            </w:tcBorders>
            <w:noWrap/>
            <w:textDirection w:val="lrTb"/>
            <w:vAlign w:val="center"/>
            <w:hideMark/>
          </w:tcPr>
          <w:p w:rsidR="009D2A34" w:rsidRPr="00B7481D" w:rsidP="006338E5">
            <w:pPr>
              <w:bidi w:val="0"/>
              <w:jc w:val="right"/>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0</w:t>
            </w:r>
          </w:p>
        </w:tc>
      </w:tr>
    </w:tbl>
    <w:p w:rsidR="009D2A34" w:rsidRPr="007E0D85" w:rsidP="009D2A34">
      <w:pPr>
        <w:bidi w:val="0"/>
        <w:jc w:val="both"/>
        <w:rPr>
          <w:rFonts w:ascii="Times New Roman" w:hAnsi="Times New Roman" w:cs="Times New Roman"/>
          <w:b/>
          <w:highlight w:val="yellow"/>
        </w:rPr>
      </w:pPr>
    </w:p>
    <w:p w:rsidR="009D2A34" w:rsidRPr="00B7481D" w:rsidP="009D2A34">
      <w:pPr>
        <w:bidi w:val="0"/>
        <w:ind w:firstLine="708"/>
        <w:jc w:val="both"/>
        <w:rPr>
          <w:rFonts w:ascii="Times New Roman" w:hAnsi="Times New Roman" w:cs="Times New Roman"/>
          <w:color w:val="000000"/>
        </w:rPr>
      </w:pPr>
      <w:r w:rsidRPr="00B7481D">
        <w:rPr>
          <w:rFonts w:ascii="Times New Roman" w:hAnsi="Times New Roman" w:cs="Times New Roman"/>
          <w:color w:val="000000"/>
        </w:rPr>
        <w:t>Výdavky kapitoly sa v roku 2013 rozpočtujú v sume 7,97 mil. eur, čo je v porovnaní so schváleným rozpočtom roku 2012 menej o 5,02 tis. eur, t.</w:t>
      </w:r>
      <w:r w:rsidR="001F3259">
        <w:rPr>
          <w:rFonts w:ascii="Times New Roman" w:hAnsi="Times New Roman" w:cs="Times New Roman"/>
          <w:color w:val="000000"/>
        </w:rPr>
        <w:t xml:space="preserve"> </w:t>
      </w:r>
      <w:r w:rsidRPr="00B7481D">
        <w:rPr>
          <w:rFonts w:ascii="Times New Roman" w:hAnsi="Times New Roman" w:cs="Times New Roman"/>
          <w:color w:val="000000"/>
        </w:rPr>
        <w:t xml:space="preserve">j. o 0,06 %. </w:t>
      </w:r>
    </w:p>
    <w:p w:rsidR="009D2A34" w:rsidRPr="00B7481D" w:rsidP="009D2A34">
      <w:pPr>
        <w:bidi w:val="0"/>
        <w:ind w:firstLine="708"/>
        <w:jc w:val="both"/>
        <w:rPr>
          <w:rFonts w:ascii="Times New Roman" w:hAnsi="Times New Roman" w:cs="Times New Roman"/>
          <w:color w:val="000000"/>
        </w:rPr>
      </w:pPr>
    </w:p>
    <w:p w:rsidR="009D2A34" w:rsidRPr="00B7481D" w:rsidP="009D2A34">
      <w:pPr>
        <w:bidi w:val="0"/>
        <w:ind w:firstLine="708"/>
        <w:jc w:val="both"/>
        <w:rPr>
          <w:rFonts w:ascii="Times New Roman" w:hAnsi="Times New Roman" w:cs="Times New Roman"/>
          <w:color w:val="000000"/>
        </w:rPr>
      </w:pPr>
      <w:r w:rsidRPr="00B7481D">
        <w:rPr>
          <w:rFonts w:ascii="Times New Roman" w:hAnsi="Times New Roman" w:cs="Times New Roman"/>
          <w:color w:val="000000"/>
        </w:rPr>
        <w:t>Objem osobných výdavkov sa na rok 2013 rozpočtuje na úrovni 6,11 mil. eur, čo v porovnaní so schváleným rozpočtom na rok 2012 predstavuje pokles o 8,56 tis. eur, t.</w:t>
      </w:r>
      <w:r w:rsidR="001F3259">
        <w:rPr>
          <w:rFonts w:ascii="Times New Roman" w:hAnsi="Times New Roman" w:cs="Times New Roman"/>
          <w:color w:val="000000"/>
        </w:rPr>
        <w:t xml:space="preserve"> </w:t>
      </w:r>
      <w:r w:rsidRPr="00B7481D">
        <w:rPr>
          <w:rFonts w:ascii="Times New Roman" w:hAnsi="Times New Roman" w:cs="Times New Roman"/>
          <w:color w:val="000000"/>
        </w:rPr>
        <w:t xml:space="preserve">j. o 0,14 %. </w:t>
      </w:r>
    </w:p>
    <w:p w:rsidR="009D2A34" w:rsidRPr="00B7481D" w:rsidP="009D2A34">
      <w:pPr>
        <w:bidi w:val="0"/>
        <w:ind w:firstLine="708"/>
        <w:jc w:val="both"/>
        <w:rPr>
          <w:rFonts w:ascii="Times New Roman" w:hAnsi="Times New Roman" w:cs="Times New Roman"/>
          <w:color w:val="000000"/>
        </w:rPr>
      </w:pPr>
    </w:p>
    <w:p w:rsidR="009D2A34" w:rsidRPr="00B7481D" w:rsidP="009D2A34">
      <w:pPr>
        <w:bidi w:val="0"/>
        <w:ind w:firstLine="708"/>
        <w:jc w:val="both"/>
        <w:rPr>
          <w:rFonts w:ascii="Times New Roman" w:hAnsi="Times New Roman" w:cs="Times New Roman"/>
          <w:color w:val="000000"/>
        </w:rPr>
      </w:pPr>
      <w:r w:rsidRPr="00B7481D">
        <w:rPr>
          <w:rFonts w:ascii="Times New Roman" w:hAnsi="Times New Roman" w:cs="Times New Roman"/>
          <w:color w:val="000000"/>
        </w:rPr>
        <w:t>Výdavky na tovary a služby sa v roku 2013 rozpočtujú na úrovni 1,72 mil. eur a oproti schválenému rozpočtu 2012 klesajú o 12,5 tis. eur, t.</w:t>
      </w:r>
      <w:r w:rsidR="001F3259">
        <w:rPr>
          <w:rFonts w:ascii="Times New Roman" w:hAnsi="Times New Roman" w:cs="Times New Roman"/>
          <w:color w:val="000000"/>
        </w:rPr>
        <w:t xml:space="preserve"> </w:t>
      </w:r>
      <w:r w:rsidRPr="00B7481D">
        <w:rPr>
          <w:rFonts w:ascii="Times New Roman" w:hAnsi="Times New Roman" w:cs="Times New Roman"/>
          <w:color w:val="000000"/>
        </w:rPr>
        <w:t xml:space="preserve">j. o 0,72 %. </w:t>
      </w:r>
    </w:p>
    <w:p w:rsidR="009D2A34" w:rsidRPr="00B7481D" w:rsidP="009D2A34">
      <w:pPr>
        <w:bidi w:val="0"/>
        <w:ind w:firstLine="708"/>
        <w:jc w:val="both"/>
        <w:rPr>
          <w:rFonts w:ascii="Times New Roman" w:hAnsi="Times New Roman" w:cs="Times New Roman"/>
          <w:color w:val="000000"/>
        </w:rPr>
      </w:pPr>
    </w:p>
    <w:p w:rsidR="009D2A34" w:rsidRPr="00B7481D" w:rsidP="009D2A34">
      <w:pPr>
        <w:bidi w:val="0"/>
        <w:ind w:firstLine="708"/>
        <w:jc w:val="both"/>
        <w:rPr>
          <w:rFonts w:ascii="Times New Roman" w:hAnsi="Times New Roman" w:cs="Times New Roman"/>
          <w:color w:val="000000"/>
        </w:rPr>
      </w:pPr>
      <w:r w:rsidRPr="00B7481D">
        <w:rPr>
          <w:rFonts w:ascii="Times New Roman" w:hAnsi="Times New Roman" w:cs="Times New Roman"/>
          <w:color w:val="000000"/>
        </w:rPr>
        <w:t xml:space="preserve">Bežné transfery rozpočtované </w:t>
      </w:r>
      <w:r w:rsidR="001F3259">
        <w:rPr>
          <w:rFonts w:ascii="Times New Roman" w:hAnsi="Times New Roman" w:cs="Times New Roman"/>
          <w:color w:val="000000"/>
        </w:rPr>
        <w:t>na</w:t>
      </w:r>
      <w:r w:rsidRPr="00B7481D">
        <w:rPr>
          <w:rFonts w:ascii="Times New Roman" w:hAnsi="Times New Roman" w:cs="Times New Roman"/>
          <w:color w:val="000000"/>
        </w:rPr>
        <w:t xml:space="preserve"> rok 2013 v sume 20,5 tis. eur, sa oproti schválenému rozpočtu na rok 2012 zvýšili o 2 tis. eur, t.</w:t>
      </w:r>
      <w:r w:rsidR="001F3259">
        <w:rPr>
          <w:rFonts w:ascii="Times New Roman" w:hAnsi="Times New Roman" w:cs="Times New Roman"/>
          <w:color w:val="000000"/>
        </w:rPr>
        <w:t xml:space="preserve"> </w:t>
      </w:r>
      <w:r w:rsidRPr="00B7481D">
        <w:rPr>
          <w:rFonts w:ascii="Times New Roman" w:hAnsi="Times New Roman" w:cs="Times New Roman"/>
          <w:color w:val="000000"/>
        </w:rPr>
        <w:t>j. o 10,8 %. V rámci bežných transferov sú rozpísané príspevky 2 medzinárodným organizáciám, v ktorých má Najvyšší kontrolný úrad SR členstvo.</w:t>
      </w:r>
    </w:p>
    <w:p w:rsidR="009D2A34" w:rsidRPr="00B7481D" w:rsidP="009D2A34">
      <w:pPr>
        <w:bidi w:val="0"/>
        <w:ind w:firstLine="708"/>
        <w:jc w:val="both"/>
        <w:rPr>
          <w:rFonts w:ascii="Times New Roman" w:hAnsi="Times New Roman" w:cs="Times New Roman"/>
          <w:color w:val="000000"/>
        </w:rPr>
      </w:pPr>
    </w:p>
    <w:p w:rsidR="009D2A34" w:rsidRPr="00B7481D" w:rsidP="009D2A34">
      <w:pPr>
        <w:bidi w:val="0"/>
        <w:ind w:firstLine="708"/>
        <w:jc w:val="both"/>
        <w:rPr>
          <w:rFonts w:ascii="Times New Roman" w:hAnsi="Times New Roman" w:cs="Times New Roman"/>
          <w:color w:val="000000"/>
        </w:rPr>
      </w:pPr>
      <w:r w:rsidRPr="00B7481D">
        <w:rPr>
          <w:rFonts w:ascii="Times New Roman" w:hAnsi="Times New Roman" w:cs="Times New Roman"/>
          <w:color w:val="000000"/>
        </w:rPr>
        <w:t xml:space="preserve">Kapitálové výdavky vo výške 119 tis. eur </w:t>
      </w:r>
      <w:r w:rsidR="001F3259">
        <w:rPr>
          <w:rFonts w:ascii="Times New Roman" w:hAnsi="Times New Roman" w:cs="Times New Roman"/>
          <w:color w:val="000000"/>
        </w:rPr>
        <w:t>na</w:t>
      </w:r>
      <w:r w:rsidRPr="00B7481D">
        <w:rPr>
          <w:rFonts w:ascii="Times New Roman" w:hAnsi="Times New Roman" w:cs="Times New Roman"/>
          <w:color w:val="000000"/>
        </w:rPr>
        <w:t xml:space="preserve"> rok 2013, medziročne stúpajú </w:t>
      </w:r>
      <w:r w:rsidR="001F3259">
        <w:rPr>
          <w:rFonts w:ascii="Times New Roman" w:hAnsi="Times New Roman" w:cs="Times New Roman"/>
          <w:color w:val="000000"/>
        </w:rPr>
        <w:br/>
      </w:r>
      <w:r w:rsidRPr="00B7481D">
        <w:rPr>
          <w:rFonts w:ascii="Times New Roman" w:hAnsi="Times New Roman" w:cs="Times New Roman"/>
          <w:color w:val="000000"/>
        </w:rPr>
        <w:t>o 14 tis. eur, t.</w:t>
      </w:r>
      <w:r w:rsidR="001F3259">
        <w:rPr>
          <w:rFonts w:ascii="Times New Roman" w:hAnsi="Times New Roman" w:cs="Times New Roman"/>
          <w:color w:val="000000"/>
        </w:rPr>
        <w:t xml:space="preserve"> </w:t>
      </w:r>
      <w:r w:rsidRPr="00B7481D">
        <w:rPr>
          <w:rFonts w:ascii="Times New Roman" w:hAnsi="Times New Roman" w:cs="Times New Roman"/>
          <w:color w:val="000000"/>
        </w:rPr>
        <w:t>j. o 13,3 %, a budú použité na zabezpečenie nákupu osobných vozidiel v rámci plánovanej obnovy vozového parku, na nákup výpočtovej techniky a multifunkčných zariadení.</w:t>
      </w:r>
    </w:p>
    <w:p w:rsidR="009D2A34" w:rsidRPr="007E0D85" w:rsidP="009D2A34">
      <w:pPr>
        <w:bidi w:val="0"/>
        <w:jc w:val="both"/>
        <w:rPr>
          <w:rFonts w:ascii="Times New Roman" w:hAnsi="Times New Roman" w:cs="Times New Roman"/>
          <w:highlight w:val="yellow"/>
        </w:rPr>
      </w:pPr>
    </w:p>
    <w:p w:rsidR="009D2A34" w:rsidRPr="00391CBF" w:rsidP="009D2A34">
      <w:pPr>
        <w:pBdr>
          <w:bottom w:val="single" w:sz="4" w:space="1" w:color="auto"/>
        </w:pBdr>
        <w:bidi w:val="0"/>
        <w:jc w:val="both"/>
        <w:rPr>
          <w:rFonts w:ascii="Times New Roman" w:hAnsi="Times New Roman" w:cs="Times New Roman"/>
          <w:b/>
        </w:rPr>
      </w:pPr>
      <w:r w:rsidRPr="0017626B">
        <w:rPr>
          <w:rFonts w:ascii="Times New Roman" w:hAnsi="Times New Roman" w:cs="Times New Roman"/>
          <w:b/>
        </w:rPr>
        <w:t>Slovenská informačná služba</w:t>
      </w:r>
    </w:p>
    <w:p w:rsidR="009D2A34" w:rsidRPr="00391CBF" w:rsidP="009D2A34">
      <w:pPr>
        <w:bidi w:val="0"/>
        <w:jc w:val="both"/>
        <w:rPr>
          <w:rFonts w:ascii="Times New Roman" w:hAnsi="Times New Roman" w:cs="Times New Roman"/>
        </w:rPr>
      </w:pPr>
    </w:p>
    <w:tbl>
      <w:tblPr>
        <w:tblStyle w:val="TableNormal"/>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8"/>
        <w:gridCol w:w="970"/>
        <w:gridCol w:w="973"/>
        <w:gridCol w:w="973"/>
        <w:gridCol w:w="971"/>
        <w:gridCol w:w="973"/>
        <w:gridCol w:w="973"/>
        <w:gridCol w:w="971"/>
      </w:tblGrid>
      <w:tr>
        <w:tblPrEx>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D2A34" w:rsidRPr="00391CBF" w:rsidP="006338E5">
            <w:pPr>
              <w:bidi w:val="0"/>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v eurách</w:t>
            </w:r>
          </w:p>
        </w:tc>
        <w:tc>
          <w:tcPr>
            <w:tcW w:w="531"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D2A34" w:rsidRPr="00391CBF" w:rsidP="006338E5">
            <w:pPr>
              <w:bidi w:val="0"/>
              <w:jc w:val="center"/>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2010 S</w:t>
            </w:r>
          </w:p>
        </w:tc>
        <w:tc>
          <w:tcPr>
            <w:tcW w:w="53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D2A34" w:rsidRPr="00391CBF" w:rsidP="006338E5">
            <w:pPr>
              <w:bidi w:val="0"/>
              <w:jc w:val="center"/>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2011 S</w:t>
            </w:r>
          </w:p>
        </w:tc>
        <w:tc>
          <w:tcPr>
            <w:tcW w:w="53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D2A34" w:rsidRPr="00391CBF" w:rsidP="006338E5">
            <w:pPr>
              <w:bidi w:val="0"/>
              <w:jc w:val="center"/>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2012 R</w:t>
            </w:r>
          </w:p>
        </w:tc>
        <w:tc>
          <w:tcPr>
            <w:tcW w:w="531"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D2A34" w:rsidRPr="00391CBF" w:rsidP="006338E5">
            <w:pPr>
              <w:bidi w:val="0"/>
              <w:jc w:val="center"/>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2012 OS</w:t>
            </w:r>
          </w:p>
        </w:tc>
        <w:tc>
          <w:tcPr>
            <w:tcW w:w="53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D2A34" w:rsidRPr="00391CBF" w:rsidP="006338E5">
            <w:pPr>
              <w:bidi w:val="0"/>
              <w:jc w:val="center"/>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2013 N</w:t>
            </w:r>
          </w:p>
        </w:tc>
        <w:tc>
          <w:tcPr>
            <w:tcW w:w="532"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D2A34" w:rsidRPr="00391CBF" w:rsidP="006338E5">
            <w:pPr>
              <w:bidi w:val="0"/>
              <w:jc w:val="center"/>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2014 N</w:t>
            </w:r>
          </w:p>
        </w:tc>
        <w:tc>
          <w:tcPr>
            <w:tcW w:w="531"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extDirection w:val="lrTb"/>
            <w:vAlign w:val="center"/>
            <w:hideMark/>
          </w:tcPr>
          <w:p w:rsidR="009D2A34" w:rsidRPr="00391CBF" w:rsidP="006338E5">
            <w:pPr>
              <w:bidi w:val="0"/>
              <w:jc w:val="center"/>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2015 N</w:t>
            </w:r>
          </w:p>
        </w:tc>
      </w:tr>
      <w:tr>
        <w:tblPrEx>
          <w:tblW w:w="4962" w:type="pct"/>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center"/>
            <w:hideMark/>
          </w:tcPr>
          <w:p w:rsidR="009D2A34" w:rsidRPr="00391CBF" w:rsidP="006338E5">
            <w:pPr>
              <w:bidi w:val="0"/>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Zdroje príslušnej kapitoly</w:t>
            </w:r>
          </w:p>
        </w:tc>
        <w:tc>
          <w:tcPr>
            <w:tcW w:w="531"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46 555 400</w:t>
            </w:r>
          </w:p>
        </w:tc>
        <w:tc>
          <w:tcPr>
            <w:tcW w:w="532"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41 846 174</w:t>
            </w:r>
          </w:p>
        </w:tc>
        <w:tc>
          <w:tcPr>
            <w:tcW w:w="532"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41 551 711</w:t>
            </w:r>
          </w:p>
        </w:tc>
        <w:tc>
          <w:tcPr>
            <w:tcW w:w="531"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41 551 711</w:t>
            </w:r>
          </w:p>
        </w:tc>
        <w:tc>
          <w:tcPr>
            <w:tcW w:w="532"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41 466 985</w:t>
            </w:r>
          </w:p>
        </w:tc>
        <w:tc>
          <w:tcPr>
            <w:tcW w:w="532"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41 466 985</w:t>
            </w:r>
          </w:p>
        </w:tc>
        <w:tc>
          <w:tcPr>
            <w:tcW w:w="531" w:type="pct"/>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bCs/>
                <w:color w:val="000000"/>
                <w:sz w:val="14"/>
                <w:szCs w:val="14"/>
              </w:rPr>
            </w:pPr>
            <w:r w:rsidRPr="00391CBF">
              <w:rPr>
                <w:rFonts w:ascii="Times New Roman" w:hAnsi="Times New Roman" w:cs="Times New Roman"/>
                <w:b/>
                <w:bCs/>
                <w:color w:val="000000"/>
                <w:sz w:val="14"/>
                <w:szCs w:val="14"/>
              </w:rPr>
              <w:t>41 466 985</w:t>
            </w:r>
          </w:p>
        </w:tc>
      </w:tr>
      <w:tr>
        <w:tblPrEx>
          <w:tblW w:w="4962" w:type="pct"/>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 xml:space="preserve">rozpočtové zdroje kapitoly </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46 255 400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41 846 174</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41 551 711</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41 551 711</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41 466 985</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41 466 985</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41 466 985</w:t>
            </w:r>
          </w:p>
        </w:tc>
      </w:tr>
      <w:tr>
        <w:tblPrEx>
          <w:tblW w:w="4962" w:type="pct"/>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rPr>
                <w:rFonts w:ascii="Times New Roman" w:hAnsi="Times New Roman" w:cs="Times New Roman"/>
                <w:color w:val="000000"/>
                <w:sz w:val="14"/>
                <w:szCs w:val="14"/>
              </w:rPr>
            </w:pPr>
            <w:r w:rsidRPr="00391CBF">
              <w:rPr>
                <w:rFonts w:ascii="Times New Roman" w:hAnsi="Times New Roman" w:cs="Times New Roman"/>
                <w:color w:val="000000"/>
                <w:sz w:val="14"/>
                <w:szCs w:val="14"/>
              </w:rPr>
              <w:t>        v tom: bežné výdavky 600</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45 259 400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41 241 215</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40 555 711</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40 555 711</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40 470 985</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40 470 985</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40 470 985</w:t>
            </w:r>
          </w:p>
        </w:tc>
      </w:tr>
      <w:tr>
        <w:tblPrEx>
          <w:tblW w:w="4962" w:type="pct"/>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rPr>
                <w:rFonts w:ascii="Times New Roman" w:hAnsi="Times New Roman" w:cs="Times New Roman"/>
                <w:color w:val="000000"/>
                <w:sz w:val="14"/>
                <w:szCs w:val="14"/>
              </w:rPr>
            </w:pPr>
            <w:r w:rsidRPr="00391CBF">
              <w:rPr>
                <w:rFonts w:ascii="Times New Roman" w:hAnsi="Times New Roman" w:cs="Times New Roman"/>
                <w:color w:val="000000"/>
                <w:sz w:val="14"/>
                <w:szCs w:val="14"/>
              </w:rPr>
              <w:t>                             630 tovary a služby</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45 259 400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41 241 215</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40 555 711</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40 555 711</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40 470 985</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40 470 985</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40 470 985</w:t>
            </w:r>
          </w:p>
        </w:tc>
      </w:tr>
      <w:tr>
        <w:tblPrEx>
          <w:tblW w:w="4962" w:type="pct"/>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rPr>
                <w:rFonts w:ascii="Times New Roman" w:hAnsi="Times New Roman" w:cs="Times New Roman"/>
                <w:color w:val="000000"/>
                <w:sz w:val="14"/>
                <w:szCs w:val="14"/>
              </w:rPr>
            </w:pPr>
            <w:r w:rsidRPr="00391CBF">
              <w:rPr>
                <w:rFonts w:ascii="Times New Roman" w:hAnsi="Times New Roman" w:cs="Times New Roman"/>
                <w:color w:val="000000"/>
                <w:sz w:val="14"/>
                <w:szCs w:val="14"/>
              </w:rPr>
              <w:t>                   kapitálové výdavky 700</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996 000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604 959</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996 000</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996 000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996 000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996 000</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color w:val="000000"/>
                <w:sz w:val="14"/>
                <w:szCs w:val="14"/>
              </w:rPr>
            </w:pPr>
            <w:r w:rsidRPr="00391CBF">
              <w:rPr>
                <w:rFonts w:ascii="Times New Roman" w:hAnsi="Times New Roman" w:cs="Times New Roman"/>
                <w:color w:val="000000"/>
                <w:sz w:val="14"/>
                <w:szCs w:val="14"/>
              </w:rPr>
              <w:t>996 000</w:t>
            </w:r>
          </w:p>
        </w:tc>
      </w:tr>
      <w:tr>
        <w:tblPrEx>
          <w:tblW w:w="4962" w:type="pct"/>
          <w:tblCellMar>
            <w:left w:w="0" w:type="dxa"/>
            <w:right w:w="0" w:type="dxa"/>
          </w:tblCellMar>
          <w:tblLook w:val="04A0"/>
        </w:tblPrEx>
        <w:trPr>
          <w:trHeight w:val="259"/>
        </w:trPr>
        <w:tc>
          <w:tcPr>
            <w:tcW w:w="127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presun z minulých rokov</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300 000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 0</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391CBF" w:rsidP="006338E5">
            <w:pPr>
              <w:bidi w:val="0"/>
              <w:jc w:val="right"/>
              <w:rPr>
                <w:rFonts w:ascii="Times New Roman" w:hAnsi="Times New Roman" w:cs="Times New Roman"/>
                <w:b/>
                <w:color w:val="000000"/>
                <w:sz w:val="14"/>
                <w:szCs w:val="14"/>
              </w:rPr>
            </w:pPr>
            <w:r w:rsidRPr="00391CBF">
              <w:rPr>
                <w:rFonts w:ascii="Times New Roman" w:hAnsi="Times New Roman" w:cs="Times New Roman"/>
                <w:b/>
                <w:color w:val="000000"/>
                <w:sz w:val="14"/>
                <w:szCs w:val="14"/>
              </w:rPr>
              <w:t> 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17626B" w:rsidP="006338E5">
            <w:pPr>
              <w:bidi w:val="0"/>
              <w:jc w:val="right"/>
              <w:rPr>
                <w:rFonts w:ascii="Times New Roman" w:hAnsi="Times New Roman" w:cs="Times New Roman"/>
                <w:b/>
                <w:color w:val="000000"/>
                <w:sz w:val="14"/>
                <w:szCs w:val="14"/>
              </w:rPr>
            </w:pPr>
            <w:r w:rsidRPr="0017626B">
              <w:rPr>
                <w:rFonts w:ascii="Times New Roman" w:hAnsi="Times New Roman" w:cs="Times New Roman"/>
                <w:b/>
                <w:color w:val="000000"/>
                <w:sz w:val="14"/>
                <w:szCs w:val="14"/>
              </w:rPr>
              <w:t> 0</w:t>
            </w:r>
          </w:p>
        </w:tc>
        <w:tc>
          <w:tcPr>
            <w:tcW w:w="5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17626B" w:rsidP="006338E5">
            <w:pPr>
              <w:bidi w:val="0"/>
              <w:jc w:val="right"/>
              <w:rPr>
                <w:rFonts w:ascii="Times New Roman" w:hAnsi="Times New Roman" w:cs="Times New Roman"/>
                <w:b/>
                <w:color w:val="000000"/>
                <w:sz w:val="14"/>
                <w:szCs w:val="14"/>
              </w:rPr>
            </w:pPr>
            <w:r w:rsidRPr="0017626B">
              <w:rPr>
                <w:rFonts w:ascii="Times New Roman" w:hAnsi="Times New Roman" w:cs="Times New Roman"/>
                <w:b/>
                <w:color w:val="000000"/>
                <w:sz w:val="14"/>
                <w:szCs w:val="14"/>
              </w:rPr>
              <w:t> 0</w:t>
            </w:r>
          </w:p>
        </w:tc>
        <w:tc>
          <w:tcPr>
            <w:tcW w:w="5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17626B" w:rsidP="006338E5">
            <w:pPr>
              <w:bidi w:val="0"/>
              <w:jc w:val="right"/>
              <w:rPr>
                <w:rFonts w:ascii="Times New Roman" w:hAnsi="Times New Roman" w:cs="Times New Roman"/>
                <w:b/>
                <w:color w:val="000000"/>
                <w:sz w:val="14"/>
                <w:szCs w:val="14"/>
              </w:rPr>
            </w:pPr>
            <w:r w:rsidRPr="0017626B">
              <w:rPr>
                <w:rFonts w:ascii="Times New Roman" w:hAnsi="Times New Roman" w:cs="Times New Roman"/>
                <w:b/>
                <w:color w:val="000000"/>
                <w:sz w:val="14"/>
                <w:szCs w:val="14"/>
              </w:rPr>
              <w:t> 0</w:t>
            </w:r>
          </w:p>
        </w:tc>
      </w:tr>
    </w:tbl>
    <w:p w:rsidR="009D2A34" w:rsidRPr="00391CBF" w:rsidP="009D2A34">
      <w:pPr>
        <w:bidi w:val="0"/>
        <w:jc w:val="both"/>
        <w:rPr>
          <w:rFonts w:ascii="Times New Roman" w:hAnsi="Times New Roman" w:cs="Times New Roman"/>
          <w:lang w:eastAsia="sk-SK"/>
        </w:rPr>
      </w:pPr>
      <w:r w:rsidRPr="00391CBF">
        <w:rPr>
          <w:rFonts w:ascii="Times New Roman" w:hAnsi="Times New Roman" w:cs="Times New Roman"/>
          <w:lang w:eastAsia="sk-SK"/>
        </w:rPr>
        <w:t> </w:t>
      </w:r>
    </w:p>
    <w:p w:rsidR="009D2A34" w:rsidRPr="008D378B" w:rsidP="009D2A34">
      <w:pPr>
        <w:bidi w:val="0"/>
        <w:ind w:firstLine="708"/>
        <w:jc w:val="both"/>
        <w:rPr>
          <w:rFonts w:ascii="Times New Roman" w:hAnsi="Times New Roman" w:cs="Times New Roman"/>
        </w:rPr>
      </w:pPr>
      <w:r w:rsidRPr="008D378B">
        <w:rPr>
          <w:rFonts w:ascii="Times New Roman" w:hAnsi="Times New Roman" w:cs="Times New Roman"/>
        </w:rPr>
        <w:t xml:space="preserve">Celkové výdavky kapitoly v sume 41,5 mil. eur </w:t>
      </w:r>
      <w:r w:rsidR="001F3259">
        <w:rPr>
          <w:rFonts w:ascii="Times New Roman" w:hAnsi="Times New Roman" w:cs="Times New Roman"/>
        </w:rPr>
        <w:t>na</w:t>
      </w:r>
      <w:r w:rsidRPr="008D378B">
        <w:rPr>
          <w:rFonts w:ascii="Times New Roman" w:hAnsi="Times New Roman" w:cs="Times New Roman"/>
        </w:rPr>
        <w:t xml:space="preserve"> rok 2013 sú oproti schválenému rozpočtu roku 2012 nižšie o sumu 84,7 tis. eur, čo predstavuje pokles o 0,2 %. </w:t>
      </w:r>
    </w:p>
    <w:p w:rsidR="009D2A34" w:rsidRPr="008D378B" w:rsidP="009D2A34">
      <w:pPr>
        <w:bidi w:val="0"/>
        <w:jc w:val="both"/>
        <w:rPr>
          <w:rFonts w:ascii="Times New Roman" w:hAnsi="Times New Roman" w:cs="Times New Roman"/>
        </w:rPr>
      </w:pPr>
    </w:p>
    <w:p w:rsidR="009D2A34" w:rsidRPr="008D378B" w:rsidP="009D2A34">
      <w:pPr>
        <w:bidi w:val="0"/>
        <w:ind w:firstLine="708"/>
        <w:jc w:val="both"/>
        <w:rPr>
          <w:rFonts w:ascii="Times New Roman" w:hAnsi="Times New Roman" w:cs="Times New Roman"/>
        </w:rPr>
      </w:pPr>
      <w:r w:rsidRPr="008D378B">
        <w:rPr>
          <w:rFonts w:ascii="Times New Roman" w:hAnsi="Times New Roman" w:cs="Times New Roman"/>
        </w:rPr>
        <w:t>V rámci tovarov a služieb sa rozpočtujú finančné prostriedky na chod informačnej služby. Celkové výdavky na tovary a služby v roku 2013 sú oproti schválenému rozpočtu roku 2012 nižšie o 84,7 tis. eur, t.</w:t>
      </w:r>
      <w:r w:rsidR="001F3259">
        <w:rPr>
          <w:rFonts w:ascii="Times New Roman" w:hAnsi="Times New Roman" w:cs="Times New Roman"/>
        </w:rPr>
        <w:t xml:space="preserve"> </w:t>
      </w:r>
      <w:r w:rsidRPr="008D378B">
        <w:rPr>
          <w:rFonts w:ascii="Times New Roman" w:hAnsi="Times New Roman" w:cs="Times New Roman"/>
        </w:rPr>
        <w:t xml:space="preserve">j. o 0,21 %. Výdavky na prevádzku sú nižšie o 10 %.  </w:t>
      </w:r>
    </w:p>
    <w:p w:rsidR="009D2A34" w:rsidRPr="008D378B" w:rsidP="009D2A34">
      <w:pPr>
        <w:bidi w:val="0"/>
        <w:jc w:val="both"/>
        <w:rPr>
          <w:rFonts w:ascii="Times New Roman" w:hAnsi="Times New Roman" w:cs="Times New Roman"/>
        </w:rPr>
      </w:pPr>
      <w:r w:rsidRPr="008D378B">
        <w:rPr>
          <w:rFonts w:ascii="Times New Roman" w:hAnsi="Times New Roman" w:cs="Times New Roman"/>
        </w:rPr>
        <w:t xml:space="preserve"> </w:t>
      </w:r>
    </w:p>
    <w:p w:rsidR="009D2A34" w:rsidRPr="008D378B" w:rsidP="009D2A34">
      <w:pPr>
        <w:bidi w:val="0"/>
        <w:ind w:firstLine="708"/>
        <w:jc w:val="both"/>
        <w:rPr>
          <w:rFonts w:ascii="Times New Roman" w:hAnsi="Times New Roman" w:cs="Times New Roman"/>
        </w:rPr>
      </w:pPr>
      <w:r w:rsidRPr="008D378B">
        <w:rPr>
          <w:rFonts w:ascii="Times New Roman" w:hAnsi="Times New Roman" w:cs="Times New Roman"/>
        </w:rPr>
        <w:t>Kapitálové výdavky v sume 996 tis. eur sa v roku 2013 rozpočtujú na úrovni schváleného rozpočtu roku 2012 a sú určené na riešenie havarijných stavov budov, na dopĺňanie technických prostriedkov a na zabezpečenie ochrany utajovaných skutočností.</w:t>
      </w:r>
    </w:p>
    <w:p w:rsidR="009D2A34" w:rsidRPr="007E0D85" w:rsidP="009D2A34">
      <w:pPr>
        <w:pBdr>
          <w:bottom w:val="single" w:sz="4" w:space="1" w:color="auto"/>
        </w:pBdr>
        <w:bidi w:val="0"/>
        <w:jc w:val="both"/>
        <w:rPr>
          <w:rFonts w:ascii="Times New Roman" w:hAnsi="Times New Roman"/>
          <w:b/>
          <w:bCs/>
          <w:highlight w:val="yellow"/>
        </w:rPr>
      </w:pPr>
    </w:p>
    <w:p w:rsidR="009D2A34" w:rsidRPr="001A286F" w:rsidP="009D2A34">
      <w:pPr>
        <w:pBdr>
          <w:bottom w:val="single" w:sz="4" w:space="1" w:color="auto"/>
        </w:pBdr>
        <w:bidi w:val="0"/>
        <w:jc w:val="both"/>
        <w:rPr>
          <w:rFonts w:ascii="Times New Roman" w:hAnsi="Times New Roman"/>
          <w:b/>
          <w:bCs/>
        </w:rPr>
      </w:pPr>
      <w:r w:rsidRPr="001A286F">
        <w:rPr>
          <w:rFonts w:ascii="Times New Roman" w:hAnsi="Times New Roman"/>
          <w:b/>
          <w:bCs/>
        </w:rPr>
        <w:t xml:space="preserve">Úrad geodézie, kartografie a katastra SR </w:t>
      </w:r>
    </w:p>
    <w:p w:rsidR="009D2A34" w:rsidP="009D2A34">
      <w:pPr>
        <w:bidi w:val="0"/>
        <w:jc w:val="both"/>
        <w:rPr>
          <w:rFonts w:ascii="Times New Roman" w:hAnsi="Times New Roman"/>
          <w:b/>
        </w:rPr>
      </w:pPr>
    </w:p>
    <w:tbl>
      <w:tblPr>
        <w:tblStyle w:val="TableNormal"/>
        <w:tblW w:w="5000" w:type="pct"/>
        <w:tblCellMar>
          <w:left w:w="70" w:type="dxa"/>
          <w:right w:w="70" w:type="dxa"/>
        </w:tblCellMar>
        <w:tblLook w:val="04A0"/>
      </w:tblPr>
      <w:tblGrid>
        <w:gridCol w:w="2512"/>
        <w:gridCol w:w="957"/>
        <w:gridCol w:w="957"/>
        <w:gridCol w:w="958"/>
        <w:gridCol w:w="958"/>
        <w:gridCol w:w="958"/>
        <w:gridCol w:w="958"/>
        <w:gridCol w:w="954"/>
      </w:tblGrid>
      <w:tr>
        <w:tblPrEx>
          <w:tblW w:w="5000" w:type="pct"/>
          <w:tblCellMar>
            <w:left w:w="70" w:type="dxa"/>
            <w:right w:w="70" w:type="dxa"/>
          </w:tblCellMar>
          <w:tblLook w:val="04A0"/>
        </w:tblPrEx>
        <w:trPr>
          <w:trHeight w:val="259"/>
        </w:trPr>
        <w:tc>
          <w:tcPr>
            <w:tcW w:w="1363" w:type="pct"/>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6D3C67" w:rsidP="006338E5">
            <w:pPr>
              <w:bidi w:val="0"/>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v eurách</w:t>
            </w:r>
          </w:p>
        </w:tc>
        <w:tc>
          <w:tcPr>
            <w:tcW w:w="519"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6D3C67" w:rsidP="006338E5">
            <w:pPr>
              <w:bidi w:val="0"/>
              <w:jc w:val="center"/>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2010 S</w:t>
            </w:r>
          </w:p>
        </w:tc>
        <w:tc>
          <w:tcPr>
            <w:tcW w:w="519"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6D3C67" w:rsidP="006338E5">
            <w:pPr>
              <w:bidi w:val="0"/>
              <w:jc w:val="center"/>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2011 S</w:t>
            </w:r>
          </w:p>
        </w:tc>
        <w:tc>
          <w:tcPr>
            <w:tcW w:w="520"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6D3C67" w:rsidP="006338E5">
            <w:pPr>
              <w:bidi w:val="0"/>
              <w:jc w:val="center"/>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2012 R</w:t>
            </w:r>
          </w:p>
        </w:tc>
        <w:tc>
          <w:tcPr>
            <w:tcW w:w="520"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6D3C67" w:rsidP="006338E5">
            <w:pPr>
              <w:bidi w:val="0"/>
              <w:jc w:val="center"/>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2012 OS</w:t>
            </w:r>
          </w:p>
        </w:tc>
        <w:tc>
          <w:tcPr>
            <w:tcW w:w="520"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6D3C67" w:rsidP="006338E5">
            <w:pPr>
              <w:bidi w:val="0"/>
              <w:jc w:val="center"/>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2013 N</w:t>
            </w:r>
          </w:p>
        </w:tc>
        <w:tc>
          <w:tcPr>
            <w:tcW w:w="520"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6D3C67" w:rsidP="006338E5">
            <w:pPr>
              <w:bidi w:val="0"/>
              <w:jc w:val="center"/>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2014 N</w:t>
            </w:r>
          </w:p>
        </w:tc>
        <w:tc>
          <w:tcPr>
            <w:tcW w:w="518" w:type="pct"/>
            <w:tcBorders>
              <w:top w:val="single" w:sz="4" w:space="0" w:color="auto"/>
              <w:left w:val="nil"/>
              <w:bottom w:val="single" w:sz="4" w:space="0" w:color="auto"/>
              <w:right w:val="single" w:sz="4" w:space="0" w:color="auto"/>
            </w:tcBorders>
            <w:shd w:val="clear" w:color="000000" w:fill="A5A5A5"/>
            <w:noWrap/>
            <w:textDirection w:val="lrTb"/>
            <w:vAlign w:val="center"/>
            <w:hideMark/>
          </w:tcPr>
          <w:p w:rsidR="009D2A34" w:rsidRPr="006D3C67" w:rsidP="006338E5">
            <w:pPr>
              <w:bidi w:val="0"/>
              <w:jc w:val="center"/>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2015 N</w:t>
            </w:r>
          </w:p>
        </w:tc>
      </w:tr>
      <w:tr>
        <w:tblPrEx>
          <w:tblW w:w="5000" w:type="pct"/>
          <w:tblCellMar>
            <w:left w:w="70" w:type="dxa"/>
            <w:right w:w="70" w:type="dxa"/>
          </w:tblCellMar>
          <w:tblLook w:val="04A0"/>
        </w:tblPrEx>
        <w:trPr>
          <w:trHeight w:val="259"/>
        </w:trPr>
        <w:tc>
          <w:tcPr>
            <w:tcW w:w="1363"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6D3C67" w:rsidP="006338E5">
            <w:pPr>
              <w:bidi w:val="0"/>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Zdroje príslušnej kapitoly</w:t>
            </w:r>
          </w:p>
        </w:tc>
        <w:tc>
          <w:tcPr>
            <w:tcW w:w="519" w:type="pct"/>
            <w:tcBorders>
              <w:top w:val="nil"/>
              <w:left w:val="nil"/>
              <w:bottom w:val="single" w:sz="4" w:space="0" w:color="auto"/>
              <w:right w:val="single" w:sz="4" w:space="0" w:color="auto"/>
            </w:tcBorders>
            <w:shd w:val="clear" w:color="000000" w:fill="C0C0C0"/>
            <w:textDirection w:val="lrTb"/>
            <w:vAlign w:val="center"/>
            <w:hideMark/>
          </w:tcPr>
          <w:p w:rsidR="009D2A34" w:rsidRPr="006D3C67" w:rsidP="006338E5">
            <w:pPr>
              <w:bidi w:val="0"/>
              <w:jc w:val="right"/>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64 462 231</w:t>
            </w:r>
          </w:p>
        </w:tc>
        <w:tc>
          <w:tcPr>
            <w:tcW w:w="519" w:type="pct"/>
            <w:tcBorders>
              <w:top w:val="nil"/>
              <w:left w:val="nil"/>
              <w:bottom w:val="single" w:sz="4" w:space="0" w:color="auto"/>
              <w:right w:val="single" w:sz="4" w:space="0" w:color="auto"/>
            </w:tcBorders>
            <w:shd w:val="clear" w:color="000000" w:fill="C0C0C0"/>
            <w:textDirection w:val="lrTb"/>
            <w:vAlign w:val="center"/>
            <w:hideMark/>
          </w:tcPr>
          <w:p w:rsidR="009D2A34" w:rsidRPr="006D3C67" w:rsidP="006338E5">
            <w:pPr>
              <w:bidi w:val="0"/>
              <w:jc w:val="right"/>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63 041 444</w:t>
            </w:r>
          </w:p>
        </w:tc>
        <w:tc>
          <w:tcPr>
            <w:tcW w:w="520" w:type="pct"/>
            <w:tcBorders>
              <w:top w:val="nil"/>
              <w:left w:val="nil"/>
              <w:bottom w:val="single" w:sz="4" w:space="0" w:color="auto"/>
              <w:right w:val="single" w:sz="4" w:space="0" w:color="auto"/>
            </w:tcBorders>
            <w:shd w:val="clear" w:color="000000" w:fill="C0C0C0"/>
            <w:textDirection w:val="lrTb"/>
            <w:vAlign w:val="center"/>
            <w:hideMark/>
          </w:tcPr>
          <w:p w:rsidR="009D2A34" w:rsidRPr="006D3C67" w:rsidP="006338E5">
            <w:pPr>
              <w:bidi w:val="0"/>
              <w:jc w:val="right"/>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43 169 655</w:t>
            </w:r>
          </w:p>
        </w:tc>
        <w:tc>
          <w:tcPr>
            <w:tcW w:w="520" w:type="pct"/>
            <w:tcBorders>
              <w:top w:val="nil"/>
              <w:left w:val="nil"/>
              <w:bottom w:val="single" w:sz="4" w:space="0" w:color="auto"/>
              <w:right w:val="single" w:sz="4" w:space="0" w:color="auto"/>
            </w:tcBorders>
            <w:shd w:val="clear" w:color="000000" w:fill="C0C0C0"/>
            <w:textDirection w:val="lrTb"/>
            <w:vAlign w:val="center"/>
            <w:hideMark/>
          </w:tcPr>
          <w:p w:rsidR="009D2A34" w:rsidRPr="006D3C67" w:rsidP="006338E5">
            <w:pPr>
              <w:bidi w:val="0"/>
              <w:jc w:val="right"/>
              <w:rPr>
                <w:rFonts w:ascii="Times New Roman" w:hAnsi="Times New Roman"/>
                <w:b/>
                <w:bCs/>
                <w:color w:val="000000"/>
                <w:sz w:val="14"/>
                <w:szCs w:val="14"/>
                <w:lang w:eastAsia="sk-SK"/>
              </w:rPr>
            </w:pPr>
            <w:r w:rsidRPr="006D3C67">
              <w:rPr>
                <w:rFonts w:ascii="Times New Roman" w:hAnsi="Times New Roman"/>
                <w:b/>
                <w:bCs/>
                <w:color w:val="000000"/>
                <w:sz w:val="14"/>
                <w:szCs w:val="14"/>
                <w:lang w:eastAsia="sk-SK"/>
              </w:rPr>
              <w:t>47 185 463</w:t>
            </w:r>
          </w:p>
        </w:tc>
        <w:tc>
          <w:tcPr>
            <w:tcW w:w="520" w:type="pct"/>
            <w:tcBorders>
              <w:top w:val="nil"/>
              <w:left w:val="nil"/>
              <w:bottom w:val="single" w:sz="4" w:space="0" w:color="auto"/>
              <w:right w:val="single" w:sz="4" w:space="0" w:color="auto"/>
            </w:tcBorders>
            <w:shd w:val="clear" w:color="000000" w:fill="C0C0C0"/>
            <w:textDirection w:val="lrTb"/>
            <w:vAlign w:val="center"/>
            <w:hideMark/>
          </w:tcPr>
          <w:p w:rsidR="009D2A34" w:rsidRPr="006D3C67" w:rsidP="006338E5">
            <w:pPr>
              <w:bidi w:val="0"/>
              <w:jc w:val="right"/>
              <w:rPr>
                <w:rFonts w:ascii="Times New Roman" w:hAnsi="Times New Roman"/>
                <w:b/>
                <w:bCs/>
                <w:color w:val="000000"/>
                <w:sz w:val="14"/>
                <w:szCs w:val="14"/>
                <w:lang w:eastAsia="sk-SK"/>
              </w:rPr>
            </w:pPr>
            <w:r>
              <w:rPr>
                <w:rFonts w:ascii="Times New Roman" w:hAnsi="Times New Roman"/>
                <w:b/>
                <w:bCs/>
                <w:color w:val="000000"/>
                <w:sz w:val="14"/>
                <w:szCs w:val="14"/>
                <w:lang w:eastAsia="sk-SK"/>
              </w:rPr>
              <w:t>41 982 261</w:t>
            </w:r>
          </w:p>
        </w:tc>
        <w:tc>
          <w:tcPr>
            <w:tcW w:w="520" w:type="pct"/>
            <w:tcBorders>
              <w:top w:val="nil"/>
              <w:left w:val="nil"/>
              <w:bottom w:val="single" w:sz="4" w:space="0" w:color="auto"/>
              <w:right w:val="single" w:sz="4" w:space="0" w:color="auto"/>
            </w:tcBorders>
            <w:shd w:val="clear" w:color="000000" w:fill="C0C0C0"/>
            <w:textDirection w:val="lrTb"/>
            <w:vAlign w:val="center"/>
            <w:hideMark/>
          </w:tcPr>
          <w:p w:rsidR="009D2A34" w:rsidRPr="006D3C67" w:rsidP="006338E5">
            <w:pPr>
              <w:bidi w:val="0"/>
              <w:jc w:val="right"/>
              <w:rPr>
                <w:rFonts w:ascii="Times New Roman" w:hAnsi="Times New Roman"/>
                <w:b/>
                <w:bCs/>
                <w:color w:val="000000"/>
                <w:sz w:val="14"/>
                <w:szCs w:val="14"/>
                <w:lang w:eastAsia="sk-SK"/>
              </w:rPr>
            </w:pPr>
            <w:r>
              <w:rPr>
                <w:rFonts w:ascii="Times New Roman" w:hAnsi="Times New Roman"/>
                <w:b/>
                <w:bCs/>
                <w:color w:val="000000"/>
                <w:sz w:val="14"/>
                <w:szCs w:val="14"/>
                <w:lang w:eastAsia="sk-SK"/>
              </w:rPr>
              <w:t>41 983 411</w:t>
            </w:r>
          </w:p>
        </w:tc>
        <w:tc>
          <w:tcPr>
            <w:tcW w:w="518" w:type="pct"/>
            <w:tcBorders>
              <w:top w:val="nil"/>
              <w:left w:val="nil"/>
              <w:bottom w:val="single" w:sz="4" w:space="0" w:color="auto"/>
              <w:right w:val="single" w:sz="4" w:space="0" w:color="auto"/>
            </w:tcBorders>
            <w:shd w:val="clear" w:color="000000" w:fill="C0C0C0"/>
            <w:textDirection w:val="lrTb"/>
            <w:vAlign w:val="center"/>
            <w:hideMark/>
          </w:tcPr>
          <w:p w:rsidR="009D2A34" w:rsidRPr="006D3C67" w:rsidP="006338E5">
            <w:pPr>
              <w:bidi w:val="0"/>
              <w:jc w:val="right"/>
              <w:rPr>
                <w:rFonts w:ascii="Times New Roman" w:hAnsi="Times New Roman"/>
                <w:b/>
                <w:bCs/>
                <w:color w:val="000000"/>
                <w:sz w:val="14"/>
                <w:szCs w:val="14"/>
                <w:lang w:eastAsia="sk-SK"/>
              </w:rPr>
            </w:pPr>
            <w:r>
              <w:rPr>
                <w:rFonts w:ascii="Times New Roman" w:hAnsi="Times New Roman"/>
                <w:b/>
                <w:bCs/>
                <w:color w:val="000000"/>
                <w:sz w:val="14"/>
                <w:szCs w:val="14"/>
                <w:lang w:eastAsia="sk-SK"/>
              </w:rPr>
              <w:t>41 986 925</w:t>
            </w:r>
          </w:p>
        </w:tc>
      </w:tr>
      <w:tr>
        <w:tblPrEx>
          <w:tblW w:w="5000" w:type="pct"/>
          <w:tblCellMar>
            <w:left w:w="70" w:type="dxa"/>
            <w:right w:w="70" w:type="dxa"/>
          </w:tblCellMar>
          <w:tblLook w:val="04A0"/>
        </w:tblPrEx>
        <w:trPr>
          <w:trHeight w:val="259"/>
        </w:trPr>
        <w:tc>
          <w:tcPr>
            <w:tcW w:w="1363" w:type="pct"/>
            <w:tcBorders>
              <w:top w:val="nil"/>
              <w:left w:val="single" w:sz="4" w:space="0" w:color="auto"/>
              <w:bottom w:val="single" w:sz="4" w:space="0" w:color="auto"/>
              <w:right w:val="single" w:sz="4" w:space="0" w:color="auto"/>
            </w:tcBorders>
            <w:noWrap/>
            <w:textDirection w:val="lrTb"/>
            <w:vAlign w:val="center"/>
            <w:hideMark/>
          </w:tcPr>
          <w:p w:rsidR="009D2A34" w:rsidRPr="00434645" w:rsidP="006338E5">
            <w:pPr>
              <w:bidi w:val="0"/>
              <w:rPr>
                <w:rFonts w:ascii="Times New Roman" w:hAnsi="Times New Roman"/>
                <w:b/>
                <w:color w:val="000000"/>
                <w:sz w:val="14"/>
                <w:szCs w:val="14"/>
                <w:lang w:eastAsia="sk-SK"/>
              </w:rPr>
            </w:pPr>
            <w:r w:rsidRPr="00434645">
              <w:rPr>
                <w:rFonts w:ascii="Times New Roman" w:hAnsi="Times New Roman"/>
                <w:b/>
                <w:color w:val="000000"/>
                <w:sz w:val="14"/>
                <w:szCs w:val="14"/>
                <w:lang w:eastAsia="sk-SK"/>
              </w:rPr>
              <w:t xml:space="preserve">rozpočtové zdroje kapitoly </w:t>
            </w:r>
          </w:p>
        </w:tc>
        <w:tc>
          <w:tcPr>
            <w:tcW w:w="519"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52 904 464</w:t>
            </w:r>
          </w:p>
        </w:tc>
        <w:tc>
          <w:tcPr>
            <w:tcW w:w="519"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46 899 442</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43 169 655</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43 169 655</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Pr>
                <w:rFonts w:ascii="Times New Roman" w:hAnsi="Times New Roman"/>
                <w:b/>
                <w:sz w:val="14"/>
                <w:szCs w:val="14"/>
                <w:lang w:eastAsia="sk-SK"/>
              </w:rPr>
              <w:t>41 982 261</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Pr>
                <w:rFonts w:ascii="Times New Roman" w:hAnsi="Times New Roman"/>
                <w:b/>
                <w:sz w:val="14"/>
                <w:szCs w:val="14"/>
                <w:lang w:eastAsia="sk-SK"/>
              </w:rPr>
              <w:t>41 983 411</w:t>
            </w:r>
          </w:p>
        </w:tc>
        <w:tc>
          <w:tcPr>
            <w:tcW w:w="518"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Pr>
                <w:rFonts w:ascii="Times New Roman" w:hAnsi="Times New Roman"/>
                <w:b/>
                <w:sz w:val="14"/>
                <w:szCs w:val="14"/>
                <w:lang w:eastAsia="sk-SK"/>
              </w:rPr>
              <w:t>41 986 925</w:t>
            </w:r>
          </w:p>
        </w:tc>
      </w:tr>
      <w:tr>
        <w:tblPrEx>
          <w:tblW w:w="5000" w:type="pct"/>
          <w:tblCellMar>
            <w:left w:w="70" w:type="dxa"/>
            <w:right w:w="70" w:type="dxa"/>
          </w:tblCellMar>
          <w:tblLook w:val="04A0"/>
        </w:tblPrEx>
        <w:trPr>
          <w:trHeight w:val="259"/>
        </w:trPr>
        <w:tc>
          <w:tcPr>
            <w:tcW w:w="1363" w:type="pct"/>
            <w:tcBorders>
              <w:top w:val="nil"/>
              <w:left w:val="single" w:sz="4" w:space="0" w:color="auto"/>
              <w:bottom w:val="single" w:sz="4" w:space="0" w:color="auto"/>
              <w:right w:val="single" w:sz="4" w:space="0" w:color="auto"/>
            </w:tcBorders>
            <w:noWrap/>
            <w:textDirection w:val="lrTb"/>
            <w:vAlign w:val="center"/>
            <w:hideMark/>
          </w:tcPr>
          <w:p w:rsidR="009D2A34" w:rsidRPr="006D3C67" w:rsidP="006338E5">
            <w:pPr>
              <w:bidi w:val="0"/>
              <w:rPr>
                <w:rFonts w:ascii="Times New Roman" w:hAnsi="Times New Roman"/>
                <w:color w:val="000000"/>
                <w:sz w:val="14"/>
                <w:szCs w:val="14"/>
                <w:lang w:eastAsia="sk-SK"/>
              </w:rPr>
            </w:pPr>
            <w:r w:rsidRPr="006D3C67">
              <w:rPr>
                <w:rFonts w:ascii="Times New Roman" w:hAnsi="Times New Roman"/>
                <w:color w:val="000000"/>
                <w:sz w:val="14"/>
                <w:szCs w:val="14"/>
                <w:lang w:eastAsia="sk-SK"/>
              </w:rPr>
              <w:t xml:space="preserve">    v tom: bežné výdavky  600</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51 700 959</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45 947 370</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41 487 583</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41 487 583</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Pr>
                <w:rFonts w:ascii="Times New Roman" w:hAnsi="Times New Roman"/>
                <w:sz w:val="14"/>
                <w:szCs w:val="14"/>
                <w:lang w:eastAsia="sk-SK"/>
              </w:rPr>
              <w:t>41 382 261</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Pr>
                <w:rFonts w:ascii="Times New Roman" w:hAnsi="Times New Roman"/>
                <w:sz w:val="14"/>
                <w:szCs w:val="14"/>
                <w:lang w:eastAsia="sk-SK"/>
              </w:rPr>
              <w:t>41 383 411</w:t>
            </w:r>
          </w:p>
        </w:tc>
        <w:tc>
          <w:tcPr>
            <w:tcW w:w="518"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Pr>
                <w:rFonts w:ascii="Times New Roman" w:hAnsi="Times New Roman"/>
                <w:sz w:val="14"/>
                <w:szCs w:val="14"/>
                <w:lang w:eastAsia="sk-SK"/>
              </w:rPr>
              <w:t>41 386 925</w:t>
            </w:r>
          </w:p>
        </w:tc>
      </w:tr>
      <w:tr>
        <w:tblPrEx>
          <w:tblW w:w="5000" w:type="pct"/>
          <w:tblCellMar>
            <w:left w:w="70" w:type="dxa"/>
            <w:right w:w="70" w:type="dxa"/>
          </w:tblCellMar>
          <w:tblLook w:val="04A0"/>
        </w:tblPrEx>
        <w:trPr>
          <w:trHeight w:val="259"/>
        </w:trPr>
        <w:tc>
          <w:tcPr>
            <w:tcW w:w="1363" w:type="pct"/>
            <w:tcBorders>
              <w:top w:val="nil"/>
              <w:left w:val="single" w:sz="4" w:space="0" w:color="auto"/>
              <w:bottom w:val="single" w:sz="4" w:space="0" w:color="auto"/>
              <w:right w:val="single" w:sz="4" w:space="0" w:color="auto"/>
            </w:tcBorders>
            <w:noWrap/>
            <w:textDirection w:val="lrTb"/>
            <w:vAlign w:val="center"/>
            <w:hideMark/>
          </w:tcPr>
          <w:p w:rsidR="009D2A34" w:rsidRPr="006D3C67" w:rsidP="006338E5">
            <w:pPr>
              <w:bidi w:val="0"/>
              <w:rPr>
                <w:rFonts w:ascii="Times New Roman" w:hAnsi="Times New Roman"/>
                <w:color w:val="000000"/>
                <w:sz w:val="14"/>
                <w:szCs w:val="14"/>
                <w:lang w:eastAsia="sk-SK"/>
              </w:rPr>
            </w:pPr>
            <w:r w:rsidRPr="006D3C67">
              <w:rPr>
                <w:rFonts w:ascii="Times New Roman" w:hAnsi="Times New Roman"/>
                <w:color w:val="000000"/>
                <w:sz w:val="14"/>
                <w:szCs w:val="14"/>
                <w:lang w:eastAsia="sk-SK"/>
              </w:rPr>
              <w:t xml:space="preserve">                                   610 mzdy</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21 021 828</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19 109 115</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19 111 982</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19 111 982</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18 162 716</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18 163 568</w:t>
            </w:r>
          </w:p>
        </w:tc>
        <w:tc>
          <w:tcPr>
            <w:tcW w:w="518"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18 166 172</w:t>
            </w:r>
          </w:p>
        </w:tc>
      </w:tr>
      <w:tr>
        <w:tblPrEx>
          <w:tblW w:w="5000" w:type="pct"/>
          <w:tblCellMar>
            <w:left w:w="70" w:type="dxa"/>
            <w:right w:w="70" w:type="dxa"/>
          </w:tblCellMar>
          <w:tblLook w:val="04A0"/>
        </w:tblPrEx>
        <w:trPr>
          <w:trHeight w:val="259"/>
        </w:trPr>
        <w:tc>
          <w:tcPr>
            <w:tcW w:w="1363" w:type="pct"/>
            <w:tcBorders>
              <w:top w:val="nil"/>
              <w:left w:val="single" w:sz="4" w:space="0" w:color="auto"/>
              <w:bottom w:val="single" w:sz="4" w:space="0" w:color="auto"/>
              <w:right w:val="single" w:sz="4" w:space="0" w:color="auto"/>
            </w:tcBorders>
            <w:noWrap/>
            <w:textDirection w:val="lrTb"/>
            <w:vAlign w:val="center"/>
            <w:hideMark/>
          </w:tcPr>
          <w:p w:rsidR="009D2A34" w:rsidRPr="006D3C67" w:rsidP="006338E5">
            <w:pPr>
              <w:bidi w:val="0"/>
              <w:rPr>
                <w:rFonts w:ascii="Times New Roman" w:hAnsi="Times New Roman"/>
                <w:color w:val="000000"/>
                <w:sz w:val="14"/>
                <w:szCs w:val="14"/>
                <w:lang w:eastAsia="sk-SK"/>
              </w:rPr>
            </w:pPr>
            <w:r w:rsidRPr="006D3C67">
              <w:rPr>
                <w:rFonts w:ascii="Times New Roman" w:hAnsi="Times New Roman"/>
                <w:color w:val="000000"/>
                <w:sz w:val="14"/>
                <w:szCs w:val="14"/>
                <w:lang w:eastAsia="sk-SK"/>
              </w:rPr>
              <w:t xml:space="preserve">                                   620 odvody</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7 241 439</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6 721 220</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6 679 121</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6 684 616</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6 356 869</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6 357 167</w:t>
            </w:r>
          </w:p>
        </w:tc>
        <w:tc>
          <w:tcPr>
            <w:tcW w:w="518"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6 358 077</w:t>
            </w:r>
          </w:p>
        </w:tc>
      </w:tr>
      <w:tr>
        <w:tblPrEx>
          <w:tblW w:w="5000" w:type="pct"/>
          <w:tblCellMar>
            <w:left w:w="70" w:type="dxa"/>
            <w:right w:w="70" w:type="dxa"/>
          </w:tblCellMar>
          <w:tblLook w:val="04A0"/>
        </w:tblPrEx>
        <w:trPr>
          <w:trHeight w:val="259"/>
        </w:trPr>
        <w:tc>
          <w:tcPr>
            <w:tcW w:w="1363" w:type="pct"/>
            <w:tcBorders>
              <w:top w:val="nil"/>
              <w:left w:val="single" w:sz="4" w:space="0" w:color="auto"/>
              <w:bottom w:val="single" w:sz="4" w:space="0" w:color="auto"/>
              <w:right w:val="single" w:sz="4" w:space="0" w:color="auto"/>
            </w:tcBorders>
            <w:noWrap/>
            <w:textDirection w:val="lrTb"/>
            <w:vAlign w:val="center"/>
            <w:hideMark/>
          </w:tcPr>
          <w:p w:rsidR="009D2A34" w:rsidRPr="006D3C67" w:rsidP="006338E5">
            <w:pPr>
              <w:bidi w:val="0"/>
              <w:rPr>
                <w:rFonts w:ascii="Times New Roman" w:hAnsi="Times New Roman"/>
                <w:color w:val="000000"/>
                <w:sz w:val="14"/>
                <w:szCs w:val="14"/>
                <w:lang w:eastAsia="sk-SK"/>
              </w:rPr>
            </w:pPr>
            <w:r w:rsidRPr="006D3C67">
              <w:rPr>
                <w:rFonts w:ascii="Times New Roman" w:hAnsi="Times New Roman"/>
                <w:color w:val="000000"/>
                <w:sz w:val="14"/>
                <w:szCs w:val="14"/>
                <w:lang w:eastAsia="sk-SK"/>
              </w:rPr>
              <w:t xml:space="preserve">                                   630 tovary a služby</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22 482 682</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19 108 407</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15 061 480</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15 047 908</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Pr>
                <w:rFonts w:ascii="Times New Roman" w:hAnsi="Times New Roman"/>
                <w:sz w:val="14"/>
                <w:szCs w:val="14"/>
                <w:lang w:eastAsia="sk-SK"/>
              </w:rPr>
              <w:t>16 302 676</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Pr>
                <w:rFonts w:ascii="Times New Roman" w:hAnsi="Times New Roman"/>
                <w:sz w:val="14"/>
                <w:szCs w:val="14"/>
                <w:lang w:eastAsia="sk-SK"/>
              </w:rPr>
              <w:t>16 302 676</w:t>
            </w:r>
          </w:p>
        </w:tc>
        <w:tc>
          <w:tcPr>
            <w:tcW w:w="518"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Pr>
                <w:rFonts w:ascii="Times New Roman" w:hAnsi="Times New Roman"/>
                <w:sz w:val="14"/>
                <w:szCs w:val="14"/>
                <w:lang w:eastAsia="sk-SK"/>
              </w:rPr>
              <w:t>16 302 676</w:t>
            </w:r>
          </w:p>
        </w:tc>
      </w:tr>
      <w:tr>
        <w:tblPrEx>
          <w:tblW w:w="5000" w:type="pct"/>
          <w:tblCellMar>
            <w:left w:w="70" w:type="dxa"/>
            <w:right w:w="70" w:type="dxa"/>
          </w:tblCellMar>
          <w:tblLook w:val="04A0"/>
        </w:tblPrEx>
        <w:trPr>
          <w:trHeight w:val="259"/>
        </w:trPr>
        <w:tc>
          <w:tcPr>
            <w:tcW w:w="1363" w:type="pct"/>
            <w:tcBorders>
              <w:top w:val="nil"/>
              <w:left w:val="single" w:sz="4" w:space="0" w:color="auto"/>
              <w:bottom w:val="single" w:sz="4" w:space="0" w:color="auto"/>
              <w:right w:val="single" w:sz="4" w:space="0" w:color="auto"/>
            </w:tcBorders>
            <w:noWrap/>
            <w:textDirection w:val="lrTb"/>
            <w:vAlign w:val="center"/>
            <w:hideMark/>
          </w:tcPr>
          <w:p w:rsidR="009D2A34" w:rsidRPr="006D3C67" w:rsidP="006338E5">
            <w:pPr>
              <w:bidi w:val="0"/>
              <w:rPr>
                <w:rFonts w:ascii="Times New Roman" w:hAnsi="Times New Roman"/>
                <w:color w:val="000000"/>
                <w:sz w:val="14"/>
                <w:szCs w:val="14"/>
                <w:lang w:eastAsia="sk-SK"/>
              </w:rPr>
            </w:pPr>
            <w:r w:rsidRPr="006D3C67">
              <w:rPr>
                <w:rFonts w:ascii="Times New Roman" w:hAnsi="Times New Roman"/>
                <w:color w:val="000000"/>
                <w:sz w:val="14"/>
                <w:szCs w:val="14"/>
                <w:lang w:eastAsia="sk-SK"/>
              </w:rPr>
              <w:t xml:space="preserve">                                   640 bežné transfery</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955 010</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1 008 628</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635 000</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643 077</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560 000</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560 000</w:t>
            </w:r>
          </w:p>
        </w:tc>
        <w:tc>
          <w:tcPr>
            <w:tcW w:w="518"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560 000</w:t>
            </w:r>
          </w:p>
        </w:tc>
      </w:tr>
      <w:tr>
        <w:tblPrEx>
          <w:tblW w:w="5000" w:type="pct"/>
          <w:tblCellMar>
            <w:left w:w="70" w:type="dxa"/>
            <w:right w:w="70" w:type="dxa"/>
          </w:tblCellMar>
          <w:tblLook w:val="04A0"/>
        </w:tblPrEx>
        <w:trPr>
          <w:trHeight w:val="259"/>
        </w:trPr>
        <w:tc>
          <w:tcPr>
            <w:tcW w:w="1363" w:type="pct"/>
            <w:tcBorders>
              <w:top w:val="nil"/>
              <w:left w:val="single" w:sz="4" w:space="0" w:color="auto"/>
              <w:bottom w:val="single" w:sz="4" w:space="0" w:color="auto"/>
              <w:right w:val="single" w:sz="4" w:space="0" w:color="auto"/>
            </w:tcBorders>
            <w:noWrap/>
            <w:textDirection w:val="lrTb"/>
            <w:vAlign w:val="center"/>
            <w:hideMark/>
          </w:tcPr>
          <w:p w:rsidR="009D2A34" w:rsidRPr="006D3C67" w:rsidP="006338E5">
            <w:pPr>
              <w:bidi w:val="0"/>
              <w:rPr>
                <w:rFonts w:ascii="Times New Roman" w:hAnsi="Times New Roman"/>
                <w:color w:val="000000"/>
                <w:sz w:val="14"/>
                <w:szCs w:val="14"/>
                <w:lang w:eastAsia="sk-SK"/>
              </w:rPr>
            </w:pPr>
            <w:r w:rsidRPr="006D3C67">
              <w:rPr>
                <w:rFonts w:ascii="Times New Roman" w:hAnsi="Times New Roman"/>
                <w:color w:val="000000"/>
                <w:sz w:val="14"/>
                <w:szCs w:val="14"/>
                <w:lang w:eastAsia="sk-SK"/>
              </w:rPr>
              <w:t xml:space="preserve">               kapitálové výdavky 700</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1 203 505</w:t>
            </w:r>
          </w:p>
        </w:tc>
        <w:tc>
          <w:tcPr>
            <w:tcW w:w="519"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952 072</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1 682 072</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1 682 072</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600 000</w:t>
            </w:r>
          </w:p>
        </w:tc>
        <w:tc>
          <w:tcPr>
            <w:tcW w:w="520"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600 000</w:t>
            </w:r>
          </w:p>
        </w:tc>
        <w:tc>
          <w:tcPr>
            <w:tcW w:w="518" w:type="pct"/>
            <w:tcBorders>
              <w:top w:val="nil"/>
              <w:left w:val="nil"/>
              <w:bottom w:val="single" w:sz="4" w:space="0" w:color="auto"/>
              <w:right w:val="single" w:sz="4" w:space="0" w:color="auto"/>
            </w:tcBorders>
            <w:noWrap/>
            <w:textDirection w:val="lrTb"/>
            <w:vAlign w:val="center"/>
            <w:hideMark/>
          </w:tcPr>
          <w:p w:rsidR="009D2A34" w:rsidRPr="006D3C67" w:rsidP="006338E5">
            <w:pPr>
              <w:bidi w:val="0"/>
              <w:jc w:val="right"/>
              <w:rPr>
                <w:rFonts w:ascii="Times New Roman" w:hAnsi="Times New Roman"/>
                <w:sz w:val="14"/>
                <w:szCs w:val="14"/>
                <w:lang w:eastAsia="sk-SK"/>
              </w:rPr>
            </w:pPr>
            <w:r w:rsidRPr="006D3C67">
              <w:rPr>
                <w:rFonts w:ascii="Times New Roman" w:hAnsi="Times New Roman"/>
                <w:sz w:val="14"/>
                <w:szCs w:val="14"/>
                <w:lang w:eastAsia="sk-SK"/>
              </w:rPr>
              <w:t>600 000</w:t>
            </w:r>
          </w:p>
        </w:tc>
      </w:tr>
      <w:tr>
        <w:tblPrEx>
          <w:tblW w:w="5000" w:type="pct"/>
          <w:tblCellMar>
            <w:left w:w="70" w:type="dxa"/>
            <w:right w:w="70" w:type="dxa"/>
          </w:tblCellMar>
          <w:tblLook w:val="04A0"/>
        </w:tblPrEx>
        <w:trPr>
          <w:trHeight w:val="259"/>
        </w:trPr>
        <w:tc>
          <w:tcPr>
            <w:tcW w:w="1363" w:type="pct"/>
            <w:tcBorders>
              <w:top w:val="nil"/>
              <w:left w:val="single" w:sz="4" w:space="0" w:color="auto"/>
              <w:bottom w:val="single" w:sz="4" w:space="0" w:color="auto"/>
              <w:right w:val="single" w:sz="4" w:space="0" w:color="auto"/>
            </w:tcBorders>
            <w:noWrap/>
            <w:textDirection w:val="lrTb"/>
            <w:vAlign w:val="center"/>
            <w:hideMark/>
          </w:tcPr>
          <w:p w:rsidR="009D2A34" w:rsidRPr="00434645" w:rsidP="006338E5">
            <w:pPr>
              <w:bidi w:val="0"/>
              <w:rPr>
                <w:rFonts w:ascii="Times New Roman" w:hAnsi="Times New Roman"/>
                <w:b/>
                <w:color w:val="000000"/>
                <w:sz w:val="14"/>
                <w:szCs w:val="14"/>
                <w:lang w:eastAsia="sk-SK"/>
              </w:rPr>
            </w:pPr>
            <w:r w:rsidRPr="00434645">
              <w:rPr>
                <w:rFonts w:ascii="Times New Roman" w:hAnsi="Times New Roman"/>
                <w:b/>
                <w:color w:val="000000"/>
                <w:sz w:val="14"/>
                <w:szCs w:val="14"/>
                <w:lang w:eastAsia="sk-SK"/>
              </w:rPr>
              <w:t>zdroje EÚ vrátane spolufinancovania</w:t>
            </w:r>
          </w:p>
        </w:tc>
        <w:tc>
          <w:tcPr>
            <w:tcW w:w="519"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0</w:t>
            </w:r>
          </w:p>
        </w:tc>
        <w:tc>
          <w:tcPr>
            <w:tcW w:w="519"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15 955 691</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0</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3 839 799</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0</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0</w:t>
            </w:r>
          </w:p>
        </w:tc>
        <w:tc>
          <w:tcPr>
            <w:tcW w:w="518"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0</w:t>
            </w:r>
          </w:p>
        </w:tc>
      </w:tr>
      <w:tr>
        <w:tblPrEx>
          <w:tblW w:w="5000" w:type="pct"/>
          <w:tblCellMar>
            <w:left w:w="70" w:type="dxa"/>
            <w:right w:w="70" w:type="dxa"/>
          </w:tblCellMar>
          <w:tblLook w:val="04A0"/>
        </w:tblPrEx>
        <w:trPr>
          <w:trHeight w:val="259"/>
        </w:trPr>
        <w:tc>
          <w:tcPr>
            <w:tcW w:w="1363" w:type="pct"/>
            <w:tcBorders>
              <w:top w:val="nil"/>
              <w:left w:val="single" w:sz="4" w:space="0" w:color="auto"/>
              <w:bottom w:val="single" w:sz="4" w:space="0" w:color="auto"/>
              <w:right w:val="single" w:sz="4" w:space="0" w:color="auto"/>
            </w:tcBorders>
            <w:noWrap/>
            <w:textDirection w:val="lrTb"/>
            <w:vAlign w:val="center"/>
            <w:hideMark/>
          </w:tcPr>
          <w:p w:rsidR="009D2A34" w:rsidRPr="00434645" w:rsidP="006338E5">
            <w:pPr>
              <w:bidi w:val="0"/>
              <w:rPr>
                <w:rFonts w:ascii="Times New Roman" w:hAnsi="Times New Roman"/>
                <w:b/>
                <w:color w:val="000000"/>
                <w:sz w:val="14"/>
                <w:szCs w:val="14"/>
                <w:lang w:eastAsia="sk-SK"/>
              </w:rPr>
            </w:pPr>
            <w:r w:rsidRPr="00434645">
              <w:rPr>
                <w:rFonts w:ascii="Times New Roman" w:hAnsi="Times New Roman"/>
                <w:b/>
                <w:color w:val="000000"/>
                <w:sz w:val="14"/>
                <w:szCs w:val="14"/>
                <w:lang w:eastAsia="sk-SK"/>
              </w:rPr>
              <w:t>presun z minulých rokov</w:t>
            </w:r>
          </w:p>
        </w:tc>
        <w:tc>
          <w:tcPr>
            <w:tcW w:w="519"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11 557 767</w:t>
            </w:r>
          </w:p>
        </w:tc>
        <w:tc>
          <w:tcPr>
            <w:tcW w:w="519"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186 311</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0</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176 009</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0</w:t>
            </w:r>
          </w:p>
        </w:tc>
        <w:tc>
          <w:tcPr>
            <w:tcW w:w="520"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0</w:t>
            </w:r>
          </w:p>
        </w:tc>
        <w:tc>
          <w:tcPr>
            <w:tcW w:w="518" w:type="pct"/>
            <w:tcBorders>
              <w:top w:val="nil"/>
              <w:left w:val="nil"/>
              <w:bottom w:val="single" w:sz="4" w:space="0" w:color="auto"/>
              <w:right w:val="single" w:sz="4" w:space="0" w:color="auto"/>
            </w:tcBorders>
            <w:textDirection w:val="lrTb"/>
            <w:vAlign w:val="center"/>
            <w:hideMark/>
          </w:tcPr>
          <w:p w:rsidR="009D2A34" w:rsidRPr="00434645" w:rsidP="006338E5">
            <w:pPr>
              <w:bidi w:val="0"/>
              <w:jc w:val="right"/>
              <w:rPr>
                <w:rFonts w:ascii="Times New Roman" w:hAnsi="Times New Roman"/>
                <w:b/>
                <w:sz w:val="14"/>
                <w:szCs w:val="14"/>
                <w:lang w:eastAsia="sk-SK"/>
              </w:rPr>
            </w:pPr>
            <w:r w:rsidRPr="00434645">
              <w:rPr>
                <w:rFonts w:ascii="Times New Roman" w:hAnsi="Times New Roman"/>
                <w:b/>
                <w:sz w:val="14"/>
                <w:szCs w:val="14"/>
                <w:lang w:eastAsia="sk-SK"/>
              </w:rPr>
              <w:t>0</w:t>
            </w:r>
          </w:p>
        </w:tc>
      </w:tr>
    </w:tbl>
    <w:p w:rsidR="009D2A34" w:rsidRPr="001A286F" w:rsidP="009D2A34">
      <w:pPr>
        <w:bidi w:val="0"/>
        <w:jc w:val="both"/>
        <w:rPr>
          <w:rFonts w:ascii="Times New Roman" w:hAnsi="Times New Roman"/>
        </w:rPr>
      </w:pPr>
    </w:p>
    <w:p w:rsidR="009D2A34" w:rsidRPr="00101DE6" w:rsidP="009D2A34">
      <w:pPr>
        <w:bidi w:val="0"/>
        <w:ind w:firstLine="708"/>
        <w:jc w:val="both"/>
        <w:rPr>
          <w:rFonts w:ascii="Times New Roman" w:hAnsi="Times New Roman"/>
          <w:highlight w:val="yellow"/>
        </w:rPr>
      </w:pPr>
      <w:r w:rsidRPr="001A286F">
        <w:rPr>
          <w:rFonts w:ascii="Times New Roman" w:hAnsi="Times New Roman"/>
        </w:rPr>
        <w:t>Výdavky</w:t>
      </w:r>
      <w:r>
        <w:rPr>
          <w:rFonts w:ascii="Times New Roman" w:hAnsi="Times New Roman"/>
        </w:rPr>
        <w:t xml:space="preserve"> kapitoly Úradu geodézie, kartografie a katastra SR (ďalej len „ÚGKK SR“) sa v návrhu rozpočtu na rok 2013</w:t>
      </w:r>
      <w:r w:rsidRPr="001A286F">
        <w:rPr>
          <w:rFonts w:ascii="Times New Roman" w:hAnsi="Times New Roman"/>
        </w:rPr>
        <w:t xml:space="preserve"> navrhujú vo výške </w:t>
      </w:r>
      <w:r>
        <w:rPr>
          <w:rFonts w:ascii="Times New Roman" w:hAnsi="Times New Roman"/>
        </w:rPr>
        <w:t xml:space="preserve">42,0 mil. eur, čo </w:t>
      </w:r>
      <w:r w:rsidRPr="001A286F">
        <w:rPr>
          <w:rFonts w:ascii="Times New Roman" w:hAnsi="Times New Roman"/>
        </w:rPr>
        <w:t>predstavuje oprot</w:t>
      </w:r>
      <w:r>
        <w:rPr>
          <w:rFonts w:ascii="Times New Roman" w:hAnsi="Times New Roman"/>
        </w:rPr>
        <w:t>i schválenému rozpočtu roku 2012</w:t>
      </w:r>
      <w:r w:rsidRPr="001A286F">
        <w:rPr>
          <w:rFonts w:ascii="Times New Roman" w:hAnsi="Times New Roman"/>
        </w:rPr>
        <w:t xml:space="preserve"> </w:t>
      </w:r>
      <w:r>
        <w:rPr>
          <w:rFonts w:ascii="Times New Roman" w:hAnsi="Times New Roman"/>
        </w:rPr>
        <w:t>pokles</w:t>
      </w:r>
      <w:r w:rsidRPr="001A286F">
        <w:rPr>
          <w:rFonts w:ascii="Times New Roman" w:hAnsi="Times New Roman"/>
        </w:rPr>
        <w:t xml:space="preserve"> o</w:t>
      </w:r>
      <w:r>
        <w:rPr>
          <w:rFonts w:ascii="Times New Roman" w:hAnsi="Times New Roman"/>
        </w:rPr>
        <w:t> 1,19 mil. eur, t. j. o 2,75 %.</w:t>
      </w:r>
    </w:p>
    <w:p w:rsidR="009D2A34" w:rsidRPr="00101DE6" w:rsidP="009D2A34">
      <w:pPr>
        <w:bidi w:val="0"/>
        <w:jc w:val="both"/>
        <w:rPr>
          <w:rFonts w:ascii="Times New Roman" w:hAnsi="Times New Roman"/>
          <w:highlight w:val="yellow"/>
        </w:rPr>
      </w:pPr>
    </w:p>
    <w:p w:rsidR="009D2A34" w:rsidRPr="009C0081" w:rsidP="009D2A34">
      <w:pPr>
        <w:bidi w:val="0"/>
        <w:ind w:firstLine="708"/>
        <w:jc w:val="both"/>
        <w:rPr>
          <w:rFonts w:ascii="Times New Roman" w:hAnsi="Times New Roman"/>
        </w:rPr>
      </w:pPr>
      <w:r w:rsidRPr="009C0081">
        <w:rPr>
          <w:rFonts w:ascii="Times New Roman" w:hAnsi="Times New Roman"/>
        </w:rPr>
        <w:t xml:space="preserve">Osobné výdavky sa na rok 2013 rozpočtujú v sume 24,5 mil. eur, čo v porovnaní </w:t>
      </w:r>
      <w:r>
        <w:rPr>
          <w:rFonts w:ascii="Times New Roman" w:hAnsi="Times New Roman"/>
        </w:rPr>
        <w:br/>
      </w:r>
      <w:r w:rsidRPr="009C0081">
        <w:rPr>
          <w:rFonts w:ascii="Times New Roman" w:hAnsi="Times New Roman"/>
        </w:rPr>
        <w:t>so schváleným rozpočtom roku 2012 predstavuje pokles o</w:t>
      </w:r>
      <w:r>
        <w:rPr>
          <w:rFonts w:ascii="Times New Roman" w:hAnsi="Times New Roman"/>
        </w:rPr>
        <w:t xml:space="preserve"> 1,27 mil. eur, t. j. o </w:t>
      </w:r>
      <w:r w:rsidRPr="009C0081">
        <w:rPr>
          <w:rFonts w:ascii="Times New Roman" w:hAnsi="Times New Roman"/>
        </w:rPr>
        <w:t>4,93 %</w:t>
      </w:r>
      <w:r>
        <w:rPr>
          <w:rFonts w:ascii="Times New Roman" w:hAnsi="Times New Roman"/>
        </w:rPr>
        <w:t>.</w:t>
      </w:r>
    </w:p>
    <w:p w:rsidR="009D2A34" w:rsidRPr="00101DE6" w:rsidP="009D2A34">
      <w:pPr>
        <w:bidi w:val="0"/>
        <w:jc w:val="both"/>
        <w:rPr>
          <w:rFonts w:ascii="Times New Roman" w:hAnsi="Times New Roman"/>
          <w:highlight w:val="yellow"/>
        </w:rPr>
      </w:pPr>
    </w:p>
    <w:p w:rsidR="009D2A34" w:rsidP="009D2A34">
      <w:pPr>
        <w:bidi w:val="0"/>
        <w:ind w:firstLine="708"/>
        <w:jc w:val="both"/>
        <w:rPr>
          <w:rFonts w:ascii="Times New Roman" w:hAnsi="Times New Roman"/>
        </w:rPr>
      </w:pPr>
      <w:r w:rsidRPr="008156C0">
        <w:rPr>
          <w:rFonts w:ascii="Times New Roman" w:hAnsi="Times New Roman"/>
        </w:rPr>
        <w:t xml:space="preserve">Výdavky na tovary a služby sú rozpočtované v sume </w:t>
      </w:r>
      <w:r>
        <w:rPr>
          <w:rFonts w:ascii="Times New Roman" w:hAnsi="Times New Roman"/>
        </w:rPr>
        <w:t>16,3</w:t>
      </w:r>
      <w:r w:rsidRPr="008156C0">
        <w:rPr>
          <w:rFonts w:ascii="Times New Roman" w:hAnsi="Times New Roman"/>
        </w:rPr>
        <w:t xml:space="preserve"> mil. eur, čo v porovnaní so schváleným rozpočtom roku 2012 predstavuje </w:t>
      </w:r>
      <w:r>
        <w:rPr>
          <w:rFonts w:ascii="Times New Roman" w:hAnsi="Times New Roman"/>
        </w:rPr>
        <w:t>nárast</w:t>
      </w:r>
      <w:r w:rsidRPr="008156C0">
        <w:rPr>
          <w:rFonts w:ascii="Times New Roman" w:hAnsi="Times New Roman"/>
        </w:rPr>
        <w:t xml:space="preserve"> o</w:t>
      </w:r>
      <w:r>
        <w:rPr>
          <w:rFonts w:ascii="Times New Roman" w:hAnsi="Times New Roman"/>
        </w:rPr>
        <w:t> 1,24 mil. eur, t. j. o 8,24</w:t>
      </w:r>
      <w:r w:rsidRPr="008156C0">
        <w:rPr>
          <w:rFonts w:ascii="Times New Roman" w:hAnsi="Times New Roman"/>
        </w:rPr>
        <w:t xml:space="preserve"> %. </w:t>
      </w:r>
      <w:r>
        <w:rPr>
          <w:rFonts w:ascii="Times New Roman" w:hAnsi="Times New Roman"/>
        </w:rPr>
        <w:t>Uvedenú zmenu ovplyvnilo premietnutie nevyhnutných výdavkov</w:t>
      </w:r>
      <w:r w:rsidRPr="008156C0">
        <w:rPr>
          <w:rFonts w:ascii="Times New Roman" w:hAnsi="Times New Roman"/>
        </w:rPr>
        <w:t xml:space="preserve"> </w:t>
      </w:r>
      <w:r>
        <w:rPr>
          <w:rFonts w:ascii="Times New Roman" w:hAnsi="Times New Roman"/>
        </w:rPr>
        <w:t>na poštovné a telekomunikačné služby a na prenájom priestorov Centrálneho registratúrneho strediska v Liptovskom Mikuláši v sume 1,60 mil. eur. Kapitola ÚGKK SR v rozpočte počíta s výdavkami na prevádzku kolkomatov pre ďalšie obdobie.</w:t>
      </w:r>
    </w:p>
    <w:p w:rsidR="009D2A34" w:rsidP="009D2A34">
      <w:pPr>
        <w:bidi w:val="0"/>
        <w:ind w:firstLine="708"/>
        <w:jc w:val="both"/>
        <w:rPr>
          <w:rFonts w:ascii="Times New Roman" w:hAnsi="Times New Roman"/>
        </w:rPr>
      </w:pPr>
    </w:p>
    <w:p w:rsidR="009D2A34" w:rsidRPr="00DB14FA" w:rsidP="009D2A34">
      <w:pPr>
        <w:bidi w:val="0"/>
        <w:ind w:firstLine="708"/>
        <w:jc w:val="both"/>
        <w:rPr>
          <w:rFonts w:ascii="Times New Roman" w:hAnsi="Times New Roman"/>
        </w:rPr>
      </w:pPr>
      <w:r w:rsidRPr="00DB14FA">
        <w:rPr>
          <w:rFonts w:ascii="Times New Roman" w:hAnsi="Times New Roman"/>
        </w:rPr>
        <w:t xml:space="preserve"> Výdavky na bežné transfery sú rozpočtované v sume 560 tis. eur, čo v porovnaní so schváleným rozpočtom roku 2012 predstavuje pokles o</w:t>
      </w:r>
      <w:r>
        <w:rPr>
          <w:rFonts w:ascii="Times New Roman" w:hAnsi="Times New Roman"/>
        </w:rPr>
        <w:t xml:space="preserve"> 75,0 tis. eur, t. j. o </w:t>
      </w:r>
      <w:r w:rsidRPr="00DB14FA">
        <w:rPr>
          <w:rFonts w:ascii="Times New Roman" w:hAnsi="Times New Roman"/>
        </w:rPr>
        <w:t xml:space="preserve">11,8 %. Uvedený pokles je spôsobený </w:t>
      </w:r>
      <w:r>
        <w:rPr>
          <w:rFonts w:ascii="Times New Roman" w:hAnsi="Times New Roman"/>
        </w:rPr>
        <w:t xml:space="preserve">čiastočným </w:t>
      </w:r>
      <w:r w:rsidRPr="00DB14FA">
        <w:rPr>
          <w:rFonts w:ascii="Times New Roman" w:hAnsi="Times New Roman"/>
        </w:rPr>
        <w:t xml:space="preserve">premietnutím </w:t>
      </w:r>
      <w:r>
        <w:rPr>
          <w:rFonts w:ascii="Times New Roman" w:hAnsi="Times New Roman"/>
        </w:rPr>
        <w:t>10</w:t>
      </w:r>
      <w:r w:rsidRPr="00DB14FA">
        <w:rPr>
          <w:rFonts w:ascii="Times New Roman" w:hAnsi="Times New Roman"/>
        </w:rPr>
        <w:t>% zníženia</w:t>
      </w:r>
      <w:r>
        <w:rPr>
          <w:rFonts w:ascii="Times New Roman" w:hAnsi="Times New Roman"/>
        </w:rPr>
        <w:t xml:space="preserve"> prevádzkových</w:t>
      </w:r>
      <w:r w:rsidRPr="00DB14FA">
        <w:rPr>
          <w:rFonts w:ascii="Times New Roman" w:hAnsi="Times New Roman"/>
        </w:rPr>
        <w:t xml:space="preserve"> výdavkov </w:t>
      </w:r>
      <w:r>
        <w:rPr>
          <w:rFonts w:ascii="Times New Roman" w:hAnsi="Times New Roman"/>
        </w:rPr>
        <w:t xml:space="preserve">v sume 75,0 tis. eur </w:t>
      </w:r>
      <w:r w:rsidRPr="00DB14FA">
        <w:rPr>
          <w:rFonts w:ascii="Times New Roman" w:hAnsi="Times New Roman"/>
        </w:rPr>
        <w:t>v tejto kategórii.</w:t>
      </w:r>
    </w:p>
    <w:p w:rsidR="009D2A34" w:rsidRPr="00101DE6" w:rsidP="009D2A34">
      <w:pPr>
        <w:bidi w:val="0"/>
        <w:ind w:firstLine="708"/>
        <w:jc w:val="both"/>
        <w:rPr>
          <w:rFonts w:ascii="Times New Roman" w:hAnsi="Times New Roman"/>
          <w:highlight w:val="yellow"/>
        </w:rPr>
      </w:pPr>
    </w:p>
    <w:p w:rsidR="009D2A34" w:rsidRPr="00DB14FA" w:rsidP="009D2A34">
      <w:pPr>
        <w:bidi w:val="0"/>
        <w:ind w:firstLine="708"/>
        <w:jc w:val="both"/>
        <w:rPr>
          <w:rFonts w:ascii="Times New Roman" w:hAnsi="Times New Roman"/>
        </w:rPr>
      </w:pPr>
      <w:r w:rsidRPr="005E1608">
        <w:rPr>
          <w:rFonts w:ascii="Times New Roman" w:hAnsi="Times New Roman"/>
        </w:rPr>
        <w:t xml:space="preserve">Kapitálové výdavky sú rozpočtované v sume 600 tis. eur, čo v porovnaní </w:t>
      </w:r>
      <w:r>
        <w:rPr>
          <w:rFonts w:ascii="Times New Roman" w:hAnsi="Times New Roman"/>
        </w:rPr>
        <w:br/>
      </w:r>
      <w:r w:rsidRPr="005E1608">
        <w:rPr>
          <w:rFonts w:ascii="Times New Roman" w:hAnsi="Times New Roman"/>
        </w:rPr>
        <w:t>so schváleným rozpočtom roku 2012 predstavuje pokles o</w:t>
      </w:r>
      <w:r>
        <w:rPr>
          <w:rFonts w:ascii="Times New Roman" w:hAnsi="Times New Roman"/>
        </w:rPr>
        <w:t xml:space="preserve"> 1,08 mil. eur, t. j. o </w:t>
      </w:r>
      <w:r w:rsidRPr="005E1608">
        <w:rPr>
          <w:rFonts w:ascii="Times New Roman" w:hAnsi="Times New Roman"/>
        </w:rPr>
        <w:t xml:space="preserve">64,3 % a je spôsobený </w:t>
      </w:r>
      <w:r>
        <w:rPr>
          <w:rFonts w:ascii="Times New Roman" w:hAnsi="Times New Roman"/>
        </w:rPr>
        <w:t xml:space="preserve">čiastočným </w:t>
      </w:r>
      <w:r w:rsidRPr="005E1608">
        <w:rPr>
          <w:rFonts w:ascii="Times New Roman" w:hAnsi="Times New Roman"/>
        </w:rPr>
        <w:t xml:space="preserve">premietnutím </w:t>
      </w:r>
      <w:r>
        <w:rPr>
          <w:rFonts w:ascii="Times New Roman" w:hAnsi="Times New Roman"/>
        </w:rPr>
        <w:t>10</w:t>
      </w:r>
      <w:r w:rsidRPr="005E1608">
        <w:rPr>
          <w:rFonts w:ascii="Times New Roman" w:hAnsi="Times New Roman"/>
        </w:rPr>
        <w:t>% zníženia</w:t>
      </w:r>
      <w:r>
        <w:rPr>
          <w:rFonts w:ascii="Times New Roman" w:hAnsi="Times New Roman"/>
        </w:rPr>
        <w:t xml:space="preserve"> prevádzkových</w:t>
      </w:r>
      <w:r w:rsidRPr="005E1608">
        <w:rPr>
          <w:rFonts w:ascii="Times New Roman" w:hAnsi="Times New Roman"/>
        </w:rPr>
        <w:t xml:space="preserve"> výdavkov v sume </w:t>
      </w:r>
      <w:r>
        <w:rPr>
          <w:rFonts w:ascii="Times New Roman" w:hAnsi="Times New Roman"/>
        </w:rPr>
        <w:br/>
      </w:r>
      <w:r w:rsidRPr="005E1608">
        <w:rPr>
          <w:rFonts w:ascii="Times New Roman" w:hAnsi="Times New Roman"/>
        </w:rPr>
        <w:t>1,08 mil. eur v tejto kategórii.</w:t>
      </w:r>
    </w:p>
    <w:p w:rsidR="009D2A34" w:rsidP="009D2A34">
      <w:pPr>
        <w:bidi w:val="0"/>
      </w:pPr>
    </w:p>
    <w:p w:rsidR="003E7CD4" w:rsidP="009D2A34">
      <w:pPr>
        <w:bidi w:val="0"/>
      </w:pPr>
    </w:p>
    <w:p w:rsidR="009D2A34" w:rsidRPr="0077111F" w:rsidP="009D2A34">
      <w:pPr>
        <w:pBdr>
          <w:bottom w:val="single" w:sz="4" w:space="1" w:color="auto"/>
        </w:pBdr>
        <w:bidi w:val="0"/>
        <w:jc w:val="both"/>
        <w:rPr>
          <w:rFonts w:ascii="Times New Roman" w:hAnsi="Times New Roman" w:cs="Times New Roman"/>
          <w:b/>
          <w:bCs/>
        </w:rPr>
      </w:pPr>
      <w:r w:rsidRPr="0077111F">
        <w:rPr>
          <w:rFonts w:ascii="Times New Roman" w:hAnsi="Times New Roman" w:cs="Times New Roman"/>
          <w:b/>
          <w:bCs/>
        </w:rPr>
        <w:t>Štatistický úrad SR</w:t>
      </w:r>
    </w:p>
    <w:p w:rsidR="009D2A34" w:rsidRPr="0077111F" w:rsidP="009D2A34">
      <w:pPr>
        <w:bidi w:val="0"/>
        <w:jc w:val="both"/>
        <w:rPr>
          <w:rFonts w:ascii="Times New Roman" w:hAnsi="Times New Roman" w:cs="Times New Roman"/>
          <w:b/>
          <w:bCs/>
          <w:highlight w:val="yellow"/>
        </w:rPr>
      </w:pPr>
    </w:p>
    <w:tbl>
      <w:tblPr>
        <w:tblStyle w:val="TableNormal"/>
        <w:tblW w:w="5000" w:type="pct"/>
        <w:tblCellMar>
          <w:left w:w="70" w:type="dxa"/>
          <w:right w:w="70" w:type="dxa"/>
        </w:tblCellMar>
        <w:tblLook w:val="04A0"/>
      </w:tblPr>
      <w:tblGrid>
        <w:gridCol w:w="2524"/>
        <w:gridCol w:w="950"/>
        <w:gridCol w:w="950"/>
        <w:gridCol w:w="953"/>
        <w:gridCol w:w="980"/>
        <w:gridCol w:w="953"/>
        <w:gridCol w:w="951"/>
        <w:gridCol w:w="951"/>
      </w:tblGrid>
      <w:tr>
        <w:tblPrEx>
          <w:tblW w:w="5000" w:type="pct"/>
          <w:tblCellMar>
            <w:left w:w="70" w:type="dxa"/>
            <w:right w:w="70" w:type="dxa"/>
          </w:tblCellMar>
          <w:tblLook w:val="04A0"/>
        </w:tblPrEx>
        <w:trPr>
          <w:trHeight w:val="259"/>
        </w:trPr>
        <w:tc>
          <w:tcPr>
            <w:tcW w:w="1372"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v eurách</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2010 S</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2011 S</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2012 R</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2012 OS</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2013 N</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2014 N</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2015 N</w:t>
            </w:r>
          </w:p>
        </w:tc>
      </w:tr>
      <w:tr>
        <w:tblPrEx>
          <w:tblW w:w="5000" w:type="pct"/>
          <w:tblCellMar>
            <w:left w:w="70" w:type="dxa"/>
            <w:right w:w="70" w:type="dxa"/>
          </w:tblCellMar>
          <w:tblLook w:val="04A0"/>
        </w:tblPrEx>
        <w:trPr>
          <w:trHeight w:val="259"/>
        </w:trPr>
        <w:tc>
          <w:tcPr>
            <w:tcW w:w="1372"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77111F" w:rsidP="006338E5">
            <w:pPr>
              <w:bidi w:val="0"/>
              <w:rPr>
                <w:rFonts w:ascii="Times New Roman" w:hAnsi="Times New Roman" w:cs="Times New Roman"/>
                <w:b/>
                <w:bCs/>
                <w:sz w:val="14"/>
                <w:szCs w:val="14"/>
              </w:rPr>
            </w:pPr>
            <w:r w:rsidRPr="0077111F">
              <w:rPr>
                <w:rFonts w:ascii="Times New Roman" w:hAnsi="Times New Roman" w:cs="Times New Roman"/>
                <w:b/>
                <w:bCs/>
                <w:sz w:val="14"/>
                <w:szCs w:val="14"/>
              </w:rPr>
              <w:t>Zdroje príslušnej kapitoly</w:t>
            </w:r>
          </w:p>
        </w:tc>
        <w:tc>
          <w:tcPr>
            <w:tcW w:w="518" w:type="pct"/>
            <w:tcBorders>
              <w:top w:val="nil"/>
              <w:left w:val="nil"/>
              <w:bottom w:val="single" w:sz="4" w:space="0" w:color="auto"/>
              <w:right w:val="single" w:sz="4" w:space="0" w:color="auto"/>
            </w:tcBorders>
            <w:shd w:val="clear" w:color="000000"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34 795 353</w:t>
            </w:r>
          </w:p>
        </w:tc>
        <w:tc>
          <w:tcPr>
            <w:tcW w:w="518" w:type="pct"/>
            <w:tcBorders>
              <w:top w:val="nil"/>
              <w:left w:val="nil"/>
              <w:bottom w:val="single" w:sz="4" w:space="0" w:color="auto"/>
              <w:right w:val="single" w:sz="4" w:space="0" w:color="auto"/>
            </w:tcBorders>
            <w:shd w:val="clear" w:color="000000"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36 015 791</w:t>
            </w:r>
          </w:p>
        </w:tc>
        <w:tc>
          <w:tcPr>
            <w:tcW w:w="519" w:type="pct"/>
            <w:tcBorders>
              <w:top w:val="nil"/>
              <w:left w:val="nil"/>
              <w:bottom w:val="single" w:sz="4" w:space="0" w:color="auto"/>
              <w:right w:val="single" w:sz="4" w:space="0" w:color="auto"/>
            </w:tcBorders>
            <w:shd w:val="clear" w:color="000000"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19 341 297</w:t>
            </w:r>
          </w:p>
        </w:tc>
        <w:tc>
          <w:tcPr>
            <w:tcW w:w="518" w:type="pct"/>
            <w:tcBorders>
              <w:top w:val="nil"/>
              <w:left w:val="nil"/>
              <w:bottom w:val="single" w:sz="4" w:space="0" w:color="auto"/>
              <w:right w:val="single" w:sz="4" w:space="0" w:color="auto"/>
            </w:tcBorders>
            <w:shd w:val="clear" w:color="000000"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24 450 656</w:t>
            </w:r>
          </w:p>
        </w:tc>
        <w:tc>
          <w:tcPr>
            <w:tcW w:w="519" w:type="pct"/>
            <w:tcBorders>
              <w:top w:val="nil"/>
              <w:left w:val="nil"/>
              <w:bottom w:val="single" w:sz="4" w:space="0" w:color="auto"/>
              <w:right w:val="single" w:sz="4" w:space="0" w:color="auto"/>
            </w:tcBorders>
            <w:shd w:val="clear" w:color="000000"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18 950 291</w:t>
            </w:r>
          </w:p>
        </w:tc>
        <w:tc>
          <w:tcPr>
            <w:tcW w:w="518" w:type="pct"/>
            <w:tcBorders>
              <w:top w:val="nil"/>
              <w:left w:val="nil"/>
              <w:bottom w:val="single" w:sz="4" w:space="0" w:color="auto"/>
              <w:right w:val="single" w:sz="4" w:space="0" w:color="auto"/>
            </w:tcBorders>
            <w:shd w:val="clear" w:color="000000"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21 334 556</w:t>
            </w:r>
          </w:p>
        </w:tc>
        <w:tc>
          <w:tcPr>
            <w:tcW w:w="518" w:type="pct"/>
            <w:tcBorders>
              <w:top w:val="nil"/>
              <w:left w:val="nil"/>
              <w:bottom w:val="single" w:sz="4" w:space="0" w:color="auto"/>
              <w:right w:val="single" w:sz="4" w:space="0" w:color="auto"/>
            </w:tcBorders>
            <w:shd w:val="clear" w:color="000000"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17 266 926</w:t>
            </w:r>
          </w:p>
        </w:tc>
      </w:tr>
      <w:tr>
        <w:tblPrEx>
          <w:tblW w:w="5000" w:type="pct"/>
          <w:tblCellMar>
            <w:left w:w="70" w:type="dxa"/>
            <w:right w:w="70" w:type="dxa"/>
          </w:tblCellMar>
          <w:tblLook w:val="04A0"/>
        </w:tblPrEx>
        <w:trPr>
          <w:trHeight w:val="259"/>
        </w:trPr>
        <w:tc>
          <w:tcPr>
            <w:tcW w:w="1372"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b/>
                <w:sz w:val="14"/>
                <w:szCs w:val="14"/>
              </w:rPr>
            </w:pPr>
            <w:r w:rsidRPr="0077111F">
              <w:rPr>
                <w:rFonts w:ascii="Times New Roman" w:hAnsi="Times New Roman" w:cs="Times New Roman"/>
                <w:b/>
                <w:sz w:val="14"/>
                <w:szCs w:val="14"/>
              </w:rPr>
              <w:t xml:space="preserve">rozpočtové zdroje kapitoly </w:t>
            </w:r>
          </w:p>
        </w:tc>
        <w:tc>
          <w:tcPr>
            <w:tcW w:w="518"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32 392 022</w:t>
            </w:r>
          </w:p>
        </w:tc>
        <w:tc>
          <w:tcPr>
            <w:tcW w:w="518"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32 806 110</w:t>
            </w:r>
          </w:p>
        </w:tc>
        <w:tc>
          <w:tcPr>
            <w:tcW w:w="519"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19 341 297</w:t>
            </w:r>
          </w:p>
        </w:tc>
        <w:tc>
          <w:tcPr>
            <w:tcW w:w="518"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24 169 296</w:t>
            </w:r>
          </w:p>
        </w:tc>
        <w:tc>
          <w:tcPr>
            <w:tcW w:w="519"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18 950 291</w:t>
            </w:r>
          </w:p>
        </w:tc>
        <w:tc>
          <w:tcPr>
            <w:tcW w:w="518"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21 334 556</w:t>
            </w:r>
          </w:p>
        </w:tc>
        <w:tc>
          <w:tcPr>
            <w:tcW w:w="518"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17 266 926</w:t>
            </w:r>
          </w:p>
        </w:tc>
      </w:tr>
      <w:tr>
        <w:tblPrEx>
          <w:tblW w:w="5000" w:type="pct"/>
          <w:tblCellMar>
            <w:left w:w="70" w:type="dxa"/>
            <w:right w:w="70" w:type="dxa"/>
          </w:tblCellMar>
          <w:tblLook w:val="04A0"/>
        </w:tblPrEx>
        <w:trPr>
          <w:trHeight w:val="259"/>
        </w:trPr>
        <w:tc>
          <w:tcPr>
            <w:tcW w:w="1372"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v tom: bežné výdavky 600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24 307 116</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23 404 318</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18 626 582</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19 393 781</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18 650 404</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20 835 268</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17 067 637</w:t>
            </w:r>
          </w:p>
        </w:tc>
      </w:tr>
      <w:tr>
        <w:tblPrEx>
          <w:tblW w:w="5000" w:type="pct"/>
          <w:tblCellMar>
            <w:left w:w="70" w:type="dxa"/>
            <w:right w:w="70" w:type="dxa"/>
          </w:tblCellMar>
          <w:tblLook w:val="04A0"/>
        </w:tblPrEx>
        <w:trPr>
          <w:trHeight w:val="259"/>
        </w:trPr>
        <w:tc>
          <w:tcPr>
            <w:tcW w:w="1372"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610 mzdy</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10 925 003</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9 597 940</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9 625 438</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Cs/>
                <w:sz w:val="14"/>
                <w:szCs w:val="14"/>
              </w:rPr>
            </w:pPr>
            <w:r w:rsidRPr="0077111F">
              <w:rPr>
                <w:rFonts w:ascii="Times New Roman" w:hAnsi="Times New Roman" w:cs="Times New Roman"/>
                <w:bCs/>
                <w:sz w:val="14"/>
                <w:szCs w:val="14"/>
              </w:rPr>
              <w:t>9 625 438</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8 929 290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9 533 555</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8 209 651</w:t>
            </w:r>
          </w:p>
        </w:tc>
      </w:tr>
      <w:tr>
        <w:tblPrEx>
          <w:tblW w:w="5000" w:type="pct"/>
          <w:tblCellMar>
            <w:left w:w="70" w:type="dxa"/>
            <w:right w:w="70" w:type="dxa"/>
          </w:tblCellMar>
          <w:tblLook w:val="04A0"/>
        </w:tblPrEx>
        <w:trPr>
          <w:trHeight w:val="259"/>
        </w:trPr>
        <w:tc>
          <w:tcPr>
            <w:tcW w:w="1372"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620 odvody</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3 946 588</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3 352 318</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3 363 616</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Cs/>
                <w:sz w:val="14"/>
                <w:szCs w:val="14"/>
              </w:rPr>
            </w:pPr>
            <w:r w:rsidRPr="0077111F">
              <w:rPr>
                <w:rFonts w:ascii="Times New Roman" w:hAnsi="Times New Roman" w:cs="Times New Roman"/>
                <w:bCs/>
                <w:sz w:val="14"/>
                <w:szCs w:val="14"/>
              </w:rPr>
              <w:t>3 366 672</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3 670 788</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3 881 978</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3 419 273</w:t>
            </w:r>
          </w:p>
        </w:tc>
      </w:tr>
      <w:tr>
        <w:tblPrEx>
          <w:tblW w:w="5000" w:type="pct"/>
          <w:tblCellMar>
            <w:left w:w="70" w:type="dxa"/>
            <w:right w:w="70" w:type="dxa"/>
          </w:tblCellMar>
          <w:tblLook w:val="04A0"/>
        </w:tblPrEx>
        <w:trPr>
          <w:trHeight w:val="259"/>
        </w:trPr>
        <w:tc>
          <w:tcPr>
            <w:tcW w:w="1372"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630 tovary a služby</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7 073 620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9 061 208</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4 460 887</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Cs/>
                <w:sz w:val="14"/>
                <w:szCs w:val="14"/>
              </w:rPr>
            </w:pPr>
            <w:r w:rsidRPr="0077111F">
              <w:rPr>
                <w:rFonts w:ascii="Times New Roman" w:hAnsi="Times New Roman" w:cs="Times New Roman"/>
                <w:bCs/>
                <w:sz w:val="14"/>
                <w:szCs w:val="14"/>
              </w:rPr>
              <w:t>5 004 380</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center"/>
              <w:rPr>
                <w:rFonts w:ascii="Times New Roman" w:hAnsi="Times New Roman" w:cs="Times New Roman"/>
                <w:sz w:val="14"/>
                <w:szCs w:val="14"/>
              </w:rPr>
            </w:pPr>
            <w:r w:rsidRPr="0077111F">
              <w:rPr>
                <w:rFonts w:ascii="Times New Roman" w:hAnsi="Times New Roman" w:cs="Times New Roman"/>
                <w:sz w:val="14"/>
                <w:szCs w:val="14"/>
              </w:rPr>
              <w:t xml:space="preserve">       5 257 090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6 596 499</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4 595 477</w:t>
            </w:r>
          </w:p>
        </w:tc>
      </w:tr>
      <w:tr>
        <w:tblPrEx>
          <w:tblW w:w="5000" w:type="pct"/>
          <w:tblCellMar>
            <w:left w:w="70" w:type="dxa"/>
            <w:right w:w="70" w:type="dxa"/>
          </w:tblCellMar>
          <w:tblLook w:val="04A0"/>
        </w:tblPrEx>
        <w:trPr>
          <w:trHeight w:val="259"/>
        </w:trPr>
        <w:tc>
          <w:tcPr>
            <w:tcW w:w="1372"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640 bežné transfery</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2 361 905</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1 392 852</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1 176 641</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Cs/>
                <w:sz w:val="14"/>
                <w:szCs w:val="14"/>
              </w:rPr>
            </w:pPr>
            <w:r w:rsidRPr="0077111F">
              <w:rPr>
                <w:rFonts w:ascii="Times New Roman" w:hAnsi="Times New Roman" w:cs="Times New Roman"/>
                <w:bCs/>
                <w:sz w:val="14"/>
                <w:szCs w:val="14"/>
              </w:rPr>
              <w:t>1 397 291</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793 236</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823 236</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843 236</w:t>
            </w:r>
          </w:p>
        </w:tc>
      </w:tr>
      <w:tr>
        <w:tblPrEx>
          <w:tblW w:w="5000" w:type="pct"/>
          <w:tblCellMar>
            <w:left w:w="70" w:type="dxa"/>
            <w:right w:w="70" w:type="dxa"/>
          </w:tblCellMar>
          <w:tblLook w:val="04A0"/>
        </w:tblPrEx>
        <w:trPr>
          <w:trHeight w:val="259"/>
        </w:trPr>
        <w:tc>
          <w:tcPr>
            <w:tcW w:w="1372"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kapitálové výdavky 700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8 084 906</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9 401 792</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714 715</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4 775 515</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299 887</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499 288</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199 289</w:t>
            </w:r>
          </w:p>
        </w:tc>
      </w:tr>
      <w:tr>
        <w:tblPrEx>
          <w:tblW w:w="5000" w:type="pct"/>
          <w:tblCellMar>
            <w:left w:w="70" w:type="dxa"/>
            <w:right w:w="70" w:type="dxa"/>
          </w:tblCellMar>
          <w:tblLook w:val="04A0"/>
        </w:tblPrEx>
        <w:trPr>
          <w:trHeight w:val="259"/>
        </w:trPr>
        <w:tc>
          <w:tcPr>
            <w:tcW w:w="1372" w:type="pct"/>
            <w:tcBorders>
              <w:top w:val="single" w:sz="4" w:space="0" w:color="auto"/>
              <w:left w:val="single" w:sz="4" w:space="0" w:color="auto"/>
              <w:bottom w:val="single" w:sz="4" w:space="0" w:color="auto"/>
              <w:right w:val="nil"/>
            </w:tcBorders>
            <w:noWrap/>
            <w:textDirection w:val="lrTb"/>
            <w:vAlign w:val="center"/>
            <w:hideMark/>
          </w:tcPr>
          <w:p w:rsidR="009D2A34" w:rsidRPr="0077111F" w:rsidP="006338E5">
            <w:pPr>
              <w:bidi w:val="0"/>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presun z minulých rokov</w:t>
            </w:r>
          </w:p>
        </w:tc>
        <w:tc>
          <w:tcPr>
            <w:tcW w:w="518" w:type="pct"/>
            <w:tcBorders>
              <w:top w:val="nil"/>
              <w:left w:val="single" w:sz="4" w:space="0" w:color="auto"/>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 2 403 331</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3 209 681</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 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281 360</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 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 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 0</w:t>
            </w:r>
          </w:p>
        </w:tc>
      </w:tr>
    </w:tbl>
    <w:p w:rsidR="009D2A34" w:rsidRPr="0077111F" w:rsidP="009D2A34">
      <w:pPr>
        <w:autoSpaceDE w:val="0"/>
        <w:autoSpaceDN w:val="0"/>
        <w:bidi w:val="0"/>
        <w:adjustRightInd w:val="0"/>
        <w:jc w:val="both"/>
        <w:rPr>
          <w:rFonts w:ascii="Times New Roman" w:hAnsi="Times New Roman" w:cs="Times New Roman"/>
          <w:highlight w:val="yellow"/>
        </w:rPr>
      </w:pPr>
    </w:p>
    <w:p w:rsidR="009E6F9C" w:rsidP="009D2A34">
      <w:pPr>
        <w:bidi w:val="0"/>
        <w:ind w:firstLine="708"/>
        <w:jc w:val="both"/>
        <w:rPr>
          <w:rFonts w:ascii="Times New Roman" w:hAnsi="Times New Roman" w:cs="Times New Roman"/>
        </w:rPr>
      </w:pPr>
      <w:r w:rsidRPr="0077111F" w:rsidR="009D2A34">
        <w:rPr>
          <w:rFonts w:ascii="Times New Roman" w:hAnsi="Times New Roman" w:cs="Times New Roman"/>
        </w:rPr>
        <w:t>Na rok 2013 sa pre kapitolu navrhuje limit výdavkov v sume 1</w:t>
      </w:r>
      <w:r w:rsidR="00AF4BD6">
        <w:rPr>
          <w:rFonts w:ascii="Times New Roman" w:hAnsi="Times New Roman" w:cs="Times New Roman"/>
        </w:rPr>
        <w:t>9,0</w:t>
      </w:r>
      <w:r w:rsidRPr="0077111F" w:rsidR="009D2A34">
        <w:rPr>
          <w:rFonts w:ascii="Times New Roman" w:hAnsi="Times New Roman" w:cs="Times New Roman"/>
        </w:rPr>
        <w:t xml:space="preserve"> mil. eur, čo predstavuje pokles o 391 tis. eur, t.</w:t>
      </w:r>
      <w:r w:rsidR="001F3259">
        <w:rPr>
          <w:rFonts w:ascii="Times New Roman" w:hAnsi="Times New Roman" w:cs="Times New Roman"/>
        </w:rPr>
        <w:t xml:space="preserve"> </w:t>
      </w:r>
      <w:r w:rsidRPr="0077111F" w:rsidR="009D2A34">
        <w:rPr>
          <w:rFonts w:ascii="Times New Roman" w:hAnsi="Times New Roman" w:cs="Times New Roman"/>
        </w:rPr>
        <w:t xml:space="preserve">j. o 2,02 % v porovnaní so schváleným rozpočtom roku 2012. </w:t>
      </w:r>
    </w:p>
    <w:p w:rsidR="009E6F9C" w:rsidP="009D2A34">
      <w:pPr>
        <w:bidi w:val="0"/>
        <w:ind w:firstLine="708"/>
        <w:jc w:val="both"/>
        <w:rPr>
          <w:rFonts w:ascii="Times New Roman" w:hAnsi="Times New Roman" w:cs="Times New Roman"/>
        </w:rPr>
      </w:pPr>
    </w:p>
    <w:p w:rsidR="009D2A34" w:rsidRPr="000F7D73" w:rsidP="009D2A34">
      <w:pPr>
        <w:bidi w:val="0"/>
        <w:ind w:firstLine="708"/>
        <w:jc w:val="both"/>
        <w:rPr>
          <w:rFonts w:ascii="Times New Roman" w:hAnsi="Times New Roman" w:cs="Times New Roman"/>
        </w:rPr>
      </w:pPr>
      <w:r w:rsidRPr="0077111F">
        <w:rPr>
          <w:rFonts w:ascii="Times New Roman" w:hAnsi="Times New Roman" w:cs="Times New Roman"/>
        </w:rPr>
        <w:t xml:space="preserve">Kapitola mala v schválenom rozpočte roku 2012 výdavky na sčítanie obyvateľov, domov a bytov (ďalej len „SODB“) v sume 2,02 mil. eur a na voľby v sume 1,53 mil. eur. </w:t>
      </w:r>
      <w:r w:rsidRPr="004C172E">
        <w:rPr>
          <w:rFonts w:ascii="Times New Roman" w:hAnsi="Times New Roman" w:cs="Times New Roman"/>
        </w:rPr>
        <w:t xml:space="preserve">V roku 2013 predstavujú výdavky na SODB sumu </w:t>
      </w:r>
      <w:r w:rsidRPr="004C172E">
        <w:rPr>
          <w:rFonts w:ascii="Times New Roman" w:hAnsi="Times New Roman" w:cs="Times New Roman"/>
          <w:lang w:eastAsia="sk-SK"/>
        </w:rPr>
        <w:t>7</w:t>
      </w:r>
      <w:r>
        <w:rPr>
          <w:rFonts w:ascii="Times New Roman" w:hAnsi="Times New Roman" w:cs="Times New Roman"/>
          <w:lang w:eastAsia="sk-SK"/>
        </w:rPr>
        <w:t>96</w:t>
      </w:r>
      <w:r w:rsidRPr="004C172E">
        <w:rPr>
          <w:rFonts w:ascii="Times New Roman" w:hAnsi="Times New Roman" w:cs="Times New Roman"/>
          <w:lang w:eastAsia="sk-SK"/>
        </w:rPr>
        <w:t xml:space="preserve"> tis. eur a na voľby sumu 1,</w:t>
      </w:r>
      <w:r>
        <w:rPr>
          <w:rFonts w:ascii="Times New Roman" w:hAnsi="Times New Roman" w:cs="Times New Roman"/>
          <w:lang w:eastAsia="sk-SK"/>
        </w:rPr>
        <w:t>34</w:t>
      </w:r>
      <w:r w:rsidRPr="004C172E">
        <w:rPr>
          <w:rFonts w:ascii="Times New Roman" w:hAnsi="Times New Roman" w:cs="Times New Roman"/>
          <w:lang w:eastAsia="sk-SK"/>
        </w:rPr>
        <w:t xml:space="preserve"> mil. eur.</w:t>
      </w:r>
      <w:r w:rsidRPr="004C172E">
        <w:rPr>
          <w:rFonts w:ascii="Times New Roman" w:hAnsi="Times New Roman" w:cs="Times New Roman"/>
        </w:rPr>
        <w:t xml:space="preserve"> </w:t>
      </w:r>
    </w:p>
    <w:p w:rsidR="009D2A34" w:rsidRPr="0077111F" w:rsidP="009D2A34">
      <w:pPr>
        <w:autoSpaceDE w:val="0"/>
        <w:autoSpaceDN w:val="0"/>
        <w:bidi w:val="0"/>
        <w:adjustRightInd w:val="0"/>
        <w:ind w:firstLine="709"/>
        <w:jc w:val="both"/>
        <w:rPr>
          <w:rFonts w:ascii="Times New Roman" w:hAnsi="Times New Roman" w:cs="Times New Roman"/>
          <w:highlight w:val="yellow"/>
        </w:rPr>
      </w:pPr>
    </w:p>
    <w:p w:rsidR="009D2A34" w:rsidRPr="0077111F" w:rsidP="009D2A34">
      <w:pPr>
        <w:bidi w:val="0"/>
        <w:ind w:firstLine="708"/>
        <w:jc w:val="both"/>
        <w:rPr>
          <w:rFonts w:ascii="Times New Roman" w:hAnsi="Times New Roman" w:cs="Times New Roman"/>
        </w:rPr>
      </w:pPr>
      <w:r w:rsidRPr="0077111F">
        <w:rPr>
          <w:rFonts w:ascii="Times New Roman" w:hAnsi="Times New Roman" w:cs="Times New Roman"/>
        </w:rPr>
        <w:t>V nižšie uvedených kategóriách výdavkov nie sú pri porovnávaní rokov vylúčené výdavky na SODB a voľby.</w:t>
      </w:r>
    </w:p>
    <w:p w:rsidR="009D2A34" w:rsidRPr="0077111F" w:rsidP="009D2A34">
      <w:pPr>
        <w:bidi w:val="0"/>
        <w:ind w:firstLine="708"/>
        <w:jc w:val="both"/>
        <w:rPr>
          <w:rFonts w:ascii="Times New Roman" w:hAnsi="Times New Roman" w:cs="Times New Roman"/>
        </w:rPr>
      </w:pPr>
    </w:p>
    <w:p w:rsidR="009D2A34" w:rsidRPr="0077111F" w:rsidP="009D2A34">
      <w:pPr>
        <w:bidi w:val="0"/>
        <w:ind w:firstLine="708"/>
        <w:jc w:val="both"/>
        <w:rPr>
          <w:rFonts w:ascii="Times New Roman" w:hAnsi="Times New Roman" w:cs="Times New Roman"/>
        </w:rPr>
      </w:pPr>
      <w:r w:rsidRPr="0077111F">
        <w:rPr>
          <w:rFonts w:ascii="Times New Roman" w:hAnsi="Times New Roman" w:cs="Times New Roman"/>
        </w:rPr>
        <w:t>Objem osobných výdavkov sa na rok 2013 rozpočtuje na úrovni 12,6 mil. eur, čo predstavuje oproti schválenému rozpočtu roku 2012 pokles o 389 tis. eur, t.</w:t>
      </w:r>
      <w:r w:rsidR="001F3259">
        <w:rPr>
          <w:rFonts w:ascii="Times New Roman" w:hAnsi="Times New Roman" w:cs="Times New Roman"/>
        </w:rPr>
        <w:t xml:space="preserve"> </w:t>
      </w:r>
      <w:r w:rsidRPr="0077111F">
        <w:rPr>
          <w:rFonts w:ascii="Times New Roman" w:hAnsi="Times New Roman" w:cs="Times New Roman"/>
        </w:rPr>
        <w:t>j. o 2,99 %.</w:t>
      </w:r>
    </w:p>
    <w:p w:rsidR="009D2A34" w:rsidRPr="0077111F" w:rsidP="009D2A34">
      <w:pPr>
        <w:bidi w:val="0"/>
        <w:ind w:firstLine="708"/>
        <w:jc w:val="both"/>
        <w:rPr>
          <w:rFonts w:ascii="Times New Roman" w:hAnsi="Times New Roman" w:cs="Times New Roman"/>
        </w:rPr>
      </w:pPr>
    </w:p>
    <w:p w:rsidR="009D2A34" w:rsidRPr="0077111F" w:rsidP="009D2A34">
      <w:pPr>
        <w:bidi w:val="0"/>
        <w:ind w:firstLine="708"/>
        <w:jc w:val="both"/>
        <w:rPr>
          <w:rFonts w:ascii="Times New Roman" w:hAnsi="Times New Roman" w:cs="Times New Roman"/>
        </w:rPr>
      </w:pPr>
      <w:r w:rsidRPr="0077111F">
        <w:rPr>
          <w:rFonts w:ascii="Times New Roman" w:hAnsi="Times New Roman" w:cs="Times New Roman"/>
        </w:rPr>
        <w:t>Kapitola na tovary a služby rozpisuje sumu 5,25 mil. eur, čo je viac o 796 tis. eur, t.</w:t>
      </w:r>
      <w:r w:rsidR="001F3259">
        <w:rPr>
          <w:rFonts w:ascii="Times New Roman" w:hAnsi="Times New Roman" w:cs="Times New Roman"/>
        </w:rPr>
        <w:t xml:space="preserve"> </w:t>
      </w:r>
      <w:r w:rsidRPr="0077111F">
        <w:rPr>
          <w:rFonts w:ascii="Times New Roman" w:hAnsi="Times New Roman" w:cs="Times New Roman"/>
        </w:rPr>
        <w:t xml:space="preserve">j. o 17,9 % oproti schválenému rozpočtu roku 2012. </w:t>
      </w:r>
    </w:p>
    <w:p w:rsidR="009D2A34" w:rsidRPr="0077111F" w:rsidP="009D2A34">
      <w:pPr>
        <w:bidi w:val="0"/>
        <w:jc w:val="both"/>
        <w:rPr>
          <w:rFonts w:ascii="Times New Roman" w:hAnsi="Times New Roman" w:cs="Times New Roman"/>
        </w:rPr>
      </w:pPr>
    </w:p>
    <w:p w:rsidR="009D2A34" w:rsidRPr="0077111F" w:rsidP="009D2A34">
      <w:pPr>
        <w:bidi w:val="0"/>
        <w:ind w:firstLine="708"/>
        <w:jc w:val="both"/>
        <w:rPr>
          <w:rFonts w:ascii="Times New Roman" w:hAnsi="Times New Roman" w:cs="Times New Roman"/>
        </w:rPr>
      </w:pPr>
      <w:r w:rsidRPr="0077111F">
        <w:rPr>
          <w:rFonts w:ascii="Times New Roman" w:hAnsi="Times New Roman" w:cs="Times New Roman"/>
        </w:rPr>
        <w:t>Výdavky na bežné transfery sa rozpisujú v sume 793 tis. eur, čo je v porovnaní so schváleným rozpočtom roku 2012 menej o 383 tis. eur, t.</w:t>
      </w:r>
      <w:r w:rsidR="001F3259">
        <w:rPr>
          <w:rFonts w:ascii="Times New Roman" w:hAnsi="Times New Roman" w:cs="Times New Roman"/>
        </w:rPr>
        <w:t xml:space="preserve"> </w:t>
      </w:r>
      <w:r w:rsidRPr="0077111F">
        <w:rPr>
          <w:rFonts w:ascii="Times New Roman" w:hAnsi="Times New Roman" w:cs="Times New Roman"/>
        </w:rPr>
        <w:t>j. o 32,6 %.</w:t>
      </w:r>
    </w:p>
    <w:p w:rsidR="009D2A34" w:rsidRPr="0077111F" w:rsidP="009D2A34">
      <w:pPr>
        <w:bidi w:val="0"/>
        <w:jc w:val="both"/>
        <w:rPr>
          <w:rFonts w:ascii="Times New Roman" w:hAnsi="Times New Roman" w:cs="Times New Roman"/>
        </w:rPr>
      </w:pPr>
    </w:p>
    <w:p w:rsidR="009D2A34" w:rsidRPr="0077111F" w:rsidP="009D2A34">
      <w:pPr>
        <w:autoSpaceDE w:val="0"/>
        <w:autoSpaceDN w:val="0"/>
        <w:bidi w:val="0"/>
        <w:adjustRightInd w:val="0"/>
        <w:ind w:firstLine="708"/>
        <w:jc w:val="both"/>
        <w:rPr>
          <w:rFonts w:ascii="Times New Roman" w:hAnsi="Times New Roman" w:cs="Times New Roman"/>
        </w:rPr>
      </w:pPr>
      <w:r w:rsidRPr="0077111F">
        <w:rPr>
          <w:rFonts w:ascii="Times New Roman" w:hAnsi="Times New Roman" w:cs="Times New Roman"/>
        </w:rPr>
        <w:t xml:space="preserve">Kapitálové výdavky sú navrhované vo výške 300 tis. eur, čo je menej o 415 tis. eur, </w:t>
      </w:r>
      <w:r w:rsidR="001F3259">
        <w:rPr>
          <w:rFonts w:ascii="Times New Roman" w:hAnsi="Times New Roman" w:cs="Times New Roman"/>
        </w:rPr>
        <w:br/>
      </w:r>
      <w:r w:rsidRPr="0077111F">
        <w:rPr>
          <w:rFonts w:ascii="Times New Roman" w:hAnsi="Times New Roman" w:cs="Times New Roman"/>
        </w:rPr>
        <w:t>t.</w:t>
      </w:r>
      <w:r w:rsidR="001F3259">
        <w:rPr>
          <w:rFonts w:ascii="Times New Roman" w:hAnsi="Times New Roman" w:cs="Times New Roman"/>
        </w:rPr>
        <w:t xml:space="preserve"> </w:t>
      </w:r>
      <w:r w:rsidRPr="0077111F">
        <w:rPr>
          <w:rFonts w:ascii="Times New Roman" w:hAnsi="Times New Roman" w:cs="Times New Roman"/>
        </w:rPr>
        <w:t>j. o 58,1 % oproti schválenému rozpočtu roku 2012.</w:t>
      </w:r>
    </w:p>
    <w:p w:rsidR="009D2A34" w:rsidRPr="0077111F" w:rsidP="009D2A34">
      <w:pPr>
        <w:autoSpaceDE w:val="0"/>
        <w:autoSpaceDN w:val="0"/>
        <w:bidi w:val="0"/>
        <w:adjustRightInd w:val="0"/>
        <w:ind w:firstLine="708"/>
        <w:jc w:val="both"/>
        <w:rPr>
          <w:rFonts w:ascii="Times New Roman" w:hAnsi="Times New Roman" w:cs="Times New Roman"/>
          <w:highlight w:val="yellow"/>
        </w:rPr>
      </w:pPr>
    </w:p>
    <w:p w:rsidR="009D2A34" w:rsidRPr="0077111F" w:rsidP="009D2A34">
      <w:pPr>
        <w:autoSpaceDE w:val="0"/>
        <w:autoSpaceDN w:val="0"/>
        <w:bidi w:val="0"/>
        <w:adjustRightInd w:val="0"/>
        <w:ind w:firstLine="708"/>
        <w:jc w:val="both"/>
        <w:rPr>
          <w:rFonts w:ascii="Times New Roman" w:hAnsi="Times New Roman" w:cs="Times New Roman"/>
        </w:rPr>
      </w:pPr>
      <w:r w:rsidRPr="0077111F">
        <w:rPr>
          <w:rFonts w:ascii="Times New Roman" w:hAnsi="Times New Roman" w:cs="Times New Roman"/>
        </w:rPr>
        <w:t>Kapitola formou transferu zabezpečuje financovanie príspevkovej organizácie INFOSTAT, na rok 2013 v sume 750 tis. eur.</w:t>
      </w:r>
    </w:p>
    <w:p w:rsidR="009D2A34" w:rsidRPr="0077111F" w:rsidP="009D2A34">
      <w:pPr>
        <w:autoSpaceDE w:val="0"/>
        <w:autoSpaceDN w:val="0"/>
        <w:bidi w:val="0"/>
        <w:adjustRightInd w:val="0"/>
        <w:ind w:firstLine="708"/>
        <w:jc w:val="both"/>
        <w:rPr>
          <w:rFonts w:ascii="Times New Roman" w:hAnsi="Times New Roman" w:cs="Times New Roman"/>
        </w:rPr>
      </w:pPr>
    </w:p>
    <w:tbl>
      <w:tblPr>
        <w:tblStyle w:val="TableNormal"/>
        <w:tblW w:w="5193" w:type="pct"/>
        <w:tblLayout w:type="fixed"/>
        <w:tblCellMar>
          <w:left w:w="70" w:type="dxa"/>
          <w:right w:w="70" w:type="dxa"/>
        </w:tblCellMar>
        <w:tblLook w:val="04A0"/>
      </w:tblPr>
      <w:tblGrid>
        <w:gridCol w:w="2615"/>
        <w:gridCol w:w="991"/>
        <w:gridCol w:w="991"/>
        <w:gridCol w:w="993"/>
        <w:gridCol w:w="991"/>
        <w:gridCol w:w="993"/>
        <w:gridCol w:w="991"/>
        <w:gridCol w:w="1003"/>
      </w:tblGrid>
      <w:tr>
        <w:tblPrEx>
          <w:tblW w:w="5193" w:type="pct"/>
          <w:tblLayout w:type="fixed"/>
          <w:tblCellMar>
            <w:left w:w="70" w:type="dxa"/>
            <w:right w:w="70" w:type="dxa"/>
          </w:tblCellMar>
          <w:tblLook w:val="04A0"/>
        </w:tblPrEx>
        <w:trPr>
          <w:trHeight w:val="259"/>
        </w:trPr>
        <w:tc>
          <w:tcPr>
            <w:tcW w:w="1366"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v eurách</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2010 S</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2011 S</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2012 R</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2012 OS</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2013 N</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2014 N</w:t>
            </w:r>
          </w:p>
        </w:tc>
        <w:tc>
          <w:tcPr>
            <w:tcW w:w="52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2015 N</w:t>
            </w:r>
          </w:p>
        </w:tc>
      </w:tr>
      <w:tr>
        <w:tblPrEx>
          <w:tblW w:w="5193" w:type="pct"/>
          <w:tblLayout w:type="fixed"/>
          <w:tblCellMar>
            <w:left w:w="70" w:type="dxa"/>
            <w:right w:w="70" w:type="dxa"/>
          </w:tblCellMar>
          <w:tblLook w:val="04A0"/>
        </w:tblPrEx>
        <w:trPr>
          <w:trHeight w:val="259"/>
        </w:trPr>
        <w:tc>
          <w:tcPr>
            <w:tcW w:w="1366" w:type="pct"/>
            <w:tcBorders>
              <w:top w:val="single" w:sz="4" w:space="0" w:color="auto"/>
              <w:left w:val="single" w:sz="4" w:space="0" w:color="auto"/>
              <w:bottom w:val="single" w:sz="4" w:space="0" w:color="auto"/>
              <w:right w:val="single" w:sz="4" w:space="0" w:color="auto"/>
            </w:tcBorders>
            <w:shd w:val="clear" w:color="000000" w:fill="auto"/>
            <w:noWrap/>
            <w:textDirection w:val="lrTb"/>
            <w:vAlign w:val="center"/>
            <w:hideMark/>
          </w:tcPr>
          <w:p w:rsidR="009D2A34" w:rsidRPr="0077111F" w:rsidP="006338E5">
            <w:pPr>
              <w:bidi w:val="0"/>
              <w:rPr>
                <w:rFonts w:ascii="Times New Roman" w:hAnsi="Times New Roman" w:cs="Times New Roman"/>
                <w:bCs/>
                <w:sz w:val="14"/>
                <w:szCs w:val="14"/>
              </w:rPr>
            </w:pPr>
            <w:r w:rsidRPr="0077111F">
              <w:rPr>
                <w:rFonts w:ascii="Times New Roman" w:hAnsi="Times New Roman" w:cs="Times New Roman"/>
                <w:bCs/>
                <w:sz w:val="14"/>
                <w:szCs w:val="14"/>
              </w:rPr>
              <w:t>INFOSTAT</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77111F" w:rsidP="006338E5">
            <w:pPr>
              <w:bidi w:val="0"/>
              <w:jc w:val="right"/>
              <w:rPr>
                <w:rFonts w:ascii="Times New Roman" w:hAnsi="Times New Roman" w:cs="Times New Roman"/>
                <w:bCs/>
                <w:sz w:val="14"/>
                <w:szCs w:val="14"/>
              </w:rPr>
            </w:pPr>
            <w:r w:rsidRPr="0077111F">
              <w:rPr>
                <w:rFonts w:ascii="Times New Roman" w:hAnsi="Times New Roman" w:cs="Times New Roman"/>
                <w:bCs/>
                <w:sz w:val="14"/>
                <w:szCs w:val="14"/>
              </w:rPr>
              <w:t>2 049 218</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77111F" w:rsidP="006338E5">
            <w:pPr>
              <w:bidi w:val="0"/>
              <w:jc w:val="right"/>
              <w:rPr>
                <w:rFonts w:ascii="Times New Roman" w:hAnsi="Times New Roman" w:cs="Times New Roman"/>
                <w:bCs/>
                <w:sz w:val="14"/>
                <w:szCs w:val="14"/>
              </w:rPr>
            </w:pPr>
            <w:r w:rsidRPr="0077111F">
              <w:rPr>
                <w:rFonts w:ascii="Times New Roman" w:hAnsi="Times New Roman" w:cs="Times New Roman"/>
                <w:bCs/>
                <w:sz w:val="14"/>
                <w:szCs w:val="14"/>
              </w:rPr>
              <w:t>1 284 926</w:t>
            </w:r>
          </w:p>
        </w:tc>
        <w:tc>
          <w:tcPr>
            <w:tcW w:w="519"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77111F" w:rsidP="006338E5">
            <w:pPr>
              <w:bidi w:val="0"/>
              <w:jc w:val="right"/>
              <w:rPr>
                <w:rFonts w:ascii="Times New Roman" w:hAnsi="Times New Roman" w:cs="Times New Roman"/>
                <w:bCs/>
                <w:sz w:val="14"/>
                <w:szCs w:val="14"/>
              </w:rPr>
            </w:pPr>
            <w:r w:rsidRPr="0077111F">
              <w:rPr>
                <w:rFonts w:ascii="Times New Roman" w:hAnsi="Times New Roman" w:cs="Times New Roman"/>
                <w:bCs/>
                <w:sz w:val="14"/>
                <w:szCs w:val="14"/>
              </w:rPr>
              <w:t>1 133 405</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77111F" w:rsidP="006338E5">
            <w:pPr>
              <w:bidi w:val="0"/>
              <w:jc w:val="right"/>
              <w:rPr>
                <w:rFonts w:ascii="Times New Roman" w:hAnsi="Times New Roman" w:cs="Times New Roman"/>
                <w:bCs/>
                <w:sz w:val="14"/>
                <w:szCs w:val="14"/>
              </w:rPr>
            </w:pPr>
            <w:r w:rsidRPr="0077111F">
              <w:rPr>
                <w:rFonts w:ascii="Times New Roman" w:hAnsi="Times New Roman" w:cs="Times New Roman"/>
                <w:bCs/>
                <w:sz w:val="14"/>
                <w:szCs w:val="14"/>
              </w:rPr>
              <w:t>1 340 455</w:t>
            </w:r>
          </w:p>
        </w:tc>
        <w:tc>
          <w:tcPr>
            <w:tcW w:w="519"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77111F" w:rsidP="006338E5">
            <w:pPr>
              <w:bidi w:val="0"/>
              <w:jc w:val="right"/>
              <w:rPr>
                <w:rFonts w:ascii="Times New Roman" w:hAnsi="Times New Roman" w:cs="Times New Roman"/>
                <w:bCs/>
                <w:sz w:val="14"/>
                <w:szCs w:val="14"/>
              </w:rPr>
            </w:pPr>
            <w:r w:rsidRPr="0077111F">
              <w:rPr>
                <w:rFonts w:ascii="Times New Roman" w:hAnsi="Times New Roman" w:cs="Times New Roman"/>
                <w:bCs/>
                <w:sz w:val="14"/>
                <w:szCs w:val="14"/>
              </w:rPr>
              <w:t>750 000</w:t>
            </w:r>
          </w:p>
        </w:tc>
        <w:tc>
          <w:tcPr>
            <w:tcW w:w="518"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77111F" w:rsidP="006338E5">
            <w:pPr>
              <w:bidi w:val="0"/>
              <w:jc w:val="right"/>
              <w:rPr>
                <w:rFonts w:ascii="Times New Roman" w:hAnsi="Times New Roman" w:cs="Times New Roman"/>
                <w:bCs/>
                <w:sz w:val="14"/>
                <w:szCs w:val="14"/>
              </w:rPr>
            </w:pPr>
            <w:r w:rsidRPr="0077111F">
              <w:rPr>
                <w:rFonts w:ascii="Times New Roman" w:hAnsi="Times New Roman" w:cs="Times New Roman"/>
                <w:bCs/>
                <w:sz w:val="14"/>
                <w:szCs w:val="14"/>
              </w:rPr>
              <w:t>780 000</w:t>
            </w:r>
          </w:p>
        </w:tc>
        <w:tc>
          <w:tcPr>
            <w:tcW w:w="524" w:type="pct"/>
            <w:tcBorders>
              <w:top w:val="single" w:sz="4" w:space="0" w:color="auto"/>
              <w:left w:val="nil"/>
              <w:bottom w:val="single" w:sz="4" w:space="0" w:color="auto"/>
              <w:right w:val="single" w:sz="4" w:space="0" w:color="auto"/>
            </w:tcBorders>
            <w:shd w:val="clear" w:color="000000" w:fill="auto"/>
            <w:textDirection w:val="lrTb"/>
            <w:vAlign w:val="center"/>
            <w:hideMark/>
          </w:tcPr>
          <w:p w:rsidR="009D2A34" w:rsidRPr="0077111F" w:rsidP="006338E5">
            <w:pPr>
              <w:bidi w:val="0"/>
              <w:jc w:val="right"/>
              <w:rPr>
                <w:rFonts w:ascii="Times New Roman" w:hAnsi="Times New Roman" w:cs="Times New Roman"/>
                <w:bCs/>
                <w:sz w:val="14"/>
                <w:szCs w:val="14"/>
              </w:rPr>
            </w:pPr>
            <w:r w:rsidRPr="0077111F">
              <w:rPr>
                <w:rFonts w:ascii="Times New Roman" w:hAnsi="Times New Roman" w:cs="Times New Roman"/>
                <w:bCs/>
                <w:sz w:val="14"/>
                <w:szCs w:val="14"/>
              </w:rPr>
              <w:t>800 000</w:t>
            </w:r>
          </w:p>
        </w:tc>
      </w:tr>
    </w:tbl>
    <w:p w:rsidR="009D2A34" w:rsidRPr="007E0D85" w:rsidP="009D2A34">
      <w:pPr>
        <w:bidi w:val="0"/>
        <w:jc w:val="both"/>
        <w:rPr>
          <w:rFonts w:ascii="Times New Roman" w:hAnsi="Times New Roman" w:cs="Times New Roman"/>
          <w:b/>
          <w:bCs/>
          <w:highlight w:val="yellow"/>
        </w:rPr>
      </w:pPr>
    </w:p>
    <w:p w:rsidR="009D2A34" w:rsidP="009D2A34">
      <w:pPr>
        <w:bidi w:val="0"/>
        <w:jc w:val="both"/>
        <w:rPr>
          <w:rFonts w:ascii="Times New Roman" w:hAnsi="Times New Roman" w:cs="Times New Roman"/>
          <w:b/>
          <w:bCs/>
          <w:highlight w:val="yellow"/>
        </w:rPr>
      </w:pPr>
    </w:p>
    <w:p w:rsidR="00D83F50" w:rsidP="009D2A34">
      <w:pPr>
        <w:bidi w:val="0"/>
        <w:jc w:val="both"/>
        <w:rPr>
          <w:rFonts w:ascii="Times New Roman" w:hAnsi="Times New Roman" w:cs="Times New Roman"/>
          <w:b/>
          <w:bCs/>
          <w:highlight w:val="yellow"/>
        </w:rPr>
      </w:pPr>
    </w:p>
    <w:p w:rsidR="0059702E" w:rsidP="009D2A34">
      <w:pPr>
        <w:bidi w:val="0"/>
        <w:jc w:val="both"/>
        <w:rPr>
          <w:rFonts w:ascii="Times New Roman" w:hAnsi="Times New Roman" w:cs="Times New Roman"/>
          <w:b/>
          <w:bCs/>
          <w:highlight w:val="yellow"/>
        </w:rPr>
      </w:pPr>
    </w:p>
    <w:p w:rsidR="00D83F50" w:rsidP="009D2A34">
      <w:pPr>
        <w:bidi w:val="0"/>
        <w:jc w:val="both"/>
        <w:rPr>
          <w:rFonts w:ascii="Times New Roman" w:hAnsi="Times New Roman" w:cs="Times New Roman"/>
          <w:b/>
          <w:bCs/>
          <w:highlight w:val="yellow"/>
        </w:rPr>
      </w:pPr>
    </w:p>
    <w:p w:rsidR="00D83F50" w:rsidP="009D2A34">
      <w:pPr>
        <w:bidi w:val="0"/>
        <w:jc w:val="both"/>
        <w:rPr>
          <w:rFonts w:ascii="Times New Roman" w:hAnsi="Times New Roman" w:cs="Times New Roman"/>
          <w:b/>
          <w:bCs/>
          <w:highlight w:val="yellow"/>
        </w:rPr>
      </w:pPr>
    </w:p>
    <w:p w:rsidR="00D83F50" w:rsidP="009D2A34">
      <w:pPr>
        <w:bidi w:val="0"/>
        <w:jc w:val="both"/>
        <w:rPr>
          <w:rFonts w:ascii="Times New Roman" w:hAnsi="Times New Roman" w:cs="Times New Roman"/>
          <w:b/>
          <w:bCs/>
          <w:highlight w:val="yellow"/>
        </w:rPr>
      </w:pPr>
    </w:p>
    <w:p w:rsidR="00D83F50" w:rsidRPr="007E0D85" w:rsidP="009D2A34">
      <w:pPr>
        <w:bidi w:val="0"/>
        <w:jc w:val="both"/>
        <w:rPr>
          <w:rFonts w:ascii="Times New Roman" w:hAnsi="Times New Roman" w:cs="Times New Roman"/>
          <w:b/>
          <w:bCs/>
          <w:highlight w:val="yellow"/>
        </w:rPr>
      </w:pPr>
    </w:p>
    <w:p w:rsidR="003E7CD4" w:rsidRPr="007E0D85" w:rsidP="009D2A34">
      <w:pPr>
        <w:bidi w:val="0"/>
        <w:jc w:val="both"/>
        <w:rPr>
          <w:rFonts w:ascii="Times New Roman" w:hAnsi="Times New Roman" w:cs="Times New Roman"/>
          <w:b/>
          <w:bCs/>
          <w:highlight w:val="yellow"/>
        </w:rPr>
      </w:pPr>
    </w:p>
    <w:p w:rsidR="009D2A34" w:rsidRPr="0077111F" w:rsidP="009D2A34">
      <w:pPr>
        <w:pBdr>
          <w:bottom w:val="single" w:sz="4" w:space="1" w:color="auto"/>
        </w:pBdr>
        <w:bidi w:val="0"/>
        <w:jc w:val="both"/>
        <w:rPr>
          <w:rFonts w:ascii="Times New Roman" w:hAnsi="Times New Roman" w:cs="Times New Roman"/>
          <w:b/>
          <w:bCs/>
        </w:rPr>
      </w:pPr>
      <w:r w:rsidRPr="0077111F">
        <w:rPr>
          <w:rFonts w:ascii="Times New Roman" w:hAnsi="Times New Roman" w:cs="Times New Roman"/>
          <w:b/>
          <w:bCs/>
        </w:rPr>
        <w:t>Úrad pre verejné obstarávanie</w:t>
      </w:r>
    </w:p>
    <w:p w:rsidR="009D2A34" w:rsidRPr="0077111F" w:rsidP="009D2A34">
      <w:pPr>
        <w:bidi w:val="0"/>
        <w:jc w:val="both"/>
        <w:rPr>
          <w:rFonts w:ascii="Times New Roman" w:hAnsi="Times New Roman" w:cs="Times New Roman"/>
          <w:b/>
          <w:bCs/>
          <w:highlight w:val="yellow"/>
        </w:rPr>
      </w:pPr>
    </w:p>
    <w:tbl>
      <w:tblPr>
        <w:tblStyle w:val="TableNormal"/>
        <w:tblW w:w="5000" w:type="pct"/>
        <w:tblCellMar>
          <w:left w:w="70" w:type="dxa"/>
          <w:right w:w="70" w:type="dxa"/>
        </w:tblCellMar>
        <w:tblLook w:val="04A0"/>
      </w:tblPr>
      <w:tblGrid>
        <w:gridCol w:w="2520"/>
        <w:gridCol w:w="957"/>
        <w:gridCol w:w="957"/>
        <w:gridCol w:w="956"/>
        <w:gridCol w:w="958"/>
        <w:gridCol w:w="954"/>
        <w:gridCol w:w="956"/>
        <w:gridCol w:w="954"/>
      </w:tblGrid>
      <w:tr>
        <w:tblPrEx>
          <w:tblW w:w="5000" w:type="pct"/>
          <w:tblCellMar>
            <w:left w:w="70" w:type="dxa"/>
            <w:right w:w="70" w:type="dxa"/>
          </w:tblCellMar>
          <w:tblLook w:val="04A0"/>
        </w:tblPrEx>
        <w:trPr>
          <w:trHeight w:val="259"/>
        </w:trPr>
        <w:tc>
          <w:tcPr>
            <w:tcW w:w="136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v eurách</w:t>
            </w:r>
          </w:p>
        </w:tc>
        <w:tc>
          <w:tcPr>
            <w:tcW w:w="519"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2010</w:t>
            </w:r>
            <w:r w:rsidR="001F3259">
              <w:rPr>
                <w:rFonts w:ascii="Times New Roman" w:hAnsi="Times New Roman" w:cs="Times New Roman"/>
                <w:b/>
                <w:color w:val="000000"/>
                <w:sz w:val="14"/>
                <w:szCs w:val="14"/>
              </w:rPr>
              <w:t xml:space="preserve"> </w:t>
            </w:r>
            <w:r w:rsidRPr="0077111F">
              <w:rPr>
                <w:rFonts w:ascii="Times New Roman" w:hAnsi="Times New Roman" w:cs="Times New Roman"/>
                <w:b/>
                <w:color w:val="000000"/>
                <w:sz w:val="14"/>
                <w:szCs w:val="14"/>
              </w:rPr>
              <w:t>S</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2011 S</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2012 R</w:t>
            </w:r>
          </w:p>
        </w:tc>
        <w:tc>
          <w:tcPr>
            <w:tcW w:w="52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2012 OS</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2013 N</w:t>
            </w:r>
          </w:p>
        </w:tc>
        <w:tc>
          <w:tcPr>
            <w:tcW w:w="519"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2014 N</w:t>
            </w:r>
          </w:p>
        </w:tc>
        <w:tc>
          <w:tcPr>
            <w:tcW w:w="518"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77111F" w:rsidP="006338E5">
            <w:pPr>
              <w:bidi w:val="0"/>
              <w:jc w:val="center"/>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2015 N</w:t>
            </w:r>
          </w:p>
        </w:tc>
      </w:tr>
      <w:tr>
        <w:tblPrEx>
          <w:tblW w:w="5000" w:type="pct"/>
          <w:tblCellMar>
            <w:left w:w="70" w:type="dxa"/>
            <w:right w:w="70" w:type="dxa"/>
          </w:tblCellMar>
          <w:tblLook w:val="04A0"/>
        </w:tblPrEx>
        <w:trPr>
          <w:trHeight w:val="259"/>
        </w:trPr>
        <w:tc>
          <w:tcPr>
            <w:tcW w:w="1367" w:type="pct"/>
            <w:tcBorders>
              <w:top w:val="nil"/>
              <w:left w:val="single" w:sz="4" w:space="0" w:color="auto"/>
              <w:bottom w:val="single" w:sz="4" w:space="0" w:color="auto"/>
              <w:right w:val="single" w:sz="4" w:space="0" w:color="auto"/>
            </w:tcBorders>
            <w:shd w:val="clear" w:color="auto" w:fill="C0C0C0"/>
            <w:noWrap/>
            <w:textDirection w:val="lrTb"/>
            <w:vAlign w:val="center"/>
            <w:hideMark/>
          </w:tcPr>
          <w:p w:rsidR="009D2A34" w:rsidRPr="0077111F" w:rsidP="006338E5">
            <w:pPr>
              <w:bidi w:val="0"/>
              <w:rPr>
                <w:rFonts w:ascii="Times New Roman" w:hAnsi="Times New Roman" w:cs="Times New Roman"/>
                <w:b/>
                <w:bCs/>
                <w:sz w:val="14"/>
                <w:szCs w:val="14"/>
              </w:rPr>
            </w:pPr>
            <w:r w:rsidRPr="0077111F">
              <w:rPr>
                <w:rFonts w:ascii="Times New Roman" w:hAnsi="Times New Roman" w:cs="Times New Roman"/>
                <w:b/>
                <w:bCs/>
                <w:sz w:val="14"/>
                <w:szCs w:val="14"/>
              </w:rPr>
              <w:t>Zdroje príslušnej kapitoly</w:t>
            </w:r>
          </w:p>
        </w:tc>
        <w:tc>
          <w:tcPr>
            <w:tcW w:w="519" w:type="pct"/>
            <w:tcBorders>
              <w:top w:val="single" w:sz="4" w:space="0" w:color="auto"/>
              <w:left w:val="nil"/>
              <w:bottom w:val="single" w:sz="4" w:space="0" w:color="auto"/>
              <w:right w:val="single" w:sz="4" w:space="0" w:color="auto"/>
            </w:tcBorders>
            <w:shd w:val="clear" w:color="auto"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3 267 903</w:t>
            </w:r>
          </w:p>
        </w:tc>
        <w:tc>
          <w:tcPr>
            <w:tcW w:w="519" w:type="pct"/>
            <w:tcBorders>
              <w:top w:val="nil"/>
              <w:left w:val="single" w:sz="4" w:space="0" w:color="auto"/>
              <w:bottom w:val="single" w:sz="4" w:space="0" w:color="auto"/>
              <w:right w:val="single" w:sz="4" w:space="0" w:color="auto"/>
            </w:tcBorders>
            <w:shd w:val="clear" w:color="auto"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4 931 423</w:t>
            </w:r>
          </w:p>
        </w:tc>
        <w:tc>
          <w:tcPr>
            <w:tcW w:w="519" w:type="pct"/>
            <w:tcBorders>
              <w:top w:val="nil"/>
              <w:left w:val="nil"/>
              <w:bottom w:val="single" w:sz="4" w:space="0" w:color="auto"/>
              <w:right w:val="single" w:sz="4" w:space="0" w:color="auto"/>
            </w:tcBorders>
            <w:shd w:val="clear" w:color="auto"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2 629 437</w:t>
            </w:r>
          </w:p>
        </w:tc>
        <w:tc>
          <w:tcPr>
            <w:tcW w:w="520" w:type="pct"/>
            <w:tcBorders>
              <w:top w:val="nil"/>
              <w:left w:val="nil"/>
              <w:bottom w:val="single" w:sz="4" w:space="0" w:color="auto"/>
              <w:right w:val="single" w:sz="4" w:space="0" w:color="auto"/>
            </w:tcBorders>
            <w:shd w:val="clear" w:color="auto"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3 342 895</w:t>
            </w:r>
          </w:p>
        </w:tc>
        <w:tc>
          <w:tcPr>
            <w:tcW w:w="518" w:type="pct"/>
            <w:tcBorders>
              <w:top w:val="nil"/>
              <w:left w:val="nil"/>
              <w:bottom w:val="single" w:sz="4" w:space="0" w:color="auto"/>
              <w:right w:val="single" w:sz="4" w:space="0" w:color="auto"/>
            </w:tcBorders>
            <w:shd w:val="clear" w:color="auto"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2 904 708</w:t>
            </w:r>
          </w:p>
        </w:tc>
        <w:tc>
          <w:tcPr>
            <w:tcW w:w="519" w:type="pct"/>
            <w:tcBorders>
              <w:top w:val="nil"/>
              <w:left w:val="nil"/>
              <w:bottom w:val="single" w:sz="4" w:space="0" w:color="auto"/>
              <w:right w:val="single" w:sz="4" w:space="0" w:color="auto"/>
            </w:tcBorders>
            <w:shd w:val="clear" w:color="auto"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2 905 858</w:t>
            </w:r>
          </w:p>
        </w:tc>
        <w:tc>
          <w:tcPr>
            <w:tcW w:w="518" w:type="pct"/>
            <w:tcBorders>
              <w:top w:val="nil"/>
              <w:left w:val="nil"/>
              <w:bottom w:val="single" w:sz="4" w:space="0" w:color="auto"/>
              <w:right w:val="single" w:sz="4" w:space="0" w:color="auto"/>
            </w:tcBorders>
            <w:shd w:val="clear" w:color="auto" w:fill="C0C0C0"/>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2 909 372</w:t>
            </w:r>
          </w:p>
        </w:tc>
      </w:tr>
      <w:tr>
        <w:tblPrEx>
          <w:tblW w:w="5000" w:type="pct"/>
          <w:tblCellMar>
            <w:left w:w="70" w:type="dxa"/>
            <w:right w:w="70" w:type="dxa"/>
          </w:tblCellMar>
          <w:tblLook w:val="04A0"/>
        </w:tblPrEx>
        <w:trPr>
          <w:trHeight w:val="259"/>
        </w:trPr>
        <w:tc>
          <w:tcPr>
            <w:tcW w:w="1367"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b/>
                <w:sz w:val="14"/>
                <w:szCs w:val="14"/>
              </w:rPr>
            </w:pPr>
            <w:r w:rsidRPr="0077111F">
              <w:rPr>
                <w:rFonts w:ascii="Times New Roman" w:hAnsi="Times New Roman" w:cs="Times New Roman"/>
                <w:b/>
                <w:sz w:val="14"/>
                <w:szCs w:val="14"/>
              </w:rPr>
              <w:t xml:space="preserve">rozpočtové zdroje kapitoly </w:t>
            </w:r>
          </w:p>
        </w:tc>
        <w:tc>
          <w:tcPr>
            <w:tcW w:w="519" w:type="pct"/>
            <w:tcBorders>
              <w:top w:val="single" w:sz="4" w:space="0" w:color="auto"/>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3 235 664</w:t>
            </w:r>
          </w:p>
        </w:tc>
        <w:tc>
          <w:tcPr>
            <w:tcW w:w="519" w:type="pct"/>
            <w:tcBorders>
              <w:top w:val="nil"/>
              <w:left w:val="single" w:sz="4" w:space="0" w:color="auto"/>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4 931 423</w:t>
            </w:r>
          </w:p>
        </w:tc>
        <w:tc>
          <w:tcPr>
            <w:tcW w:w="519"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2 629 437</w:t>
            </w:r>
          </w:p>
        </w:tc>
        <w:tc>
          <w:tcPr>
            <w:tcW w:w="520"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bCs/>
                <w:sz w:val="14"/>
                <w:szCs w:val="14"/>
              </w:rPr>
              <w:t>3 342 895</w:t>
            </w:r>
          </w:p>
        </w:tc>
        <w:tc>
          <w:tcPr>
            <w:tcW w:w="518"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2 904 708</w:t>
            </w:r>
          </w:p>
        </w:tc>
        <w:tc>
          <w:tcPr>
            <w:tcW w:w="519"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2 905 858</w:t>
            </w:r>
          </w:p>
        </w:tc>
        <w:tc>
          <w:tcPr>
            <w:tcW w:w="518" w:type="pct"/>
            <w:tcBorders>
              <w:top w:val="nil"/>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bCs/>
                <w:sz w:val="14"/>
                <w:szCs w:val="14"/>
              </w:rPr>
            </w:pPr>
            <w:r w:rsidRPr="0077111F">
              <w:rPr>
                <w:rFonts w:ascii="Times New Roman" w:hAnsi="Times New Roman" w:cs="Times New Roman"/>
                <w:b/>
                <w:bCs/>
                <w:sz w:val="14"/>
                <w:szCs w:val="14"/>
              </w:rPr>
              <w:t>2 909 372</w:t>
            </w:r>
          </w:p>
        </w:tc>
      </w:tr>
      <w:tr>
        <w:tblPrEx>
          <w:tblW w:w="5000" w:type="pct"/>
          <w:tblCellMar>
            <w:left w:w="70" w:type="dxa"/>
            <w:right w:w="70" w:type="dxa"/>
          </w:tblCellMar>
          <w:tblLook w:val="04A0"/>
        </w:tblPrEx>
        <w:trPr>
          <w:trHeight w:val="259"/>
        </w:trPr>
        <w:tc>
          <w:tcPr>
            <w:tcW w:w="1367"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v tom: bežné výdavky 600</w:t>
            </w:r>
          </w:p>
        </w:tc>
        <w:tc>
          <w:tcPr>
            <w:tcW w:w="519" w:type="pct"/>
            <w:tcBorders>
              <w:top w:val="single" w:sz="4" w:space="0" w:color="auto"/>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3 228 021</w:t>
            </w:r>
          </w:p>
        </w:tc>
        <w:tc>
          <w:tcPr>
            <w:tcW w:w="519" w:type="pct"/>
            <w:tcBorders>
              <w:top w:val="nil"/>
              <w:left w:val="single" w:sz="4" w:space="0" w:color="auto"/>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3 065 913</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2 605 977</w:t>
            </w:r>
          </w:p>
        </w:tc>
        <w:tc>
          <w:tcPr>
            <w:tcW w:w="520"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2 643 715</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2 881 248</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2 882 398</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2 885 912</w:t>
            </w:r>
          </w:p>
        </w:tc>
      </w:tr>
      <w:tr>
        <w:tblPrEx>
          <w:tblW w:w="5000" w:type="pct"/>
          <w:tblCellMar>
            <w:left w:w="70" w:type="dxa"/>
            <w:right w:w="70" w:type="dxa"/>
          </w:tblCellMar>
          <w:tblLook w:val="04A0"/>
        </w:tblPrEx>
        <w:trPr>
          <w:trHeight w:val="259"/>
        </w:trPr>
        <w:tc>
          <w:tcPr>
            <w:tcW w:w="1367"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610 mzdy</w:t>
            </w:r>
          </w:p>
        </w:tc>
        <w:tc>
          <w:tcPr>
            <w:tcW w:w="519" w:type="pct"/>
            <w:tcBorders>
              <w:top w:val="single" w:sz="4" w:space="0" w:color="auto"/>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 xml:space="preserve">1 375 478 </w:t>
            </w:r>
          </w:p>
        </w:tc>
        <w:tc>
          <w:tcPr>
            <w:tcW w:w="519" w:type="pct"/>
            <w:tcBorders>
              <w:top w:val="nil"/>
              <w:left w:val="single" w:sz="4" w:space="0" w:color="auto"/>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1 342 348</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1 209 817</w:t>
            </w:r>
          </w:p>
        </w:tc>
        <w:tc>
          <w:tcPr>
            <w:tcW w:w="520"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1 209 817</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1 284 194</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1 285 046</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1 287 650</w:t>
            </w:r>
          </w:p>
        </w:tc>
      </w:tr>
      <w:tr>
        <w:tblPrEx>
          <w:tblW w:w="5000" w:type="pct"/>
          <w:tblCellMar>
            <w:left w:w="70" w:type="dxa"/>
            <w:right w:w="70" w:type="dxa"/>
          </w:tblCellMar>
          <w:tblLook w:val="04A0"/>
        </w:tblPrEx>
        <w:trPr>
          <w:trHeight w:val="259"/>
        </w:trPr>
        <w:tc>
          <w:tcPr>
            <w:tcW w:w="1367"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620 odvody</w:t>
            </w:r>
          </w:p>
        </w:tc>
        <w:tc>
          <w:tcPr>
            <w:tcW w:w="519" w:type="pct"/>
            <w:tcBorders>
              <w:top w:val="single" w:sz="4" w:space="0" w:color="auto"/>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466 067</w:t>
            </w:r>
          </w:p>
        </w:tc>
        <w:tc>
          <w:tcPr>
            <w:tcW w:w="519" w:type="pct"/>
            <w:tcBorders>
              <w:top w:val="nil"/>
              <w:left w:val="single" w:sz="4" w:space="0" w:color="auto"/>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459 168</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408 950</w:t>
            </w:r>
          </w:p>
        </w:tc>
        <w:tc>
          <w:tcPr>
            <w:tcW w:w="520"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408 950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436 625</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436 915</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437 799</w:t>
            </w:r>
          </w:p>
        </w:tc>
      </w:tr>
      <w:tr>
        <w:tblPrEx>
          <w:tblW w:w="5000" w:type="pct"/>
          <w:tblCellMar>
            <w:left w:w="70" w:type="dxa"/>
            <w:right w:w="70" w:type="dxa"/>
          </w:tblCellMar>
          <w:tblLook w:val="04A0"/>
        </w:tblPrEx>
        <w:trPr>
          <w:trHeight w:val="259"/>
        </w:trPr>
        <w:tc>
          <w:tcPr>
            <w:tcW w:w="1367"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630 tovary a služby</w:t>
            </w:r>
          </w:p>
        </w:tc>
        <w:tc>
          <w:tcPr>
            <w:tcW w:w="519" w:type="pct"/>
            <w:tcBorders>
              <w:top w:val="single" w:sz="4" w:space="0" w:color="auto"/>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1 325 697</w:t>
            </w:r>
          </w:p>
        </w:tc>
        <w:tc>
          <w:tcPr>
            <w:tcW w:w="519" w:type="pct"/>
            <w:tcBorders>
              <w:top w:val="nil"/>
              <w:left w:val="single" w:sz="4" w:space="0" w:color="auto"/>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1 226 736</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976 210</w:t>
            </w:r>
          </w:p>
        </w:tc>
        <w:tc>
          <w:tcPr>
            <w:tcW w:w="520"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1 013 948</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1 149 429</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1 149 437</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1 149 463</w:t>
            </w:r>
          </w:p>
        </w:tc>
      </w:tr>
      <w:tr>
        <w:tblPrEx>
          <w:tblW w:w="5000" w:type="pct"/>
          <w:tblCellMar>
            <w:left w:w="70" w:type="dxa"/>
            <w:right w:w="70" w:type="dxa"/>
          </w:tblCellMar>
          <w:tblLook w:val="04A0"/>
        </w:tblPrEx>
        <w:trPr>
          <w:trHeight w:val="259"/>
        </w:trPr>
        <w:tc>
          <w:tcPr>
            <w:tcW w:w="1367"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640 bežné transfery</w:t>
            </w:r>
          </w:p>
        </w:tc>
        <w:tc>
          <w:tcPr>
            <w:tcW w:w="519" w:type="pct"/>
            <w:tcBorders>
              <w:top w:val="single" w:sz="4" w:space="0" w:color="auto"/>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60 778</w:t>
            </w:r>
          </w:p>
        </w:tc>
        <w:tc>
          <w:tcPr>
            <w:tcW w:w="519" w:type="pct"/>
            <w:tcBorders>
              <w:top w:val="nil"/>
              <w:left w:val="single" w:sz="4" w:space="0" w:color="auto"/>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37 661</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11 000</w:t>
            </w:r>
          </w:p>
        </w:tc>
        <w:tc>
          <w:tcPr>
            <w:tcW w:w="520"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11 000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11 000</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11 000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11 000</w:t>
            </w:r>
          </w:p>
        </w:tc>
      </w:tr>
      <w:tr>
        <w:tblPrEx>
          <w:tblW w:w="5000" w:type="pct"/>
          <w:tblCellMar>
            <w:left w:w="70" w:type="dxa"/>
            <w:right w:w="70" w:type="dxa"/>
          </w:tblCellMar>
          <w:tblLook w:val="04A0"/>
        </w:tblPrEx>
        <w:trPr>
          <w:trHeight w:val="259"/>
        </w:trPr>
        <w:tc>
          <w:tcPr>
            <w:tcW w:w="1367" w:type="pct"/>
            <w:tcBorders>
              <w:top w:val="nil"/>
              <w:left w:val="single" w:sz="4" w:space="0" w:color="auto"/>
              <w:bottom w:val="single" w:sz="4" w:space="0" w:color="auto"/>
              <w:right w:val="single" w:sz="4" w:space="0" w:color="auto"/>
            </w:tcBorders>
            <w:noWrap/>
            <w:textDirection w:val="lrTb"/>
            <w:vAlign w:val="center"/>
            <w:hideMark/>
          </w:tcPr>
          <w:p w:rsidR="009D2A34" w:rsidRPr="0077111F" w:rsidP="006338E5">
            <w:pPr>
              <w:bidi w:val="0"/>
              <w:rPr>
                <w:rFonts w:ascii="Times New Roman" w:hAnsi="Times New Roman" w:cs="Times New Roman"/>
                <w:sz w:val="14"/>
                <w:szCs w:val="14"/>
              </w:rPr>
            </w:pPr>
            <w:r w:rsidRPr="0077111F">
              <w:rPr>
                <w:rFonts w:ascii="Times New Roman" w:hAnsi="Times New Roman" w:cs="Times New Roman"/>
                <w:sz w:val="14"/>
                <w:szCs w:val="14"/>
              </w:rPr>
              <w:t xml:space="preserve">                   kapitálové výdavky 700</w:t>
            </w:r>
          </w:p>
        </w:tc>
        <w:tc>
          <w:tcPr>
            <w:tcW w:w="519" w:type="pct"/>
            <w:tcBorders>
              <w:top w:val="single" w:sz="4" w:space="0" w:color="auto"/>
              <w:left w:val="nil"/>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7 643</w:t>
            </w:r>
          </w:p>
        </w:tc>
        <w:tc>
          <w:tcPr>
            <w:tcW w:w="519" w:type="pct"/>
            <w:tcBorders>
              <w:top w:val="nil"/>
              <w:left w:val="single" w:sz="4" w:space="0" w:color="auto"/>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1 865 510</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23 460</w:t>
            </w:r>
          </w:p>
        </w:tc>
        <w:tc>
          <w:tcPr>
            <w:tcW w:w="520"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699 180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23 460</w:t>
            </w:r>
          </w:p>
        </w:tc>
        <w:tc>
          <w:tcPr>
            <w:tcW w:w="519"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23 460</w:t>
            </w:r>
          </w:p>
        </w:tc>
        <w:tc>
          <w:tcPr>
            <w:tcW w:w="518" w:type="pct"/>
            <w:tcBorders>
              <w:top w:val="nil"/>
              <w:left w:val="nil"/>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sz w:val="14"/>
                <w:szCs w:val="14"/>
              </w:rPr>
            </w:pPr>
            <w:r w:rsidRPr="0077111F">
              <w:rPr>
                <w:rFonts w:ascii="Times New Roman" w:hAnsi="Times New Roman" w:cs="Times New Roman"/>
                <w:sz w:val="14"/>
                <w:szCs w:val="14"/>
              </w:rPr>
              <w:t>23 460</w:t>
            </w:r>
          </w:p>
        </w:tc>
      </w:tr>
      <w:tr>
        <w:tblPrEx>
          <w:tblW w:w="5000" w:type="pct"/>
          <w:tblCellMar>
            <w:left w:w="70" w:type="dxa"/>
            <w:right w:w="70" w:type="dxa"/>
          </w:tblCellMar>
          <w:tblLook w:val="04A0"/>
        </w:tblPrEx>
        <w:trPr>
          <w:trHeight w:val="259"/>
        </w:trPr>
        <w:tc>
          <w:tcPr>
            <w:tcW w:w="1367" w:type="pct"/>
            <w:tcBorders>
              <w:top w:val="single" w:sz="4" w:space="0" w:color="auto"/>
              <w:left w:val="single" w:sz="4" w:space="0" w:color="auto"/>
              <w:bottom w:val="single" w:sz="4" w:space="0" w:color="auto"/>
              <w:right w:val="nil"/>
            </w:tcBorders>
            <w:noWrap/>
            <w:textDirection w:val="lrTb"/>
            <w:vAlign w:val="center"/>
            <w:hideMark/>
          </w:tcPr>
          <w:p w:rsidR="009D2A34" w:rsidRPr="0077111F" w:rsidP="006338E5">
            <w:pPr>
              <w:bidi w:val="0"/>
              <w:rPr>
                <w:rFonts w:ascii="Times New Roman" w:hAnsi="Times New Roman" w:cs="Times New Roman"/>
                <w:b/>
                <w:color w:val="000000"/>
                <w:sz w:val="14"/>
                <w:szCs w:val="14"/>
              </w:rPr>
            </w:pPr>
            <w:r w:rsidRPr="0077111F">
              <w:rPr>
                <w:rFonts w:ascii="Times New Roman" w:hAnsi="Times New Roman" w:cs="Times New Roman"/>
                <w:b/>
                <w:color w:val="000000"/>
                <w:sz w:val="14"/>
                <w:szCs w:val="14"/>
              </w:rPr>
              <w:t>presun z minulých rokov</w:t>
            </w:r>
          </w:p>
        </w:tc>
        <w:tc>
          <w:tcPr>
            <w:tcW w:w="519" w:type="pct"/>
            <w:tcBorders>
              <w:top w:val="nil"/>
              <w:left w:val="single" w:sz="4" w:space="0" w:color="auto"/>
              <w:bottom w:val="single" w:sz="4" w:space="0" w:color="auto"/>
              <w:right w:val="single" w:sz="4" w:space="0" w:color="auto"/>
            </w:tcBorders>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32 239</w:t>
            </w:r>
          </w:p>
        </w:tc>
        <w:tc>
          <w:tcPr>
            <w:tcW w:w="519" w:type="pct"/>
            <w:tcBorders>
              <w:top w:val="nil"/>
              <w:left w:val="single" w:sz="4" w:space="0" w:color="auto"/>
              <w:bottom w:val="single" w:sz="4" w:space="0" w:color="auto"/>
              <w:right w:val="single" w:sz="4" w:space="0" w:color="auto"/>
            </w:tcBorders>
            <w:noWrap/>
            <w:textDirection w:val="lrTb"/>
            <w:vAlign w:val="center"/>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0</w:t>
            </w:r>
          </w:p>
        </w:tc>
        <w:tc>
          <w:tcPr>
            <w:tcW w:w="519" w:type="pct"/>
            <w:tcBorders>
              <w:top w:val="nil"/>
              <w:left w:val="nil"/>
              <w:bottom w:val="single" w:sz="4" w:space="0" w:color="auto"/>
              <w:right w:val="single" w:sz="4" w:space="0" w:color="auto"/>
            </w:tcBorders>
            <w:noWrap/>
            <w:textDirection w:val="lrTb"/>
            <w:vAlign w:val="center"/>
            <w:hideMark/>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0</w:t>
            </w:r>
          </w:p>
        </w:tc>
        <w:tc>
          <w:tcPr>
            <w:tcW w:w="520" w:type="pct"/>
            <w:tcBorders>
              <w:top w:val="nil"/>
              <w:left w:val="nil"/>
              <w:bottom w:val="single" w:sz="4" w:space="0" w:color="auto"/>
              <w:right w:val="single" w:sz="4" w:space="0" w:color="auto"/>
            </w:tcBorders>
            <w:noWrap/>
            <w:textDirection w:val="lrTb"/>
            <w:vAlign w:val="center"/>
            <w:hideMark/>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 0</w:t>
            </w:r>
          </w:p>
        </w:tc>
        <w:tc>
          <w:tcPr>
            <w:tcW w:w="518" w:type="pct"/>
            <w:tcBorders>
              <w:top w:val="nil"/>
              <w:left w:val="nil"/>
              <w:bottom w:val="single" w:sz="4" w:space="0" w:color="auto"/>
              <w:right w:val="single" w:sz="4" w:space="0" w:color="auto"/>
            </w:tcBorders>
            <w:noWrap/>
            <w:textDirection w:val="lrTb"/>
            <w:vAlign w:val="center"/>
            <w:hideMark/>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0</w:t>
            </w:r>
          </w:p>
        </w:tc>
        <w:tc>
          <w:tcPr>
            <w:tcW w:w="519" w:type="pct"/>
            <w:tcBorders>
              <w:top w:val="nil"/>
              <w:left w:val="nil"/>
              <w:bottom w:val="single" w:sz="4" w:space="0" w:color="auto"/>
              <w:right w:val="single" w:sz="4" w:space="0" w:color="auto"/>
            </w:tcBorders>
            <w:noWrap/>
            <w:textDirection w:val="lrTb"/>
            <w:vAlign w:val="center"/>
            <w:hideMark/>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 0</w:t>
            </w:r>
          </w:p>
        </w:tc>
        <w:tc>
          <w:tcPr>
            <w:tcW w:w="518" w:type="pct"/>
            <w:tcBorders>
              <w:top w:val="nil"/>
              <w:left w:val="nil"/>
              <w:bottom w:val="single" w:sz="4" w:space="0" w:color="auto"/>
              <w:right w:val="single" w:sz="4" w:space="0" w:color="auto"/>
            </w:tcBorders>
            <w:noWrap/>
            <w:textDirection w:val="lrTb"/>
            <w:vAlign w:val="center"/>
            <w:hideMark/>
          </w:tcPr>
          <w:p w:rsidR="009D2A34" w:rsidRPr="0077111F" w:rsidP="006338E5">
            <w:pPr>
              <w:bidi w:val="0"/>
              <w:jc w:val="right"/>
              <w:rPr>
                <w:rFonts w:ascii="Times New Roman" w:hAnsi="Times New Roman" w:cs="Times New Roman"/>
                <w:b/>
                <w:sz w:val="14"/>
                <w:szCs w:val="14"/>
              </w:rPr>
            </w:pPr>
            <w:r w:rsidRPr="0077111F">
              <w:rPr>
                <w:rFonts w:ascii="Times New Roman" w:hAnsi="Times New Roman" w:cs="Times New Roman"/>
                <w:b/>
                <w:sz w:val="14"/>
                <w:szCs w:val="14"/>
              </w:rPr>
              <w:t> 0</w:t>
            </w:r>
          </w:p>
        </w:tc>
      </w:tr>
    </w:tbl>
    <w:p w:rsidR="009D2A34" w:rsidRPr="0077111F" w:rsidP="009D2A34">
      <w:pPr>
        <w:bidi w:val="0"/>
        <w:jc w:val="both"/>
        <w:rPr>
          <w:rFonts w:ascii="Times New Roman" w:hAnsi="Times New Roman" w:cs="Times New Roman"/>
          <w:b/>
          <w:bCs/>
          <w:color w:val="000000"/>
          <w:highlight w:val="yellow"/>
        </w:rPr>
      </w:pPr>
    </w:p>
    <w:p w:rsidR="009D2A34" w:rsidRPr="0077111F" w:rsidP="009D2A34">
      <w:pPr>
        <w:bidi w:val="0"/>
        <w:ind w:firstLine="708"/>
        <w:jc w:val="both"/>
        <w:rPr>
          <w:rFonts w:ascii="Times New Roman" w:hAnsi="Times New Roman" w:cs="Times New Roman"/>
        </w:rPr>
      </w:pPr>
      <w:r w:rsidRPr="0077111F">
        <w:rPr>
          <w:rFonts w:ascii="Times New Roman" w:hAnsi="Times New Roman" w:cs="Times New Roman"/>
        </w:rPr>
        <w:t>Na rok 2013 sa pre kapitolu navrhujú výdavky v sume 2,9</w:t>
      </w:r>
      <w:r w:rsidR="00AF4BD6">
        <w:rPr>
          <w:rFonts w:ascii="Times New Roman" w:hAnsi="Times New Roman" w:cs="Times New Roman"/>
        </w:rPr>
        <w:t>0</w:t>
      </w:r>
      <w:r w:rsidRPr="0077111F">
        <w:rPr>
          <w:rFonts w:ascii="Times New Roman" w:hAnsi="Times New Roman" w:cs="Times New Roman"/>
        </w:rPr>
        <w:t xml:space="preserve"> mil. eur, čo predstavuje v porovnaní so schváleným rozpočtom roku 2012 nárast o 275 tis. eur, t.</w:t>
      </w:r>
      <w:r w:rsidR="001F3259">
        <w:rPr>
          <w:rFonts w:ascii="Times New Roman" w:hAnsi="Times New Roman" w:cs="Times New Roman"/>
        </w:rPr>
        <w:t xml:space="preserve"> </w:t>
      </w:r>
      <w:r w:rsidRPr="0077111F">
        <w:rPr>
          <w:rFonts w:ascii="Times New Roman" w:hAnsi="Times New Roman" w:cs="Times New Roman"/>
        </w:rPr>
        <w:t>j. o 10,5 %.</w:t>
      </w:r>
      <w:r>
        <w:rPr>
          <w:rFonts w:ascii="Times New Roman" w:hAnsi="Times New Roman" w:cs="Times New Roman"/>
        </w:rPr>
        <w:t xml:space="preserve"> </w:t>
      </w:r>
      <w:r w:rsidRPr="005E5D6E">
        <w:rPr>
          <w:rFonts w:ascii="Times New Roman" w:hAnsi="Times New Roman" w:cs="Times New Roman"/>
        </w:rPr>
        <w:t>Nárast prostriedkov je spôsobený rozširujúcimi sa kompetenciami úradu a rozsahom vykonávaných činností a úloh súvisiacich s ďalším rozvojom informačných systémov úradu a prevádzkou týchto systémov súvisiacich s realizáciou zákona č. 58/2011 Z. z.</w:t>
      </w:r>
    </w:p>
    <w:p w:rsidR="009D2A34" w:rsidRPr="0077111F" w:rsidP="009D2A34">
      <w:pPr>
        <w:bidi w:val="0"/>
        <w:ind w:firstLine="708"/>
        <w:jc w:val="both"/>
        <w:rPr>
          <w:rFonts w:ascii="Times New Roman" w:hAnsi="Times New Roman" w:cs="Times New Roman"/>
        </w:rPr>
      </w:pPr>
      <w:r w:rsidRPr="0077111F">
        <w:rPr>
          <w:rFonts w:ascii="Times New Roman" w:hAnsi="Times New Roman" w:cs="Times New Roman"/>
        </w:rPr>
        <w:t xml:space="preserve"> </w:t>
      </w:r>
    </w:p>
    <w:p w:rsidR="009D2A34" w:rsidRPr="0077111F" w:rsidP="009D2A34">
      <w:pPr>
        <w:bidi w:val="0"/>
        <w:ind w:firstLine="708"/>
        <w:jc w:val="both"/>
        <w:rPr>
          <w:rFonts w:ascii="Times New Roman" w:hAnsi="Times New Roman" w:cs="Times New Roman"/>
        </w:rPr>
      </w:pPr>
      <w:r w:rsidRPr="0077111F">
        <w:rPr>
          <w:rFonts w:ascii="Times New Roman" w:hAnsi="Times New Roman" w:cs="Times New Roman"/>
        </w:rPr>
        <w:t>Objem osobných výdavkov sa na rok 2013 rozpočtuje na úrovni 1,72 mil. eur, čo oproti schválenému rozpočtu na rok 2012 predstavuje nárast o 102 tis. eur, t.</w:t>
      </w:r>
      <w:r w:rsidR="001F3259">
        <w:rPr>
          <w:rFonts w:ascii="Times New Roman" w:hAnsi="Times New Roman" w:cs="Times New Roman"/>
        </w:rPr>
        <w:t xml:space="preserve"> </w:t>
      </w:r>
      <w:r w:rsidRPr="0077111F">
        <w:rPr>
          <w:rFonts w:ascii="Times New Roman" w:hAnsi="Times New Roman" w:cs="Times New Roman"/>
        </w:rPr>
        <w:t>j. o 6,31 %. Predmetný nárast je spôsobený zvýšením limitu osobných výdavkov v súvislosti s realizáciou zákona č. 58/2011 Z. z., ako aj s rozšírením činnosti úradu.</w:t>
      </w:r>
    </w:p>
    <w:p w:rsidR="009D2A34" w:rsidRPr="0077111F" w:rsidP="009D2A34">
      <w:pPr>
        <w:bidi w:val="0"/>
        <w:ind w:firstLine="708"/>
        <w:jc w:val="both"/>
        <w:rPr>
          <w:rFonts w:ascii="Times New Roman" w:hAnsi="Times New Roman" w:cs="Times New Roman"/>
        </w:rPr>
      </w:pPr>
      <w:r w:rsidRPr="0077111F">
        <w:rPr>
          <w:rFonts w:ascii="Times New Roman" w:hAnsi="Times New Roman" w:cs="Times New Roman"/>
        </w:rPr>
        <w:t xml:space="preserve"> </w:t>
      </w:r>
    </w:p>
    <w:p w:rsidR="009D2A34" w:rsidRPr="0077111F" w:rsidP="009D2A34">
      <w:pPr>
        <w:bidi w:val="0"/>
        <w:ind w:firstLine="708"/>
        <w:jc w:val="both"/>
        <w:rPr>
          <w:rFonts w:ascii="Times New Roman" w:hAnsi="Times New Roman" w:cs="Times New Roman"/>
        </w:rPr>
      </w:pPr>
      <w:r w:rsidRPr="0077111F">
        <w:rPr>
          <w:rFonts w:ascii="Times New Roman" w:hAnsi="Times New Roman" w:cs="Times New Roman"/>
        </w:rPr>
        <w:t>Na tovary a služby sa v roku 2013 rozpisuje suma 1,14 mil. eur, čo je v porovnaní so schváleným rozpočtom roku 2012 nárast o 173 tis. eur, t.</w:t>
      </w:r>
      <w:r w:rsidR="001F3259">
        <w:rPr>
          <w:rFonts w:ascii="Times New Roman" w:hAnsi="Times New Roman" w:cs="Times New Roman"/>
        </w:rPr>
        <w:t xml:space="preserve"> </w:t>
      </w:r>
      <w:r w:rsidRPr="0077111F">
        <w:rPr>
          <w:rFonts w:ascii="Times New Roman" w:hAnsi="Times New Roman" w:cs="Times New Roman"/>
        </w:rPr>
        <w:t xml:space="preserve">j. o 17,7 %. </w:t>
      </w:r>
    </w:p>
    <w:p w:rsidR="009D2A34" w:rsidRPr="0077111F" w:rsidP="009D2A34">
      <w:pPr>
        <w:bidi w:val="0"/>
        <w:ind w:firstLine="708"/>
        <w:jc w:val="both"/>
        <w:rPr>
          <w:rFonts w:ascii="Times New Roman" w:hAnsi="Times New Roman" w:cs="Times New Roman"/>
        </w:rPr>
      </w:pPr>
    </w:p>
    <w:p w:rsidR="009D2A34" w:rsidRPr="0077111F" w:rsidP="009D2A34">
      <w:pPr>
        <w:bidi w:val="0"/>
        <w:ind w:firstLine="708"/>
        <w:jc w:val="both"/>
      </w:pPr>
      <w:r w:rsidRPr="0077111F">
        <w:rPr>
          <w:rFonts w:ascii="Times New Roman" w:hAnsi="Times New Roman"/>
        </w:rPr>
        <w:t>Výdavky na bežné transfery sa rozpisujú v sume 11 tis. eur, čo je na úrovni schváleného rozpočtu roku 2012.</w:t>
      </w:r>
    </w:p>
    <w:p w:rsidR="009D2A34" w:rsidRPr="0077111F" w:rsidP="009D2A34">
      <w:pPr>
        <w:bidi w:val="0"/>
        <w:ind w:firstLine="708"/>
        <w:jc w:val="both"/>
        <w:rPr>
          <w:rFonts w:ascii="Times New Roman" w:hAnsi="Times New Roman" w:cs="Times New Roman"/>
        </w:rPr>
      </w:pPr>
    </w:p>
    <w:p w:rsidR="009D2A34" w:rsidRPr="0077111F" w:rsidP="009D2A34">
      <w:pPr>
        <w:bidi w:val="0"/>
        <w:ind w:firstLine="708"/>
        <w:jc w:val="both"/>
        <w:rPr>
          <w:rFonts w:ascii="Times New Roman" w:hAnsi="Times New Roman" w:cs="Times New Roman"/>
        </w:rPr>
      </w:pPr>
      <w:r w:rsidRPr="0077111F">
        <w:rPr>
          <w:rFonts w:ascii="Times New Roman" w:hAnsi="Times New Roman" w:cs="Times New Roman"/>
        </w:rPr>
        <w:t>Kapitálové výdavky sú na rok 2013 rozpočtované v sume 23,5 tis. eur, čo je na rovnakej úrovni v porovnaní so schváleným rozpočtom roku 2012.</w:t>
      </w:r>
    </w:p>
    <w:p w:rsidR="009D2A34" w:rsidRPr="007E0D85" w:rsidP="009D2A34">
      <w:pPr>
        <w:bidi w:val="0"/>
        <w:ind w:firstLine="708"/>
        <w:jc w:val="both"/>
        <w:rPr>
          <w:rFonts w:ascii="Times New Roman" w:hAnsi="Times New Roman" w:cs="Times New Roman"/>
          <w:highlight w:val="yellow"/>
        </w:rPr>
      </w:pPr>
    </w:p>
    <w:p w:rsidR="009D2A34" w:rsidRPr="00FF7F41" w:rsidP="009D2A34">
      <w:pPr>
        <w:pBdr>
          <w:bottom w:val="single" w:sz="4" w:space="1" w:color="auto"/>
        </w:pBdr>
        <w:bidi w:val="0"/>
        <w:jc w:val="both"/>
        <w:rPr>
          <w:rFonts w:ascii="Times New Roman" w:hAnsi="Times New Roman"/>
          <w:b/>
          <w:bCs/>
        </w:rPr>
      </w:pPr>
      <w:r w:rsidRPr="00FF7F41">
        <w:rPr>
          <w:rFonts w:ascii="Times New Roman" w:hAnsi="Times New Roman"/>
          <w:b/>
          <w:bCs/>
        </w:rPr>
        <w:t>Úrad pre reguláciu sieťových odvetví</w:t>
      </w:r>
    </w:p>
    <w:p w:rsidR="009D2A34" w:rsidP="009D2A34">
      <w:pPr>
        <w:bidi w:val="0"/>
        <w:ind w:firstLine="708"/>
        <w:jc w:val="both"/>
        <w:rPr>
          <w:rFonts w:ascii="Times New Roman" w:hAnsi="Times New Roman" w:cs="Times New Roman"/>
        </w:rPr>
      </w:pPr>
    </w:p>
    <w:p w:rsidR="009D2A34" w:rsidP="009D2A34">
      <w:pPr>
        <w:bidi w:val="0"/>
        <w:ind w:firstLine="708"/>
        <w:jc w:val="both"/>
        <w:rPr>
          <w:rFonts w:ascii="Times New Roman" w:hAnsi="Times New Roman" w:cs="Times New Roman"/>
        </w:rPr>
      </w:pPr>
      <w:r w:rsidRPr="00DF5388">
        <w:rPr>
          <w:rFonts w:ascii="Times New Roman" w:hAnsi="Times New Roman" w:cs="Times New Roman"/>
        </w:rPr>
        <w:t>Samostatná kapitola Úrad pre reguláciu sieťových odvetví (ďalej len „ÚRSO“) vznikla dňa 1. marca 2012, kedy nadobudol účinnosť zákon č. 69/2012 Z. z., ktorým sa mení rozpočtová príslušnosť kapitoly. Do nadobudnutia účinnosti spomenutého zákona ÚRSO bol štátnou rozpočtovou organizáciou napojenou na rozpočet Ministerstva hospodárstva SR.</w:t>
      </w:r>
    </w:p>
    <w:p w:rsidR="009D2A34" w:rsidP="009D2A34">
      <w:pPr>
        <w:bidi w:val="0"/>
        <w:ind w:firstLine="708"/>
        <w:jc w:val="both"/>
        <w:rPr>
          <w:rFonts w:ascii="Times New Roman" w:hAnsi="Times New Roman" w:cs="Times New Roman"/>
        </w:rPr>
      </w:pPr>
    </w:p>
    <w:p w:rsidR="009D2A34" w:rsidP="009D2A34">
      <w:pPr>
        <w:bidi w:val="0"/>
        <w:ind w:firstLine="708"/>
        <w:jc w:val="both"/>
        <w:rPr>
          <w:rFonts w:ascii="Times New Roman" w:hAnsi="Times New Roman" w:cs="Times New Roman"/>
        </w:rPr>
      </w:pPr>
      <w:r>
        <w:rPr>
          <w:rFonts w:ascii="Times New Roman" w:hAnsi="Times New Roman" w:cs="Times New Roman"/>
        </w:rPr>
        <w:t>Návrh rozpočtu ÚRSO je zostavený v súlade s platnou legislatívou a zohľadňuje legislatívne zmeny v súvislosti so schváleným zákonom č. 250/2012 Z.</w:t>
      </w:r>
      <w:r w:rsidR="003E7CD4">
        <w:rPr>
          <w:rFonts w:ascii="Times New Roman" w:hAnsi="Times New Roman" w:cs="Times New Roman"/>
        </w:rPr>
        <w:t xml:space="preserve"> </w:t>
      </w:r>
      <w:r>
        <w:rPr>
          <w:rFonts w:ascii="Times New Roman" w:hAnsi="Times New Roman" w:cs="Times New Roman"/>
        </w:rPr>
        <w:t>z. o regulácii v sieťových odvetviach.</w:t>
      </w: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D83F50" w:rsidP="009D2A34">
      <w:pPr>
        <w:bidi w:val="0"/>
        <w:ind w:firstLine="708"/>
        <w:jc w:val="both"/>
        <w:rPr>
          <w:rFonts w:ascii="Times New Roman" w:hAnsi="Times New Roman" w:cs="Times New Roman"/>
        </w:rPr>
      </w:pPr>
    </w:p>
    <w:p w:rsidR="009D2A34" w:rsidRPr="00DF5388" w:rsidP="009D2A34">
      <w:pPr>
        <w:bidi w:val="0"/>
        <w:ind w:firstLine="708"/>
        <w:jc w:val="both"/>
        <w:rPr>
          <w:rFonts w:ascii="Times New Roman" w:hAnsi="Times New Roman" w:cs="Times New Roman"/>
        </w:rPr>
      </w:pPr>
    </w:p>
    <w:tbl>
      <w:tblPr>
        <w:tblStyle w:val="TableNormal"/>
        <w:tblW w:w="5000" w:type="pct"/>
        <w:tblCellMar>
          <w:left w:w="70" w:type="dxa"/>
          <w:right w:w="70" w:type="dxa"/>
        </w:tblCellMar>
        <w:tblLook w:val="04A0"/>
      </w:tblPr>
      <w:tblGrid>
        <w:gridCol w:w="2901"/>
        <w:gridCol w:w="1059"/>
        <w:gridCol w:w="1059"/>
        <w:gridCol w:w="1017"/>
        <w:gridCol w:w="1059"/>
        <w:gridCol w:w="1059"/>
        <w:gridCol w:w="1058"/>
      </w:tblGrid>
      <w:tr>
        <w:tblPrEx>
          <w:tblW w:w="5000" w:type="pct"/>
          <w:tblCellMar>
            <w:left w:w="70" w:type="dxa"/>
            <w:right w:w="70" w:type="dxa"/>
          </w:tblCellMar>
          <w:tblLook w:val="04A0"/>
        </w:tblPrEx>
        <w:trPr>
          <w:trHeight w:val="255"/>
        </w:trPr>
        <w:tc>
          <w:tcPr>
            <w:tcW w:w="1574"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FF7F41" w:rsidP="006338E5">
            <w:pPr>
              <w:bidi w:val="0"/>
              <w:rPr>
                <w:rFonts w:ascii="Times New Roman" w:hAnsi="Times New Roman"/>
                <w:b/>
                <w:bCs/>
                <w:color w:val="000000"/>
                <w:sz w:val="14"/>
                <w:szCs w:val="14"/>
              </w:rPr>
            </w:pPr>
            <w:r w:rsidRPr="00FF7F41">
              <w:rPr>
                <w:rFonts w:ascii="Times New Roman" w:hAnsi="Times New Roman"/>
                <w:b/>
                <w:bCs/>
                <w:color w:val="000000"/>
                <w:sz w:val="14"/>
                <w:szCs w:val="14"/>
              </w:rPr>
              <w:t xml:space="preserve">  v eurách</w:t>
            </w:r>
          </w:p>
        </w:tc>
        <w:tc>
          <w:tcPr>
            <w:tcW w:w="575"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FF7F41" w:rsidP="006338E5">
            <w:pPr>
              <w:bidi w:val="0"/>
              <w:jc w:val="center"/>
              <w:rPr>
                <w:rFonts w:ascii="Times New Roman" w:hAnsi="Times New Roman" w:cs="Times New Roman"/>
                <w:b/>
                <w:bCs/>
                <w:color w:val="000000"/>
                <w:sz w:val="14"/>
                <w:szCs w:val="14"/>
              </w:rPr>
            </w:pPr>
            <w:r w:rsidRPr="00FF7F41">
              <w:rPr>
                <w:rFonts w:ascii="Times New Roman" w:hAnsi="Times New Roman" w:cs="Times New Roman"/>
                <w:b/>
                <w:bCs/>
                <w:color w:val="000000"/>
                <w:sz w:val="14"/>
                <w:szCs w:val="14"/>
              </w:rPr>
              <w:t>2011</w:t>
            </w:r>
            <w:r w:rsidR="001F3259">
              <w:rPr>
                <w:rFonts w:ascii="Times New Roman" w:hAnsi="Times New Roman" w:cs="Times New Roman"/>
                <w:b/>
                <w:bCs/>
                <w:color w:val="000000"/>
                <w:sz w:val="14"/>
                <w:szCs w:val="14"/>
              </w:rPr>
              <w:t xml:space="preserve"> </w:t>
            </w:r>
            <w:r w:rsidRPr="00FF7F41">
              <w:rPr>
                <w:rFonts w:ascii="Times New Roman" w:hAnsi="Times New Roman" w:cs="Times New Roman"/>
                <w:b/>
                <w:bCs/>
                <w:color w:val="000000"/>
                <w:sz w:val="14"/>
                <w:szCs w:val="14"/>
              </w:rPr>
              <w:t>S</w:t>
            </w:r>
          </w:p>
        </w:tc>
        <w:tc>
          <w:tcPr>
            <w:tcW w:w="575"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FF7F41" w:rsidP="006338E5">
            <w:pPr>
              <w:bidi w:val="0"/>
              <w:jc w:val="center"/>
              <w:rPr>
                <w:rFonts w:ascii="Times New Roman" w:hAnsi="Times New Roman" w:cs="Times New Roman"/>
                <w:b/>
                <w:bCs/>
                <w:color w:val="000000"/>
                <w:sz w:val="14"/>
                <w:szCs w:val="14"/>
              </w:rPr>
            </w:pPr>
            <w:r w:rsidRPr="00FF7F41">
              <w:rPr>
                <w:rFonts w:ascii="Times New Roman" w:hAnsi="Times New Roman" w:cs="Times New Roman"/>
                <w:b/>
                <w:bCs/>
                <w:color w:val="000000"/>
                <w:sz w:val="14"/>
                <w:szCs w:val="14"/>
              </w:rPr>
              <w:t>2012 R</w:t>
            </w:r>
          </w:p>
        </w:tc>
        <w:tc>
          <w:tcPr>
            <w:tcW w:w="552" w:type="pct"/>
            <w:tcBorders>
              <w:top w:val="single" w:sz="4" w:space="0" w:color="auto"/>
              <w:left w:val="nil"/>
              <w:bottom w:val="single" w:sz="4" w:space="0" w:color="auto"/>
              <w:right w:val="single" w:sz="4" w:space="0" w:color="auto"/>
            </w:tcBorders>
            <w:shd w:val="clear" w:color="auto" w:fill="A6A6A6"/>
            <w:textDirection w:val="lrTb"/>
            <w:vAlign w:val="center"/>
          </w:tcPr>
          <w:p w:rsidR="009D2A34" w:rsidRPr="00FF7F41" w:rsidP="006338E5">
            <w:pPr>
              <w:bidi w:val="0"/>
              <w:jc w:val="center"/>
              <w:rPr>
                <w:rFonts w:ascii="Times New Roman" w:hAnsi="Times New Roman" w:cs="Times New Roman"/>
                <w:b/>
                <w:bCs/>
                <w:color w:val="000000"/>
                <w:sz w:val="14"/>
                <w:szCs w:val="14"/>
              </w:rPr>
            </w:pPr>
            <w:r w:rsidRPr="00FF7F41">
              <w:rPr>
                <w:rFonts w:ascii="Times New Roman" w:hAnsi="Times New Roman" w:cs="Times New Roman"/>
                <w:b/>
                <w:bCs/>
                <w:color w:val="000000"/>
                <w:sz w:val="14"/>
                <w:szCs w:val="14"/>
              </w:rPr>
              <w:t>2012 OS</w:t>
            </w:r>
          </w:p>
        </w:tc>
        <w:tc>
          <w:tcPr>
            <w:tcW w:w="575"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FF7F41" w:rsidP="006338E5">
            <w:pPr>
              <w:bidi w:val="0"/>
              <w:jc w:val="center"/>
              <w:rPr>
                <w:rFonts w:ascii="Times New Roman" w:hAnsi="Times New Roman" w:cs="Times New Roman"/>
                <w:b/>
                <w:bCs/>
                <w:color w:val="000000"/>
                <w:sz w:val="14"/>
                <w:szCs w:val="14"/>
              </w:rPr>
            </w:pPr>
            <w:r w:rsidR="001F3259">
              <w:rPr>
                <w:rFonts w:ascii="Times New Roman" w:hAnsi="Times New Roman" w:cs="Times New Roman"/>
                <w:b/>
                <w:bCs/>
                <w:color w:val="000000"/>
                <w:sz w:val="14"/>
                <w:szCs w:val="14"/>
              </w:rPr>
              <w:t>2013 N</w:t>
            </w:r>
          </w:p>
        </w:tc>
        <w:tc>
          <w:tcPr>
            <w:tcW w:w="575"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FF7F41" w:rsidP="006338E5">
            <w:pPr>
              <w:bidi w:val="0"/>
              <w:jc w:val="center"/>
              <w:rPr>
                <w:rFonts w:ascii="Times New Roman" w:hAnsi="Times New Roman" w:cs="Times New Roman"/>
                <w:b/>
                <w:bCs/>
                <w:color w:val="000000"/>
                <w:sz w:val="14"/>
                <w:szCs w:val="14"/>
              </w:rPr>
            </w:pPr>
            <w:r w:rsidRPr="00FF7F41">
              <w:rPr>
                <w:rFonts w:ascii="Times New Roman" w:hAnsi="Times New Roman" w:cs="Times New Roman"/>
                <w:b/>
                <w:bCs/>
                <w:color w:val="000000"/>
                <w:sz w:val="14"/>
                <w:szCs w:val="14"/>
              </w:rPr>
              <w:t>2014 N</w:t>
            </w:r>
          </w:p>
        </w:tc>
        <w:tc>
          <w:tcPr>
            <w:tcW w:w="575"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FF7F41" w:rsidP="006338E5">
            <w:pPr>
              <w:bidi w:val="0"/>
              <w:jc w:val="center"/>
              <w:rPr>
                <w:rFonts w:ascii="Times New Roman" w:hAnsi="Times New Roman" w:cs="Times New Roman"/>
                <w:b/>
                <w:bCs/>
                <w:color w:val="000000"/>
                <w:sz w:val="14"/>
                <w:szCs w:val="14"/>
              </w:rPr>
            </w:pPr>
            <w:r w:rsidRPr="00FF7F41">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55"/>
        </w:trPr>
        <w:tc>
          <w:tcPr>
            <w:tcW w:w="1574"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9D2A34" w:rsidRPr="00FF7F41" w:rsidP="006338E5">
            <w:pPr>
              <w:bidi w:val="0"/>
              <w:rPr>
                <w:rFonts w:ascii="Times New Roman" w:hAnsi="Times New Roman"/>
                <w:b/>
                <w:bCs/>
                <w:color w:val="000000"/>
                <w:sz w:val="14"/>
                <w:szCs w:val="14"/>
              </w:rPr>
            </w:pPr>
            <w:r w:rsidRPr="00FF7F41">
              <w:rPr>
                <w:rFonts w:ascii="Times New Roman" w:hAnsi="Times New Roman"/>
                <w:b/>
                <w:bCs/>
                <w:color w:val="000000"/>
                <w:sz w:val="14"/>
                <w:szCs w:val="14"/>
              </w:rPr>
              <w:t>Zdroje príslušnej kapitoly</w:t>
            </w:r>
          </w:p>
        </w:tc>
        <w:tc>
          <w:tcPr>
            <w:tcW w:w="575" w:type="pct"/>
            <w:tcBorders>
              <w:top w:val="nil"/>
              <w:left w:val="nil"/>
              <w:bottom w:val="single" w:sz="4" w:space="0" w:color="auto"/>
              <w:right w:val="single" w:sz="4" w:space="0" w:color="auto"/>
            </w:tcBorders>
            <w:shd w:val="clear" w:color="auto" w:fill="BFBFBF"/>
            <w:noWrap/>
            <w:textDirection w:val="lrTb"/>
            <w:vAlign w:val="center"/>
            <w:hideMark/>
          </w:tcPr>
          <w:p w:rsidR="009D2A34" w:rsidRPr="00F622F3" w:rsidP="006338E5">
            <w:pPr>
              <w:bidi w:val="0"/>
              <w:jc w:val="right"/>
              <w:rPr>
                <w:rFonts w:ascii="Times New Roman" w:hAnsi="Times New Roman" w:cs="Times New Roman"/>
                <w:b/>
                <w:bCs/>
                <w:color w:val="000000"/>
                <w:sz w:val="14"/>
                <w:szCs w:val="14"/>
              </w:rPr>
            </w:pPr>
            <w:r w:rsidRPr="00F622F3">
              <w:rPr>
                <w:rFonts w:ascii="Times New Roman" w:hAnsi="Times New Roman" w:cs="Times New Roman"/>
                <w:b/>
                <w:bCs/>
                <w:color w:val="000000"/>
                <w:sz w:val="14"/>
                <w:szCs w:val="14"/>
              </w:rPr>
              <w:t>2 610 108</w:t>
            </w:r>
          </w:p>
        </w:tc>
        <w:tc>
          <w:tcPr>
            <w:tcW w:w="575" w:type="pct"/>
            <w:tcBorders>
              <w:top w:val="nil"/>
              <w:left w:val="nil"/>
              <w:bottom w:val="single" w:sz="4" w:space="0" w:color="auto"/>
              <w:right w:val="single" w:sz="4" w:space="0" w:color="auto"/>
            </w:tcBorders>
            <w:shd w:val="clear" w:color="auto" w:fill="BFBFBF"/>
            <w:noWrap/>
            <w:textDirection w:val="lrTb"/>
            <w:vAlign w:val="center"/>
            <w:hideMark/>
          </w:tcPr>
          <w:p w:rsidR="009D2A34" w:rsidRPr="00F622F3" w:rsidP="006338E5">
            <w:pPr>
              <w:bidi w:val="0"/>
              <w:jc w:val="right"/>
              <w:rPr>
                <w:rFonts w:ascii="Times New Roman" w:hAnsi="Times New Roman" w:cs="Times New Roman"/>
                <w:b/>
                <w:bCs/>
                <w:color w:val="000000"/>
                <w:sz w:val="14"/>
                <w:szCs w:val="14"/>
              </w:rPr>
            </w:pPr>
            <w:r w:rsidRPr="00F622F3">
              <w:rPr>
                <w:rFonts w:ascii="Times New Roman" w:hAnsi="Times New Roman" w:cs="Times New Roman"/>
                <w:b/>
                <w:bCs/>
                <w:color w:val="000000"/>
                <w:sz w:val="14"/>
                <w:szCs w:val="14"/>
              </w:rPr>
              <w:t>2 410 359</w:t>
            </w:r>
          </w:p>
        </w:tc>
        <w:tc>
          <w:tcPr>
            <w:tcW w:w="552" w:type="pct"/>
            <w:tcBorders>
              <w:top w:val="single" w:sz="4" w:space="0" w:color="auto"/>
              <w:left w:val="nil"/>
              <w:bottom w:val="single" w:sz="4" w:space="0" w:color="auto"/>
              <w:right w:val="single" w:sz="4" w:space="0" w:color="auto"/>
            </w:tcBorders>
            <w:shd w:val="clear" w:color="auto" w:fill="BFBFBF"/>
            <w:textDirection w:val="lrTb"/>
            <w:vAlign w:val="center"/>
          </w:tcPr>
          <w:p w:rsidR="009D2A34" w:rsidRPr="00F622F3" w:rsidP="006338E5">
            <w:pPr>
              <w:bidi w:val="0"/>
              <w:jc w:val="right"/>
              <w:rPr>
                <w:rFonts w:ascii="Times New Roman" w:hAnsi="Times New Roman" w:cs="Times New Roman"/>
                <w:b/>
                <w:bCs/>
                <w:color w:val="000000"/>
                <w:sz w:val="14"/>
                <w:szCs w:val="14"/>
              </w:rPr>
            </w:pPr>
            <w:r w:rsidRPr="00F622F3">
              <w:rPr>
                <w:rFonts w:ascii="Times New Roman" w:hAnsi="Times New Roman" w:cs="Times New Roman"/>
                <w:b/>
                <w:bCs/>
                <w:color w:val="000000"/>
                <w:sz w:val="14"/>
                <w:szCs w:val="14"/>
              </w:rPr>
              <w:t>3 917 670</w:t>
            </w:r>
          </w:p>
        </w:tc>
        <w:tc>
          <w:tcPr>
            <w:tcW w:w="57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532E17" w:rsidP="006338E5">
            <w:pPr>
              <w:bidi w:val="0"/>
              <w:jc w:val="right"/>
              <w:rPr>
                <w:rFonts w:ascii="Times New Roman" w:hAnsi="Times New Roman" w:cs="Times New Roman"/>
                <w:b/>
                <w:bCs/>
                <w:color w:val="000000"/>
                <w:sz w:val="14"/>
                <w:szCs w:val="14"/>
              </w:rPr>
            </w:pPr>
            <w:r w:rsidRPr="00532E17">
              <w:rPr>
                <w:rFonts w:ascii="Times New Roman" w:hAnsi="Times New Roman" w:cs="Times New Roman"/>
                <w:b/>
                <w:bCs/>
                <w:color w:val="000000"/>
                <w:sz w:val="14"/>
                <w:szCs w:val="14"/>
              </w:rPr>
              <w:t>2 714 660</w:t>
            </w:r>
          </w:p>
        </w:tc>
        <w:tc>
          <w:tcPr>
            <w:tcW w:w="575" w:type="pct"/>
            <w:tcBorders>
              <w:top w:val="nil"/>
              <w:left w:val="nil"/>
              <w:bottom w:val="single" w:sz="4" w:space="0" w:color="auto"/>
              <w:right w:val="single" w:sz="4" w:space="0" w:color="auto"/>
            </w:tcBorders>
            <w:shd w:val="clear" w:color="auto" w:fill="BFBFBF"/>
            <w:noWrap/>
            <w:textDirection w:val="lrTb"/>
            <w:vAlign w:val="center"/>
            <w:hideMark/>
          </w:tcPr>
          <w:p w:rsidR="009D2A34" w:rsidRPr="00532E17" w:rsidP="006338E5">
            <w:pPr>
              <w:bidi w:val="0"/>
              <w:jc w:val="right"/>
              <w:rPr>
                <w:rFonts w:ascii="Times New Roman" w:hAnsi="Times New Roman" w:cs="Times New Roman"/>
                <w:b/>
                <w:bCs/>
                <w:color w:val="000000"/>
                <w:sz w:val="14"/>
                <w:szCs w:val="14"/>
              </w:rPr>
            </w:pPr>
            <w:r w:rsidRPr="00532E17">
              <w:rPr>
                <w:rFonts w:ascii="Times New Roman" w:hAnsi="Times New Roman" w:cs="Times New Roman"/>
                <w:b/>
                <w:bCs/>
                <w:color w:val="000000"/>
                <w:sz w:val="14"/>
                <w:szCs w:val="14"/>
              </w:rPr>
              <w:t>2 661 157</w:t>
            </w:r>
          </w:p>
        </w:tc>
        <w:tc>
          <w:tcPr>
            <w:tcW w:w="575" w:type="pct"/>
            <w:tcBorders>
              <w:top w:val="nil"/>
              <w:left w:val="nil"/>
              <w:bottom w:val="single" w:sz="4" w:space="0" w:color="auto"/>
              <w:right w:val="single" w:sz="4" w:space="0" w:color="auto"/>
            </w:tcBorders>
            <w:shd w:val="clear" w:color="auto" w:fill="BFBFBF"/>
            <w:noWrap/>
            <w:textDirection w:val="lrTb"/>
            <w:vAlign w:val="center"/>
            <w:hideMark/>
          </w:tcPr>
          <w:p w:rsidR="009D2A34" w:rsidRPr="00532E17" w:rsidP="006338E5">
            <w:pPr>
              <w:bidi w:val="0"/>
              <w:jc w:val="right"/>
              <w:rPr>
                <w:rFonts w:ascii="Times New Roman" w:hAnsi="Times New Roman" w:cs="Times New Roman"/>
                <w:b/>
                <w:bCs/>
                <w:color w:val="000000"/>
                <w:sz w:val="14"/>
                <w:szCs w:val="14"/>
              </w:rPr>
            </w:pPr>
            <w:r w:rsidRPr="00532E17">
              <w:rPr>
                <w:rFonts w:ascii="Times New Roman" w:hAnsi="Times New Roman" w:cs="Times New Roman"/>
                <w:b/>
                <w:bCs/>
                <w:color w:val="000000"/>
                <w:sz w:val="14"/>
                <w:szCs w:val="14"/>
              </w:rPr>
              <w:t>2 676 091</w:t>
            </w:r>
          </w:p>
        </w:tc>
      </w:tr>
      <w:tr>
        <w:tblPrEx>
          <w:tblW w:w="5000" w:type="pct"/>
          <w:tblCellMar>
            <w:left w:w="70" w:type="dxa"/>
            <w:right w:w="70" w:type="dxa"/>
          </w:tblCellMar>
          <w:tblLook w:val="04A0"/>
        </w:tblPrEx>
        <w:trPr>
          <w:trHeight w:val="255"/>
        </w:trPr>
        <w:tc>
          <w:tcPr>
            <w:tcW w:w="1574" w:type="pct"/>
            <w:tcBorders>
              <w:top w:val="nil"/>
              <w:left w:val="single" w:sz="4" w:space="0" w:color="auto"/>
              <w:bottom w:val="single" w:sz="4" w:space="0" w:color="auto"/>
              <w:right w:val="single" w:sz="4" w:space="0" w:color="auto"/>
            </w:tcBorders>
            <w:noWrap/>
            <w:textDirection w:val="lrTb"/>
            <w:vAlign w:val="center"/>
            <w:hideMark/>
          </w:tcPr>
          <w:p w:rsidR="009D2A34" w:rsidRPr="000D3301" w:rsidP="006338E5">
            <w:pPr>
              <w:bidi w:val="0"/>
              <w:rPr>
                <w:rFonts w:ascii="Times New Roman" w:hAnsi="Times New Roman"/>
                <w:b/>
                <w:color w:val="000000"/>
                <w:sz w:val="14"/>
                <w:szCs w:val="14"/>
              </w:rPr>
            </w:pPr>
            <w:r>
              <w:rPr>
                <w:rFonts w:ascii="Times New Roman" w:hAnsi="Times New Roman"/>
                <w:b/>
                <w:color w:val="000000"/>
                <w:sz w:val="14"/>
                <w:szCs w:val="14"/>
              </w:rPr>
              <w:t>r</w:t>
            </w:r>
            <w:r w:rsidRPr="000D3301">
              <w:rPr>
                <w:rFonts w:ascii="Times New Roman" w:hAnsi="Times New Roman"/>
                <w:b/>
                <w:color w:val="000000"/>
                <w:sz w:val="14"/>
                <w:szCs w:val="14"/>
              </w:rPr>
              <w:t xml:space="preserve">ozpočtové zdroje kapitoly </w:t>
            </w:r>
          </w:p>
        </w:tc>
        <w:tc>
          <w:tcPr>
            <w:tcW w:w="575" w:type="pct"/>
            <w:tcBorders>
              <w:top w:val="nil"/>
              <w:left w:val="nil"/>
              <w:bottom w:val="single" w:sz="4" w:space="0" w:color="auto"/>
              <w:right w:val="single" w:sz="4" w:space="0" w:color="auto"/>
            </w:tcBorders>
            <w:noWrap/>
            <w:textDirection w:val="lrTb"/>
            <w:vAlign w:val="center"/>
            <w:hideMark/>
          </w:tcPr>
          <w:p w:rsidR="009D2A34" w:rsidRPr="000D3301" w:rsidP="006338E5">
            <w:pPr>
              <w:bidi w:val="0"/>
              <w:jc w:val="right"/>
              <w:rPr>
                <w:rFonts w:ascii="Times New Roman" w:hAnsi="Times New Roman" w:cs="Times New Roman"/>
                <w:b/>
                <w:color w:val="000000"/>
                <w:sz w:val="14"/>
                <w:szCs w:val="14"/>
              </w:rPr>
            </w:pPr>
            <w:r w:rsidRPr="000D3301">
              <w:rPr>
                <w:rFonts w:ascii="Times New Roman" w:hAnsi="Times New Roman" w:cs="Times New Roman"/>
                <w:b/>
                <w:color w:val="000000"/>
                <w:sz w:val="14"/>
                <w:szCs w:val="14"/>
              </w:rPr>
              <w:t>2 610 108</w:t>
            </w:r>
          </w:p>
        </w:tc>
        <w:tc>
          <w:tcPr>
            <w:tcW w:w="575" w:type="pct"/>
            <w:tcBorders>
              <w:top w:val="nil"/>
              <w:left w:val="nil"/>
              <w:bottom w:val="single" w:sz="4" w:space="0" w:color="auto"/>
              <w:right w:val="single" w:sz="4" w:space="0" w:color="auto"/>
            </w:tcBorders>
            <w:noWrap/>
            <w:textDirection w:val="lrTb"/>
            <w:vAlign w:val="center"/>
            <w:hideMark/>
          </w:tcPr>
          <w:p w:rsidR="009D2A34" w:rsidRPr="000D3301" w:rsidP="006338E5">
            <w:pPr>
              <w:bidi w:val="0"/>
              <w:jc w:val="right"/>
              <w:rPr>
                <w:rFonts w:ascii="Times New Roman" w:hAnsi="Times New Roman" w:cs="Times New Roman"/>
                <w:b/>
                <w:color w:val="000000"/>
                <w:sz w:val="14"/>
                <w:szCs w:val="14"/>
              </w:rPr>
            </w:pPr>
            <w:r w:rsidRPr="000D3301">
              <w:rPr>
                <w:rFonts w:ascii="Times New Roman" w:hAnsi="Times New Roman" w:cs="Times New Roman"/>
                <w:b/>
                <w:color w:val="000000"/>
                <w:sz w:val="14"/>
                <w:szCs w:val="14"/>
              </w:rPr>
              <w:t>2 410 359</w:t>
            </w:r>
          </w:p>
        </w:tc>
        <w:tc>
          <w:tcPr>
            <w:tcW w:w="552" w:type="pct"/>
            <w:tcBorders>
              <w:top w:val="single" w:sz="4" w:space="0" w:color="auto"/>
              <w:left w:val="nil"/>
              <w:bottom w:val="single" w:sz="4" w:space="0" w:color="auto"/>
              <w:right w:val="single" w:sz="4" w:space="0" w:color="auto"/>
            </w:tcBorders>
            <w:textDirection w:val="lrTb"/>
            <w:vAlign w:val="center"/>
          </w:tcPr>
          <w:p w:rsidR="009D2A34" w:rsidRPr="000D3301" w:rsidP="006338E5">
            <w:pPr>
              <w:bidi w:val="0"/>
              <w:jc w:val="right"/>
              <w:rPr>
                <w:rFonts w:ascii="Times New Roman" w:hAnsi="Times New Roman" w:cs="Times New Roman"/>
                <w:b/>
                <w:color w:val="000000"/>
                <w:sz w:val="14"/>
                <w:szCs w:val="14"/>
              </w:rPr>
            </w:pPr>
            <w:r w:rsidRPr="000D3301">
              <w:rPr>
                <w:rFonts w:ascii="Times New Roman" w:hAnsi="Times New Roman" w:cs="Times New Roman"/>
                <w:b/>
                <w:color w:val="000000"/>
                <w:sz w:val="14"/>
                <w:szCs w:val="14"/>
              </w:rPr>
              <w:t>3 917 670</w:t>
            </w:r>
          </w:p>
        </w:tc>
        <w:tc>
          <w:tcPr>
            <w:tcW w:w="575" w:type="pct"/>
            <w:tcBorders>
              <w:top w:val="nil"/>
              <w:left w:val="single" w:sz="4" w:space="0" w:color="auto"/>
              <w:bottom w:val="single" w:sz="4" w:space="0" w:color="auto"/>
              <w:right w:val="single" w:sz="4" w:space="0" w:color="auto"/>
            </w:tcBorders>
            <w:noWrap/>
            <w:textDirection w:val="lrTb"/>
            <w:vAlign w:val="center"/>
            <w:hideMark/>
          </w:tcPr>
          <w:p w:rsidR="009D2A34" w:rsidRPr="00532E17" w:rsidP="006338E5">
            <w:pPr>
              <w:bidi w:val="0"/>
              <w:jc w:val="right"/>
              <w:rPr>
                <w:rFonts w:ascii="Times New Roman" w:hAnsi="Times New Roman" w:cs="Times New Roman"/>
                <w:b/>
                <w:color w:val="000000"/>
                <w:sz w:val="14"/>
                <w:szCs w:val="14"/>
              </w:rPr>
            </w:pPr>
            <w:r w:rsidRPr="00532E17">
              <w:rPr>
                <w:rFonts w:ascii="Times New Roman" w:hAnsi="Times New Roman" w:cs="Times New Roman"/>
                <w:b/>
                <w:color w:val="000000"/>
                <w:sz w:val="14"/>
                <w:szCs w:val="14"/>
              </w:rPr>
              <w:t>2 714 660</w:t>
            </w:r>
          </w:p>
        </w:tc>
        <w:tc>
          <w:tcPr>
            <w:tcW w:w="575" w:type="pct"/>
            <w:tcBorders>
              <w:top w:val="nil"/>
              <w:left w:val="nil"/>
              <w:bottom w:val="single" w:sz="4" w:space="0" w:color="auto"/>
              <w:right w:val="single" w:sz="4" w:space="0" w:color="auto"/>
            </w:tcBorders>
            <w:noWrap/>
            <w:textDirection w:val="lrTb"/>
            <w:vAlign w:val="center"/>
            <w:hideMark/>
          </w:tcPr>
          <w:p w:rsidR="009D2A34" w:rsidRPr="00532E17" w:rsidP="006338E5">
            <w:pPr>
              <w:bidi w:val="0"/>
              <w:jc w:val="right"/>
              <w:rPr>
                <w:rFonts w:ascii="Times New Roman" w:hAnsi="Times New Roman" w:cs="Times New Roman"/>
                <w:b/>
                <w:color w:val="000000"/>
                <w:sz w:val="14"/>
                <w:szCs w:val="14"/>
              </w:rPr>
            </w:pPr>
            <w:r w:rsidRPr="00532E17">
              <w:rPr>
                <w:rFonts w:ascii="Times New Roman" w:hAnsi="Times New Roman" w:cs="Times New Roman"/>
                <w:b/>
                <w:color w:val="000000"/>
                <w:sz w:val="14"/>
                <w:szCs w:val="14"/>
              </w:rPr>
              <w:t>2 661 157</w:t>
            </w:r>
          </w:p>
        </w:tc>
        <w:tc>
          <w:tcPr>
            <w:tcW w:w="575" w:type="pct"/>
            <w:tcBorders>
              <w:top w:val="nil"/>
              <w:left w:val="nil"/>
              <w:bottom w:val="single" w:sz="4" w:space="0" w:color="auto"/>
              <w:right w:val="single" w:sz="4" w:space="0" w:color="auto"/>
            </w:tcBorders>
            <w:noWrap/>
            <w:textDirection w:val="lrTb"/>
            <w:vAlign w:val="center"/>
            <w:hideMark/>
          </w:tcPr>
          <w:p w:rsidR="009D2A34" w:rsidRPr="00532E17" w:rsidP="006338E5">
            <w:pPr>
              <w:bidi w:val="0"/>
              <w:jc w:val="right"/>
              <w:rPr>
                <w:rFonts w:ascii="Times New Roman" w:hAnsi="Times New Roman" w:cs="Times New Roman"/>
                <w:b/>
                <w:color w:val="000000"/>
                <w:sz w:val="14"/>
                <w:szCs w:val="14"/>
              </w:rPr>
            </w:pPr>
            <w:r w:rsidRPr="00532E17">
              <w:rPr>
                <w:rFonts w:ascii="Times New Roman" w:hAnsi="Times New Roman" w:cs="Times New Roman"/>
                <w:b/>
                <w:color w:val="000000"/>
                <w:sz w:val="14"/>
                <w:szCs w:val="14"/>
              </w:rPr>
              <w:t>2 676 091</w:t>
            </w:r>
          </w:p>
        </w:tc>
      </w:tr>
      <w:tr>
        <w:tblPrEx>
          <w:tblW w:w="5000" w:type="pct"/>
          <w:tblCellMar>
            <w:left w:w="70" w:type="dxa"/>
            <w:right w:w="70" w:type="dxa"/>
          </w:tblCellMar>
          <w:tblLook w:val="04A0"/>
        </w:tblPrEx>
        <w:trPr>
          <w:trHeight w:val="255"/>
        </w:trPr>
        <w:tc>
          <w:tcPr>
            <w:tcW w:w="157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FF7F41" w:rsidP="006338E5">
            <w:pPr>
              <w:bidi w:val="0"/>
              <w:rPr>
                <w:rFonts w:ascii="Times New Roman" w:hAnsi="Times New Roman"/>
                <w:color w:val="000000"/>
                <w:sz w:val="14"/>
                <w:szCs w:val="14"/>
              </w:rPr>
            </w:pPr>
            <w:r w:rsidRPr="00FF7F41">
              <w:rPr>
                <w:rFonts w:ascii="Times New Roman" w:hAnsi="Times New Roman"/>
                <w:color w:val="000000"/>
                <w:sz w:val="14"/>
                <w:szCs w:val="14"/>
              </w:rPr>
              <w:t xml:space="preserve">    v tom: bežné výdavky  600</w:t>
            </w:r>
          </w:p>
        </w:tc>
        <w:tc>
          <w:tcPr>
            <w:tcW w:w="575" w:type="pct"/>
            <w:tcBorders>
              <w:top w:val="single" w:sz="4" w:space="0" w:color="auto"/>
              <w:left w:val="nil"/>
              <w:bottom w:val="single" w:sz="4" w:space="0" w:color="auto"/>
              <w:right w:val="single" w:sz="4" w:space="0" w:color="auto"/>
            </w:tcBorders>
            <w:noWrap/>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2 585 210</w:t>
            </w:r>
          </w:p>
        </w:tc>
        <w:tc>
          <w:tcPr>
            <w:tcW w:w="575" w:type="pct"/>
            <w:tcBorders>
              <w:top w:val="single" w:sz="4" w:space="0" w:color="auto"/>
              <w:left w:val="nil"/>
              <w:bottom w:val="single" w:sz="4" w:space="0" w:color="auto"/>
              <w:right w:val="single" w:sz="4" w:space="0" w:color="auto"/>
            </w:tcBorders>
            <w:noWrap/>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2 380 316</w:t>
            </w:r>
          </w:p>
        </w:tc>
        <w:tc>
          <w:tcPr>
            <w:tcW w:w="552" w:type="pct"/>
            <w:tcBorders>
              <w:top w:val="single" w:sz="4" w:space="0" w:color="auto"/>
              <w:left w:val="nil"/>
              <w:bottom w:val="single" w:sz="4" w:space="0" w:color="auto"/>
              <w:right w:val="single" w:sz="4" w:space="0" w:color="auto"/>
            </w:tcBorders>
            <w:textDirection w:val="lrTb"/>
            <w:vAlign w:val="center"/>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3 887 627</w:t>
            </w:r>
          </w:p>
        </w:tc>
        <w:tc>
          <w:tcPr>
            <w:tcW w:w="575"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2 627 117</w:t>
            </w:r>
          </w:p>
        </w:tc>
        <w:tc>
          <w:tcPr>
            <w:tcW w:w="575" w:type="pct"/>
            <w:tcBorders>
              <w:top w:val="single" w:sz="4" w:space="0" w:color="auto"/>
              <w:left w:val="nil"/>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2 626 614</w:t>
            </w:r>
          </w:p>
        </w:tc>
        <w:tc>
          <w:tcPr>
            <w:tcW w:w="575" w:type="pct"/>
            <w:tcBorders>
              <w:top w:val="single" w:sz="4" w:space="0" w:color="auto"/>
              <w:left w:val="nil"/>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2 641 098</w:t>
            </w:r>
          </w:p>
        </w:tc>
      </w:tr>
      <w:tr>
        <w:tblPrEx>
          <w:tblW w:w="5000" w:type="pct"/>
          <w:tblCellMar>
            <w:left w:w="70" w:type="dxa"/>
            <w:right w:w="70" w:type="dxa"/>
          </w:tblCellMar>
          <w:tblLook w:val="04A0"/>
        </w:tblPrEx>
        <w:trPr>
          <w:trHeight w:val="255"/>
        </w:trPr>
        <w:tc>
          <w:tcPr>
            <w:tcW w:w="1574" w:type="pct"/>
            <w:tcBorders>
              <w:top w:val="nil"/>
              <w:left w:val="single" w:sz="4" w:space="0" w:color="auto"/>
              <w:bottom w:val="single" w:sz="4" w:space="0" w:color="auto"/>
              <w:right w:val="single" w:sz="4" w:space="0" w:color="auto"/>
            </w:tcBorders>
            <w:noWrap/>
            <w:textDirection w:val="lrTb"/>
            <w:vAlign w:val="center"/>
            <w:hideMark/>
          </w:tcPr>
          <w:p w:rsidR="009D2A34" w:rsidRPr="00FF7F41" w:rsidP="006338E5">
            <w:pPr>
              <w:bidi w:val="0"/>
              <w:rPr>
                <w:rFonts w:ascii="Times New Roman" w:hAnsi="Times New Roman"/>
                <w:color w:val="000000"/>
                <w:sz w:val="14"/>
                <w:szCs w:val="14"/>
              </w:rPr>
            </w:pPr>
            <w:r w:rsidRPr="00FF7F41">
              <w:rPr>
                <w:rFonts w:ascii="Times New Roman" w:hAnsi="Times New Roman"/>
                <w:color w:val="000000"/>
                <w:sz w:val="14"/>
                <w:szCs w:val="14"/>
              </w:rPr>
              <w:t xml:space="preserve">              </w:t>
            </w:r>
            <w:r>
              <w:rPr>
                <w:rFonts w:ascii="Times New Roman" w:hAnsi="Times New Roman"/>
                <w:color w:val="000000"/>
                <w:sz w:val="14"/>
                <w:szCs w:val="14"/>
              </w:rPr>
              <w:t xml:space="preserve">          </w:t>
            </w:r>
            <w:r w:rsidRPr="00FF7F41">
              <w:rPr>
                <w:rFonts w:ascii="Times New Roman" w:hAnsi="Times New Roman"/>
                <w:color w:val="000000"/>
                <w:sz w:val="14"/>
                <w:szCs w:val="14"/>
              </w:rPr>
              <w:t xml:space="preserve"> 610 mzdy</w:t>
            </w:r>
          </w:p>
        </w:tc>
        <w:tc>
          <w:tcPr>
            <w:tcW w:w="575" w:type="pct"/>
            <w:tcBorders>
              <w:top w:val="nil"/>
              <w:left w:val="nil"/>
              <w:bottom w:val="single" w:sz="4" w:space="0" w:color="auto"/>
              <w:right w:val="single" w:sz="4" w:space="0" w:color="auto"/>
            </w:tcBorders>
            <w:noWrap/>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1 214 497</w:t>
            </w:r>
          </w:p>
        </w:tc>
        <w:tc>
          <w:tcPr>
            <w:tcW w:w="575" w:type="pct"/>
            <w:tcBorders>
              <w:top w:val="nil"/>
              <w:left w:val="nil"/>
              <w:bottom w:val="single" w:sz="4" w:space="0" w:color="auto"/>
              <w:right w:val="single" w:sz="4" w:space="0" w:color="auto"/>
            </w:tcBorders>
            <w:noWrap/>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1 059 497</w:t>
            </w:r>
          </w:p>
        </w:tc>
        <w:tc>
          <w:tcPr>
            <w:tcW w:w="552" w:type="pct"/>
            <w:tcBorders>
              <w:top w:val="single" w:sz="4" w:space="0" w:color="auto"/>
              <w:left w:val="nil"/>
              <w:bottom w:val="single" w:sz="4" w:space="0" w:color="auto"/>
              <w:right w:val="single" w:sz="4" w:space="0" w:color="auto"/>
            </w:tcBorders>
            <w:textDirection w:val="lrTb"/>
            <w:vAlign w:val="center"/>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1 059 497</w:t>
            </w:r>
          </w:p>
        </w:tc>
        <w:tc>
          <w:tcPr>
            <w:tcW w:w="575" w:type="pct"/>
            <w:tcBorders>
              <w:top w:val="nil"/>
              <w:left w:val="single" w:sz="4" w:space="0" w:color="auto"/>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1 266 622</w:t>
            </w:r>
          </w:p>
        </w:tc>
        <w:tc>
          <w:tcPr>
            <w:tcW w:w="575" w:type="pct"/>
            <w:tcBorders>
              <w:top w:val="nil"/>
              <w:left w:val="nil"/>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1 271 824</w:t>
            </w:r>
          </w:p>
        </w:tc>
        <w:tc>
          <w:tcPr>
            <w:tcW w:w="575" w:type="pct"/>
            <w:tcBorders>
              <w:top w:val="nil"/>
              <w:left w:val="nil"/>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1 274 477</w:t>
            </w:r>
          </w:p>
        </w:tc>
      </w:tr>
      <w:tr>
        <w:tblPrEx>
          <w:tblW w:w="5000" w:type="pct"/>
          <w:tblCellMar>
            <w:left w:w="70" w:type="dxa"/>
            <w:right w:w="70" w:type="dxa"/>
          </w:tblCellMar>
          <w:tblLook w:val="04A0"/>
        </w:tblPrEx>
        <w:trPr>
          <w:trHeight w:val="255"/>
        </w:trPr>
        <w:tc>
          <w:tcPr>
            <w:tcW w:w="1574"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FF7F41" w:rsidP="006338E5">
            <w:pPr>
              <w:bidi w:val="0"/>
              <w:rPr>
                <w:rFonts w:ascii="Times New Roman" w:hAnsi="Times New Roman"/>
                <w:color w:val="000000"/>
                <w:sz w:val="14"/>
                <w:szCs w:val="14"/>
              </w:rPr>
            </w:pPr>
            <w:r w:rsidRPr="00FF7F41">
              <w:rPr>
                <w:rFonts w:ascii="Times New Roman" w:hAnsi="Times New Roman"/>
                <w:color w:val="000000"/>
                <w:sz w:val="14"/>
                <w:szCs w:val="14"/>
              </w:rPr>
              <w:t xml:space="preserve">            </w:t>
            </w:r>
            <w:r>
              <w:rPr>
                <w:rFonts w:ascii="Times New Roman" w:hAnsi="Times New Roman"/>
                <w:color w:val="000000"/>
                <w:sz w:val="14"/>
                <w:szCs w:val="14"/>
              </w:rPr>
              <w:t xml:space="preserve">          </w:t>
            </w:r>
            <w:r w:rsidRPr="00FF7F41">
              <w:rPr>
                <w:rFonts w:ascii="Times New Roman" w:hAnsi="Times New Roman"/>
                <w:color w:val="000000"/>
                <w:sz w:val="14"/>
                <w:szCs w:val="14"/>
              </w:rPr>
              <w:t xml:space="preserve">   620 odvody</w:t>
            </w:r>
          </w:p>
        </w:tc>
        <w:tc>
          <w:tcPr>
            <w:tcW w:w="575" w:type="pct"/>
            <w:tcBorders>
              <w:top w:val="single" w:sz="4" w:space="0" w:color="auto"/>
              <w:left w:val="nil"/>
              <w:bottom w:val="single" w:sz="4" w:space="0" w:color="auto"/>
              <w:right w:val="single" w:sz="4" w:space="0" w:color="auto"/>
            </w:tcBorders>
            <w:noWrap/>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498 018</w:t>
            </w:r>
          </w:p>
        </w:tc>
        <w:tc>
          <w:tcPr>
            <w:tcW w:w="575" w:type="pct"/>
            <w:tcBorders>
              <w:top w:val="single" w:sz="4" w:space="0" w:color="auto"/>
              <w:left w:val="nil"/>
              <w:bottom w:val="single" w:sz="4" w:space="0" w:color="auto"/>
              <w:right w:val="single" w:sz="4" w:space="0" w:color="auto"/>
            </w:tcBorders>
            <w:noWrap/>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370 820</w:t>
            </w:r>
          </w:p>
        </w:tc>
        <w:tc>
          <w:tcPr>
            <w:tcW w:w="552" w:type="pct"/>
            <w:tcBorders>
              <w:top w:val="single" w:sz="4" w:space="0" w:color="auto"/>
              <w:left w:val="nil"/>
              <w:bottom w:val="single" w:sz="4" w:space="0" w:color="auto"/>
              <w:right w:val="single" w:sz="4" w:space="0" w:color="auto"/>
            </w:tcBorders>
            <w:textDirection w:val="lrTb"/>
            <w:vAlign w:val="center"/>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424 927</w:t>
            </w:r>
          </w:p>
        </w:tc>
        <w:tc>
          <w:tcPr>
            <w:tcW w:w="575" w:type="pct"/>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468 017</w:t>
            </w:r>
          </w:p>
        </w:tc>
        <w:tc>
          <w:tcPr>
            <w:tcW w:w="575" w:type="pct"/>
            <w:tcBorders>
              <w:top w:val="single" w:sz="4" w:space="0" w:color="auto"/>
              <w:left w:val="nil"/>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469 939</w:t>
            </w:r>
          </w:p>
        </w:tc>
        <w:tc>
          <w:tcPr>
            <w:tcW w:w="575" w:type="pct"/>
            <w:tcBorders>
              <w:top w:val="single" w:sz="4" w:space="0" w:color="auto"/>
              <w:left w:val="nil"/>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470 919</w:t>
            </w:r>
          </w:p>
        </w:tc>
      </w:tr>
      <w:tr>
        <w:tblPrEx>
          <w:tblW w:w="5000" w:type="pct"/>
          <w:tblCellMar>
            <w:left w:w="70" w:type="dxa"/>
            <w:right w:w="70" w:type="dxa"/>
          </w:tblCellMar>
          <w:tblLook w:val="04A0"/>
        </w:tblPrEx>
        <w:trPr>
          <w:trHeight w:val="255"/>
        </w:trPr>
        <w:tc>
          <w:tcPr>
            <w:tcW w:w="1574" w:type="pct"/>
            <w:tcBorders>
              <w:top w:val="nil"/>
              <w:left w:val="single" w:sz="4" w:space="0" w:color="auto"/>
              <w:bottom w:val="single" w:sz="4" w:space="0" w:color="auto"/>
              <w:right w:val="single" w:sz="4" w:space="0" w:color="auto"/>
            </w:tcBorders>
            <w:noWrap/>
            <w:textDirection w:val="lrTb"/>
            <w:vAlign w:val="center"/>
            <w:hideMark/>
          </w:tcPr>
          <w:p w:rsidR="009D2A34" w:rsidRPr="00FF7F41" w:rsidP="006338E5">
            <w:pPr>
              <w:bidi w:val="0"/>
              <w:rPr>
                <w:rFonts w:ascii="Times New Roman" w:hAnsi="Times New Roman"/>
                <w:color w:val="000000"/>
                <w:sz w:val="14"/>
                <w:szCs w:val="14"/>
              </w:rPr>
            </w:pPr>
            <w:r w:rsidRPr="00FF7F41">
              <w:rPr>
                <w:rFonts w:ascii="Times New Roman" w:hAnsi="Times New Roman"/>
                <w:color w:val="000000"/>
                <w:sz w:val="14"/>
                <w:szCs w:val="14"/>
              </w:rPr>
              <w:t xml:space="preserve">               </w:t>
            </w:r>
            <w:r>
              <w:rPr>
                <w:rFonts w:ascii="Times New Roman" w:hAnsi="Times New Roman"/>
                <w:color w:val="000000"/>
                <w:sz w:val="14"/>
                <w:szCs w:val="14"/>
              </w:rPr>
              <w:t xml:space="preserve">         </w:t>
            </w:r>
            <w:r w:rsidRPr="00FF7F41">
              <w:rPr>
                <w:rFonts w:ascii="Times New Roman" w:hAnsi="Times New Roman"/>
                <w:color w:val="000000"/>
                <w:sz w:val="14"/>
                <w:szCs w:val="14"/>
              </w:rPr>
              <w:t xml:space="preserve"> 630 tovary a služby</w:t>
            </w:r>
          </w:p>
        </w:tc>
        <w:tc>
          <w:tcPr>
            <w:tcW w:w="575" w:type="pct"/>
            <w:tcBorders>
              <w:top w:val="nil"/>
              <w:left w:val="nil"/>
              <w:bottom w:val="single" w:sz="4" w:space="0" w:color="auto"/>
              <w:right w:val="single" w:sz="4" w:space="0" w:color="auto"/>
            </w:tcBorders>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823 464</w:t>
            </w:r>
          </w:p>
        </w:tc>
        <w:tc>
          <w:tcPr>
            <w:tcW w:w="575" w:type="pct"/>
            <w:tcBorders>
              <w:top w:val="nil"/>
              <w:left w:val="nil"/>
              <w:bottom w:val="single" w:sz="4" w:space="0" w:color="auto"/>
              <w:right w:val="single" w:sz="4" w:space="0" w:color="auto"/>
            </w:tcBorders>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927 109</w:t>
            </w:r>
          </w:p>
        </w:tc>
        <w:tc>
          <w:tcPr>
            <w:tcW w:w="552" w:type="pct"/>
            <w:tcBorders>
              <w:top w:val="single" w:sz="4" w:space="0" w:color="auto"/>
              <w:left w:val="nil"/>
              <w:bottom w:val="single" w:sz="4" w:space="0" w:color="auto"/>
              <w:right w:val="single" w:sz="4" w:space="0" w:color="auto"/>
            </w:tcBorders>
            <w:textDirection w:val="lrTb"/>
            <w:vAlign w:val="center"/>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2 366 433</w:t>
            </w:r>
          </w:p>
        </w:tc>
        <w:tc>
          <w:tcPr>
            <w:tcW w:w="575" w:type="pct"/>
            <w:tcBorders>
              <w:top w:val="nil"/>
              <w:left w:val="single" w:sz="4" w:space="0" w:color="auto"/>
              <w:bottom w:val="single" w:sz="4" w:space="0" w:color="auto"/>
              <w:right w:val="single" w:sz="4" w:space="0" w:color="auto"/>
            </w:tcBorders>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869 588</w:t>
            </w:r>
          </w:p>
        </w:tc>
        <w:tc>
          <w:tcPr>
            <w:tcW w:w="575" w:type="pct"/>
            <w:tcBorders>
              <w:top w:val="nil"/>
              <w:left w:val="nil"/>
              <w:bottom w:val="single" w:sz="4" w:space="0" w:color="auto"/>
              <w:right w:val="single" w:sz="4" w:space="0" w:color="auto"/>
            </w:tcBorders>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861 961</w:t>
            </w:r>
          </w:p>
        </w:tc>
        <w:tc>
          <w:tcPr>
            <w:tcW w:w="575" w:type="pct"/>
            <w:tcBorders>
              <w:top w:val="nil"/>
              <w:left w:val="nil"/>
              <w:bottom w:val="single" w:sz="4" w:space="0" w:color="auto"/>
              <w:right w:val="single" w:sz="4" w:space="0" w:color="auto"/>
            </w:tcBorders>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872 812</w:t>
            </w:r>
          </w:p>
        </w:tc>
      </w:tr>
      <w:tr>
        <w:tblPrEx>
          <w:tblW w:w="5000" w:type="pct"/>
          <w:tblCellMar>
            <w:left w:w="70" w:type="dxa"/>
            <w:right w:w="70" w:type="dxa"/>
          </w:tblCellMar>
          <w:tblLook w:val="04A0"/>
        </w:tblPrEx>
        <w:trPr>
          <w:trHeight w:val="255"/>
        </w:trPr>
        <w:tc>
          <w:tcPr>
            <w:tcW w:w="1574" w:type="pct"/>
            <w:tcBorders>
              <w:top w:val="nil"/>
              <w:left w:val="single" w:sz="4" w:space="0" w:color="auto"/>
              <w:bottom w:val="single" w:sz="4" w:space="0" w:color="auto"/>
              <w:right w:val="single" w:sz="4" w:space="0" w:color="auto"/>
            </w:tcBorders>
            <w:noWrap/>
            <w:textDirection w:val="lrTb"/>
            <w:vAlign w:val="center"/>
            <w:hideMark/>
          </w:tcPr>
          <w:p w:rsidR="009D2A34" w:rsidRPr="00FF7F41" w:rsidP="006338E5">
            <w:pPr>
              <w:bidi w:val="0"/>
              <w:rPr>
                <w:rFonts w:ascii="Times New Roman" w:hAnsi="Times New Roman"/>
                <w:color w:val="000000"/>
                <w:sz w:val="14"/>
                <w:szCs w:val="14"/>
              </w:rPr>
            </w:pPr>
            <w:r w:rsidRPr="00FF7F41">
              <w:rPr>
                <w:rFonts w:ascii="Times New Roman" w:hAnsi="Times New Roman"/>
                <w:color w:val="000000"/>
                <w:sz w:val="14"/>
                <w:szCs w:val="14"/>
              </w:rPr>
              <w:t xml:space="preserve">              </w:t>
            </w:r>
            <w:r>
              <w:rPr>
                <w:rFonts w:ascii="Times New Roman" w:hAnsi="Times New Roman"/>
                <w:color w:val="000000"/>
                <w:sz w:val="14"/>
                <w:szCs w:val="14"/>
              </w:rPr>
              <w:t xml:space="preserve">         </w:t>
            </w:r>
            <w:r w:rsidRPr="00FF7F41">
              <w:rPr>
                <w:rFonts w:ascii="Times New Roman" w:hAnsi="Times New Roman"/>
                <w:color w:val="000000"/>
                <w:sz w:val="14"/>
                <w:szCs w:val="14"/>
              </w:rPr>
              <w:t xml:space="preserve">  640 bežné transfery</w:t>
            </w:r>
          </w:p>
        </w:tc>
        <w:tc>
          <w:tcPr>
            <w:tcW w:w="575" w:type="pct"/>
            <w:tcBorders>
              <w:top w:val="nil"/>
              <w:left w:val="nil"/>
              <w:bottom w:val="single" w:sz="4" w:space="0" w:color="auto"/>
              <w:right w:val="single" w:sz="4" w:space="0" w:color="auto"/>
            </w:tcBorders>
            <w:noWrap/>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49 232</w:t>
            </w:r>
          </w:p>
        </w:tc>
        <w:tc>
          <w:tcPr>
            <w:tcW w:w="575" w:type="pct"/>
            <w:tcBorders>
              <w:top w:val="nil"/>
              <w:left w:val="nil"/>
              <w:bottom w:val="single" w:sz="4" w:space="0" w:color="auto"/>
              <w:right w:val="single" w:sz="4" w:space="0" w:color="auto"/>
            </w:tcBorders>
            <w:noWrap/>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22 890</w:t>
            </w:r>
          </w:p>
        </w:tc>
        <w:tc>
          <w:tcPr>
            <w:tcW w:w="552" w:type="pct"/>
            <w:tcBorders>
              <w:top w:val="single" w:sz="4" w:space="0" w:color="auto"/>
              <w:left w:val="nil"/>
              <w:bottom w:val="single" w:sz="4" w:space="0" w:color="auto"/>
              <w:right w:val="single" w:sz="4" w:space="0" w:color="auto"/>
            </w:tcBorders>
            <w:textDirection w:val="lrTb"/>
            <w:vAlign w:val="center"/>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36 770</w:t>
            </w:r>
          </w:p>
        </w:tc>
        <w:tc>
          <w:tcPr>
            <w:tcW w:w="575" w:type="pct"/>
            <w:tcBorders>
              <w:top w:val="nil"/>
              <w:left w:val="single" w:sz="4" w:space="0" w:color="auto"/>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22 890</w:t>
            </w:r>
          </w:p>
        </w:tc>
        <w:tc>
          <w:tcPr>
            <w:tcW w:w="575" w:type="pct"/>
            <w:tcBorders>
              <w:top w:val="nil"/>
              <w:left w:val="nil"/>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22 890</w:t>
            </w:r>
          </w:p>
        </w:tc>
        <w:tc>
          <w:tcPr>
            <w:tcW w:w="575" w:type="pct"/>
            <w:tcBorders>
              <w:top w:val="nil"/>
              <w:left w:val="nil"/>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22 890</w:t>
            </w:r>
          </w:p>
        </w:tc>
      </w:tr>
      <w:tr>
        <w:tblPrEx>
          <w:tblW w:w="5000" w:type="pct"/>
          <w:tblCellMar>
            <w:left w:w="70" w:type="dxa"/>
            <w:right w:w="70" w:type="dxa"/>
          </w:tblCellMar>
          <w:tblLook w:val="04A0"/>
        </w:tblPrEx>
        <w:trPr>
          <w:trHeight w:val="255"/>
        </w:trPr>
        <w:tc>
          <w:tcPr>
            <w:tcW w:w="1574" w:type="pct"/>
            <w:tcBorders>
              <w:top w:val="nil"/>
              <w:left w:val="single" w:sz="4" w:space="0" w:color="auto"/>
              <w:bottom w:val="single" w:sz="4" w:space="0" w:color="auto"/>
              <w:right w:val="single" w:sz="4" w:space="0" w:color="auto"/>
            </w:tcBorders>
            <w:noWrap/>
            <w:textDirection w:val="lrTb"/>
            <w:vAlign w:val="center"/>
            <w:hideMark/>
          </w:tcPr>
          <w:p w:rsidR="009D2A34" w:rsidRPr="00FF7F41" w:rsidP="006338E5">
            <w:pPr>
              <w:bidi w:val="0"/>
              <w:rPr>
                <w:rFonts w:ascii="Times New Roman" w:hAnsi="Times New Roman"/>
                <w:color w:val="000000"/>
                <w:sz w:val="14"/>
                <w:szCs w:val="14"/>
              </w:rPr>
            </w:pPr>
            <w:r w:rsidRPr="00FF7F41">
              <w:rPr>
                <w:rFonts w:ascii="Times New Roman" w:hAnsi="Times New Roman"/>
                <w:color w:val="000000"/>
                <w:sz w:val="14"/>
                <w:szCs w:val="14"/>
              </w:rPr>
              <w:t xml:space="preserve">            kapitálové výdavky 700</w:t>
            </w:r>
          </w:p>
        </w:tc>
        <w:tc>
          <w:tcPr>
            <w:tcW w:w="575" w:type="pct"/>
            <w:tcBorders>
              <w:top w:val="nil"/>
              <w:left w:val="nil"/>
              <w:bottom w:val="single" w:sz="4" w:space="0" w:color="auto"/>
              <w:right w:val="single" w:sz="4" w:space="0" w:color="auto"/>
            </w:tcBorders>
            <w:noWrap/>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24 897</w:t>
            </w:r>
          </w:p>
        </w:tc>
        <w:tc>
          <w:tcPr>
            <w:tcW w:w="575" w:type="pct"/>
            <w:tcBorders>
              <w:top w:val="nil"/>
              <w:left w:val="nil"/>
              <w:bottom w:val="single" w:sz="4" w:space="0" w:color="auto"/>
              <w:right w:val="single" w:sz="4" w:space="0" w:color="auto"/>
            </w:tcBorders>
            <w:noWrap/>
            <w:textDirection w:val="lrTb"/>
            <w:vAlign w:val="center"/>
            <w:hideMark/>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30 043</w:t>
            </w:r>
          </w:p>
        </w:tc>
        <w:tc>
          <w:tcPr>
            <w:tcW w:w="552" w:type="pct"/>
            <w:tcBorders>
              <w:top w:val="single" w:sz="4" w:space="0" w:color="auto"/>
              <w:left w:val="nil"/>
              <w:bottom w:val="single" w:sz="4" w:space="0" w:color="auto"/>
              <w:right w:val="single" w:sz="4" w:space="0" w:color="auto"/>
            </w:tcBorders>
            <w:textDirection w:val="lrTb"/>
            <w:vAlign w:val="center"/>
          </w:tcPr>
          <w:p w:rsidR="009D2A34" w:rsidRPr="00F622F3" w:rsidP="006338E5">
            <w:pPr>
              <w:bidi w:val="0"/>
              <w:jc w:val="right"/>
              <w:rPr>
                <w:rFonts w:ascii="Times New Roman" w:hAnsi="Times New Roman" w:cs="Times New Roman"/>
                <w:color w:val="000000"/>
                <w:sz w:val="14"/>
                <w:szCs w:val="14"/>
              </w:rPr>
            </w:pPr>
            <w:r w:rsidRPr="00F622F3">
              <w:rPr>
                <w:rFonts w:ascii="Times New Roman" w:hAnsi="Times New Roman" w:cs="Times New Roman"/>
                <w:color w:val="000000"/>
                <w:sz w:val="14"/>
                <w:szCs w:val="14"/>
              </w:rPr>
              <w:t>30 043</w:t>
            </w:r>
          </w:p>
        </w:tc>
        <w:tc>
          <w:tcPr>
            <w:tcW w:w="575" w:type="pct"/>
            <w:tcBorders>
              <w:top w:val="nil"/>
              <w:left w:val="single" w:sz="4" w:space="0" w:color="auto"/>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87 543</w:t>
            </w:r>
          </w:p>
        </w:tc>
        <w:tc>
          <w:tcPr>
            <w:tcW w:w="575" w:type="pct"/>
            <w:tcBorders>
              <w:top w:val="nil"/>
              <w:left w:val="nil"/>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34 543</w:t>
            </w:r>
          </w:p>
        </w:tc>
        <w:tc>
          <w:tcPr>
            <w:tcW w:w="575" w:type="pct"/>
            <w:tcBorders>
              <w:top w:val="nil"/>
              <w:left w:val="nil"/>
              <w:bottom w:val="single" w:sz="4" w:space="0" w:color="auto"/>
              <w:right w:val="single" w:sz="4" w:space="0" w:color="auto"/>
            </w:tcBorders>
            <w:noWrap/>
            <w:textDirection w:val="lrTb"/>
            <w:vAlign w:val="center"/>
            <w:hideMark/>
          </w:tcPr>
          <w:p w:rsidR="009D2A34" w:rsidRPr="003E7CD4" w:rsidP="006338E5">
            <w:pPr>
              <w:bidi w:val="0"/>
              <w:jc w:val="right"/>
              <w:rPr>
                <w:rFonts w:ascii="Times New Roman" w:hAnsi="Times New Roman" w:cs="Times New Roman"/>
                <w:color w:val="000000"/>
                <w:sz w:val="14"/>
                <w:szCs w:val="14"/>
              </w:rPr>
            </w:pPr>
            <w:r w:rsidRPr="003E7CD4">
              <w:rPr>
                <w:rFonts w:ascii="Times New Roman" w:hAnsi="Times New Roman" w:cs="Times New Roman"/>
                <w:color w:val="000000"/>
                <w:sz w:val="14"/>
                <w:szCs w:val="14"/>
              </w:rPr>
              <w:t>34 993</w:t>
            </w:r>
          </w:p>
        </w:tc>
      </w:tr>
    </w:tbl>
    <w:p w:rsidR="009D2A34" w:rsidRPr="00FF7F41" w:rsidP="009D2A34">
      <w:pPr>
        <w:bidi w:val="0"/>
        <w:ind w:firstLine="708"/>
        <w:jc w:val="both"/>
        <w:rPr>
          <w:rFonts w:ascii="Times New Roman" w:hAnsi="Times New Roman"/>
        </w:rPr>
      </w:pPr>
    </w:p>
    <w:p w:rsidR="009D2A34" w:rsidRPr="00F622F3" w:rsidP="009D2A34">
      <w:pPr>
        <w:bidi w:val="0"/>
        <w:ind w:firstLine="708"/>
        <w:jc w:val="both"/>
        <w:rPr>
          <w:rFonts w:ascii="Times New Roman" w:hAnsi="Times New Roman"/>
        </w:rPr>
      </w:pPr>
      <w:r w:rsidRPr="00F622F3">
        <w:rPr>
          <w:rFonts w:ascii="Times New Roman" w:hAnsi="Times New Roman"/>
        </w:rPr>
        <w:t>Výdavky ÚRSO sa v návrhu rozpočtu na</w:t>
      </w:r>
      <w:r>
        <w:rPr>
          <w:rFonts w:ascii="Times New Roman" w:hAnsi="Times New Roman"/>
        </w:rPr>
        <w:t> rok 2013 navrhujú vo výške 2,71 mil. eur, čo predstavuje nárast</w:t>
      </w:r>
      <w:r w:rsidRPr="00F622F3">
        <w:rPr>
          <w:rFonts w:ascii="Times New Roman" w:hAnsi="Times New Roman"/>
        </w:rPr>
        <w:t xml:space="preserve"> oproti roku 2012</w:t>
      </w:r>
      <w:r>
        <w:rPr>
          <w:rFonts w:ascii="Times New Roman" w:hAnsi="Times New Roman"/>
        </w:rPr>
        <w:t xml:space="preserve"> o 304 tis. eur, t. j. o 12,6 %.</w:t>
      </w:r>
      <w:r w:rsidRPr="005D53E3">
        <w:rPr>
          <w:rFonts w:ascii="Times New Roman" w:hAnsi="Times New Roman"/>
        </w:rPr>
        <w:t xml:space="preserve"> </w:t>
      </w:r>
      <w:r>
        <w:rPr>
          <w:rFonts w:ascii="Times New Roman" w:hAnsi="Times New Roman"/>
        </w:rPr>
        <w:t>Tento nárast</w:t>
      </w:r>
      <w:r w:rsidRPr="00F622F3">
        <w:rPr>
          <w:rFonts w:ascii="Times New Roman" w:hAnsi="Times New Roman"/>
        </w:rPr>
        <w:t xml:space="preserve"> </w:t>
      </w:r>
      <w:r>
        <w:rPr>
          <w:rFonts w:ascii="Times New Roman" w:hAnsi="Times New Roman" w:cs="Times New Roman"/>
        </w:rPr>
        <w:t xml:space="preserve">zohľadňuje schválenú legislatívnu zmenu, </w:t>
      </w:r>
      <w:r>
        <w:rPr>
          <w:rFonts w:ascii="Times New Roman" w:hAnsi="Times New Roman"/>
        </w:rPr>
        <w:t>z ktorej vyplývajú nové kompetencie úradu.</w:t>
      </w:r>
    </w:p>
    <w:p w:rsidR="009D2A34" w:rsidRPr="00F622F3" w:rsidP="009D2A34">
      <w:pPr>
        <w:bidi w:val="0"/>
        <w:ind w:firstLine="708"/>
        <w:jc w:val="both"/>
        <w:rPr>
          <w:rFonts w:ascii="Times New Roman" w:hAnsi="Times New Roman"/>
        </w:rPr>
      </w:pPr>
    </w:p>
    <w:p w:rsidR="009D2A34" w:rsidP="009D2A34">
      <w:pPr>
        <w:bidi w:val="0"/>
        <w:ind w:firstLine="708"/>
        <w:jc w:val="both"/>
        <w:rPr>
          <w:rFonts w:ascii="Times New Roman" w:hAnsi="Times New Roman"/>
        </w:rPr>
      </w:pPr>
      <w:r w:rsidRPr="00F622F3">
        <w:rPr>
          <w:rFonts w:ascii="Times New Roman" w:hAnsi="Times New Roman"/>
        </w:rPr>
        <w:t>Osobné výdavky sa na</w:t>
      </w:r>
      <w:r>
        <w:rPr>
          <w:rFonts w:ascii="Times New Roman" w:hAnsi="Times New Roman"/>
        </w:rPr>
        <w:t> rok 2013 navrhujú vo výške 1,73</w:t>
      </w:r>
      <w:r w:rsidRPr="00F622F3">
        <w:rPr>
          <w:rFonts w:ascii="Times New Roman" w:hAnsi="Times New Roman"/>
        </w:rPr>
        <w:t xml:space="preserve"> mil. eur </w:t>
      </w:r>
      <w:r>
        <w:rPr>
          <w:rFonts w:ascii="Times New Roman" w:hAnsi="Times New Roman"/>
        </w:rPr>
        <w:t xml:space="preserve">a </w:t>
      </w:r>
      <w:r w:rsidRPr="00F622F3">
        <w:rPr>
          <w:rFonts w:ascii="Times New Roman" w:hAnsi="Times New Roman"/>
        </w:rPr>
        <w:t xml:space="preserve">v porovnaní so schváleným rozpočtom </w:t>
      </w:r>
      <w:r>
        <w:rPr>
          <w:rFonts w:ascii="Times New Roman" w:hAnsi="Times New Roman"/>
        </w:rPr>
        <w:t>na rok 2012 rastú</w:t>
      </w:r>
      <w:r w:rsidRPr="00F622F3">
        <w:rPr>
          <w:rFonts w:ascii="Times New Roman" w:hAnsi="Times New Roman"/>
        </w:rPr>
        <w:t xml:space="preserve"> o</w:t>
      </w:r>
      <w:r>
        <w:rPr>
          <w:rFonts w:ascii="Times New Roman" w:hAnsi="Times New Roman"/>
        </w:rPr>
        <w:t xml:space="preserve"> 304 tis. eur, t. j. o 21,3 %. </w:t>
      </w:r>
    </w:p>
    <w:p w:rsidR="009D2A34" w:rsidRPr="00F622F3" w:rsidP="009D2A34">
      <w:pPr>
        <w:bidi w:val="0"/>
        <w:ind w:firstLine="708"/>
        <w:jc w:val="both"/>
        <w:rPr>
          <w:rFonts w:ascii="Times New Roman" w:hAnsi="Times New Roman"/>
        </w:rPr>
      </w:pPr>
    </w:p>
    <w:p w:rsidR="009D2A34" w:rsidRPr="00F622F3" w:rsidP="009D2A34">
      <w:pPr>
        <w:bidi w:val="0"/>
        <w:ind w:firstLine="708"/>
        <w:jc w:val="both"/>
        <w:rPr>
          <w:rFonts w:ascii="Times New Roman" w:hAnsi="Times New Roman"/>
        </w:rPr>
      </w:pPr>
      <w:r w:rsidRPr="00F622F3">
        <w:rPr>
          <w:rFonts w:ascii="Times New Roman" w:hAnsi="Times New Roman"/>
        </w:rPr>
        <w:t xml:space="preserve">Výdavky v oblasti tovarov a služieb </w:t>
      </w:r>
      <w:r>
        <w:rPr>
          <w:rFonts w:ascii="Times New Roman" w:hAnsi="Times New Roman"/>
        </w:rPr>
        <w:t xml:space="preserve">sú </w:t>
      </w:r>
      <w:r w:rsidR="001F3259">
        <w:rPr>
          <w:rFonts w:ascii="Times New Roman" w:hAnsi="Times New Roman"/>
        </w:rPr>
        <w:t>na</w:t>
      </w:r>
      <w:r>
        <w:rPr>
          <w:rFonts w:ascii="Times New Roman" w:hAnsi="Times New Roman"/>
        </w:rPr>
        <w:t xml:space="preserve"> rok 2013 navrhnuté v sume 870 tis. eur a </w:t>
      </w:r>
      <w:r w:rsidRPr="00F622F3">
        <w:rPr>
          <w:rFonts w:ascii="Times New Roman" w:hAnsi="Times New Roman"/>
        </w:rPr>
        <w:t xml:space="preserve">v porovnaní so schváleným rozpočtom </w:t>
      </w:r>
      <w:r>
        <w:rPr>
          <w:rFonts w:ascii="Times New Roman" w:hAnsi="Times New Roman"/>
        </w:rPr>
        <w:t>na</w:t>
      </w:r>
      <w:r w:rsidRPr="00F622F3">
        <w:rPr>
          <w:rFonts w:ascii="Times New Roman" w:hAnsi="Times New Roman"/>
        </w:rPr>
        <w:t xml:space="preserve"> rok 2012 klesa</w:t>
      </w:r>
      <w:r>
        <w:rPr>
          <w:rFonts w:ascii="Times New Roman" w:hAnsi="Times New Roman"/>
        </w:rPr>
        <w:t>jú o 58 tis. eur, t. j. 6,2</w:t>
      </w:r>
      <w:r w:rsidRPr="00F622F3">
        <w:rPr>
          <w:rFonts w:ascii="Times New Roman" w:hAnsi="Times New Roman"/>
        </w:rPr>
        <w:t xml:space="preserve"> %.</w:t>
      </w:r>
      <w:r>
        <w:rPr>
          <w:rFonts w:ascii="Times New Roman" w:hAnsi="Times New Roman"/>
        </w:rPr>
        <w:t xml:space="preserve"> Tento p</w:t>
      </w:r>
      <w:r w:rsidRPr="00F622F3">
        <w:rPr>
          <w:rFonts w:ascii="Times New Roman" w:hAnsi="Times New Roman"/>
        </w:rPr>
        <w:t>okles je spôsobený znížením  prevádzkových výdav</w:t>
      </w:r>
      <w:r>
        <w:rPr>
          <w:rFonts w:ascii="Times New Roman" w:hAnsi="Times New Roman"/>
        </w:rPr>
        <w:t>kov štátneho rozpočtu o 10 % a rozhodnutím kapitoly realizovať presun výdavkov do</w:t>
      </w:r>
      <w:r w:rsidRPr="00F622F3">
        <w:rPr>
          <w:rFonts w:ascii="Times New Roman" w:hAnsi="Times New Roman"/>
        </w:rPr>
        <w:t xml:space="preserve"> kategórie  poistné a príspevok do poisťovní.</w:t>
      </w:r>
    </w:p>
    <w:p w:rsidR="009D2A34" w:rsidRPr="00F622F3" w:rsidP="009D2A34">
      <w:pPr>
        <w:bidi w:val="0"/>
        <w:ind w:firstLine="708"/>
        <w:jc w:val="both"/>
        <w:rPr>
          <w:rFonts w:ascii="Times New Roman" w:hAnsi="Times New Roman"/>
        </w:rPr>
      </w:pPr>
    </w:p>
    <w:p w:rsidR="009D2A34" w:rsidRPr="00F622F3" w:rsidP="009D2A34">
      <w:pPr>
        <w:bidi w:val="0"/>
        <w:ind w:firstLine="708"/>
        <w:jc w:val="both"/>
        <w:rPr>
          <w:rFonts w:ascii="Times New Roman" w:hAnsi="Times New Roman"/>
        </w:rPr>
      </w:pPr>
      <w:r w:rsidRPr="00F622F3">
        <w:rPr>
          <w:rFonts w:ascii="Times New Roman" w:hAnsi="Times New Roman"/>
        </w:rPr>
        <w:t xml:space="preserve">Výška bežných transferov </w:t>
      </w:r>
      <w:r>
        <w:rPr>
          <w:rFonts w:ascii="Times New Roman" w:hAnsi="Times New Roman"/>
        </w:rPr>
        <w:t>na</w:t>
      </w:r>
      <w:r w:rsidRPr="00F622F3">
        <w:rPr>
          <w:rFonts w:ascii="Times New Roman" w:hAnsi="Times New Roman"/>
        </w:rPr>
        <w:t xml:space="preserve"> rok 2013 </w:t>
      </w:r>
      <w:r>
        <w:rPr>
          <w:rFonts w:ascii="Times New Roman" w:hAnsi="Times New Roman"/>
        </w:rPr>
        <w:t xml:space="preserve">v objeme 22,9 tis. eur zostáva </w:t>
      </w:r>
      <w:r w:rsidRPr="00F622F3">
        <w:rPr>
          <w:rFonts w:ascii="Times New Roman" w:hAnsi="Times New Roman"/>
        </w:rPr>
        <w:t xml:space="preserve">v porovnaní so schváleným rozpočtom roku 2012 </w:t>
      </w:r>
      <w:r>
        <w:rPr>
          <w:rFonts w:ascii="Times New Roman" w:hAnsi="Times New Roman"/>
        </w:rPr>
        <w:t>nezmenená.</w:t>
      </w:r>
    </w:p>
    <w:p w:rsidR="009D2A34" w:rsidRPr="00F622F3" w:rsidP="009D2A34">
      <w:pPr>
        <w:bidi w:val="0"/>
        <w:ind w:firstLine="708"/>
        <w:jc w:val="both"/>
        <w:rPr>
          <w:rFonts w:ascii="Times New Roman" w:hAnsi="Times New Roman"/>
        </w:rPr>
      </w:pPr>
    </w:p>
    <w:p w:rsidR="009D2A34" w:rsidRPr="00F622F3" w:rsidP="009D2A34">
      <w:pPr>
        <w:bidi w:val="0"/>
        <w:ind w:firstLine="708"/>
        <w:jc w:val="both"/>
        <w:rPr>
          <w:rFonts w:ascii="Times New Roman" w:hAnsi="Times New Roman"/>
        </w:rPr>
      </w:pPr>
      <w:r w:rsidRPr="00F622F3">
        <w:rPr>
          <w:rFonts w:ascii="Times New Roman" w:hAnsi="Times New Roman"/>
        </w:rPr>
        <w:t xml:space="preserve">Rozpočet </w:t>
      </w:r>
      <w:r>
        <w:rPr>
          <w:rFonts w:ascii="Times New Roman" w:hAnsi="Times New Roman"/>
        </w:rPr>
        <w:t>kapitálových výdavkov v porovnaní so schváleným rozpočtom</w:t>
      </w:r>
      <w:r w:rsidRPr="00F622F3">
        <w:rPr>
          <w:rFonts w:ascii="Times New Roman" w:hAnsi="Times New Roman"/>
        </w:rPr>
        <w:t xml:space="preserve"> na rok </w:t>
      </w:r>
      <w:r>
        <w:rPr>
          <w:rFonts w:ascii="Times New Roman" w:hAnsi="Times New Roman"/>
        </w:rPr>
        <w:t>2012 rastie o 58 tis. eur, t. j. o</w:t>
      </w:r>
      <w:r w:rsidR="001F3259">
        <w:rPr>
          <w:rFonts w:ascii="Times New Roman" w:hAnsi="Times New Roman"/>
        </w:rPr>
        <w:t> </w:t>
      </w:r>
      <w:r>
        <w:rPr>
          <w:rFonts w:ascii="Times New Roman" w:hAnsi="Times New Roman"/>
        </w:rPr>
        <w:t>191</w:t>
      </w:r>
      <w:r w:rsidR="001F3259">
        <w:rPr>
          <w:rFonts w:ascii="Times New Roman" w:hAnsi="Times New Roman"/>
        </w:rPr>
        <w:t xml:space="preserve"> </w:t>
      </w:r>
      <w:r>
        <w:rPr>
          <w:rFonts w:ascii="Times New Roman" w:hAnsi="Times New Roman"/>
        </w:rPr>
        <w:t>%</w:t>
      </w:r>
      <w:r>
        <w:rPr>
          <w:rFonts w:ascii="Times New Roman" w:hAnsi="Times New Roman" w:cs="Times New Roman"/>
        </w:rPr>
        <w:t xml:space="preserve"> z dôvodu schválenej legislatívnej zmeny.</w:t>
      </w:r>
    </w:p>
    <w:p w:rsidR="009D2A34" w:rsidRPr="00FF7F41" w:rsidP="009D2A34">
      <w:pPr>
        <w:bidi w:val="0"/>
        <w:jc w:val="both"/>
        <w:rPr>
          <w:rFonts w:ascii="Times New Roman" w:hAnsi="Times New Roman"/>
        </w:rPr>
      </w:pPr>
    </w:p>
    <w:p w:rsidR="009D2A34" w:rsidRPr="00F32DD2" w:rsidP="009D2A34">
      <w:pPr>
        <w:pBdr>
          <w:bottom w:val="single" w:sz="4" w:space="1" w:color="auto"/>
        </w:pBdr>
        <w:bidi w:val="0"/>
        <w:jc w:val="both"/>
        <w:rPr>
          <w:rFonts w:ascii="Times New Roman" w:hAnsi="Times New Roman"/>
          <w:b/>
          <w:bCs/>
        </w:rPr>
      </w:pPr>
      <w:r w:rsidRPr="00F32DD2">
        <w:rPr>
          <w:rFonts w:ascii="Times New Roman" w:hAnsi="Times New Roman"/>
          <w:b/>
          <w:bCs/>
        </w:rPr>
        <w:t xml:space="preserve">Úrad jadrového dozoru SR </w:t>
      </w:r>
    </w:p>
    <w:p w:rsidR="009D2A34" w:rsidRPr="00CD37C6" w:rsidP="009D2A34">
      <w:pPr>
        <w:bidi w:val="0"/>
        <w:jc w:val="both"/>
        <w:rPr>
          <w:rFonts w:ascii="Times New Roman" w:hAnsi="Times New Roman"/>
          <w:highlight w:val="yellow"/>
        </w:rPr>
      </w:pPr>
    </w:p>
    <w:tbl>
      <w:tblPr>
        <w:tblStyle w:val="TableNormal"/>
        <w:tblW w:w="8958" w:type="dxa"/>
        <w:tblInd w:w="59" w:type="dxa"/>
        <w:tblCellMar>
          <w:left w:w="70" w:type="dxa"/>
          <w:right w:w="70" w:type="dxa"/>
        </w:tblCellMar>
        <w:tblLook w:val="04A0"/>
      </w:tblPr>
      <w:tblGrid>
        <w:gridCol w:w="2528"/>
        <w:gridCol w:w="924"/>
        <w:gridCol w:w="924"/>
        <w:gridCol w:w="924"/>
        <w:gridCol w:w="886"/>
        <w:gridCol w:w="924"/>
        <w:gridCol w:w="924"/>
        <w:gridCol w:w="924"/>
      </w:tblGrid>
      <w:tr>
        <w:tblPrEx>
          <w:tblW w:w="8958" w:type="dxa"/>
          <w:tblInd w:w="59" w:type="dxa"/>
          <w:tblCellMar>
            <w:left w:w="70" w:type="dxa"/>
            <w:right w:w="70" w:type="dxa"/>
          </w:tblCellMar>
          <w:tblLook w:val="04A0"/>
        </w:tblPrEx>
        <w:trPr>
          <w:trHeight w:val="259"/>
        </w:trPr>
        <w:tc>
          <w:tcPr>
            <w:tcW w:w="252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5010DF" w:rsidP="006338E5">
            <w:pPr>
              <w:bidi w:val="0"/>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 v eurách</w:t>
            </w:r>
          </w:p>
        </w:tc>
        <w:tc>
          <w:tcPr>
            <w:tcW w:w="92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5010DF" w:rsidP="006338E5">
            <w:pPr>
              <w:bidi w:val="0"/>
              <w:jc w:val="center"/>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2010</w:t>
            </w:r>
            <w:r>
              <w:rPr>
                <w:rFonts w:ascii="Times New Roman" w:hAnsi="Times New Roman" w:cs="Times New Roman"/>
                <w:b/>
                <w:bCs/>
                <w:color w:val="000000"/>
                <w:sz w:val="14"/>
                <w:szCs w:val="14"/>
              </w:rPr>
              <w:t xml:space="preserve"> </w:t>
            </w:r>
            <w:r w:rsidRPr="005010DF">
              <w:rPr>
                <w:rFonts w:ascii="Times New Roman" w:hAnsi="Times New Roman" w:cs="Times New Roman"/>
                <w:b/>
                <w:bCs/>
                <w:color w:val="000000"/>
                <w:sz w:val="14"/>
                <w:szCs w:val="14"/>
              </w:rPr>
              <w:t>S</w:t>
            </w:r>
          </w:p>
        </w:tc>
        <w:tc>
          <w:tcPr>
            <w:tcW w:w="92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5010DF" w:rsidP="006338E5">
            <w:pPr>
              <w:bidi w:val="0"/>
              <w:jc w:val="center"/>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2011 S</w:t>
            </w:r>
          </w:p>
        </w:tc>
        <w:tc>
          <w:tcPr>
            <w:tcW w:w="92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5010DF" w:rsidP="006338E5">
            <w:pPr>
              <w:bidi w:val="0"/>
              <w:jc w:val="center"/>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2012 R</w:t>
            </w:r>
          </w:p>
        </w:tc>
        <w:tc>
          <w:tcPr>
            <w:tcW w:w="886" w:type="dxa"/>
            <w:tcBorders>
              <w:top w:val="single" w:sz="4" w:space="0" w:color="auto"/>
              <w:left w:val="nil"/>
              <w:bottom w:val="single" w:sz="4" w:space="0" w:color="auto"/>
              <w:right w:val="single" w:sz="4" w:space="0" w:color="auto"/>
            </w:tcBorders>
            <w:shd w:val="clear" w:color="auto" w:fill="A6A6A6"/>
            <w:textDirection w:val="lrTb"/>
            <w:vAlign w:val="center"/>
          </w:tcPr>
          <w:p w:rsidR="009D2A34" w:rsidRPr="005010DF" w:rsidP="006338E5">
            <w:pPr>
              <w:bidi w:val="0"/>
              <w:jc w:val="center"/>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2012 OS</w:t>
            </w:r>
          </w:p>
        </w:tc>
        <w:tc>
          <w:tcPr>
            <w:tcW w:w="92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5010DF" w:rsidP="006338E5">
            <w:pPr>
              <w:bidi w:val="0"/>
              <w:jc w:val="center"/>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2013 N</w:t>
            </w:r>
          </w:p>
        </w:tc>
        <w:tc>
          <w:tcPr>
            <w:tcW w:w="92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5010DF" w:rsidP="006338E5">
            <w:pPr>
              <w:bidi w:val="0"/>
              <w:jc w:val="center"/>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2014 N</w:t>
            </w:r>
          </w:p>
        </w:tc>
        <w:tc>
          <w:tcPr>
            <w:tcW w:w="92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5010DF" w:rsidP="006338E5">
            <w:pPr>
              <w:bidi w:val="0"/>
              <w:jc w:val="center"/>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2015 N</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9D2A34" w:rsidRPr="005010DF" w:rsidP="006338E5">
            <w:pPr>
              <w:bidi w:val="0"/>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Zdroje príslušnej kapitoly</w:t>
            </w:r>
          </w:p>
        </w:tc>
        <w:tc>
          <w:tcPr>
            <w:tcW w:w="924" w:type="dxa"/>
            <w:tcBorders>
              <w:top w:val="nil"/>
              <w:left w:val="nil"/>
              <w:bottom w:val="single" w:sz="4" w:space="0" w:color="auto"/>
              <w:right w:val="single" w:sz="4" w:space="0" w:color="auto"/>
            </w:tcBorders>
            <w:shd w:val="clear" w:color="auto" w:fill="BFBFBF"/>
            <w:noWrap/>
            <w:textDirection w:val="lrTb"/>
            <w:vAlign w:val="center"/>
            <w:hideMark/>
          </w:tcPr>
          <w:p w:rsidR="009D2A34" w:rsidRPr="005010DF" w:rsidP="006338E5">
            <w:pPr>
              <w:bidi w:val="0"/>
              <w:jc w:val="right"/>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4</w:t>
            </w:r>
            <w:r>
              <w:rPr>
                <w:rFonts w:ascii="Times New Roman" w:hAnsi="Times New Roman" w:cs="Times New Roman"/>
                <w:b/>
                <w:bCs/>
                <w:color w:val="000000"/>
                <w:sz w:val="14"/>
                <w:szCs w:val="14"/>
              </w:rPr>
              <w:t> 737 046</w:t>
            </w:r>
          </w:p>
        </w:tc>
        <w:tc>
          <w:tcPr>
            <w:tcW w:w="924" w:type="dxa"/>
            <w:tcBorders>
              <w:top w:val="nil"/>
              <w:left w:val="nil"/>
              <w:bottom w:val="single" w:sz="4" w:space="0" w:color="auto"/>
              <w:right w:val="single" w:sz="4" w:space="0" w:color="auto"/>
            </w:tcBorders>
            <w:shd w:val="clear" w:color="auto" w:fill="BFBFBF"/>
            <w:noWrap/>
            <w:textDirection w:val="lrTb"/>
            <w:vAlign w:val="center"/>
            <w:hideMark/>
          </w:tcPr>
          <w:p w:rsidR="009D2A34" w:rsidRPr="005010DF" w:rsidP="006338E5">
            <w:pPr>
              <w:bidi w:val="0"/>
              <w:jc w:val="right"/>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4</w:t>
            </w:r>
            <w:r>
              <w:rPr>
                <w:rFonts w:ascii="Times New Roman" w:hAnsi="Times New Roman" w:cs="Times New Roman"/>
                <w:b/>
                <w:bCs/>
                <w:color w:val="000000"/>
                <w:sz w:val="14"/>
                <w:szCs w:val="14"/>
              </w:rPr>
              <w:t> </w:t>
            </w:r>
            <w:r w:rsidRPr="005010DF">
              <w:rPr>
                <w:rFonts w:ascii="Times New Roman" w:hAnsi="Times New Roman" w:cs="Times New Roman"/>
                <w:b/>
                <w:bCs/>
                <w:color w:val="000000"/>
                <w:sz w:val="14"/>
                <w:szCs w:val="14"/>
              </w:rPr>
              <w:t>7</w:t>
            </w:r>
            <w:r>
              <w:rPr>
                <w:rFonts w:ascii="Times New Roman" w:hAnsi="Times New Roman" w:cs="Times New Roman"/>
                <w:b/>
                <w:bCs/>
                <w:color w:val="000000"/>
                <w:sz w:val="14"/>
                <w:szCs w:val="14"/>
              </w:rPr>
              <w:t>02 670</w:t>
            </w:r>
          </w:p>
        </w:tc>
        <w:tc>
          <w:tcPr>
            <w:tcW w:w="924" w:type="dxa"/>
            <w:tcBorders>
              <w:top w:val="nil"/>
              <w:left w:val="nil"/>
              <w:bottom w:val="single" w:sz="4" w:space="0" w:color="auto"/>
              <w:right w:val="single" w:sz="4" w:space="0" w:color="auto"/>
            </w:tcBorders>
            <w:shd w:val="clear" w:color="auto" w:fill="BFBFBF"/>
            <w:noWrap/>
            <w:textDirection w:val="lrTb"/>
            <w:vAlign w:val="center"/>
            <w:hideMark/>
          </w:tcPr>
          <w:p w:rsidR="009D2A34" w:rsidRPr="005010DF" w:rsidP="006338E5">
            <w:pPr>
              <w:bidi w:val="0"/>
              <w:jc w:val="right"/>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5 058 977</w:t>
            </w:r>
          </w:p>
        </w:tc>
        <w:tc>
          <w:tcPr>
            <w:tcW w:w="886" w:type="dxa"/>
            <w:tcBorders>
              <w:top w:val="single" w:sz="4" w:space="0" w:color="auto"/>
              <w:left w:val="nil"/>
              <w:bottom w:val="single" w:sz="4" w:space="0" w:color="auto"/>
              <w:right w:val="single" w:sz="4" w:space="0" w:color="auto"/>
            </w:tcBorders>
            <w:shd w:val="clear" w:color="auto" w:fill="BFBFBF"/>
            <w:textDirection w:val="lrTb"/>
            <w:vAlign w:val="center"/>
          </w:tcPr>
          <w:p w:rsidR="009D2A34" w:rsidRPr="005010DF" w:rsidP="006338E5">
            <w:pPr>
              <w:bidi w:val="0"/>
              <w:jc w:val="right"/>
              <w:rPr>
                <w:rFonts w:ascii="Times New Roman" w:hAnsi="Times New Roman" w:cs="Times New Roman"/>
                <w:b/>
                <w:bCs/>
                <w:color w:val="000000"/>
                <w:sz w:val="14"/>
                <w:szCs w:val="14"/>
              </w:rPr>
            </w:pPr>
            <w:r w:rsidRPr="005010DF">
              <w:rPr>
                <w:rFonts w:ascii="Times New Roman" w:hAnsi="Times New Roman" w:cs="Times New Roman"/>
                <w:b/>
                <w:bCs/>
                <w:color w:val="000000"/>
                <w:sz w:val="14"/>
                <w:szCs w:val="14"/>
              </w:rPr>
              <w:t>5</w:t>
            </w:r>
            <w:r>
              <w:rPr>
                <w:rFonts w:ascii="Times New Roman" w:hAnsi="Times New Roman" w:cs="Times New Roman"/>
                <w:b/>
                <w:bCs/>
                <w:color w:val="000000"/>
                <w:sz w:val="14"/>
                <w:szCs w:val="14"/>
              </w:rPr>
              <w:t> </w:t>
            </w:r>
            <w:r w:rsidRPr="005010DF">
              <w:rPr>
                <w:rFonts w:ascii="Times New Roman" w:hAnsi="Times New Roman" w:cs="Times New Roman"/>
                <w:b/>
                <w:bCs/>
                <w:color w:val="000000"/>
                <w:sz w:val="14"/>
                <w:szCs w:val="14"/>
              </w:rPr>
              <w:t>0</w:t>
            </w:r>
            <w:r>
              <w:rPr>
                <w:rFonts w:ascii="Times New Roman" w:hAnsi="Times New Roman" w:cs="Times New Roman"/>
                <w:b/>
                <w:bCs/>
                <w:color w:val="000000"/>
                <w:sz w:val="14"/>
                <w:szCs w:val="14"/>
              </w:rPr>
              <w:t>58 977</w:t>
            </w:r>
          </w:p>
        </w:tc>
        <w:tc>
          <w:tcPr>
            <w:tcW w:w="92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9D2A34" w:rsidRPr="00075062" w:rsidP="006338E5">
            <w:pPr>
              <w:bidi w:val="0"/>
              <w:jc w:val="right"/>
              <w:rPr>
                <w:rFonts w:ascii="Times New Roman" w:hAnsi="Times New Roman" w:cs="Times New Roman"/>
                <w:b/>
                <w:bCs/>
                <w:color w:val="000000"/>
                <w:sz w:val="14"/>
                <w:szCs w:val="14"/>
              </w:rPr>
            </w:pPr>
            <w:r w:rsidRPr="00075062">
              <w:rPr>
                <w:rFonts w:ascii="Times New Roman" w:hAnsi="Times New Roman" w:cs="Times New Roman"/>
                <w:b/>
                <w:bCs/>
                <w:color w:val="000000"/>
                <w:sz w:val="14"/>
                <w:szCs w:val="14"/>
              </w:rPr>
              <w:t>4 783 885</w:t>
            </w:r>
          </w:p>
        </w:tc>
        <w:tc>
          <w:tcPr>
            <w:tcW w:w="924" w:type="dxa"/>
            <w:tcBorders>
              <w:top w:val="nil"/>
              <w:left w:val="nil"/>
              <w:bottom w:val="single" w:sz="4" w:space="0" w:color="auto"/>
              <w:right w:val="single" w:sz="4" w:space="0" w:color="auto"/>
            </w:tcBorders>
            <w:shd w:val="clear" w:color="auto" w:fill="BFBFBF"/>
            <w:noWrap/>
            <w:textDirection w:val="lrTb"/>
            <w:vAlign w:val="center"/>
            <w:hideMark/>
          </w:tcPr>
          <w:p w:rsidR="009D2A34" w:rsidRPr="005A2029" w:rsidP="006338E5">
            <w:pPr>
              <w:bidi w:val="0"/>
              <w:jc w:val="right"/>
              <w:rPr>
                <w:rFonts w:ascii="Times New Roman" w:hAnsi="Times New Roman" w:cs="Times New Roman"/>
                <w:b/>
                <w:bCs/>
                <w:color w:val="000000"/>
                <w:sz w:val="14"/>
                <w:szCs w:val="14"/>
              </w:rPr>
            </w:pPr>
            <w:r w:rsidRPr="005A2029">
              <w:rPr>
                <w:rFonts w:ascii="Times New Roman" w:hAnsi="Times New Roman" w:cs="Times New Roman"/>
                <w:b/>
                <w:bCs/>
                <w:color w:val="000000"/>
                <w:sz w:val="14"/>
                <w:szCs w:val="14"/>
              </w:rPr>
              <w:t>9 432 860</w:t>
            </w:r>
          </w:p>
        </w:tc>
        <w:tc>
          <w:tcPr>
            <w:tcW w:w="924" w:type="dxa"/>
            <w:tcBorders>
              <w:top w:val="nil"/>
              <w:left w:val="nil"/>
              <w:bottom w:val="single" w:sz="4" w:space="0" w:color="auto"/>
              <w:right w:val="single" w:sz="4" w:space="0" w:color="auto"/>
            </w:tcBorders>
            <w:shd w:val="clear" w:color="auto" w:fill="BFBFBF"/>
            <w:noWrap/>
            <w:textDirection w:val="lrTb"/>
            <w:vAlign w:val="center"/>
            <w:hideMark/>
          </w:tcPr>
          <w:p w:rsidR="009D2A34" w:rsidRPr="005A2029" w:rsidP="006338E5">
            <w:pPr>
              <w:bidi w:val="0"/>
              <w:jc w:val="right"/>
              <w:rPr>
                <w:rFonts w:ascii="Times New Roman" w:hAnsi="Times New Roman" w:cs="Times New Roman"/>
                <w:b/>
                <w:bCs/>
                <w:color w:val="000000"/>
                <w:sz w:val="14"/>
                <w:szCs w:val="14"/>
              </w:rPr>
            </w:pPr>
            <w:r w:rsidRPr="005A2029">
              <w:rPr>
                <w:rFonts w:ascii="Times New Roman" w:hAnsi="Times New Roman" w:cs="Times New Roman"/>
                <w:b/>
                <w:bCs/>
                <w:color w:val="000000"/>
                <w:sz w:val="14"/>
                <w:szCs w:val="14"/>
              </w:rPr>
              <w:t>9 189 579</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noWrap/>
            <w:textDirection w:val="lrTb"/>
            <w:vAlign w:val="center"/>
            <w:hideMark/>
          </w:tcPr>
          <w:p w:rsidR="009D2A34" w:rsidRPr="00434645" w:rsidP="006338E5">
            <w:pPr>
              <w:bidi w:val="0"/>
              <w:rPr>
                <w:rFonts w:ascii="Times New Roman" w:hAnsi="Times New Roman" w:cs="Times New Roman"/>
                <w:b/>
                <w:color w:val="000000"/>
                <w:sz w:val="14"/>
                <w:szCs w:val="14"/>
              </w:rPr>
            </w:pPr>
            <w:r w:rsidRPr="00434645">
              <w:rPr>
                <w:rFonts w:ascii="Times New Roman" w:hAnsi="Times New Roman" w:cs="Times New Roman"/>
                <w:b/>
                <w:color w:val="000000"/>
                <w:sz w:val="14"/>
                <w:szCs w:val="14"/>
              </w:rPr>
              <w:t xml:space="preserve">rozpočtové zdroje kapitoly </w:t>
            </w:r>
          </w:p>
        </w:tc>
        <w:tc>
          <w:tcPr>
            <w:tcW w:w="924" w:type="dxa"/>
            <w:tcBorders>
              <w:top w:val="nil"/>
              <w:left w:val="nil"/>
              <w:bottom w:val="single" w:sz="4" w:space="0" w:color="auto"/>
              <w:right w:val="single" w:sz="4" w:space="0" w:color="auto"/>
            </w:tcBorders>
            <w:noWrap/>
            <w:textDirection w:val="lrTb"/>
            <w:vAlign w:val="center"/>
            <w:hideMark/>
          </w:tcPr>
          <w:p w:rsidR="009D2A34" w:rsidRPr="00434645" w:rsidP="006338E5">
            <w:pPr>
              <w:bidi w:val="0"/>
              <w:jc w:val="right"/>
              <w:rPr>
                <w:rFonts w:ascii="Times New Roman" w:hAnsi="Times New Roman" w:cs="Times New Roman"/>
                <w:b/>
                <w:color w:val="000000"/>
                <w:sz w:val="14"/>
                <w:szCs w:val="14"/>
              </w:rPr>
            </w:pPr>
            <w:r w:rsidRPr="00434645">
              <w:rPr>
                <w:rFonts w:ascii="Times New Roman" w:hAnsi="Times New Roman" w:cs="Times New Roman"/>
                <w:b/>
                <w:color w:val="000000"/>
                <w:sz w:val="14"/>
                <w:szCs w:val="14"/>
              </w:rPr>
              <w:t>4 737 046</w:t>
            </w:r>
          </w:p>
        </w:tc>
        <w:tc>
          <w:tcPr>
            <w:tcW w:w="924" w:type="dxa"/>
            <w:tcBorders>
              <w:top w:val="nil"/>
              <w:left w:val="nil"/>
              <w:bottom w:val="single" w:sz="4" w:space="0" w:color="auto"/>
              <w:right w:val="single" w:sz="4" w:space="0" w:color="auto"/>
            </w:tcBorders>
            <w:noWrap/>
            <w:textDirection w:val="lrTb"/>
            <w:vAlign w:val="center"/>
            <w:hideMark/>
          </w:tcPr>
          <w:p w:rsidR="009D2A34" w:rsidRPr="00434645" w:rsidP="006338E5">
            <w:pPr>
              <w:bidi w:val="0"/>
              <w:jc w:val="right"/>
              <w:rPr>
                <w:rFonts w:ascii="Times New Roman" w:hAnsi="Times New Roman" w:cs="Times New Roman"/>
                <w:b/>
                <w:color w:val="000000"/>
                <w:sz w:val="14"/>
                <w:szCs w:val="14"/>
              </w:rPr>
            </w:pPr>
            <w:r w:rsidRPr="00434645">
              <w:rPr>
                <w:rFonts w:ascii="Times New Roman" w:hAnsi="Times New Roman" w:cs="Times New Roman"/>
                <w:b/>
                <w:color w:val="000000"/>
                <w:sz w:val="14"/>
                <w:szCs w:val="14"/>
              </w:rPr>
              <w:t>4 702 670</w:t>
            </w:r>
          </w:p>
        </w:tc>
        <w:tc>
          <w:tcPr>
            <w:tcW w:w="924" w:type="dxa"/>
            <w:tcBorders>
              <w:top w:val="nil"/>
              <w:left w:val="nil"/>
              <w:bottom w:val="single" w:sz="4" w:space="0" w:color="auto"/>
              <w:right w:val="single" w:sz="4" w:space="0" w:color="auto"/>
            </w:tcBorders>
            <w:noWrap/>
            <w:textDirection w:val="lrTb"/>
            <w:vAlign w:val="center"/>
            <w:hideMark/>
          </w:tcPr>
          <w:p w:rsidR="009D2A34" w:rsidRPr="00434645" w:rsidP="006338E5">
            <w:pPr>
              <w:bidi w:val="0"/>
              <w:jc w:val="right"/>
              <w:rPr>
                <w:rFonts w:ascii="Times New Roman" w:hAnsi="Times New Roman" w:cs="Times New Roman"/>
                <w:b/>
                <w:color w:val="000000"/>
                <w:sz w:val="14"/>
                <w:szCs w:val="14"/>
              </w:rPr>
            </w:pPr>
            <w:r w:rsidRPr="00434645">
              <w:rPr>
                <w:rFonts w:ascii="Times New Roman" w:hAnsi="Times New Roman" w:cs="Times New Roman"/>
                <w:b/>
                <w:color w:val="000000"/>
                <w:sz w:val="14"/>
                <w:szCs w:val="14"/>
              </w:rPr>
              <w:t>5 058 977</w:t>
            </w:r>
          </w:p>
        </w:tc>
        <w:tc>
          <w:tcPr>
            <w:tcW w:w="886" w:type="dxa"/>
            <w:tcBorders>
              <w:top w:val="single" w:sz="4" w:space="0" w:color="auto"/>
              <w:left w:val="nil"/>
              <w:bottom w:val="single" w:sz="4" w:space="0" w:color="auto"/>
              <w:right w:val="single" w:sz="4" w:space="0" w:color="auto"/>
            </w:tcBorders>
            <w:textDirection w:val="lrTb"/>
            <w:vAlign w:val="center"/>
          </w:tcPr>
          <w:p w:rsidR="009D2A34" w:rsidRPr="00434645" w:rsidP="006338E5">
            <w:pPr>
              <w:bidi w:val="0"/>
              <w:jc w:val="right"/>
              <w:rPr>
                <w:rFonts w:ascii="Times New Roman" w:hAnsi="Times New Roman" w:cs="Times New Roman"/>
                <w:b/>
                <w:color w:val="000000"/>
                <w:sz w:val="14"/>
                <w:szCs w:val="14"/>
              </w:rPr>
            </w:pPr>
            <w:r w:rsidRPr="00434645">
              <w:rPr>
                <w:rFonts w:ascii="Times New Roman" w:hAnsi="Times New Roman" w:cs="Times New Roman"/>
                <w:b/>
                <w:color w:val="000000"/>
                <w:sz w:val="14"/>
                <w:szCs w:val="14"/>
              </w:rPr>
              <w:t>5 058 977</w:t>
            </w:r>
          </w:p>
        </w:tc>
        <w:tc>
          <w:tcPr>
            <w:tcW w:w="924" w:type="dxa"/>
            <w:tcBorders>
              <w:top w:val="nil"/>
              <w:left w:val="single" w:sz="4" w:space="0" w:color="auto"/>
              <w:bottom w:val="single" w:sz="4" w:space="0" w:color="auto"/>
              <w:right w:val="single" w:sz="4" w:space="0" w:color="auto"/>
            </w:tcBorders>
            <w:noWrap/>
            <w:textDirection w:val="lrTb"/>
            <w:vAlign w:val="center"/>
            <w:hideMark/>
          </w:tcPr>
          <w:p w:rsidR="009D2A34" w:rsidRPr="00434645" w:rsidP="006338E5">
            <w:pPr>
              <w:bidi w:val="0"/>
              <w:jc w:val="right"/>
              <w:rPr>
                <w:rFonts w:ascii="Times New Roman" w:hAnsi="Times New Roman" w:cs="Times New Roman"/>
                <w:b/>
                <w:color w:val="000000"/>
                <w:sz w:val="14"/>
                <w:szCs w:val="14"/>
              </w:rPr>
            </w:pPr>
            <w:r w:rsidRPr="00434645">
              <w:rPr>
                <w:rFonts w:ascii="Times New Roman" w:hAnsi="Times New Roman" w:cs="Times New Roman"/>
                <w:b/>
                <w:color w:val="000000"/>
                <w:sz w:val="14"/>
                <w:szCs w:val="14"/>
              </w:rPr>
              <w:t>4 783 885</w:t>
            </w:r>
          </w:p>
        </w:tc>
        <w:tc>
          <w:tcPr>
            <w:tcW w:w="924" w:type="dxa"/>
            <w:tcBorders>
              <w:top w:val="nil"/>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b/>
                <w:color w:val="000000"/>
                <w:sz w:val="14"/>
                <w:szCs w:val="14"/>
              </w:rPr>
            </w:pPr>
            <w:r w:rsidRPr="005A2029">
              <w:rPr>
                <w:rFonts w:ascii="Times New Roman" w:hAnsi="Times New Roman" w:cs="Times New Roman"/>
                <w:b/>
                <w:color w:val="000000"/>
                <w:sz w:val="14"/>
                <w:szCs w:val="14"/>
              </w:rPr>
              <w:t>9 432 860</w:t>
            </w:r>
          </w:p>
        </w:tc>
        <w:tc>
          <w:tcPr>
            <w:tcW w:w="924" w:type="dxa"/>
            <w:tcBorders>
              <w:top w:val="nil"/>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b/>
                <w:color w:val="000000"/>
                <w:sz w:val="14"/>
                <w:szCs w:val="14"/>
              </w:rPr>
            </w:pPr>
            <w:r w:rsidRPr="005A2029">
              <w:rPr>
                <w:rFonts w:ascii="Times New Roman" w:hAnsi="Times New Roman" w:cs="Times New Roman"/>
                <w:b/>
                <w:bCs/>
                <w:color w:val="000000"/>
                <w:sz w:val="14"/>
                <w:szCs w:val="14"/>
              </w:rPr>
              <w:t>9 189 579</w:t>
            </w:r>
            <w:r w:rsidRPr="005A2029">
              <w:rPr>
                <w:rFonts w:ascii="Times New Roman" w:hAnsi="Times New Roman" w:cs="Times New Roman"/>
                <w:b/>
                <w:color w:val="000000"/>
                <w:sz w:val="14"/>
                <w:szCs w:val="14"/>
              </w:rPr>
              <w:t xml:space="preserve"> </w:t>
            </w:r>
          </w:p>
        </w:tc>
      </w:tr>
      <w:tr>
        <w:tblPrEx>
          <w:tblW w:w="8958" w:type="dxa"/>
          <w:tblInd w:w="59" w:type="dxa"/>
          <w:tblCellMar>
            <w:left w:w="70" w:type="dxa"/>
            <w:right w:w="70" w:type="dxa"/>
          </w:tblCellMar>
          <w:tblLook w:val="04A0"/>
        </w:tblPrEx>
        <w:trPr>
          <w:trHeight w:val="259"/>
        </w:trPr>
        <w:tc>
          <w:tcPr>
            <w:tcW w:w="252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5010DF" w:rsidP="006338E5">
            <w:pPr>
              <w:bidi w:val="0"/>
              <w:rPr>
                <w:rFonts w:ascii="Times New Roman" w:hAnsi="Times New Roman" w:cs="Times New Roman"/>
                <w:color w:val="000000"/>
                <w:sz w:val="14"/>
                <w:szCs w:val="14"/>
              </w:rPr>
            </w:pPr>
            <w:r w:rsidRPr="005010DF">
              <w:rPr>
                <w:rFonts w:ascii="Times New Roman" w:hAnsi="Times New Roman" w:cs="Times New Roman"/>
                <w:color w:val="000000"/>
                <w:sz w:val="14"/>
                <w:szCs w:val="14"/>
              </w:rPr>
              <w:t xml:space="preserve">    v tom: bežné výdavky  600</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4 637 477</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4 643 87</w:t>
            </w:r>
            <w:r>
              <w:rPr>
                <w:rFonts w:ascii="Times New Roman" w:hAnsi="Times New Roman" w:cs="Times New Roman"/>
                <w:color w:val="000000"/>
                <w:sz w:val="14"/>
                <w:szCs w:val="14"/>
              </w:rPr>
              <w:t>1</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4 959 077</w:t>
            </w:r>
          </w:p>
        </w:tc>
        <w:tc>
          <w:tcPr>
            <w:tcW w:w="886" w:type="dxa"/>
            <w:tcBorders>
              <w:top w:val="single" w:sz="4" w:space="0" w:color="auto"/>
              <w:left w:val="nil"/>
              <w:bottom w:val="single" w:sz="4" w:space="0" w:color="auto"/>
              <w:right w:val="single" w:sz="4" w:space="0" w:color="auto"/>
            </w:tcBorders>
            <w:textDirection w:val="lrTb"/>
            <w:vAlign w:val="center"/>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4 959 077</w:t>
            </w:r>
          </w:p>
        </w:tc>
        <w:tc>
          <w:tcPr>
            <w:tcW w:w="924"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075062" w:rsidP="006338E5">
            <w:pPr>
              <w:bidi w:val="0"/>
              <w:jc w:val="right"/>
              <w:rPr>
                <w:rFonts w:ascii="Times New Roman" w:hAnsi="Times New Roman" w:cs="Times New Roman"/>
                <w:color w:val="000000"/>
                <w:sz w:val="14"/>
                <w:szCs w:val="14"/>
              </w:rPr>
            </w:pPr>
            <w:r w:rsidRPr="00075062">
              <w:rPr>
                <w:rFonts w:ascii="Times New Roman" w:hAnsi="Times New Roman" w:cs="Times New Roman"/>
                <w:color w:val="000000"/>
                <w:sz w:val="14"/>
                <w:szCs w:val="14"/>
              </w:rPr>
              <w:t>4 632 185</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9 320 360</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9 077 079</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noWrap/>
            <w:textDirection w:val="lrTb"/>
            <w:vAlign w:val="center"/>
            <w:hideMark/>
          </w:tcPr>
          <w:p w:rsidR="009D2A34" w:rsidRPr="005010DF" w:rsidP="006338E5">
            <w:pPr>
              <w:bidi w:val="0"/>
              <w:rPr>
                <w:rFonts w:ascii="Times New Roman" w:hAnsi="Times New Roman" w:cs="Times New Roman"/>
                <w:color w:val="000000"/>
                <w:sz w:val="14"/>
                <w:szCs w:val="14"/>
              </w:rPr>
            </w:pPr>
            <w:r w:rsidRPr="005010DF">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5010DF">
              <w:rPr>
                <w:rFonts w:ascii="Times New Roman" w:hAnsi="Times New Roman" w:cs="Times New Roman"/>
                <w:color w:val="000000"/>
                <w:sz w:val="14"/>
                <w:szCs w:val="14"/>
              </w:rPr>
              <w:t xml:space="preserve">  610 mzdy</w:t>
            </w:r>
          </w:p>
        </w:tc>
        <w:tc>
          <w:tcPr>
            <w:tcW w:w="924" w:type="dxa"/>
            <w:tcBorders>
              <w:top w:val="nil"/>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1 535 878</w:t>
            </w:r>
          </w:p>
        </w:tc>
        <w:tc>
          <w:tcPr>
            <w:tcW w:w="924" w:type="dxa"/>
            <w:tcBorders>
              <w:top w:val="nil"/>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1 608 160</w:t>
            </w:r>
          </w:p>
        </w:tc>
        <w:tc>
          <w:tcPr>
            <w:tcW w:w="924" w:type="dxa"/>
            <w:tcBorders>
              <w:top w:val="nil"/>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1 596 434</w:t>
            </w:r>
          </w:p>
        </w:tc>
        <w:tc>
          <w:tcPr>
            <w:tcW w:w="886" w:type="dxa"/>
            <w:tcBorders>
              <w:top w:val="single" w:sz="4" w:space="0" w:color="auto"/>
              <w:left w:val="nil"/>
              <w:bottom w:val="single" w:sz="4" w:space="0" w:color="auto"/>
              <w:right w:val="single" w:sz="4" w:space="0" w:color="auto"/>
            </w:tcBorders>
            <w:textDirection w:val="lrTb"/>
            <w:vAlign w:val="center"/>
          </w:tcPr>
          <w:p w:rsidR="009D2A34" w:rsidRPr="005010DF" w:rsidP="006338E5">
            <w:pPr>
              <w:bidi w:val="0"/>
              <w:jc w:val="right"/>
              <w:rPr>
                <w:rFonts w:ascii="Times New Roman" w:hAnsi="Times New Roman" w:cs="Times New Roman"/>
                <w:sz w:val="14"/>
                <w:szCs w:val="14"/>
              </w:rPr>
            </w:pPr>
            <w:r w:rsidRPr="005010DF">
              <w:rPr>
                <w:rFonts w:ascii="Times New Roman" w:hAnsi="Times New Roman" w:cs="Times New Roman"/>
                <w:sz w:val="14"/>
                <w:szCs w:val="14"/>
              </w:rPr>
              <w:t>1 596 434</w:t>
            </w:r>
          </w:p>
        </w:tc>
        <w:tc>
          <w:tcPr>
            <w:tcW w:w="924" w:type="dxa"/>
            <w:tcBorders>
              <w:top w:val="nil"/>
              <w:left w:val="single" w:sz="4" w:space="0" w:color="auto"/>
              <w:bottom w:val="single" w:sz="4" w:space="0" w:color="auto"/>
              <w:right w:val="single" w:sz="4" w:space="0" w:color="auto"/>
            </w:tcBorders>
            <w:noWrap/>
            <w:textDirection w:val="lrTb"/>
            <w:vAlign w:val="center"/>
            <w:hideMark/>
          </w:tcPr>
          <w:p w:rsidR="009D2A34" w:rsidRPr="00A54747" w:rsidP="006338E5">
            <w:pPr>
              <w:bidi w:val="0"/>
              <w:jc w:val="right"/>
              <w:rPr>
                <w:rFonts w:ascii="Times New Roman" w:hAnsi="Times New Roman" w:cs="Times New Roman"/>
                <w:color w:val="000000"/>
                <w:sz w:val="14"/>
                <w:szCs w:val="14"/>
              </w:rPr>
            </w:pPr>
            <w:r w:rsidRPr="00A54747">
              <w:rPr>
                <w:rFonts w:ascii="Times New Roman" w:hAnsi="Times New Roman" w:cs="Times New Roman"/>
                <w:color w:val="000000"/>
                <w:sz w:val="14"/>
                <w:szCs w:val="14"/>
              </w:rPr>
              <w:t>1 683 374</w:t>
            </w:r>
          </w:p>
        </w:tc>
        <w:tc>
          <w:tcPr>
            <w:tcW w:w="924" w:type="dxa"/>
            <w:tcBorders>
              <w:top w:val="nil"/>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2 101 027</w:t>
            </w:r>
          </w:p>
        </w:tc>
        <w:tc>
          <w:tcPr>
            <w:tcW w:w="924" w:type="dxa"/>
            <w:tcBorders>
              <w:top w:val="nil"/>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2 591 301</w:t>
            </w:r>
          </w:p>
        </w:tc>
      </w:tr>
      <w:tr>
        <w:tblPrEx>
          <w:tblW w:w="8958" w:type="dxa"/>
          <w:tblInd w:w="59" w:type="dxa"/>
          <w:tblCellMar>
            <w:left w:w="70" w:type="dxa"/>
            <w:right w:w="70" w:type="dxa"/>
          </w:tblCellMar>
          <w:tblLook w:val="04A0"/>
        </w:tblPrEx>
        <w:trPr>
          <w:trHeight w:val="259"/>
        </w:trPr>
        <w:tc>
          <w:tcPr>
            <w:tcW w:w="252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5010DF" w:rsidP="006338E5">
            <w:pPr>
              <w:bidi w:val="0"/>
              <w:rPr>
                <w:rFonts w:ascii="Times New Roman" w:hAnsi="Times New Roman" w:cs="Times New Roman"/>
                <w:color w:val="000000"/>
                <w:sz w:val="14"/>
                <w:szCs w:val="14"/>
              </w:rPr>
            </w:pPr>
            <w:r w:rsidRPr="005010DF">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5010DF">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5010DF">
              <w:rPr>
                <w:rFonts w:ascii="Times New Roman" w:hAnsi="Times New Roman" w:cs="Times New Roman"/>
                <w:color w:val="000000"/>
                <w:sz w:val="14"/>
                <w:szCs w:val="14"/>
              </w:rPr>
              <w:t>620 odvody</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530 841</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574 769</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569 164</w:t>
            </w:r>
          </w:p>
        </w:tc>
        <w:tc>
          <w:tcPr>
            <w:tcW w:w="886" w:type="dxa"/>
            <w:tcBorders>
              <w:top w:val="single" w:sz="4" w:space="0" w:color="auto"/>
              <w:left w:val="nil"/>
              <w:bottom w:val="single" w:sz="4" w:space="0" w:color="auto"/>
              <w:right w:val="single" w:sz="4" w:space="0" w:color="auto"/>
            </w:tcBorders>
            <w:textDirection w:val="lrTb"/>
            <w:vAlign w:val="center"/>
          </w:tcPr>
          <w:p w:rsidR="009D2A34" w:rsidRPr="005010DF" w:rsidP="006338E5">
            <w:pPr>
              <w:bidi w:val="0"/>
              <w:jc w:val="right"/>
              <w:rPr>
                <w:rFonts w:ascii="Times New Roman" w:hAnsi="Times New Roman" w:cs="Times New Roman"/>
                <w:sz w:val="14"/>
                <w:szCs w:val="14"/>
              </w:rPr>
            </w:pPr>
            <w:r w:rsidRPr="005010DF">
              <w:rPr>
                <w:rFonts w:ascii="Times New Roman" w:hAnsi="Times New Roman" w:cs="Times New Roman"/>
                <w:sz w:val="14"/>
                <w:szCs w:val="14"/>
              </w:rPr>
              <w:t>599 856</w:t>
            </w:r>
          </w:p>
        </w:tc>
        <w:tc>
          <w:tcPr>
            <w:tcW w:w="924"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075062" w:rsidP="006338E5">
            <w:pPr>
              <w:bidi w:val="0"/>
              <w:jc w:val="right"/>
              <w:rPr>
                <w:rFonts w:ascii="Times New Roman" w:hAnsi="Times New Roman" w:cs="Times New Roman"/>
                <w:color w:val="000000"/>
                <w:sz w:val="14"/>
                <w:szCs w:val="14"/>
              </w:rPr>
            </w:pPr>
            <w:r w:rsidRPr="00075062">
              <w:rPr>
                <w:rFonts w:ascii="Times New Roman" w:hAnsi="Times New Roman" w:cs="Times New Roman"/>
                <w:color w:val="000000"/>
                <w:sz w:val="14"/>
                <w:szCs w:val="14"/>
              </w:rPr>
              <w:t>577 019</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694 484</w:t>
            </w:r>
          </w:p>
        </w:tc>
        <w:tc>
          <w:tcPr>
            <w:tcW w:w="924" w:type="dxa"/>
            <w:tcBorders>
              <w:top w:val="single" w:sz="4" w:space="0" w:color="auto"/>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822 834</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noWrap/>
            <w:textDirection w:val="lrTb"/>
            <w:vAlign w:val="center"/>
            <w:hideMark/>
          </w:tcPr>
          <w:p w:rsidR="009D2A34" w:rsidRPr="005010DF" w:rsidP="006338E5">
            <w:pPr>
              <w:bidi w:val="0"/>
              <w:rPr>
                <w:rFonts w:ascii="Times New Roman" w:hAnsi="Times New Roman" w:cs="Times New Roman"/>
                <w:color w:val="000000"/>
                <w:sz w:val="14"/>
                <w:szCs w:val="14"/>
              </w:rPr>
            </w:pPr>
            <w:r w:rsidRPr="005010DF">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5010DF">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5010DF">
              <w:rPr>
                <w:rFonts w:ascii="Times New Roman" w:hAnsi="Times New Roman" w:cs="Times New Roman"/>
                <w:color w:val="000000"/>
                <w:sz w:val="14"/>
                <w:szCs w:val="14"/>
              </w:rPr>
              <w:t xml:space="preserve"> 630 tovary a služby</w:t>
            </w:r>
          </w:p>
        </w:tc>
        <w:tc>
          <w:tcPr>
            <w:tcW w:w="924" w:type="dxa"/>
            <w:tcBorders>
              <w:top w:val="nil"/>
              <w:left w:val="nil"/>
              <w:bottom w:val="single" w:sz="4" w:space="0" w:color="auto"/>
              <w:right w:val="single" w:sz="4" w:space="0" w:color="auto"/>
            </w:tcBorders>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2 166 230</w:t>
            </w:r>
          </w:p>
        </w:tc>
        <w:tc>
          <w:tcPr>
            <w:tcW w:w="924" w:type="dxa"/>
            <w:tcBorders>
              <w:top w:val="nil"/>
              <w:left w:val="nil"/>
              <w:bottom w:val="single" w:sz="4" w:space="0" w:color="auto"/>
              <w:right w:val="single" w:sz="4" w:space="0" w:color="auto"/>
            </w:tcBorders>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1 910 581</w:t>
            </w:r>
          </w:p>
        </w:tc>
        <w:tc>
          <w:tcPr>
            <w:tcW w:w="924" w:type="dxa"/>
            <w:tcBorders>
              <w:top w:val="nil"/>
              <w:left w:val="nil"/>
              <w:bottom w:val="single" w:sz="4" w:space="0" w:color="auto"/>
              <w:right w:val="single" w:sz="4" w:space="0" w:color="auto"/>
            </w:tcBorders>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2 076 073</w:t>
            </w:r>
          </w:p>
        </w:tc>
        <w:tc>
          <w:tcPr>
            <w:tcW w:w="886" w:type="dxa"/>
            <w:tcBorders>
              <w:top w:val="single" w:sz="4" w:space="0" w:color="auto"/>
              <w:left w:val="nil"/>
              <w:bottom w:val="single" w:sz="4" w:space="0" w:color="auto"/>
              <w:right w:val="single" w:sz="4" w:space="0" w:color="auto"/>
            </w:tcBorders>
            <w:textDirection w:val="lrTb"/>
            <w:vAlign w:val="center"/>
          </w:tcPr>
          <w:p w:rsidR="009D2A34" w:rsidRPr="005010DF" w:rsidP="006338E5">
            <w:pPr>
              <w:bidi w:val="0"/>
              <w:jc w:val="right"/>
              <w:rPr>
                <w:rFonts w:ascii="Times New Roman" w:hAnsi="Times New Roman" w:cs="Times New Roman"/>
                <w:sz w:val="14"/>
                <w:szCs w:val="14"/>
              </w:rPr>
            </w:pPr>
            <w:r w:rsidRPr="005010DF">
              <w:rPr>
                <w:rFonts w:ascii="Times New Roman" w:hAnsi="Times New Roman" w:cs="Times New Roman"/>
                <w:sz w:val="14"/>
                <w:szCs w:val="14"/>
              </w:rPr>
              <w:t>2 023 564</w:t>
            </w:r>
          </w:p>
        </w:tc>
        <w:tc>
          <w:tcPr>
            <w:tcW w:w="924" w:type="dxa"/>
            <w:tcBorders>
              <w:top w:val="nil"/>
              <w:left w:val="single" w:sz="4" w:space="0" w:color="auto"/>
              <w:bottom w:val="single" w:sz="4" w:space="0" w:color="auto"/>
              <w:right w:val="single" w:sz="4" w:space="0" w:color="auto"/>
            </w:tcBorders>
            <w:textDirection w:val="lrTb"/>
            <w:vAlign w:val="center"/>
            <w:hideMark/>
          </w:tcPr>
          <w:p w:rsidR="009D2A34" w:rsidRPr="00075062" w:rsidP="006338E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1 642 502</w:t>
            </w:r>
          </w:p>
        </w:tc>
        <w:tc>
          <w:tcPr>
            <w:tcW w:w="924" w:type="dxa"/>
            <w:tcBorders>
              <w:top w:val="nil"/>
              <w:left w:val="nil"/>
              <w:bottom w:val="single" w:sz="4" w:space="0" w:color="auto"/>
              <w:right w:val="single" w:sz="4" w:space="0" w:color="auto"/>
            </w:tcBorders>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5 757 599</w:t>
            </w:r>
          </w:p>
        </w:tc>
        <w:tc>
          <w:tcPr>
            <w:tcW w:w="924" w:type="dxa"/>
            <w:tcBorders>
              <w:top w:val="nil"/>
              <w:left w:val="nil"/>
              <w:bottom w:val="single" w:sz="4" w:space="0" w:color="auto"/>
              <w:right w:val="single" w:sz="4" w:space="0" w:color="auto"/>
            </w:tcBorders>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4 847 952</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noWrap/>
            <w:textDirection w:val="lrTb"/>
            <w:vAlign w:val="center"/>
            <w:hideMark/>
          </w:tcPr>
          <w:p w:rsidR="009D2A34" w:rsidRPr="005010DF" w:rsidP="006338E5">
            <w:pPr>
              <w:bidi w:val="0"/>
              <w:rPr>
                <w:rFonts w:ascii="Times New Roman" w:hAnsi="Times New Roman" w:cs="Times New Roman"/>
                <w:color w:val="000000"/>
                <w:sz w:val="14"/>
                <w:szCs w:val="14"/>
              </w:rPr>
            </w:pPr>
            <w:r w:rsidRPr="005010DF">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5010DF">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5010DF">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5010DF">
              <w:rPr>
                <w:rFonts w:ascii="Times New Roman" w:hAnsi="Times New Roman" w:cs="Times New Roman"/>
                <w:color w:val="000000"/>
                <w:sz w:val="14"/>
                <w:szCs w:val="14"/>
              </w:rPr>
              <w:t>640 bežné transfery</w:t>
            </w:r>
          </w:p>
        </w:tc>
        <w:tc>
          <w:tcPr>
            <w:tcW w:w="924" w:type="dxa"/>
            <w:tcBorders>
              <w:top w:val="nil"/>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404 528</w:t>
            </w:r>
          </w:p>
        </w:tc>
        <w:tc>
          <w:tcPr>
            <w:tcW w:w="924" w:type="dxa"/>
            <w:tcBorders>
              <w:top w:val="nil"/>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550 36</w:t>
            </w:r>
            <w:r>
              <w:rPr>
                <w:rFonts w:ascii="Times New Roman" w:hAnsi="Times New Roman" w:cs="Times New Roman"/>
                <w:color w:val="000000"/>
                <w:sz w:val="14"/>
                <w:szCs w:val="14"/>
              </w:rPr>
              <w:t>1</w:t>
            </w:r>
          </w:p>
        </w:tc>
        <w:tc>
          <w:tcPr>
            <w:tcW w:w="924" w:type="dxa"/>
            <w:tcBorders>
              <w:top w:val="nil"/>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717 406</w:t>
            </w:r>
          </w:p>
        </w:tc>
        <w:tc>
          <w:tcPr>
            <w:tcW w:w="886" w:type="dxa"/>
            <w:tcBorders>
              <w:top w:val="single" w:sz="4" w:space="0" w:color="auto"/>
              <w:left w:val="nil"/>
              <w:bottom w:val="single" w:sz="4" w:space="0" w:color="auto"/>
              <w:right w:val="single" w:sz="4" w:space="0" w:color="auto"/>
            </w:tcBorders>
            <w:textDirection w:val="lrTb"/>
            <w:vAlign w:val="center"/>
          </w:tcPr>
          <w:p w:rsidR="009D2A34" w:rsidRPr="005010DF" w:rsidP="006338E5">
            <w:pPr>
              <w:bidi w:val="0"/>
              <w:jc w:val="right"/>
              <w:rPr>
                <w:rFonts w:ascii="Times New Roman" w:hAnsi="Times New Roman" w:cs="Times New Roman"/>
                <w:sz w:val="14"/>
                <w:szCs w:val="14"/>
              </w:rPr>
            </w:pPr>
            <w:r w:rsidRPr="005010DF">
              <w:rPr>
                <w:rFonts w:ascii="Times New Roman" w:hAnsi="Times New Roman" w:cs="Times New Roman"/>
                <w:sz w:val="14"/>
                <w:szCs w:val="14"/>
              </w:rPr>
              <w:t>739 223</w:t>
            </w:r>
          </w:p>
        </w:tc>
        <w:tc>
          <w:tcPr>
            <w:tcW w:w="924" w:type="dxa"/>
            <w:tcBorders>
              <w:top w:val="nil"/>
              <w:left w:val="single" w:sz="4" w:space="0" w:color="auto"/>
              <w:bottom w:val="single" w:sz="4" w:space="0" w:color="auto"/>
              <w:right w:val="single" w:sz="4" w:space="0" w:color="auto"/>
            </w:tcBorders>
            <w:noWrap/>
            <w:textDirection w:val="lrTb"/>
            <w:vAlign w:val="center"/>
            <w:hideMark/>
          </w:tcPr>
          <w:p w:rsidR="009D2A34" w:rsidRPr="00075062" w:rsidP="006338E5">
            <w:pPr>
              <w:bidi w:val="0"/>
              <w:jc w:val="right"/>
              <w:rPr>
                <w:rFonts w:ascii="Times New Roman" w:hAnsi="Times New Roman" w:cs="Times New Roman"/>
                <w:color w:val="000000"/>
                <w:sz w:val="14"/>
                <w:szCs w:val="14"/>
              </w:rPr>
            </w:pPr>
            <w:r w:rsidRPr="00075062">
              <w:rPr>
                <w:rFonts w:ascii="Times New Roman" w:hAnsi="Times New Roman" w:cs="Times New Roman"/>
                <w:color w:val="000000"/>
                <w:sz w:val="14"/>
                <w:szCs w:val="14"/>
              </w:rPr>
              <w:t>729 290</w:t>
            </w:r>
          </w:p>
        </w:tc>
        <w:tc>
          <w:tcPr>
            <w:tcW w:w="924" w:type="dxa"/>
            <w:tcBorders>
              <w:top w:val="nil"/>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767 250</w:t>
            </w:r>
          </w:p>
        </w:tc>
        <w:tc>
          <w:tcPr>
            <w:tcW w:w="924" w:type="dxa"/>
            <w:tcBorders>
              <w:top w:val="nil"/>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814 992</w:t>
            </w:r>
          </w:p>
        </w:tc>
      </w:tr>
      <w:tr>
        <w:tblPrEx>
          <w:tblW w:w="8958" w:type="dxa"/>
          <w:tblInd w:w="59" w:type="dxa"/>
          <w:tblCellMar>
            <w:left w:w="70" w:type="dxa"/>
            <w:right w:w="70" w:type="dxa"/>
          </w:tblCellMar>
          <w:tblLook w:val="04A0"/>
        </w:tblPrEx>
        <w:trPr>
          <w:trHeight w:val="259"/>
        </w:trPr>
        <w:tc>
          <w:tcPr>
            <w:tcW w:w="2528" w:type="dxa"/>
            <w:tcBorders>
              <w:top w:val="nil"/>
              <w:left w:val="single" w:sz="4" w:space="0" w:color="auto"/>
              <w:bottom w:val="single" w:sz="4" w:space="0" w:color="auto"/>
              <w:right w:val="single" w:sz="4" w:space="0" w:color="auto"/>
            </w:tcBorders>
            <w:noWrap/>
            <w:textDirection w:val="lrTb"/>
            <w:vAlign w:val="center"/>
            <w:hideMark/>
          </w:tcPr>
          <w:p w:rsidR="009D2A34" w:rsidRPr="005010DF" w:rsidP="006338E5">
            <w:pPr>
              <w:bidi w:val="0"/>
              <w:rPr>
                <w:rFonts w:ascii="Times New Roman" w:hAnsi="Times New Roman" w:cs="Times New Roman"/>
                <w:color w:val="000000"/>
                <w:sz w:val="14"/>
                <w:szCs w:val="14"/>
              </w:rPr>
            </w:pPr>
            <w:r w:rsidRPr="005010DF">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5010DF">
              <w:rPr>
                <w:rFonts w:ascii="Times New Roman" w:hAnsi="Times New Roman" w:cs="Times New Roman"/>
                <w:color w:val="000000"/>
                <w:sz w:val="14"/>
                <w:szCs w:val="14"/>
              </w:rPr>
              <w:t xml:space="preserve">   kapitálové výdavky 700</w:t>
            </w:r>
          </w:p>
        </w:tc>
        <w:tc>
          <w:tcPr>
            <w:tcW w:w="924" w:type="dxa"/>
            <w:tcBorders>
              <w:top w:val="nil"/>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99 569</w:t>
            </w:r>
          </w:p>
        </w:tc>
        <w:tc>
          <w:tcPr>
            <w:tcW w:w="924" w:type="dxa"/>
            <w:tcBorders>
              <w:top w:val="nil"/>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58 799</w:t>
            </w:r>
          </w:p>
        </w:tc>
        <w:tc>
          <w:tcPr>
            <w:tcW w:w="924" w:type="dxa"/>
            <w:tcBorders>
              <w:top w:val="nil"/>
              <w:left w:val="nil"/>
              <w:bottom w:val="single" w:sz="4" w:space="0" w:color="auto"/>
              <w:right w:val="single" w:sz="4" w:space="0" w:color="auto"/>
            </w:tcBorders>
            <w:noWrap/>
            <w:textDirection w:val="lrTb"/>
            <w:vAlign w:val="center"/>
            <w:hideMark/>
          </w:tcPr>
          <w:p w:rsidR="009D2A34" w:rsidRPr="005010DF" w:rsidP="006338E5">
            <w:pPr>
              <w:bidi w:val="0"/>
              <w:jc w:val="right"/>
              <w:rPr>
                <w:rFonts w:ascii="Times New Roman" w:hAnsi="Times New Roman" w:cs="Times New Roman"/>
                <w:color w:val="000000"/>
                <w:sz w:val="14"/>
                <w:szCs w:val="14"/>
              </w:rPr>
            </w:pPr>
            <w:r w:rsidRPr="005010DF">
              <w:rPr>
                <w:rFonts w:ascii="Times New Roman" w:hAnsi="Times New Roman" w:cs="Times New Roman"/>
                <w:color w:val="000000"/>
                <w:sz w:val="14"/>
                <w:szCs w:val="14"/>
              </w:rPr>
              <w:t>99 900</w:t>
            </w:r>
          </w:p>
        </w:tc>
        <w:tc>
          <w:tcPr>
            <w:tcW w:w="886" w:type="dxa"/>
            <w:tcBorders>
              <w:top w:val="single" w:sz="4" w:space="0" w:color="auto"/>
              <w:left w:val="nil"/>
              <w:bottom w:val="single" w:sz="4" w:space="0" w:color="auto"/>
              <w:right w:val="single" w:sz="4" w:space="0" w:color="auto"/>
            </w:tcBorders>
            <w:textDirection w:val="lrTb"/>
            <w:vAlign w:val="center"/>
          </w:tcPr>
          <w:p w:rsidR="009D2A34" w:rsidRPr="005010DF" w:rsidP="006338E5">
            <w:pPr>
              <w:bidi w:val="0"/>
              <w:jc w:val="right"/>
              <w:rPr>
                <w:rFonts w:ascii="Times New Roman" w:hAnsi="Times New Roman" w:cs="Times New Roman"/>
                <w:sz w:val="14"/>
                <w:szCs w:val="14"/>
              </w:rPr>
            </w:pPr>
            <w:r w:rsidRPr="005010DF">
              <w:rPr>
                <w:rFonts w:ascii="Times New Roman" w:hAnsi="Times New Roman" w:cs="Times New Roman"/>
                <w:sz w:val="14"/>
                <w:szCs w:val="14"/>
              </w:rPr>
              <w:t>99 900</w:t>
            </w:r>
          </w:p>
        </w:tc>
        <w:tc>
          <w:tcPr>
            <w:tcW w:w="924" w:type="dxa"/>
            <w:tcBorders>
              <w:top w:val="nil"/>
              <w:left w:val="single" w:sz="4" w:space="0" w:color="auto"/>
              <w:bottom w:val="single" w:sz="4" w:space="0" w:color="auto"/>
              <w:right w:val="single" w:sz="4" w:space="0" w:color="auto"/>
            </w:tcBorders>
            <w:noWrap/>
            <w:textDirection w:val="lrTb"/>
            <w:vAlign w:val="center"/>
            <w:hideMark/>
          </w:tcPr>
          <w:p w:rsidR="009D2A34" w:rsidRPr="00075062" w:rsidP="006338E5">
            <w:pPr>
              <w:bidi w:val="0"/>
              <w:jc w:val="right"/>
              <w:rPr>
                <w:rFonts w:ascii="Times New Roman" w:hAnsi="Times New Roman" w:cs="Times New Roman"/>
                <w:color w:val="000000"/>
                <w:sz w:val="14"/>
                <w:szCs w:val="14"/>
              </w:rPr>
            </w:pPr>
            <w:r w:rsidRPr="00075062">
              <w:rPr>
                <w:rFonts w:ascii="Times New Roman" w:hAnsi="Times New Roman" w:cs="Times New Roman"/>
                <w:color w:val="000000"/>
                <w:sz w:val="14"/>
                <w:szCs w:val="14"/>
              </w:rPr>
              <w:t>151 700</w:t>
            </w:r>
          </w:p>
        </w:tc>
        <w:tc>
          <w:tcPr>
            <w:tcW w:w="924" w:type="dxa"/>
            <w:tcBorders>
              <w:top w:val="nil"/>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112 500</w:t>
            </w:r>
          </w:p>
        </w:tc>
        <w:tc>
          <w:tcPr>
            <w:tcW w:w="924" w:type="dxa"/>
            <w:tcBorders>
              <w:top w:val="nil"/>
              <w:left w:val="nil"/>
              <w:bottom w:val="single" w:sz="4" w:space="0" w:color="auto"/>
              <w:right w:val="single" w:sz="4" w:space="0" w:color="auto"/>
            </w:tcBorders>
            <w:noWrap/>
            <w:textDirection w:val="lrTb"/>
            <w:vAlign w:val="center"/>
            <w:hideMark/>
          </w:tcPr>
          <w:p w:rsidR="009D2A34" w:rsidRPr="005A2029" w:rsidP="006338E5">
            <w:pPr>
              <w:bidi w:val="0"/>
              <w:jc w:val="right"/>
              <w:rPr>
                <w:rFonts w:ascii="Times New Roman" w:hAnsi="Times New Roman" w:cs="Times New Roman"/>
                <w:color w:val="000000"/>
                <w:sz w:val="14"/>
                <w:szCs w:val="14"/>
              </w:rPr>
            </w:pPr>
            <w:r w:rsidRPr="005A2029">
              <w:rPr>
                <w:rFonts w:ascii="Times New Roman" w:hAnsi="Times New Roman" w:cs="Times New Roman"/>
                <w:color w:val="000000"/>
                <w:sz w:val="14"/>
                <w:szCs w:val="14"/>
              </w:rPr>
              <w:t>112 500</w:t>
            </w:r>
          </w:p>
        </w:tc>
      </w:tr>
    </w:tbl>
    <w:p w:rsidR="009D2A34" w:rsidP="009D2A34">
      <w:pPr>
        <w:bidi w:val="0"/>
        <w:ind w:firstLine="708"/>
        <w:jc w:val="both"/>
        <w:rPr>
          <w:rFonts w:ascii="Times New Roman" w:hAnsi="Times New Roman"/>
          <w:highlight w:val="yellow"/>
        </w:rPr>
      </w:pPr>
    </w:p>
    <w:p w:rsidR="009D2A34" w:rsidP="009D2A34">
      <w:pPr>
        <w:bidi w:val="0"/>
        <w:ind w:firstLine="708"/>
        <w:jc w:val="both"/>
        <w:rPr>
          <w:rFonts w:ascii="Times New Roman" w:hAnsi="Times New Roman" w:cs="Times New Roman"/>
        </w:rPr>
      </w:pPr>
      <w:r w:rsidRPr="0033037E">
        <w:rPr>
          <w:rFonts w:ascii="Times New Roman" w:hAnsi="Times New Roman" w:cs="Times New Roman"/>
        </w:rPr>
        <w:t>V návrhu rozpočtu Ú</w:t>
      </w:r>
      <w:r>
        <w:rPr>
          <w:rFonts w:ascii="Times New Roman" w:hAnsi="Times New Roman" w:cs="Times New Roman"/>
        </w:rPr>
        <w:t>radu jadrového dozoru</w:t>
      </w:r>
      <w:r w:rsidRPr="0033037E">
        <w:rPr>
          <w:rFonts w:ascii="Times New Roman" w:hAnsi="Times New Roman" w:cs="Times New Roman"/>
        </w:rPr>
        <w:t xml:space="preserve"> SR na rok 2013 sú rozpočtované výdavky v sume 4,78</w:t>
      </w:r>
      <w:r>
        <w:rPr>
          <w:rFonts w:ascii="Times New Roman" w:hAnsi="Times New Roman" w:cs="Times New Roman"/>
        </w:rPr>
        <w:t xml:space="preserve"> </w:t>
      </w:r>
      <w:r w:rsidRPr="0033037E">
        <w:rPr>
          <w:rFonts w:ascii="Times New Roman" w:hAnsi="Times New Roman" w:cs="Times New Roman"/>
        </w:rPr>
        <w:t xml:space="preserve">mil. eur, ktoré oproti schválenému rozpočtu na rok 2012 klesajú o 275 tis. eur, </w:t>
      </w:r>
      <w:r>
        <w:rPr>
          <w:rFonts w:ascii="Times New Roman" w:hAnsi="Times New Roman" w:cs="Times New Roman"/>
        </w:rPr>
        <w:br/>
      </w:r>
      <w:r w:rsidRPr="0033037E">
        <w:rPr>
          <w:rFonts w:ascii="Times New Roman" w:hAnsi="Times New Roman" w:cs="Times New Roman"/>
        </w:rPr>
        <w:t>t. j. o </w:t>
      </w:r>
      <w:r>
        <w:rPr>
          <w:rFonts w:ascii="Times New Roman" w:hAnsi="Times New Roman" w:cs="Times New Roman"/>
        </w:rPr>
        <w:t>5</w:t>
      </w:r>
      <w:r w:rsidRPr="0033037E">
        <w:rPr>
          <w:rFonts w:ascii="Times New Roman" w:hAnsi="Times New Roman" w:cs="Times New Roman"/>
        </w:rPr>
        <w:t xml:space="preserve">,44 %. </w:t>
      </w:r>
    </w:p>
    <w:p w:rsidR="009D2A34" w:rsidRPr="0033037E" w:rsidP="009D2A34">
      <w:pPr>
        <w:bidi w:val="0"/>
        <w:ind w:firstLine="708"/>
        <w:jc w:val="both"/>
        <w:rPr>
          <w:rFonts w:ascii="Times New Roman" w:hAnsi="Times New Roman" w:cs="Times New Roman"/>
        </w:rPr>
      </w:pPr>
    </w:p>
    <w:p w:rsidR="009D2A34" w:rsidRPr="0033037E" w:rsidP="009D2A34">
      <w:pPr>
        <w:bidi w:val="0"/>
        <w:ind w:firstLine="708"/>
        <w:jc w:val="both"/>
        <w:rPr>
          <w:rFonts w:ascii="Times New Roman" w:hAnsi="Times New Roman" w:cs="Times New Roman"/>
        </w:rPr>
      </w:pPr>
      <w:r w:rsidRPr="0033037E">
        <w:rPr>
          <w:rFonts w:ascii="Times New Roman" w:hAnsi="Times New Roman" w:cs="Times New Roman"/>
        </w:rPr>
        <w:t xml:space="preserve">Osobné výdavky sú na </w:t>
      </w:r>
      <w:r>
        <w:rPr>
          <w:rFonts w:ascii="Times New Roman" w:hAnsi="Times New Roman" w:cs="Times New Roman"/>
        </w:rPr>
        <w:t>rok 2013 rozpočtované v sume 2,26</w:t>
      </w:r>
      <w:r w:rsidRPr="0033037E">
        <w:rPr>
          <w:rFonts w:ascii="Times New Roman" w:hAnsi="Times New Roman" w:cs="Times New Roman"/>
        </w:rPr>
        <w:t xml:space="preserve"> mil. eur a oproti sc</w:t>
      </w:r>
      <w:r>
        <w:rPr>
          <w:rFonts w:ascii="Times New Roman" w:hAnsi="Times New Roman" w:cs="Times New Roman"/>
        </w:rPr>
        <w:t>hválenému rozpočtu na rok 2012 rastú o 94,8</w:t>
      </w:r>
      <w:r w:rsidRPr="0033037E">
        <w:rPr>
          <w:rFonts w:ascii="Times New Roman" w:hAnsi="Times New Roman" w:cs="Times New Roman"/>
        </w:rPr>
        <w:t xml:space="preserve"> tis. eur</w:t>
      </w:r>
      <w:r>
        <w:rPr>
          <w:rFonts w:ascii="Times New Roman" w:hAnsi="Times New Roman" w:cs="Times New Roman"/>
        </w:rPr>
        <w:t>,</w:t>
      </w:r>
      <w:r w:rsidRPr="0033037E">
        <w:rPr>
          <w:rFonts w:ascii="Times New Roman" w:hAnsi="Times New Roman" w:cs="Times New Roman"/>
        </w:rPr>
        <w:t xml:space="preserve"> t.</w:t>
      </w:r>
      <w:r>
        <w:rPr>
          <w:rFonts w:ascii="Times New Roman" w:hAnsi="Times New Roman" w:cs="Times New Roman"/>
        </w:rPr>
        <w:t xml:space="preserve"> j. o 4,38</w:t>
      </w:r>
      <w:r w:rsidRPr="0033037E">
        <w:rPr>
          <w:rFonts w:ascii="Times New Roman" w:hAnsi="Times New Roman" w:cs="Times New Roman"/>
        </w:rPr>
        <w:t xml:space="preserve"> %</w:t>
      </w:r>
      <w:r>
        <w:rPr>
          <w:rFonts w:ascii="Times New Roman" w:hAnsi="Times New Roman" w:cs="Times New Roman"/>
        </w:rPr>
        <w:t>.</w:t>
      </w:r>
    </w:p>
    <w:p w:rsidR="009D2A34" w:rsidRPr="0033037E" w:rsidP="009D2A34">
      <w:pPr>
        <w:bidi w:val="0"/>
        <w:ind w:firstLine="708"/>
        <w:jc w:val="both"/>
        <w:rPr>
          <w:rFonts w:ascii="Times New Roman" w:hAnsi="Times New Roman" w:cs="Times New Roman"/>
        </w:rPr>
      </w:pPr>
      <w:r w:rsidRPr="0033037E">
        <w:rPr>
          <w:rFonts w:ascii="Times New Roman" w:hAnsi="Times New Roman" w:cs="Times New Roman"/>
        </w:rPr>
        <w:t xml:space="preserve"> </w:t>
      </w:r>
    </w:p>
    <w:p w:rsidR="009D2A34" w:rsidRPr="0033037E" w:rsidP="009D2A34">
      <w:pPr>
        <w:bidi w:val="0"/>
        <w:ind w:firstLine="708"/>
        <w:jc w:val="both"/>
        <w:rPr>
          <w:rFonts w:ascii="Times New Roman" w:hAnsi="Times New Roman" w:cs="Times New Roman"/>
        </w:rPr>
      </w:pPr>
      <w:r w:rsidRPr="0033037E">
        <w:rPr>
          <w:rFonts w:ascii="Times New Roman" w:hAnsi="Times New Roman" w:cs="Times New Roman"/>
        </w:rPr>
        <w:t xml:space="preserve">Výdavky na tovary a služby sú v návrhu rozpočtu na </w:t>
      </w:r>
      <w:r>
        <w:rPr>
          <w:rFonts w:ascii="Times New Roman" w:hAnsi="Times New Roman" w:cs="Times New Roman"/>
        </w:rPr>
        <w:t>rok 2013 rozpočtované v sume 1,64</w:t>
      </w:r>
      <w:r w:rsidRPr="0033037E">
        <w:rPr>
          <w:rFonts w:ascii="Times New Roman" w:hAnsi="Times New Roman" w:cs="Times New Roman"/>
        </w:rPr>
        <w:t xml:space="preserve"> mil. eur, v porovnaní so schváleným </w:t>
      </w:r>
      <w:r>
        <w:rPr>
          <w:rFonts w:ascii="Times New Roman" w:hAnsi="Times New Roman" w:cs="Times New Roman"/>
        </w:rPr>
        <w:t>rozpočtom na rok 2012 klesajú o 434</w:t>
      </w:r>
      <w:r w:rsidRPr="0033037E">
        <w:rPr>
          <w:rFonts w:ascii="Times New Roman" w:hAnsi="Times New Roman" w:cs="Times New Roman"/>
        </w:rPr>
        <w:t xml:space="preserve"> tis. </w:t>
      </w:r>
      <w:r w:rsidRPr="00247A84">
        <w:rPr>
          <w:rFonts w:ascii="Times New Roman" w:hAnsi="Times New Roman" w:cs="Times New Roman"/>
        </w:rPr>
        <w:t>eur</w:t>
      </w:r>
      <w:r w:rsidRPr="0033037E">
        <w:rPr>
          <w:rFonts w:ascii="Times New Roman" w:hAnsi="Times New Roman" w:cs="Times New Roman"/>
        </w:rPr>
        <w:t xml:space="preserve">, </w:t>
      </w:r>
      <w:r>
        <w:rPr>
          <w:rFonts w:ascii="Times New Roman" w:hAnsi="Times New Roman" w:cs="Times New Roman"/>
        </w:rPr>
        <w:br/>
      </w:r>
      <w:r w:rsidRPr="0033037E">
        <w:rPr>
          <w:rFonts w:ascii="Times New Roman" w:hAnsi="Times New Roman" w:cs="Times New Roman"/>
        </w:rPr>
        <w:t>t.</w:t>
      </w:r>
      <w:r>
        <w:rPr>
          <w:rFonts w:ascii="Times New Roman" w:hAnsi="Times New Roman" w:cs="Times New Roman"/>
        </w:rPr>
        <w:t xml:space="preserve"> </w:t>
      </w:r>
      <w:r w:rsidRPr="0033037E">
        <w:rPr>
          <w:rFonts w:ascii="Times New Roman" w:hAnsi="Times New Roman" w:cs="Times New Roman"/>
        </w:rPr>
        <w:t>j.</w:t>
      </w:r>
      <w:r w:rsidRPr="006162CD">
        <w:rPr>
          <w:rFonts w:ascii="Times New Roman" w:hAnsi="Times New Roman" w:cs="Times New Roman"/>
        </w:rPr>
        <w:t xml:space="preserve"> </w:t>
      </w:r>
      <w:r>
        <w:rPr>
          <w:rFonts w:ascii="Times New Roman" w:hAnsi="Times New Roman" w:cs="Times New Roman"/>
        </w:rPr>
        <w:t>o 20,9</w:t>
      </w:r>
      <w:r w:rsidRPr="0033037E">
        <w:rPr>
          <w:rFonts w:ascii="Times New Roman" w:hAnsi="Times New Roman" w:cs="Times New Roman"/>
        </w:rPr>
        <w:t xml:space="preserve"> %</w:t>
      </w:r>
      <w:r w:rsidRPr="00247A84">
        <w:rPr>
          <w:rFonts w:ascii="Times New Roman" w:hAnsi="Times New Roman" w:cs="Times New Roman"/>
        </w:rPr>
        <w:t>.</w:t>
      </w:r>
      <w:r w:rsidRPr="0033037E">
        <w:rPr>
          <w:rFonts w:ascii="Times New Roman" w:hAnsi="Times New Roman" w:cs="Times New Roman"/>
        </w:rPr>
        <w:t xml:space="preserve"> Vyššiu úsporu výdavko</w:t>
      </w:r>
      <w:r>
        <w:rPr>
          <w:rFonts w:ascii="Times New Roman" w:hAnsi="Times New Roman" w:cs="Times New Roman"/>
        </w:rPr>
        <w:t>v na tovaroch a službách oproti</w:t>
      </w:r>
      <w:r w:rsidRPr="002A256B">
        <w:rPr>
          <w:rFonts w:ascii="Times New Roman" w:hAnsi="Times New Roman" w:cs="Times New Roman"/>
        </w:rPr>
        <w:t xml:space="preserve"> uvažovanému 10% viazaniu</w:t>
      </w:r>
      <w:r w:rsidRPr="0033037E">
        <w:rPr>
          <w:rFonts w:ascii="Times New Roman" w:hAnsi="Times New Roman" w:cs="Times New Roman"/>
        </w:rPr>
        <w:t xml:space="preserve"> na rok 2013 kapitola premietla najmä do zvýšenia kapitálových výdavko</w:t>
      </w:r>
      <w:r>
        <w:rPr>
          <w:rFonts w:ascii="Times New Roman" w:hAnsi="Times New Roman" w:cs="Times New Roman"/>
        </w:rPr>
        <w:t>v</w:t>
      </w:r>
      <w:r w:rsidRPr="0033037E">
        <w:rPr>
          <w:rFonts w:ascii="Times New Roman" w:hAnsi="Times New Roman" w:cs="Times New Roman"/>
        </w:rPr>
        <w:t xml:space="preserve">, ktoré sú v návrhu rozpočtu na rok 2013 vyššie oproti schválenému rozpočtu na rok 2012 </w:t>
      </w:r>
      <w:r>
        <w:rPr>
          <w:rFonts w:ascii="Times New Roman" w:hAnsi="Times New Roman" w:cs="Times New Roman"/>
        </w:rPr>
        <w:br/>
        <w:t>o 51,8 tis. eur a osobných výdavkov.</w:t>
      </w:r>
    </w:p>
    <w:p w:rsidR="009D2A34" w:rsidRPr="0033037E" w:rsidP="009D2A34">
      <w:pPr>
        <w:bidi w:val="0"/>
        <w:jc w:val="both"/>
        <w:rPr>
          <w:rFonts w:ascii="Times New Roman" w:hAnsi="Times New Roman" w:cs="Times New Roman"/>
        </w:rPr>
      </w:pPr>
    </w:p>
    <w:p w:rsidR="009D2A34" w:rsidRPr="00295040" w:rsidP="009D2A34">
      <w:pPr>
        <w:bidi w:val="0"/>
        <w:ind w:firstLine="708"/>
        <w:jc w:val="both"/>
        <w:rPr>
          <w:rFonts w:ascii="Times New Roman" w:hAnsi="Times New Roman" w:cs="Times New Roman"/>
        </w:rPr>
      </w:pPr>
      <w:r w:rsidRPr="0033037E">
        <w:rPr>
          <w:rFonts w:ascii="Times New Roman" w:hAnsi="Times New Roman" w:cs="Times New Roman"/>
        </w:rPr>
        <w:t>Bežné transfery</w:t>
      </w:r>
      <w:r w:rsidRPr="00295040">
        <w:rPr>
          <w:rFonts w:ascii="Times New Roman" w:hAnsi="Times New Roman" w:cs="Times New Roman"/>
        </w:rPr>
        <w:t xml:space="preserve"> sú na rok 2013 navrhované v sume 729 tis. eur a oproti schválenému rozpočtu na rok 2012 rastú o </w:t>
      </w:r>
      <w:r>
        <w:rPr>
          <w:rFonts w:ascii="Times New Roman" w:hAnsi="Times New Roman" w:cs="Times New Roman"/>
        </w:rPr>
        <w:t>11,9 tis. eur, t. j. o </w:t>
      </w:r>
      <w:r w:rsidRPr="00295040">
        <w:rPr>
          <w:rFonts w:ascii="Times New Roman" w:hAnsi="Times New Roman" w:cs="Times New Roman"/>
        </w:rPr>
        <w:t>1,66 %.</w:t>
      </w:r>
      <w:r>
        <w:rPr>
          <w:rFonts w:ascii="Times New Roman" w:hAnsi="Times New Roman" w:cs="Times New Roman"/>
        </w:rPr>
        <w:t xml:space="preserve"> Rast vyplýva najmä zo zvýšenia členských príspevkov Slovenskej republiky do medzinárodných organizácií. </w:t>
      </w:r>
    </w:p>
    <w:p w:rsidR="009D2A34" w:rsidRPr="00295040" w:rsidP="009D2A34">
      <w:pPr>
        <w:bidi w:val="0"/>
        <w:jc w:val="both"/>
        <w:rPr>
          <w:rFonts w:ascii="Times New Roman" w:hAnsi="Times New Roman" w:cs="Times New Roman"/>
        </w:rPr>
      </w:pPr>
    </w:p>
    <w:p w:rsidR="009D2A34" w:rsidRPr="00295040" w:rsidP="009D2A34">
      <w:pPr>
        <w:bidi w:val="0"/>
        <w:ind w:firstLine="708"/>
        <w:jc w:val="both"/>
        <w:rPr>
          <w:rFonts w:ascii="Times New Roman" w:hAnsi="Times New Roman" w:cs="Times New Roman"/>
        </w:rPr>
      </w:pPr>
      <w:r w:rsidRPr="00295040">
        <w:rPr>
          <w:rFonts w:ascii="Times New Roman" w:hAnsi="Times New Roman" w:cs="Times New Roman"/>
        </w:rPr>
        <w:t>Kapitálové výdavky sa v návrhu rozpočtu na rok 2013 rozpočtujú v sume 152 tis. eur, oproti schválenému rozpočtu na rok 2012 rastú o</w:t>
      </w:r>
      <w:r>
        <w:rPr>
          <w:rFonts w:ascii="Times New Roman" w:hAnsi="Times New Roman" w:cs="Times New Roman"/>
        </w:rPr>
        <w:t> 51,8 tis. eur, t.</w:t>
      </w:r>
      <w:r w:rsidR="001F3259">
        <w:rPr>
          <w:rFonts w:ascii="Times New Roman" w:hAnsi="Times New Roman" w:cs="Times New Roman"/>
        </w:rPr>
        <w:t xml:space="preserve"> </w:t>
      </w:r>
      <w:r>
        <w:rPr>
          <w:rFonts w:ascii="Times New Roman" w:hAnsi="Times New Roman" w:cs="Times New Roman"/>
        </w:rPr>
        <w:t xml:space="preserve">j. o </w:t>
      </w:r>
      <w:r w:rsidRPr="00295040">
        <w:rPr>
          <w:rFonts w:ascii="Times New Roman" w:hAnsi="Times New Roman" w:cs="Times New Roman"/>
        </w:rPr>
        <w:t>51,</w:t>
      </w:r>
      <w:r>
        <w:rPr>
          <w:rFonts w:ascii="Times New Roman" w:hAnsi="Times New Roman" w:cs="Times New Roman"/>
        </w:rPr>
        <w:t>9</w:t>
      </w:r>
      <w:r w:rsidRPr="00295040">
        <w:rPr>
          <w:rFonts w:ascii="Times New Roman" w:hAnsi="Times New Roman" w:cs="Times New Roman"/>
        </w:rPr>
        <w:t xml:space="preserve"> %.</w:t>
      </w:r>
      <w:r>
        <w:rPr>
          <w:rFonts w:ascii="Times New Roman" w:hAnsi="Times New Roman" w:cs="Times New Roman"/>
        </w:rPr>
        <w:t xml:space="preserve"> Rast výdavkov súvisí so zvýšenými požiadavkami na výpočtovú techniku a softvérové vybavenie v centre havarijnej odozvy.</w:t>
      </w:r>
    </w:p>
    <w:p w:rsidR="009D2A34" w:rsidP="009D2A34">
      <w:pPr>
        <w:bidi w:val="0"/>
      </w:pPr>
    </w:p>
    <w:p w:rsidR="009D2A34" w:rsidRPr="009605A4" w:rsidP="009D2A34">
      <w:pPr>
        <w:bidi w:val="0"/>
        <w:ind w:firstLine="708"/>
        <w:jc w:val="both"/>
        <w:rPr>
          <w:rFonts w:ascii="Times New Roman" w:hAnsi="Times New Roman" w:cs="Times New Roman"/>
        </w:rPr>
      </w:pPr>
      <w:r w:rsidRPr="009605A4">
        <w:rPr>
          <w:rFonts w:ascii="Times New Roman" w:hAnsi="Times New Roman" w:cs="Times New Roman"/>
          <w:bCs/>
        </w:rPr>
        <w:t>Zvýšené výdavky kapi</w:t>
      </w:r>
      <w:r>
        <w:rPr>
          <w:rFonts w:ascii="Times New Roman" w:hAnsi="Times New Roman" w:cs="Times New Roman"/>
          <w:bCs/>
        </w:rPr>
        <w:t xml:space="preserve">toly ÚJD SR v rokoch 2014 a 2015 budú použité predovšetkým na realizáciu výskumu v jadrovej bezpečnosti (na základe Smernice 2011/70/Euratom) a v súvislosti s výstavbou nových jadrových zariadení. Vyššie výdavky budú na </w:t>
      </w:r>
      <w:r w:rsidRPr="009605A4">
        <w:rPr>
          <w:rFonts w:ascii="Times New Roman" w:hAnsi="Times New Roman" w:cs="Times New Roman"/>
          <w:bCs/>
        </w:rPr>
        <w:t>základe</w:t>
      </w:r>
      <w:r>
        <w:rPr>
          <w:rFonts w:ascii="Times New Roman" w:hAnsi="Times New Roman" w:cs="Times New Roman"/>
          <w:bCs/>
        </w:rPr>
        <w:t xml:space="preserve"> pripravovanej</w:t>
      </w:r>
      <w:r w:rsidRPr="009605A4">
        <w:rPr>
          <w:rFonts w:ascii="Times New Roman" w:hAnsi="Times New Roman" w:cs="Times New Roman"/>
          <w:bCs/>
        </w:rPr>
        <w:t xml:space="preserve"> novely atómového zákona vykryté zv</w:t>
      </w:r>
      <w:r>
        <w:rPr>
          <w:rFonts w:ascii="Times New Roman" w:hAnsi="Times New Roman" w:cs="Times New Roman"/>
          <w:bCs/>
        </w:rPr>
        <w:t>ýšenými príjmami z príspevkov</w:t>
      </w:r>
      <w:r w:rsidRPr="009605A4">
        <w:rPr>
          <w:rFonts w:ascii="Times New Roman" w:hAnsi="Times New Roman" w:cs="Times New Roman"/>
          <w:bCs/>
        </w:rPr>
        <w:t xml:space="preserve"> </w:t>
      </w:r>
      <w:r>
        <w:rPr>
          <w:rFonts w:ascii="Times New Roman" w:hAnsi="Times New Roman" w:cs="Times New Roman"/>
          <w:bCs/>
        </w:rPr>
        <w:t xml:space="preserve">od </w:t>
      </w:r>
      <w:r w:rsidRPr="009605A4">
        <w:rPr>
          <w:rFonts w:ascii="Times New Roman" w:hAnsi="Times New Roman" w:cs="Times New Roman"/>
          <w:bCs/>
        </w:rPr>
        <w:t>držiteľov povolení na výkon dozoru nad jadrovou bezpečnosťou</w:t>
      </w:r>
      <w:r>
        <w:rPr>
          <w:rFonts w:ascii="Times New Roman" w:hAnsi="Times New Roman" w:cs="Times New Roman"/>
          <w:bCs/>
        </w:rPr>
        <w:t>.</w:t>
      </w:r>
    </w:p>
    <w:p w:rsidR="009D2A34" w:rsidRPr="007E0D85" w:rsidP="009D2A34">
      <w:pPr>
        <w:pStyle w:val="Title"/>
        <w:bidi w:val="0"/>
        <w:jc w:val="both"/>
        <w:rPr>
          <w:rFonts w:ascii="Times New Roman" w:hAnsi="Times New Roman"/>
          <w:highlight w:val="yellow"/>
        </w:rPr>
      </w:pPr>
    </w:p>
    <w:p w:rsidR="009D2A34" w:rsidRPr="00FF6604" w:rsidP="009D2A34">
      <w:pPr>
        <w:pStyle w:val="Title"/>
        <w:pBdr>
          <w:bottom w:val="single" w:sz="4" w:space="1" w:color="auto"/>
        </w:pBdr>
        <w:bidi w:val="0"/>
        <w:jc w:val="both"/>
        <w:rPr>
          <w:rFonts w:ascii="Times New Roman" w:hAnsi="Times New Roman"/>
        </w:rPr>
      </w:pPr>
      <w:r w:rsidRPr="00FF6604">
        <w:rPr>
          <w:rFonts w:ascii="Times New Roman" w:hAnsi="Times New Roman"/>
        </w:rPr>
        <w:t>Úrad priemyselného vlastníctva SR</w:t>
      </w:r>
    </w:p>
    <w:p w:rsidR="009D2A34" w:rsidRPr="00FF6604" w:rsidP="009D2A34">
      <w:pPr>
        <w:bidi w:val="0"/>
        <w:jc w:val="both"/>
        <w:rPr>
          <w:rFonts w:ascii="Times New Roman" w:hAnsi="Times New Roman" w:cs="Times New Roman"/>
          <w:b/>
        </w:rPr>
      </w:pPr>
    </w:p>
    <w:tbl>
      <w:tblPr>
        <w:tblStyle w:val="TableNormal"/>
        <w:tblW w:w="4962" w:type="pct"/>
        <w:tblInd w:w="70" w:type="dxa"/>
        <w:tblCellMar>
          <w:left w:w="70" w:type="dxa"/>
          <w:right w:w="70" w:type="dxa"/>
        </w:tblCellMar>
        <w:tblLook w:val="04A0"/>
      </w:tblPr>
      <w:tblGrid>
        <w:gridCol w:w="2756"/>
        <w:gridCol w:w="915"/>
        <w:gridCol w:w="914"/>
        <w:gridCol w:w="914"/>
        <w:gridCol w:w="914"/>
        <w:gridCol w:w="914"/>
        <w:gridCol w:w="914"/>
        <w:gridCol w:w="901"/>
      </w:tblGrid>
      <w:tr>
        <w:tblPrEx>
          <w:tblW w:w="4962" w:type="pct"/>
          <w:tblInd w:w="70" w:type="dxa"/>
          <w:tblCellMar>
            <w:left w:w="70" w:type="dxa"/>
            <w:right w:w="70" w:type="dxa"/>
          </w:tblCellMar>
          <w:tblLook w:val="04A0"/>
        </w:tblPrEx>
        <w:trPr>
          <w:trHeight w:val="255"/>
        </w:trPr>
        <w:tc>
          <w:tcPr>
            <w:tcW w:w="1507"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FF6604" w:rsidP="006338E5">
            <w:pPr>
              <w:bidi w:val="0"/>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v eurách</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FF6604" w:rsidP="006338E5">
            <w:pPr>
              <w:bidi w:val="0"/>
              <w:jc w:val="center"/>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2010 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FF6604" w:rsidP="006338E5">
            <w:pPr>
              <w:bidi w:val="0"/>
              <w:jc w:val="center"/>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2011 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FF6604" w:rsidP="006338E5">
            <w:pPr>
              <w:bidi w:val="0"/>
              <w:jc w:val="center"/>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2012 R</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FF6604" w:rsidP="006338E5">
            <w:pPr>
              <w:bidi w:val="0"/>
              <w:jc w:val="center"/>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2012 OS</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FF6604" w:rsidP="006338E5">
            <w:pPr>
              <w:bidi w:val="0"/>
              <w:jc w:val="center"/>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2013 N</w:t>
            </w:r>
          </w:p>
        </w:tc>
        <w:tc>
          <w:tcPr>
            <w:tcW w:w="500"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FF6604" w:rsidP="006338E5">
            <w:pPr>
              <w:bidi w:val="0"/>
              <w:jc w:val="center"/>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2014 N</w:t>
            </w:r>
          </w:p>
        </w:tc>
        <w:tc>
          <w:tcPr>
            <w:tcW w:w="49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FF6604" w:rsidP="006338E5">
            <w:pPr>
              <w:bidi w:val="0"/>
              <w:jc w:val="center"/>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2015 N</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9D2A34" w:rsidRPr="00FF6604" w:rsidP="006338E5">
            <w:pPr>
              <w:bidi w:val="0"/>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Zdroje príslušnej kapitoly</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FF6604" w:rsidP="006338E5">
            <w:pPr>
              <w:bidi w:val="0"/>
              <w:jc w:val="right"/>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3 137 627</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FF6604" w:rsidP="006338E5">
            <w:pPr>
              <w:bidi w:val="0"/>
              <w:jc w:val="right"/>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2 905 554</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FF6604" w:rsidP="006338E5">
            <w:pPr>
              <w:bidi w:val="0"/>
              <w:jc w:val="right"/>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2 759 294</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FF6604" w:rsidP="006338E5">
            <w:pPr>
              <w:bidi w:val="0"/>
              <w:jc w:val="right"/>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2 776 780</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FF6604" w:rsidP="006338E5">
            <w:pPr>
              <w:bidi w:val="0"/>
              <w:jc w:val="right"/>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2 807 056</w:t>
            </w:r>
          </w:p>
        </w:tc>
        <w:tc>
          <w:tcPr>
            <w:tcW w:w="500" w:type="pct"/>
            <w:tcBorders>
              <w:top w:val="nil"/>
              <w:left w:val="nil"/>
              <w:bottom w:val="single" w:sz="4" w:space="0" w:color="auto"/>
              <w:right w:val="single" w:sz="4" w:space="0" w:color="auto"/>
            </w:tcBorders>
            <w:shd w:val="clear" w:color="000000" w:fill="C0C0C0"/>
            <w:textDirection w:val="lrTb"/>
            <w:vAlign w:val="center"/>
            <w:hideMark/>
          </w:tcPr>
          <w:p w:rsidR="009D2A34" w:rsidRPr="00FF6604" w:rsidP="006338E5">
            <w:pPr>
              <w:bidi w:val="0"/>
              <w:jc w:val="right"/>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2 708 206</w:t>
            </w:r>
          </w:p>
        </w:tc>
        <w:tc>
          <w:tcPr>
            <w:tcW w:w="494" w:type="pct"/>
            <w:tcBorders>
              <w:top w:val="nil"/>
              <w:left w:val="nil"/>
              <w:bottom w:val="single" w:sz="4" w:space="0" w:color="auto"/>
              <w:right w:val="single" w:sz="4" w:space="0" w:color="auto"/>
            </w:tcBorders>
            <w:shd w:val="clear" w:color="000000" w:fill="C0C0C0"/>
            <w:textDirection w:val="lrTb"/>
            <w:vAlign w:val="center"/>
            <w:hideMark/>
          </w:tcPr>
          <w:p w:rsidR="009D2A34" w:rsidRPr="00FF6604" w:rsidP="006338E5">
            <w:pPr>
              <w:bidi w:val="0"/>
              <w:jc w:val="right"/>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2 711 720</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FF6604" w:rsidP="006338E5">
            <w:pPr>
              <w:bidi w:val="0"/>
              <w:rPr>
                <w:rFonts w:ascii="Times New Roman" w:hAnsi="Times New Roman" w:cs="Times New Roman"/>
                <w:b/>
                <w:color w:val="000000"/>
                <w:sz w:val="14"/>
                <w:szCs w:val="14"/>
              </w:rPr>
            </w:pPr>
            <w:r w:rsidRPr="00FF6604">
              <w:rPr>
                <w:rFonts w:ascii="Times New Roman" w:hAnsi="Times New Roman" w:cs="Times New Roman"/>
                <w:b/>
                <w:color w:val="000000"/>
                <w:sz w:val="14"/>
                <w:szCs w:val="14"/>
              </w:rPr>
              <w:t xml:space="preserve">rozpočtové zdroje kapitoly </w:t>
            </w:r>
          </w:p>
        </w:tc>
        <w:tc>
          <w:tcPr>
            <w:tcW w:w="500" w:type="pct"/>
            <w:tcBorders>
              <w:top w:val="nil"/>
              <w:left w:val="nil"/>
              <w:bottom w:val="single" w:sz="4" w:space="0" w:color="auto"/>
              <w:right w:val="single" w:sz="4" w:space="0" w:color="auto"/>
            </w:tcBorders>
            <w:textDirection w:val="lrTb"/>
            <w:vAlign w:val="center"/>
            <w:hideMark/>
          </w:tcPr>
          <w:p w:rsidR="009D2A34" w:rsidRPr="00FF6604" w:rsidP="006338E5">
            <w:pPr>
              <w:bidi w:val="0"/>
              <w:jc w:val="right"/>
              <w:rPr>
                <w:rFonts w:ascii="Times New Roman" w:hAnsi="Times New Roman" w:cs="Times New Roman"/>
                <w:b/>
                <w:color w:val="000000"/>
                <w:sz w:val="14"/>
                <w:szCs w:val="14"/>
              </w:rPr>
            </w:pPr>
            <w:r w:rsidRPr="00FF6604">
              <w:rPr>
                <w:rFonts w:ascii="Times New Roman" w:hAnsi="Times New Roman" w:cs="Times New Roman"/>
                <w:b/>
                <w:color w:val="000000"/>
                <w:sz w:val="14"/>
                <w:szCs w:val="14"/>
              </w:rPr>
              <w:t>3 137 627</w:t>
            </w:r>
          </w:p>
        </w:tc>
        <w:tc>
          <w:tcPr>
            <w:tcW w:w="500" w:type="pct"/>
            <w:tcBorders>
              <w:top w:val="nil"/>
              <w:left w:val="nil"/>
              <w:bottom w:val="single" w:sz="4" w:space="0" w:color="auto"/>
              <w:right w:val="single" w:sz="4" w:space="0" w:color="auto"/>
            </w:tcBorders>
            <w:textDirection w:val="lrTb"/>
            <w:vAlign w:val="center"/>
            <w:hideMark/>
          </w:tcPr>
          <w:p w:rsidR="009D2A34" w:rsidRPr="00FF6604" w:rsidP="006338E5">
            <w:pPr>
              <w:bidi w:val="0"/>
              <w:jc w:val="right"/>
              <w:rPr>
                <w:rFonts w:ascii="Times New Roman" w:hAnsi="Times New Roman" w:cs="Times New Roman"/>
                <w:b/>
                <w:color w:val="000000"/>
                <w:sz w:val="14"/>
                <w:szCs w:val="14"/>
              </w:rPr>
            </w:pPr>
            <w:r w:rsidRPr="00FF6604">
              <w:rPr>
                <w:rFonts w:ascii="Times New Roman" w:hAnsi="Times New Roman" w:cs="Times New Roman"/>
                <w:b/>
                <w:color w:val="000000"/>
                <w:sz w:val="14"/>
                <w:szCs w:val="14"/>
              </w:rPr>
              <w:t>2 905 554</w:t>
            </w:r>
          </w:p>
        </w:tc>
        <w:tc>
          <w:tcPr>
            <w:tcW w:w="500" w:type="pct"/>
            <w:tcBorders>
              <w:top w:val="nil"/>
              <w:left w:val="nil"/>
              <w:bottom w:val="single" w:sz="4" w:space="0" w:color="auto"/>
              <w:right w:val="single" w:sz="4" w:space="0" w:color="auto"/>
            </w:tcBorders>
            <w:textDirection w:val="lrTb"/>
            <w:vAlign w:val="center"/>
            <w:hideMark/>
          </w:tcPr>
          <w:p w:rsidR="009D2A34" w:rsidRPr="00FF6604" w:rsidP="006338E5">
            <w:pPr>
              <w:bidi w:val="0"/>
              <w:jc w:val="right"/>
              <w:rPr>
                <w:rFonts w:ascii="Times New Roman" w:hAnsi="Times New Roman" w:cs="Times New Roman"/>
                <w:b/>
                <w:color w:val="000000"/>
                <w:sz w:val="14"/>
                <w:szCs w:val="14"/>
              </w:rPr>
            </w:pPr>
            <w:r w:rsidRPr="00FF6604">
              <w:rPr>
                <w:rFonts w:ascii="Times New Roman" w:hAnsi="Times New Roman" w:cs="Times New Roman"/>
                <w:b/>
                <w:color w:val="000000"/>
                <w:sz w:val="14"/>
                <w:szCs w:val="14"/>
              </w:rPr>
              <w:t>2 759 294</w:t>
            </w:r>
          </w:p>
        </w:tc>
        <w:tc>
          <w:tcPr>
            <w:tcW w:w="500" w:type="pct"/>
            <w:tcBorders>
              <w:top w:val="nil"/>
              <w:left w:val="nil"/>
              <w:bottom w:val="single" w:sz="4" w:space="0" w:color="auto"/>
              <w:right w:val="single" w:sz="4" w:space="0" w:color="auto"/>
            </w:tcBorders>
            <w:textDirection w:val="lrTb"/>
            <w:vAlign w:val="center"/>
            <w:hideMark/>
          </w:tcPr>
          <w:p w:rsidR="009D2A34" w:rsidRPr="00FF6604" w:rsidP="006338E5">
            <w:pPr>
              <w:bidi w:val="0"/>
              <w:jc w:val="right"/>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2 776 780</w:t>
            </w:r>
          </w:p>
        </w:tc>
        <w:tc>
          <w:tcPr>
            <w:tcW w:w="500" w:type="pct"/>
            <w:tcBorders>
              <w:top w:val="nil"/>
              <w:left w:val="nil"/>
              <w:bottom w:val="single" w:sz="4" w:space="0" w:color="auto"/>
              <w:right w:val="single" w:sz="4" w:space="0" w:color="auto"/>
            </w:tcBorders>
            <w:textDirection w:val="lrTb"/>
            <w:vAlign w:val="center"/>
            <w:hideMark/>
          </w:tcPr>
          <w:p w:rsidR="009D2A34" w:rsidRPr="00FF6604" w:rsidP="006338E5">
            <w:pPr>
              <w:bidi w:val="0"/>
              <w:jc w:val="right"/>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2 807 056</w:t>
            </w:r>
          </w:p>
        </w:tc>
        <w:tc>
          <w:tcPr>
            <w:tcW w:w="500" w:type="pct"/>
            <w:tcBorders>
              <w:top w:val="nil"/>
              <w:left w:val="nil"/>
              <w:bottom w:val="single" w:sz="4" w:space="0" w:color="auto"/>
              <w:right w:val="single" w:sz="4" w:space="0" w:color="auto"/>
            </w:tcBorders>
            <w:textDirection w:val="lrTb"/>
            <w:vAlign w:val="center"/>
            <w:hideMark/>
          </w:tcPr>
          <w:p w:rsidR="009D2A34" w:rsidRPr="00FF6604" w:rsidP="006338E5">
            <w:pPr>
              <w:bidi w:val="0"/>
              <w:jc w:val="right"/>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2 708 206</w:t>
            </w:r>
          </w:p>
        </w:tc>
        <w:tc>
          <w:tcPr>
            <w:tcW w:w="494" w:type="pct"/>
            <w:tcBorders>
              <w:top w:val="nil"/>
              <w:left w:val="nil"/>
              <w:bottom w:val="single" w:sz="4" w:space="0" w:color="auto"/>
              <w:right w:val="single" w:sz="4" w:space="0" w:color="auto"/>
            </w:tcBorders>
            <w:textDirection w:val="lrTb"/>
            <w:vAlign w:val="center"/>
            <w:hideMark/>
          </w:tcPr>
          <w:p w:rsidR="009D2A34" w:rsidRPr="00FF6604" w:rsidP="006338E5">
            <w:pPr>
              <w:bidi w:val="0"/>
              <w:jc w:val="right"/>
              <w:rPr>
                <w:rFonts w:ascii="Times New Roman" w:hAnsi="Times New Roman" w:cs="Times New Roman"/>
                <w:b/>
                <w:bCs/>
                <w:color w:val="000000"/>
                <w:sz w:val="14"/>
                <w:szCs w:val="14"/>
              </w:rPr>
            </w:pPr>
            <w:r w:rsidRPr="00FF6604">
              <w:rPr>
                <w:rFonts w:ascii="Times New Roman" w:hAnsi="Times New Roman" w:cs="Times New Roman"/>
                <w:b/>
                <w:bCs/>
                <w:color w:val="000000"/>
                <w:sz w:val="14"/>
                <w:szCs w:val="14"/>
              </w:rPr>
              <w:t>2 711 720</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FF6604" w:rsidP="006338E5">
            <w:pPr>
              <w:bidi w:val="0"/>
              <w:rPr>
                <w:rFonts w:ascii="Times New Roman" w:hAnsi="Times New Roman" w:cs="Times New Roman"/>
                <w:color w:val="000000"/>
                <w:sz w:val="14"/>
                <w:szCs w:val="14"/>
              </w:rPr>
            </w:pPr>
            <w:r w:rsidRPr="00FF6604">
              <w:rPr>
                <w:rFonts w:ascii="Times New Roman" w:hAnsi="Times New Roman" w:cs="Times New Roman"/>
                <w:color w:val="000000"/>
                <w:sz w:val="14"/>
                <w:szCs w:val="14"/>
              </w:rPr>
              <w:t xml:space="preserve">    v tom: bežné výdavky  600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2 920 776</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2 773 023</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2 699 294</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2 716 780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2 680 056</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2 628 206</w:t>
            </w:r>
          </w:p>
        </w:tc>
        <w:tc>
          <w:tcPr>
            <w:tcW w:w="494"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2 631 720</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FF6604" w:rsidP="006338E5">
            <w:pPr>
              <w:bidi w:val="0"/>
              <w:rPr>
                <w:rFonts w:ascii="Times New Roman" w:hAnsi="Times New Roman" w:cs="Times New Roman"/>
                <w:color w:val="000000"/>
                <w:sz w:val="14"/>
                <w:szCs w:val="14"/>
              </w:rPr>
            </w:pPr>
            <w:r w:rsidRPr="00FF6604">
              <w:rPr>
                <w:rFonts w:ascii="Times New Roman" w:hAnsi="Times New Roman" w:cs="Times New Roman"/>
                <w:color w:val="000000"/>
                <w:sz w:val="14"/>
                <w:szCs w:val="14"/>
              </w:rPr>
              <w:t xml:space="preserve">                        610 mzdy</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1 521 691</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1 456 316</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1 459 154</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1 459 154</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1 462 529</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1 443 381</w:t>
            </w:r>
          </w:p>
        </w:tc>
        <w:tc>
          <w:tcPr>
            <w:tcW w:w="494"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1 445 985</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FF6604" w:rsidP="006338E5">
            <w:pPr>
              <w:bidi w:val="0"/>
              <w:rPr>
                <w:rFonts w:ascii="Times New Roman" w:hAnsi="Times New Roman" w:cs="Times New Roman"/>
                <w:color w:val="000000"/>
                <w:sz w:val="14"/>
                <w:szCs w:val="14"/>
              </w:rPr>
            </w:pPr>
            <w:r w:rsidRPr="00FF6604">
              <w:rPr>
                <w:rFonts w:ascii="Times New Roman" w:hAnsi="Times New Roman" w:cs="Times New Roman"/>
                <w:color w:val="000000"/>
                <w:sz w:val="14"/>
                <w:szCs w:val="14"/>
              </w:rPr>
              <w:t xml:space="preserve">                        620 odvody</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554 248</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484 105</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528 500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528 500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517 689</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517 987</w:t>
            </w:r>
          </w:p>
        </w:tc>
        <w:tc>
          <w:tcPr>
            <w:tcW w:w="494"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518 897</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FF6604" w:rsidP="006338E5">
            <w:pPr>
              <w:bidi w:val="0"/>
              <w:rPr>
                <w:rFonts w:ascii="Times New Roman" w:hAnsi="Times New Roman" w:cs="Times New Roman"/>
                <w:color w:val="000000"/>
                <w:sz w:val="14"/>
                <w:szCs w:val="14"/>
              </w:rPr>
            </w:pPr>
            <w:r w:rsidRPr="00FF6604">
              <w:rPr>
                <w:rFonts w:ascii="Times New Roman" w:hAnsi="Times New Roman" w:cs="Times New Roman"/>
                <w:color w:val="000000"/>
                <w:sz w:val="14"/>
                <w:szCs w:val="14"/>
              </w:rPr>
              <w:t xml:space="preserve">                        630 tovary a služby</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733 832</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715 566</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611 640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611 640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577 338</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549 338</w:t>
            </w:r>
          </w:p>
        </w:tc>
        <w:tc>
          <w:tcPr>
            <w:tcW w:w="494"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549 338</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FF6604" w:rsidP="006338E5">
            <w:pPr>
              <w:bidi w:val="0"/>
              <w:rPr>
                <w:rFonts w:ascii="Times New Roman" w:hAnsi="Times New Roman" w:cs="Times New Roman"/>
                <w:color w:val="000000"/>
                <w:sz w:val="14"/>
                <w:szCs w:val="14"/>
              </w:rPr>
            </w:pPr>
            <w:r w:rsidRPr="00FF6604">
              <w:rPr>
                <w:rFonts w:ascii="Times New Roman" w:hAnsi="Times New Roman" w:cs="Times New Roman"/>
                <w:color w:val="000000"/>
                <w:sz w:val="14"/>
                <w:szCs w:val="14"/>
              </w:rPr>
              <w:t xml:space="preserve">                        640 bežné transfery</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111 005</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117 036</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100 000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117 486</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122 500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117 500</w:t>
            </w:r>
          </w:p>
        </w:tc>
        <w:tc>
          <w:tcPr>
            <w:tcW w:w="494"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117 500</w:t>
            </w:r>
          </w:p>
        </w:tc>
      </w:tr>
      <w:tr>
        <w:tblPrEx>
          <w:tblW w:w="4962" w:type="pct"/>
          <w:tblInd w:w="70" w:type="dxa"/>
          <w:tblCellMar>
            <w:left w:w="70" w:type="dxa"/>
            <w:right w:w="70" w:type="dxa"/>
          </w:tblCellMar>
          <w:tblLook w:val="04A0"/>
        </w:tblPrEx>
        <w:trPr>
          <w:trHeight w:val="255"/>
        </w:trPr>
        <w:tc>
          <w:tcPr>
            <w:tcW w:w="1507" w:type="pct"/>
            <w:tcBorders>
              <w:top w:val="nil"/>
              <w:left w:val="single" w:sz="4" w:space="0" w:color="auto"/>
              <w:bottom w:val="single" w:sz="4" w:space="0" w:color="auto"/>
              <w:right w:val="single" w:sz="4" w:space="0" w:color="auto"/>
            </w:tcBorders>
            <w:noWrap/>
            <w:textDirection w:val="lrTb"/>
            <w:vAlign w:val="center"/>
            <w:hideMark/>
          </w:tcPr>
          <w:p w:rsidR="009D2A34" w:rsidRPr="00FF6604" w:rsidP="006338E5">
            <w:pPr>
              <w:bidi w:val="0"/>
              <w:rPr>
                <w:rFonts w:ascii="Times New Roman" w:hAnsi="Times New Roman" w:cs="Times New Roman"/>
                <w:color w:val="000000"/>
                <w:sz w:val="14"/>
                <w:szCs w:val="14"/>
              </w:rPr>
            </w:pPr>
            <w:r w:rsidRPr="00FF6604">
              <w:rPr>
                <w:rFonts w:ascii="Times New Roman" w:hAnsi="Times New Roman" w:cs="Times New Roman"/>
                <w:color w:val="000000"/>
                <w:sz w:val="14"/>
                <w:szCs w:val="14"/>
              </w:rPr>
              <w:t xml:space="preserve">               kapitálové výdavky 700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216 851</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132 531</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60 000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60 000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127 000</w:t>
            </w:r>
          </w:p>
        </w:tc>
        <w:tc>
          <w:tcPr>
            <w:tcW w:w="500"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80 000</w:t>
            </w:r>
          </w:p>
        </w:tc>
        <w:tc>
          <w:tcPr>
            <w:tcW w:w="494" w:type="pct"/>
            <w:tcBorders>
              <w:top w:val="nil"/>
              <w:left w:val="nil"/>
              <w:bottom w:val="single" w:sz="4" w:space="0" w:color="auto"/>
              <w:right w:val="single" w:sz="4" w:space="0" w:color="auto"/>
            </w:tcBorders>
            <w:noWrap/>
            <w:textDirection w:val="lrTb"/>
            <w:vAlign w:val="center"/>
            <w:hideMark/>
          </w:tcPr>
          <w:p w:rsidR="009D2A34" w:rsidRPr="00FF6604" w:rsidP="006338E5">
            <w:pPr>
              <w:bidi w:val="0"/>
              <w:jc w:val="right"/>
              <w:rPr>
                <w:rFonts w:ascii="Times New Roman" w:hAnsi="Times New Roman" w:cs="Times New Roman"/>
                <w:color w:val="000000"/>
                <w:sz w:val="14"/>
                <w:szCs w:val="14"/>
              </w:rPr>
            </w:pPr>
            <w:r w:rsidRPr="00FF6604">
              <w:rPr>
                <w:rFonts w:ascii="Times New Roman" w:hAnsi="Times New Roman" w:cs="Times New Roman"/>
                <w:color w:val="000000"/>
                <w:sz w:val="14"/>
                <w:szCs w:val="14"/>
              </w:rPr>
              <w:t>80 000</w:t>
            </w:r>
          </w:p>
        </w:tc>
      </w:tr>
    </w:tbl>
    <w:p w:rsidR="009D2A34" w:rsidRPr="00FF6604" w:rsidP="009D2A34">
      <w:pPr>
        <w:bidi w:val="0"/>
        <w:jc w:val="both"/>
        <w:rPr>
          <w:rFonts w:ascii="Times New Roman" w:hAnsi="Times New Roman" w:cs="Times New Roman"/>
          <w:b/>
        </w:rPr>
      </w:pPr>
    </w:p>
    <w:p w:rsidR="009D2A34" w:rsidP="009D2A34">
      <w:pPr>
        <w:pStyle w:val="NormalWeb"/>
        <w:bidi w:val="0"/>
        <w:spacing w:before="0" w:beforeAutospacing="0" w:after="0" w:afterAutospacing="0"/>
        <w:ind w:firstLine="708"/>
        <w:jc w:val="both"/>
        <w:rPr>
          <w:rFonts w:ascii="Times New Roman" w:hAnsi="Times New Roman"/>
        </w:rPr>
      </w:pPr>
      <w:r w:rsidRPr="002F2214">
        <w:rPr>
          <w:rFonts w:ascii="Times New Roman" w:hAnsi="Times New Roman"/>
        </w:rPr>
        <w:t>Výdavky kapitoly sa rozpočtujú v roku 2013 v sume 2,81 mil. eur, čo predstavuje rast oproti schválenému rozpočtu roka 2012 o 47,8 tis. eur, t.</w:t>
      </w:r>
      <w:r w:rsidR="001F3259">
        <w:rPr>
          <w:rFonts w:ascii="Times New Roman" w:hAnsi="Times New Roman"/>
        </w:rPr>
        <w:t xml:space="preserve"> </w:t>
      </w:r>
      <w:r w:rsidRPr="002F2214">
        <w:rPr>
          <w:rFonts w:ascii="Times New Roman" w:hAnsi="Times New Roman"/>
        </w:rPr>
        <w:t>j. o 1,7 %. Výdavky kapitoly rastú z dôvodu nutnosti implementácie medzinárodných projektov</w:t>
      </w:r>
      <w:r>
        <w:rPr>
          <w:rFonts w:ascii="Times New Roman" w:hAnsi="Times New Roman"/>
        </w:rPr>
        <w:t>,</w:t>
      </w:r>
      <w:r w:rsidRPr="002F2214">
        <w:rPr>
          <w:rFonts w:ascii="Times New Roman" w:hAnsi="Times New Roman"/>
        </w:rPr>
        <w:t xml:space="preserve"> do ktorých sa kapitola zapojila v rámci spolupráce s medzinárodnými organizáciami (Európsky patentový úrad, Úrad pre harmonizácia vnútorného trhu).</w:t>
      </w:r>
    </w:p>
    <w:p w:rsidR="009D2A34" w:rsidRPr="00FF6604" w:rsidP="009D2A34">
      <w:pPr>
        <w:pStyle w:val="NormalWeb"/>
        <w:bidi w:val="0"/>
        <w:spacing w:before="0" w:beforeAutospacing="0" w:after="0" w:afterAutospacing="0"/>
        <w:ind w:firstLine="708"/>
        <w:jc w:val="both"/>
        <w:rPr>
          <w:rFonts w:ascii="Times New Roman" w:hAnsi="Times New Roman"/>
        </w:rPr>
      </w:pPr>
      <w:r w:rsidRPr="002F2214">
        <w:rPr>
          <w:rFonts w:ascii="Times New Roman" w:hAnsi="Times New Roman"/>
        </w:rPr>
        <w:t xml:space="preserve"> </w:t>
      </w:r>
    </w:p>
    <w:p w:rsidR="009D2A34" w:rsidRPr="00FF6604" w:rsidP="009D2A34">
      <w:pPr>
        <w:pStyle w:val="NormalWeb"/>
        <w:bidi w:val="0"/>
        <w:spacing w:before="0" w:beforeAutospacing="0" w:after="0" w:afterAutospacing="0"/>
        <w:ind w:firstLine="708"/>
        <w:jc w:val="both"/>
        <w:rPr>
          <w:rFonts w:ascii="Times New Roman" w:hAnsi="Times New Roman"/>
        </w:rPr>
      </w:pPr>
      <w:r w:rsidRPr="00FF6604">
        <w:rPr>
          <w:rFonts w:ascii="Times New Roman" w:hAnsi="Times New Roman"/>
        </w:rPr>
        <w:t>Osobné výdavky sa na rok 2013 rozpočtujú na úrovni 1,98 mil. eur, čo v porovnaní so schváleným rozpočtom roka 2012 predstavuje pokles o 7 tis. eur, t.</w:t>
      </w:r>
      <w:r w:rsidR="001F3259">
        <w:rPr>
          <w:rFonts w:ascii="Times New Roman" w:hAnsi="Times New Roman"/>
        </w:rPr>
        <w:t xml:space="preserve"> </w:t>
      </w:r>
      <w:r w:rsidRPr="00FF6604">
        <w:rPr>
          <w:rFonts w:ascii="Times New Roman" w:hAnsi="Times New Roman"/>
        </w:rPr>
        <w:t xml:space="preserve">j. o 0,4 %. </w:t>
      </w:r>
    </w:p>
    <w:p w:rsidR="009D2A34" w:rsidRPr="00FF6604" w:rsidP="009D2A34">
      <w:pPr>
        <w:pStyle w:val="NormalWeb"/>
        <w:bidi w:val="0"/>
        <w:spacing w:before="0" w:beforeAutospacing="0" w:after="0" w:afterAutospacing="0"/>
        <w:ind w:firstLine="708"/>
        <w:jc w:val="both"/>
        <w:rPr>
          <w:rFonts w:ascii="Times New Roman" w:hAnsi="Times New Roman"/>
        </w:rPr>
      </w:pPr>
      <w:r w:rsidRPr="00FF6604">
        <w:rPr>
          <w:rFonts w:ascii="Times New Roman" w:hAnsi="Times New Roman"/>
        </w:rPr>
        <w:t xml:space="preserve">              </w:t>
      </w:r>
    </w:p>
    <w:p w:rsidR="009D2A34" w:rsidRPr="00FF6604" w:rsidP="009D2A34">
      <w:pPr>
        <w:pStyle w:val="NormalWeb"/>
        <w:bidi w:val="0"/>
        <w:spacing w:before="0" w:beforeAutospacing="0" w:after="0" w:afterAutospacing="0"/>
        <w:ind w:firstLine="708"/>
        <w:jc w:val="both"/>
        <w:rPr>
          <w:rFonts w:ascii="Times New Roman" w:hAnsi="Times New Roman"/>
        </w:rPr>
      </w:pPr>
      <w:r w:rsidRPr="00FF6604">
        <w:rPr>
          <w:rFonts w:ascii="Times New Roman" w:hAnsi="Times New Roman"/>
        </w:rPr>
        <w:t xml:space="preserve">Výdavky na tovary a služby sa v roku 2013 rozpočtujú vo výške 577 tis. eur a klesajú v porovnaní so schváleným rozpočtom </w:t>
      </w:r>
      <w:r w:rsidR="00522E7E">
        <w:rPr>
          <w:rFonts w:ascii="Times New Roman" w:hAnsi="Times New Roman"/>
        </w:rPr>
        <w:t>na</w:t>
      </w:r>
      <w:r w:rsidRPr="00FF6604">
        <w:rPr>
          <w:rFonts w:ascii="Times New Roman" w:hAnsi="Times New Roman"/>
        </w:rPr>
        <w:t> rok 2012 o 34,3 tis. eur, t.</w:t>
      </w:r>
      <w:r w:rsidR="001F3259">
        <w:rPr>
          <w:rFonts w:ascii="Times New Roman" w:hAnsi="Times New Roman"/>
        </w:rPr>
        <w:t xml:space="preserve"> </w:t>
      </w:r>
      <w:r w:rsidRPr="00FF6604">
        <w:rPr>
          <w:rFonts w:ascii="Times New Roman" w:hAnsi="Times New Roman"/>
        </w:rPr>
        <w:t>j. o 5,6 % v nadväznosti na celoplošné úsporné opatrenia.</w:t>
      </w:r>
    </w:p>
    <w:p w:rsidR="009D2A34" w:rsidRPr="00FF6604" w:rsidP="009D2A34">
      <w:pPr>
        <w:pStyle w:val="NormalWeb"/>
        <w:bidi w:val="0"/>
        <w:spacing w:before="0" w:beforeAutospacing="0" w:after="0" w:afterAutospacing="0"/>
        <w:ind w:firstLine="708"/>
        <w:jc w:val="both"/>
        <w:rPr>
          <w:rFonts w:ascii="Times New Roman" w:hAnsi="Times New Roman"/>
        </w:rPr>
      </w:pPr>
    </w:p>
    <w:p w:rsidR="009D2A34" w:rsidRPr="00FF6604" w:rsidP="009D2A34">
      <w:pPr>
        <w:pStyle w:val="NormalWeb"/>
        <w:bidi w:val="0"/>
        <w:spacing w:before="0" w:beforeAutospacing="0" w:after="0" w:afterAutospacing="0"/>
        <w:ind w:firstLine="708"/>
        <w:jc w:val="both"/>
        <w:rPr>
          <w:rFonts w:ascii="Times New Roman" w:hAnsi="Times New Roman"/>
        </w:rPr>
      </w:pPr>
      <w:r w:rsidRPr="00FF6604">
        <w:rPr>
          <w:rFonts w:ascii="Times New Roman" w:hAnsi="Times New Roman"/>
        </w:rPr>
        <w:t xml:space="preserve">Prostriedky na bežné transfery, ktorými úrad zabezpečuje najmä poplatky do medzinárodných organizácií uhrádzaných vo švajčiarskych frankoch, sa </w:t>
      </w:r>
      <w:r w:rsidR="001F3259">
        <w:rPr>
          <w:rFonts w:ascii="Times New Roman" w:hAnsi="Times New Roman"/>
        </w:rPr>
        <w:t>na</w:t>
      </w:r>
      <w:r w:rsidRPr="00FF6604">
        <w:rPr>
          <w:rFonts w:ascii="Times New Roman" w:hAnsi="Times New Roman"/>
        </w:rPr>
        <w:t xml:space="preserve"> rok 2013 rozpočtujú v sume 123 tis. eur a v porovnaní so schváleným rozpočtom roka 2012 rastú </w:t>
      </w:r>
      <w:r w:rsidR="001F3259">
        <w:rPr>
          <w:rFonts w:ascii="Times New Roman" w:hAnsi="Times New Roman"/>
        </w:rPr>
        <w:br/>
      </w:r>
      <w:r w:rsidRPr="00FF6604">
        <w:rPr>
          <w:rFonts w:ascii="Times New Roman" w:hAnsi="Times New Roman"/>
        </w:rPr>
        <w:t>o 22,5 tis. eur, t.</w:t>
      </w:r>
      <w:r w:rsidR="001F3259">
        <w:rPr>
          <w:rFonts w:ascii="Times New Roman" w:hAnsi="Times New Roman"/>
        </w:rPr>
        <w:t xml:space="preserve"> </w:t>
      </w:r>
      <w:r w:rsidRPr="00FF6604">
        <w:rPr>
          <w:rFonts w:ascii="Times New Roman" w:hAnsi="Times New Roman"/>
        </w:rPr>
        <w:t>j. o 22,5 % z dôvodu zmeny výmenného kurzu eura voči švajčiarskemu franku.</w:t>
      </w:r>
    </w:p>
    <w:p w:rsidR="009D2A34" w:rsidRPr="00FF6604" w:rsidP="009D2A34">
      <w:pPr>
        <w:pStyle w:val="NormalWeb"/>
        <w:bidi w:val="0"/>
        <w:spacing w:before="0" w:beforeAutospacing="0" w:after="0" w:afterAutospacing="0"/>
        <w:ind w:firstLine="708"/>
        <w:jc w:val="both"/>
        <w:rPr>
          <w:rFonts w:ascii="Times New Roman" w:hAnsi="Times New Roman"/>
        </w:rPr>
      </w:pPr>
    </w:p>
    <w:p w:rsidR="009D2A34" w:rsidRPr="003632B6" w:rsidP="009D2A34">
      <w:pPr>
        <w:pStyle w:val="NormalWeb"/>
        <w:bidi w:val="0"/>
        <w:spacing w:before="0" w:beforeAutospacing="0" w:after="0" w:afterAutospacing="0"/>
        <w:ind w:firstLine="708"/>
        <w:jc w:val="both"/>
        <w:rPr>
          <w:rFonts w:ascii="Times New Roman" w:hAnsi="Times New Roman"/>
        </w:rPr>
      </w:pPr>
      <w:r w:rsidRPr="002F2214">
        <w:rPr>
          <w:rFonts w:ascii="Times New Roman" w:hAnsi="Times New Roman"/>
        </w:rPr>
        <w:t xml:space="preserve">Kapitálové výdavky v roku 2013, rozpočtované vo výške 127 tis. eur, rastú v porovnaní so schváleným rozpočtom roka 2012 o 67 tis. eur, čo predstavuje rast </w:t>
        <w:br/>
        <w:t>o 112 %. Kapitálové výdavky rastú z dôvodu nutnosti zmluvne dojednaného ukončenia vývoja nosného informačného systému INVENTIO slúžiaceho na konanie o predmetoch priemyselno-právnej ochrany a jeho nasadenia do ostrej prevádzky v roku 2013.</w:t>
      </w:r>
    </w:p>
    <w:p w:rsidR="009D2A34" w:rsidP="009D2A34">
      <w:pPr>
        <w:pStyle w:val="NormalWeb"/>
        <w:bidi w:val="0"/>
        <w:spacing w:before="0" w:beforeAutospacing="0" w:after="0" w:afterAutospacing="0"/>
        <w:jc w:val="both"/>
        <w:rPr>
          <w:rFonts w:ascii="Times New Roman" w:hAnsi="Times New Roman"/>
        </w:rPr>
      </w:pPr>
    </w:p>
    <w:p w:rsidR="009D2A34" w:rsidRPr="007C12DD" w:rsidP="009D2A34">
      <w:pPr>
        <w:pBdr>
          <w:bottom w:val="single" w:sz="4" w:space="1" w:color="auto"/>
        </w:pBdr>
        <w:bidi w:val="0"/>
        <w:jc w:val="both"/>
        <w:rPr>
          <w:rFonts w:ascii="Times New Roman" w:hAnsi="Times New Roman"/>
          <w:b/>
          <w:bCs/>
        </w:rPr>
      </w:pPr>
      <w:r w:rsidRPr="007C12DD">
        <w:rPr>
          <w:rFonts w:ascii="Times New Roman" w:hAnsi="Times New Roman"/>
          <w:b/>
          <w:bCs/>
        </w:rPr>
        <w:t xml:space="preserve">Úrad pre normalizáciu, metrológiu a skúšobníctvo SR </w:t>
      </w:r>
    </w:p>
    <w:p w:rsidR="009D2A34" w:rsidP="009D2A34">
      <w:pPr>
        <w:bidi w:val="0"/>
        <w:ind w:firstLine="708"/>
        <w:jc w:val="both"/>
        <w:rPr>
          <w:rFonts w:ascii="Times New Roman" w:hAnsi="Times New Roman"/>
          <w:highlight w:val="yellow"/>
        </w:rPr>
      </w:pPr>
    </w:p>
    <w:tbl>
      <w:tblPr>
        <w:tblStyle w:val="TableNormal"/>
        <w:tblW w:w="9015" w:type="dxa"/>
        <w:tblInd w:w="59" w:type="dxa"/>
        <w:tblCellMar>
          <w:left w:w="70" w:type="dxa"/>
          <w:right w:w="70" w:type="dxa"/>
        </w:tblCellMar>
        <w:tblLook w:val="04A0"/>
      </w:tblPr>
      <w:tblGrid>
        <w:gridCol w:w="2268"/>
        <w:gridCol w:w="1001"/>
        <w:gridCol w:w="964"/>
        <w:gridCol w:w="1000"/>
        <w:gridCol w:w="890"/>
        <w:gridCol w:w="964"/>
        <w:gridCol w:w="964"/>
        <w:gridCol w:w="964"/>
      </w:tblGrid>
      <w:tr>
        <w:tblPrEx>
          <w:tblW w:w="9015" w:type="dxa"/>
          <w:tblInd w:w="59" w:type="dxa"/>
          <w:tblCellMar>
            <w:left w:w="70" w:type="dxa"/>
            <w:right w:w="70" w:type="dxa"/>
          </w:tblCellMar>
          <w:tblLook w:val="04A0"/>
        </w:tblPrEx>
        <w:trPr>
          <w:trHeight w:val="259"/>
        </w:trPr>
        <w:tc>
          <w:tcPr>
            <w:tcW w:w="226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AA55E0" w:rsidP="006338E5">
            <w:pPr>
              <w:bidi w:val="0"/>
              <w:rPr>
                <w:rFonts w:ascii="Times New Roman" w:hAnsi="Times New Roman" w:cs="Times New Roman"/>
                <w:b/>
                <w:bCs/>
                <w:color w:val="000000"/>
                <w:sz w:val="14"/>
                <w:szCs w:val="14"/>
              </w:rPr>
            </w:pPr>
            <w:r w:rsidRPr="00AA55E0">
              <w:rPr>
                <w:rFonts w:ascii="Times New Roman" w:hAnsi="Times New Roman" w:cs="Times New Roman"/>
                <w:b/>
                <w:bCs/>
                <w:color w:val="000000"/>
                <w:sz w:val="14"/>
                <w:szCs w:val="14"/>
              </w:rPr>
              <w:t> v eurách</w:t>
            </w:r>
          </w:p>
        </w:tc>
        <w:tc>
          <w:tcPr>
            <w:tcW w:w="1001"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A55E0" w:rsidP="006338E5">
            <w:pPr>
              <w:bidi w:val="0"/>
              <w:jc w:val="center"/>
              <w:rPr>
                <w:rFonts w:ascii="Times New Roman" w:hAnsi="Times New Roman" w:cs="Times New Roman"/>
                <w:b/>
                <w:bCs/>
                <w:color w:val="000000"/>
                <w:sz w:val="14"/>
                <w:szCs w:val="14"/>
              </w:rPr>
            </w:pPr>
            <w:r w:rsidRPr="00AA55E0">
              <w:rPr>
                <w:rFonts w:ascii="Times New Roman" w:hAnsi="Times New Roman" w:cs="Times New Roman"/>
                <w:b/>
                <w:bCs/>
                <w:color w:val="000000"/>
                <w:sz w:val="14"/>
                <w:szCs w:val="14"/>
              </w:rPr>
              <w:t>2010</w:t>
            </w:r>
            <w:r>
              <w:rPr>
                <w:rFonts w:ascii="Times New Roman" w:hAnsi="Times New Roman" w:cs="Times New Roman"/>
                <w:b/>
                <w:bCs/>
                <w:color w:val="000000"/>
                <w:sz w:val="14"/>
                <w:szCs w:val="14"/>
              </w:rPr>
              <w:t xml:space="preserve"> </w:t>
            </w:r>
            <w:r w:rsidRPr="00AA55E0">
              <w:rPr>
                <w:rFonts w:ascii="Times New Roman" w:hAnsi="Times New Roman" w:cs="Times New Roman"/>
                <w:b/>
                <w:bCs/>
                <w:color w:val="000000"/>
                <w:sz w:val="14"/>
                <w:szCs w:val="14"/>
              </w:rPr>
              <w:t>S</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A55E0" w:rsidP="006338E5">
            <w:pPr>
              <w:bidi w:val="0"/>
              <w:jc w:val="center"/>
              <w:rPr>
                <w:rFonts w:ascii="Times New Roman" w:hAnsi="Times New Roman" w:cs="Times New Roman"/>
                <w:b/>
                <w:bCs/>
                <w:color w:val="000000"/>
                <w:sz w:val="14"/>
                <w:szCs w:val="14"/>
              </w:rPr>
            </w:pPr>
            <w:r w:rsidRPr="00AA55E0">
              <w:rPr>
                <w:rFonts w:ascii="Times New Roman" w:hAnsi="Times New Roman" w:cs="Times New Roman"/>
                <w:b/>
                <w:bCs/>
                <w:color w:val="000000"/>
                <w:sz w:val="14"/>
                <w:szCs w:val="14"/>
              </w:rPr>
              <w:t>2011 S</w:t>
            </w:r>
          </w:p>
        </w:tc>
        <w:tc>
          <w:tcPr>
            <w:tcW w:w="1000"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A55E0" w:rsidP="006338E5">
            <w:pPr>
              <w:bidi w:val="0"/>
              <w:jc w:val="center"/>
              <w:rPr>
                <w:rFonts w:ascii="Times New Roman" w:hAnsi="Times New Roman" w:cs="Times New Roman"/>
                <w:b/>
                <w:bCs/>
                <w:color w:val="000000"/>
                <w:sz w:val="14"/>
                <w:szCs w:val="14"/>
              </w:rPr>
            </w:pPr>
            <w:r w:rsidRPr="00AA55E0">
              <w:rPr>
                <w:rFonts w:ascii="Times New Roman" w:hAnsi="Times New Roman" w:cs="Times New Roman"/>
                <w:b/>
                <w:bCs/>
                <w:color w:val="000000"/>
                <w:sz w:val="14"/>
                <w:szCs w:val="14"/>
              </w:rPr>
              <w:t>2012 R</w:t>
            </w:r>
          </w:p>
        </w:tc>
        <w:tc>
          <w:tcPr>
            <w:tcW w:w="890" w:type="dxa"/>
            <w:tcBorders>
              <w:top w:val="single" w:sz="4" w:space="0" w:color="auto"/>
              <w:left w:val="nil"/>
              <w:bottom w:val="single" w:sz="4" w:space="0" w:color="auto"/>
              <w:right w:val="single" w:sz="4" w:space="0" w:color="auto"/>
            </w:tcBorders>
            <w:shd w:val="clear" w:color="auto" w:fill="A6A6A6"/>
            <w:textDirection w:val="lrTb"/>
            <w:vAlign w:val="center"/>
          </w:tcPr>
          <w:p w:rsidR="009D2A34" w:rsidRPr="00AA55E0" w:rsidP="006338E5">
            <w:pPr>
              <w:bidi w:val="0"/>
              <w:jc w:val="center"/>
              <w:rPr>
                <w:rFonts w:ascii="Times New Roman" w:hAnsi="Times New Roman" w:cs="Times New Roman"/>
                <w:b/>
                <w:bCs/>
                <w:color w:val="000000"/>
                <w:sz w:val="14"/>
                <w:szCs w:val="14"/>
              </w:rPr>
            </w:pPr>
            <w:r w:rsidRPr="00AA55E0">
              <w:rPr>
                <w:rFonts w:ascii="Times New Roman" w:hAnsi="Times New Roman" w:cs="Times New Roman"/>
                <w:b/>
                <w:bCs/>
                <w:color w:val="000000"/>
                <w:sz w:val="14"/>
                <w:szCs w:val="14"/>
              </w:rPr>
              <w:t>2012 OS</w:t>
            </w:r>
          </w:p>
        </w:tc>
        <w:tc>
          <w:tcPr>
            <w:tcW w:w="96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AA55E0" w:rsidP="006338E5">
            <w:pPr>
              <w:bidi w:val="0"/>
              <w:jc w:val="center"/>
              <w:rPr>
                <w:rFonts w:ascii="Times New Roman" w:hAnsi="Times New Roman" w:cs="Times New Roman"/>
                <w:b/>
                <w:bCs/>
                <w:color w:val="000000"/>
                <w:sz w:val="14"/>
                <w:szCs w:val="14"/>
              </w:rPr>
            </w:pPr>
            <w:r w:rsidRPr="00AA55E0">
              <w:rPr>
                <w:rFonts w:ascii="Times New Roman" w:hAnsi="Times New Roman" w:cs="Times New Roman"/>
                <w:b/>
                <w:bCs/>
                <w:color w:val="000000"/>
                <w:sz w:val="14"/>
                <w:szCs w:val="14"/>
              </w:rPr>
              <w:t>2013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A55E0" w:rsidP="006338E5">
            <w:pPr>
              <w:bidi w:val="0"/>
              <w:jc w:val="center"/>
              <w:rPr>
                <w:rFonts w:ascii="Times New Roman" w:hAnsi="Times New Roman" w:cs="Times New Roman"/>
                <w:b/>
                <w:bCs/>
                <w:color w:val="000000"/>
                <w:sz w:val="14"/>
                <w:szCs w:val="14"/>
              </w:rPr>
            </w:pPr>
            <w:r w:rsidRPr="00AA55E0">
              <w:rPr>
                <w:rFonts w:ascii="Times New Roman" w:hAnsi="Times New Roman" w:cs="Times New Roman"/>
                <w:b/>
                <w:bCs/>
                <w:color w:val="000000"/>
                <w:sz w:val="14"/>
                <w:szCs w:val="14"/>
              </w:rPr>
              <w:t>2014 N</w:t>
            </w:r>
          </w:p>
        </w:tc>
        <w:tc>
          <w:tcPr>
            <w:tcW w:w="964" w:type="dxa"/>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AA55E0" w:rsidP="006338E5">
            <w:pPr>
              <w:bidi w:val="0"/>
              <w:jc w:val="center"/>
              <w:rPr>
                <w:rFonts w:ascii="Times New Roman" w:hAnsi="Times New Roman" w:cs="Times New Roman"/>
                <w:b/>
                <w:bCs/>
                <w:color w:val="000000"/>
                <w:sz w:val="14"/>
                <w:szCs w:val="14"/>
              </w:rPr>
            </w:pPr>
            <w:r w:rsidRPr="00AA55E0">
              <w:rPr>
                <w:rFonts w:ascii="Times New Roman" w:hAnsi="Times New Roman" w:cs="Times New Roman"/>
                <w:b/>
                <w:bCs/>
                <w:color w:val="000000"/>
                <w:sz w:val="14"/>
                <w:szCs w:val="14"/>
              </w:rPr>
              <w:t>2015 N</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9D2A34" w:rsidRPr="00AA55E0" w:rsidP="006338E5">
            <w:pPr>
              <w:bidi w:val="0"/>
              <w:rPr>
                <w:rFonts w:ascii="Times New Roman" w:hAnsi="Times New Roman" w:cs="Times New Roman"/>
                <w:b/>
                <w:bCs/>
                <w:color w:val="000000"/>
                <w:sz w:val="14"/>
                <w:szCs w:val="14"/>
              </w:rPr>
            </w:pPr>
            <w:r w:rsidRPr="00AA55E0">
              <w:rPr>
                <w:rFonts w:ascii="Times New Roman" w:hAnsi="Times New Roman" w:cs="Times New Roman"/>
                <w:b/>
                <w:bCs/>
                <w:color w:val="000000"/>
                <w:sz w:val="14"/>
                <w:szCs w:val="14"/>
              </w:rPr>
              <w:t>Zdroje príslušnej kapitoly</w:t>
            </w:r>
          </w:p>
        </w:tc>
        <w:tc>
          <w:tcPr>
            <w:tcW w:w="1001" w:type="dxa"/>
            <w:tcBorders>
              <w:top w:val="nil"/>
              <w:left w:val="nil"/>
              <w:bottom w:val="single" w:sz="4" w:space="0" w:color="auto"/>
              <w:right w:val="single" w:sz="4" w:space="0" w:color="auto"/>
            </w:tcBorders>
            <w:shd w:val="clear" w:color="000000" w:fill="BFBFBF"/>
            <w:noWrap/>
            <w:textDirection w:val="lrTb"/>
            <w:vAlign w:val="center"/>
            <w:hideMark/>
          </w:tcPr>
          <w:p w:rsidR="009D2A34" w:rsidRPr="005D3045" w:rsidP="006338E5">
            <w:pPr>
              <w:bidi w:val="0"/>
              <w:jc w:val="right"/>
              <w:rPr>
                <w:rFonts w:ascii="Times New Roman" w:hAnsi="Times New Roman" w:cs="Times New Roman"/>
                <w:b/>
                <w:bCs/>
                <w:color w:val="000000"/>
                <w:sz w:val="14"/>
                <w:szCs w:val="14"/>
              </w:rPr>
            </w:pPr>
            <w:r w:rsidRPr="005D3045">
              <w:rPr>
                <w:rFonts w:ascii="Times New Roman" w:hAnsi="Times New Roman" w:cs="Times New Roman"/>
                <w:b/>
                <w:bCs/>
                <w:color w:val="000000"/>
                <w:sz w:val="14"/>
                <w:szCs w:val="14"/>
              </w:rPr>
              <w:t>7 190 755</w:t>
            </w:r>
          </w:p>
        </w:tc>
        <w:tc>
          <w:tcPr>
            <w:tcW w:w="964" w:type="dxa"/>
            <w:tcBorders>
              <w:top w:val="nil"/>
              <w:left w:val="nil"/>
              <w:bottom w:val="single" w:sz="4" w:space="0" w:color="auto"/>
              <w:right w:val="single" w:sz="4" w:space="0" w:color="auto"/>
            </w:tcBorders>
            <w:shd w:val="clear" w:color="000000" w:fill="BFBFBF"/>
            <w:noWrap/>
            <w:textDirection w:val="lrTb"/>
            <w:vAlign w:val="center"/>
            <w:hideMark/>
          </w:tcPr>
          <w:p w:rsidR="009D2A34" w:rsidRPr="005D3045" w:rsidP="006338E5">
            <w:pPr>
              <w:bidi w:val="0"/>
              <w:jc w:val="right"/>
              <w:rPr>
                <w:rFonts w:ascii="Times New Roman" w:hAnsi="Times New Roman" w:cs="Times New Roman"/>
                <w:b/>
                <w:bCs/>
                <w:color w:val="000000"/>
                <w:sz w:val="14"/>
                <w:szCs w:val="14"/>
              </w:rPr>
            </w:pPr>
            <w:r w:rsidRPr="005D3045">
              <w:rPr>
                <w:rFonts w:ascii="Times New Roman" w:hAnsi="Times New Roman" w:cs="Times New Roman"/>
                <w:b/>
                <w:bCs/>
                <w:color w:val="000000"/>
                <w:sz w:val="14"/>
                <w:szCs w:val="14"/>
              </w:rPr>
              <w:t>6 525 834</w:t>
            </w:r>
          </w:p>
        </w:tc>
        <w:tc>
          <w:tcPr>
            <w:tcW w:w="1000" w:type="dxa"/>
            <w:tcBorders>
              <w:top w:val="nil"/>
              <w:left w:val="nil"/>
              <w:bottom w:val="single" w:sz="4" w:space="0" w:color="auto"/>
              <w:right w:val="single" w:sz="4" w:space="0" w:color="auto"/>
            </w:tcBorders>
            <w:shd w:val="clear" w:color="000000" w:fill="BFBFBF"/>
            <w:noWrap/>
            <w:textDirection w:val="lrTb"/>
            <w:vAlign w:val="center"/>
            <w:hideMark/>
          </w:tcPr>
          <w:p w:rsidR="009D2A34" w:rsidRPr="005D3045" w:rsidP="006338E5">
            <w:pPr>
              <w:bidi w:val="0"/>
              <w:jc w:val="right"/>
              <w:rPr>
                <w:rFonts w:ascii="Times New Roman" w:hAnsi="Times New Roman" w:cs="Times New Roman"/>
                <w:b/>
                <w:bCs/>
                <w:color w:val="000000"/>
                <w:sz w:val="14"/>
                <w:szCs w:val="14"/>
              </w:rPr>
            </w:pPr>
            <w:r w:rsidRPr="005D3045">
              <w:rPr>
                <w:rFonts w:ascii="Times New Roman" w:hAnsi="Times New Roman" w:cs="Times New Roman"/>
                <w:b/>
                <w:bCs/>
                <w:color w:val="000000"/>
                <w:sz w:val="14"/>
                <w:szCs w:val="14"/>
              </w:rPr>
              <w:t>6 028 285</w:t>
            </w:r>
          </w:p>
        </w:tc>
        <w:tc>
          <w:tcPr>
            <w:tcW w:w="890" w:type="dxa"/>
            <w:tcBorders>
              <w:top w:val="single" w:sz="4" w:space="0" w:color="auto"/>
              <w:left w:val="nil"/>
              <w:bottom w:val="single" w:sz="4" w:space="0" w:color="auto"/>
              <w:right w:val="single" w:sz="4" w:space="0" w:color="auto"/>
            </w:tcBorders>
            <w:shd w:val="clear" w:color="000000" w:fill="BFBFBF"/>
            <w:textDirection w:val="lrTb"/>
            <w:vAlign w:val="center"/>
          </w:tcPr>
          <w:p w:rsidR="009D2A34" w:rsidRPr="005D3045" w:rsidP="006338E5">
            <w:pPr>
              <w:bidi w:val="0"/>
              <w:jc w:val="right"/>
              <w:rPr>
                <w:rFonts w:ascii="Times New Roman" w:hAnsi="Times New Roman" w:cs="Times New Roman"/>
                <w:b/>
                <w:bCs/>
                <w:color w:val="000000"/>
                <w:sz w:val="14"/>
                <w:szCs w:val="14"/>
              </w:rPr>
            </w:pPr>
            <w:r w:rsidRPr="005D3045">
              <w:rPr>
                <w:rFonts w:ascii="Times New Roman" w:hAnsi="Times New Roman" w:cs="Times New Roman"/>
                <w:b/>
                <w:bCs/>
                <w:color w:val="000000"/>
                <w:sz w:val="14"/>
                <w:szCs w:val="14"/>
              </w:rPr>
              <w:t>14 847 196</w:t>
            </w:r>
          </w:p>
        </w:tc>
        <w:tc>
          <w:tcPr>
            <w:tcW w:w="96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E517BD" w:rsidP="006338E5">
            <w:pPr>
              <w:bidi w:val="0"/>
              <w:jc w:val="right"/>
              <w:rPr>
                <w:rFonts w:ascii="Times New Roman" w:hAnsi="Times New Roman" w:cs="Times New Roman"/>
                <w:b/>
                <w:bCs/>
                <w:color w:val="000000"/>
                <w:sz w:val="14"/>
                <w:szCs w:val="14"/>
              </w:rPr>
            </w:pPr>
            <w:r w:rsidRPr="00E517BD">
              <w:rPr>
                <w:rFonts w:ascii="Times New Roman" w:hAnsi="Times New Roman" w:cs="Times New Roman"/>
                <w:b/>
                <w:bCs/>
                <w:color w:val="000000"/>
                <w:sz w:val="14"/>
                <w:szCs w:val="14"/>
              </w:rPr>
              <w:t>5 908 263</w:t>
            </w:r>
          </w:p>
        </w:tc>
        <w:tc>
          <w:tcPr>
            <w:tcW w:w="964" w:type="dxa"/>
            <w:tcBorders>
              <w:top w:val="nil"/>
              <w:left w:val="nil"/>
              <w:bottom w:val="single" w:sz="4" w:space="0" w:color="auto"/>
              <w:right w:val="single" w:sz="4" w:space="0" w:color="auto"/>
            </w:tcBorders>
            <w:shd w:val="clear" w:color="000000" w:fill="BFBFBF"/>
            <w:noWrap/>
            <w:textDirection w:val="lrTb"/>
            <w:vAlign w:val="center"/>
            <w:hideMark/>
          </w:tcPr>
          <w:p w:rsidR="009D2A34" w:rsidRPr="00E517BD" w:rsidP="006338E5">
            <w:pPr>
              <w:bidi w:val="0"/>
              <w:jc w:val="right"/>
              <w:rPr>
                <w:rFonts w:ascii="Times New Roman" w:hAnsi="Times New Roman" w:cs="Times New Roman"/>
                <w:b/>
                <w:bCs/>
                <w:color w:val="000000"/>
                <w:sz w:val="14"/>
                <w:szCs w:val="14"/>
              </w:rPr>
            </w:pPr>
            <w:r w:rsidRPr="00E517BD">
              <w:rPr>
                <w:rFonts w:ascii="Times New Roman" w:hAnsi="Times New Roman" w:cs="Times New Roman"/>
                <w:b/>
                <w:bCs/>
                <w:color w:val="000000"/>
                <w:sz w:val="14"/>
                <w:szCs w:val="14"/>
              </w:rPr>
              <w:t>5 848 151</w:t>
            </w:r>
          </w:p>
        </w:tc>
        <w:tc>
          <w:tcPr>
            <w:tcW w:w="964" w:type="dxa"/>
            <w:tcBorders>
              <w:top w:val="nil"/>
              <w:left w:val="nil"/>
              <w:bottom w:val="single" w:sz="4" w:space="0" w:color="auto"/>
              <w:right w:val="single" w:sz="4" w:space="0" w:color="auto"/>
            </w:tcBorders>
            <w:shd w:val="clear" w:color="000000" w:fill="BFBFBF"/>
            <w:noWrap/>
            <w:textDirection w:val="lrTb"/>
            <w:vAlign w:val="center"/>
            <w:hideMark/>
          </w:tcPr>
          <w:p w:rsidR="009D2A34" w:rsidRPr="00E517BD" w:rsidP="006338E5">
            <w:pPr>
              <w:bidi w:val="0"/>
              <w:jc w:val="right"/>
              <w:rPr>
                <w:rFonts w:ascii="Times New Roman" w:hAnsi="Times New Roman" w:cs="Times New Roman"/>
                <w:b/>
                <w:bCs/>
                <w:color w:val="000000"/>
                <w:sz w:val="14"/>
                <w:szCs w:val="14"/>
              </w:rPr>
            </w:pPr>
            <w:r w:rsidRPr="00E517BD">
              <w:rPr>
                <w:rFonts w:ascii="Times New Roman" w:hAnsi="Times New Roman" w:cs="Times New Roman"/>
                <w:b/>
                <w:bCs/>
                <w:color w:val="000000"/>
                <w:sz w:val="14"/>
                <w:szCs w:val="14"/>
              </w:rPr>
              <w:t>5 851 665</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9D2A34" w:rsidRPr="000D3301" w:rsidP="006338E5">
            <w:pPr>
              <w:bidi w:val="0"/>
              <w:rPr>
                <w:rFonts w:ascii="Times New Roman" w:hAnsi="Times New Roman" w:cs="Times New Roman"/>
                <w:b/>
                <w:color w:val="000000"/>
                <w:sz w:val="14"/>
                <w:szCs w:val="14"/>
              </w:rPr>
            </w:pPr>
            <w:r w:rsidRPr="000D3301">
              <w:rPr>
                <w:rFonts w:ascii="Times New Roman" w:hAnsi="Times New Roman" w:cs="Times New Roman"/>
                <w:b/>
                <w:color w:val="000000"/>
                <w:sz w:val="14"/>
                <w:szCs w:val="14"/>
              </w:rPr>
              <w:t xml:space="preserve">rozpočtové zdroje kapitoly </w:t>
            </w:r>
          </w:p>
        </w:tc>
        <w:tc>
          <w:tcPr>
            <w:tcW w:w="1001" w:type="dxa"/>
            <w:tcBorders>
              <w:top w:val="nil"/>
              <w:left w:val="nil"/>
              <w:bottom w:val="single" w:sz="4" w:space="0" w:color="auto"/>
              <w:right w:val="single" w:sz="4" w:space="0" w:color="auto"/>
            </w:tcBorders>
            <w:noWrap/>
            <w:textDirection w:val="lrTb"/>
            <w:vAlign w:val="center"/>
            <w:hideMark/>
          </w:tcPr>
          <w:p w:rsidR="009D2A34" w:rsidRPr="000D3301" w:rsidP="006338E5">
            <w:pPr>
              <w:bidi w:val="0"/>
              <w:jc w:val="right"/>
              <w:rPr>
                <w:rFonts w:ascii="Times New Roman" w:hAnsi="Times New Roman" w:cs="Times New Roman"/>
                <w:b/>
                <w:color w:val="000000"/>
                <w:sz w:val="14"/>
                <w:szCs w:val="14"/>
              </w:rPr>
            </w:pPr>
            <w:r w:rsidRPr="000D3301">
              <w:rPr>
                <w:rFonts w:ascii="Times New Roman" w:hAnsi="Times New Roman" w:cs="Times New Roman"/>
                <w:b/>
                <w:color w:val="000000"/>
                <w:sz w:val="14"/>
                <w:szCs w:val="14"/>
              </w:rPr>
              <w:t>7 190 755</w:t>
            </w:r>
          </w:p>
        </w:tc>
        <w:tc>
          <w:tcPr>
            <w:tcW w:w="964" w:type="dxa"/>
            <w:tcBorders>
              <w:top w:val="nil"/>
              <w:left w:val="nil"/>
              <w:bottom w:val="single" w:sz="4" w:space="0" w:color="auto"/>
              <w:right w:val="single" w:sz="4" w:space="0" w:color="auto"/>
            </w:tcBorders>
            <w:noWrap/>
            <w:textDirection w:val="lrTb"/>
            <w:vAlign w:val="center"/>
            <w:hideMark/>
          </w:tcPr>
          <w:p w:rsidR="009D2A34" w:rsidRPr="000D3301" w:rsidP="006338E5">
            <w:pPr>
              <w:bidi w:val="0"/>
              <w:jc w:val="right"/>
              <w:rPr>
                <w:rFonts w:ascii="Times New Roman" w:hAnsi="Times New Roman" w:cs="Times New Roman"/>
                <w:b/>
                <w:color w:val="000000"/>
                <w:sz w:val="14"/>
                <w:szCs w:val="14"/>
              </w:rPr>
            </w:pPr>
            <w:r w:rsidRPr="000D3301">
              <w:rPr>
                <w:rFonts w:ascii="Times New Roman" w:hAnsi="Times New Roman" w:cs="Times New Roman"/>
                <w:b/>
                <w:color w:val="000000"/>
                <w:sz w:val="14"/>
                <w:szCs w:val="14"/>
              </w:rPr>
              <w:t>6 525 834</w:t>
            </w:r>
          </w:p>
        </w:tc>
        <w:tc>
          <w:tcPr>
            <w:tcW w:w="1000" w:type="dxa"/>
            <w:tcBorders>
              <w:top w:val="nil"/>
              <w:left w:val="nil"/>
              <w:bottom w:val="single" w:sz="4" w:space="0" w:color="auto"/>
              <w:right w:val="single" w:sz="4" w:space="0" w:color="auto"/>
            </w:tcBorders>
            <w:noWrap/>
            <w:textDirection w:val="lrTb"/>
            <w:vAlign w:val="center"/>
            <w:hideMark/>
          </w:tcPr>
          <w:p w:rsidR="009D2A34" w:rsidRPr="000D3301" w:rsidP="006338E5">
            <w:pPr>
              <w:bidi w:val="0"/>
              <w:jc w:val="right"/>
              <w:rPr>
                <w:rFonts w:ascii="Times New Roman" w:hAnsi="Times New Roman" w:cs="Times New Roman"/>
                <w:b/>
                <w:color w:val="000000"/>
                <w:sz w:val="14"/>
                <w:szCs w:val="14"/>
              </w:rPr>
            </w:pPr>
            <w:r w:rsidRPr="000D3301">
              <w:rPr>
                <w:rFonts w:ascii="Times New Roman" w:hAnsi="Times New Roman" w:cs="Times New Roman"/>
                <w:b/>
                <w:color w:val="000000"/>
                <w:sz w:val="14"/>
                <w:szCs w:val="14"/>
              </w:rPr>
              <w:t>6 028 285</w:t>
            </w:r>
          </w:p>
        </w:tc>
        <w:tc>
          <w:tcPr>
            <w:tcW w:w="890" w:type="dxa"/>
            <w:tcBorders>
              <w:top w:val="single" w:sz="4" w:space="0" w:color="auto"/>
              <w:left w:val="nil"/>
              <w:bottom w:val="single" w:sz="4" w:space="0" w:color="auto"/>
              <w:right w:val="single" w:sz="4" w:space="0" w:color="auto"/>
            </w:tcBorders>
            <w:textDirection w:val="lrTb"/>
            <w:vAlign w:val="center"/>
          </w:tcPr>
          <w:p w:rsidR="009D2A34" w:rsidRPr="000D3301" w:rsidP="006338E5">
            <w:pPr>
              <w:bidi w:val="0"/>
              <w:jc w:val="right"/>
              <w:rPr>
                <w:rFonts w:ascii="Times New Roman" w:hAnsi="Times New Roman" w:cs="Times New Roman"/>
                <w:b/>
                <w:color w:val="000000"/>
                <w:sz w:val="14"/>
                <w:szCs w:val="14"/>
              </w:rPr>
            </w:pPr>
            <w:r w:rsidRPr="000D3301">
              <w:rPr>
                <w:rFonts w:ascii="Times New Roman" w:hAnsi="Times New Roman" w:cs="Times New Roman"/>
                <w:b/>
                <w:color w:val="000000"/>
                <w:sz w:val="14"/>
                <w:szCs w:val="14"/>
              </w:rPr>
              <w:t>14 847 196</w:t>
            </w:r>
          </w:p>
        </w:tc>
        <w:tc>
          <w:tcPr>
            <w:tcW w:w="964"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5 908 263</w:t>
            </w:r>
          </w:p>
        </w:tc>
        <w:tc>
          <w:tcPr>
            <w:tcW w:w="964" w:type="dxa"/>
            <w:tcBorders>
              <w:top w:val="nil"/>
              <w:left w:val="nil"/>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5 848 151</w:t>
            </w:r>
          </w:p>
        </w:tc>
        <w:tc>
          <w:tcPr>
            <w:tcW w:w="964" w:type="dxa"/>
            <w:tcBorders>
              <w:top w:val="nil"/>
              <w:left w:val="nil"/>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5 851 665</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9D2A34" w:rsidRPr="00AA55E0" w:rsidP="006338E5">
            <w:pPr>
              <w:bidi w:val="0"/>
              <w:rPr>
                <w:rFonts w:ascii="Times New Roman" w:hAnsi="Times New Roman" w:cs="Times New Roman"/>
                <w:color w:val="000000"/>
                <w:sz w:val="14"/>
                <w:szCs w:val="14"/>
              </w:rPr>
            </w:pPr>
            <w:r w:rsidRPr="00AA55E0">
              <w:rPr>
                <w:rFonts w:ascii="Times New Roman" w:hAnsi="Times New Roman" w:cs="Times New Roman"/>
                <w:color w:val="000000"/>
                <w:sz w:val="14"/>
                <w:szCs w:val="14"/>
              </w:rPr>
              <w:t xml:space="preserve">    v tom: bežné výdavky  600</w:t>
            </w:r>
          </w:p>
        </w:tc>
        <w:tc>
          <w:tcPr>
            <w:tcW w:w="1001"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7 152 164</w:t>
            </w:r>
          </w:p>
        </w:tc>
        <w:tc>
          <w:tcPr>
            <w:tcW w:w="964"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6 495 791</w:t>
            </w:r>
          </w:p>
        </w:tc>
        <w:tc>
          <w:tcPr>
            <w:tcW w:w="1000"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6 028 285</w:t>
            </w:r>
          </w:p>
        </w:tc>
        <w:tc>
          <w:tcPr>
            <w:tcW w:w="890" w:type="dxa"/>
            <w:tcBorders>
              <w:top w:val="single" w:sz="4" w:space="0" w:color="auto"/>
              <w:left w:val="nil"/>
              <w:bottom w:val="single" w:sz="4" w:space="0" w:color="auto"/>
              <w:right w:val="single" w:sz="4" w:space="0" w:color="auto"/>
            </w:tcBorders>
            <w:textDirection w:val="lrTb"/>
            <w:vAlign w:val="center"/>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14 847 196</w:t>
            </w:r>
          </w:p>
        </w:tc>
        <w:tc>
          <w:tcPr>
            <w:tcW w:w="964" w:type="dxa"/>
            <w:tcBorders>
              <w:top w:val="nil"/>
              <w:left w:val="single" w:sz="4" w:space="0" w:color="auto"/>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5 908 263</w:t>
            </w:r>
          </w:p>
        </w:tc>
        <w:tc>
          <w:tcPr>
            <w:tcW w:w="964" w:type="dxa"/>
            <w:tcBorders>
              <w:top w:val="nil"/>
              <w:left w:val="nil"/>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5 848 151</w:t>
            </w:r>
          </w:p>
        </w:tc>
        <w:tc>
          <w:tcPr>
            <w:tcW w:w="964" w:type="dxa"/>
            <w:tcBorders>
              <w:top w:val="nil"/>
              <w:left w:val="nil"/>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5 851 665</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9D2A34" w:rsidRPr="00AA55E0" w:rsidP="006338E5">
            <w:pPr>
              <w:bidi w:val="0"/>
              <w:rPr>
                <w:rFonts w:ascii="Times New Roman" w:hAnsi="Times New Roman" w:cs="Times New Roman"/>
                <w:color w:val="000000"/>
                <w:sz w:val="14"/>
                <w:szCs w:val="14"/>
              </w:rPr>
            </w:pPr>
            <w:r w:rsidRPr="00AA55E0">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AA55E0">
              <w:rPr>
                <w:rFonts w:ascii="Times New Roman" w:hAnsi="Times New Roman" w:cs="Times New Roman"/>
                <w:color w:val="000000"/>
                <w:sz w:val="14"/>
                <w:szCs w:val="14"/>
              </w:rPr>
              <w:t xml:space="preserve"> 610 mzdy</w:t>
            </w:r>
          </w:p>
        </w:tc>
        <w:tc>
          <w:tcPr>
            <w:tcW w:w="1001"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1 077 069</w:t>
            </w:r>
          </w:p>
        </w:tc>
        <w:tc>
          <w:tcPr>
            <w:tcW w:w="964"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1 033 338</w:t>
            </w:r>
          </w:p>
        </w:tc>
        <w:tc>
          <w:tcPr>
            <w:tcW w:w="1000"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788 548</w:t>
            </w:r>
          </w:p>
        </w:tc>
        <w:tc>
          <w:tcPr>
            <w:tcW w:w="890" w:type="dxa"/>
            <w:tcBorders>
              <w:top w:val="single" w:sz="4" w:space="0" w:color="auto"/>
              <w:left w:val="nil"/>
              <w:bottom w:val="single" w:sz="4" w:space="0" w:color="auto"/>
              <w:right w:val="single" w:sz="4" w:space="0" w:color="auto"/>
            </w:tcBorders>
            <w:textDirection w:val="lrTb"/>
            <w:vAlign w:val="center"/>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788 548</w:t>
            </w:r>
          </w:p>
        </w:tc>
        <w:tc>
          <w:tcPr>
            <w:tcW w:w="964" w:type="dxa"/>
            <w:tcBorders>
              <w:top w:val="nil"/>
              <w:left w:val="single" w:sz="4" w:space="0" w:color="auto"/>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795 453</w:t>
            </w:r>
          </w:p>
        </w:tc>
        <w:tc>
          <w:tcPr>
            <w:tcW w:w="964" w:type="dxa"/>
            <w:tcBorders>
              <w:top w:val="nil"/>
              <w:left w:val="nil"/>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796 305</w:t>
            </w:r>
          </w:p>
        </w:tc>
        <w:tc>
          <w:tcPr>
            <w:tcW w:w="964" w:type="dxa"/>
            <w:tcBorders>
              <w:top w:val="nil"/>
              <w:left w:val="nil"/>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798 909</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9D2A34" w:rsidRPr="00AA55E0" w:rsidP="006338E5">
            <w:pPr>
              <w:bidi w:val="0"/>
              <w:rPr>
                <w:rFonts w:ascii="Times New Roman" w:hAnsi="Times New Roman" w:cs="Times New Roman"/>
                <w:color w:val="000000"/>
                <w:sz w:val="14"/>
                <w:szCs w:val="14"/>
              </w:rPr>
            </w:pPr>
            <w:r w:rsidRPr="00AA55E0">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AA55E0">
              <w:rPr>
                <w:rFonts w:ascii="Times New Roman" w:hAnsi="Times New Roman" w:cs="Times New Roman"/>
                <w:color w:val="000000"/>
                <w:sz w:val="14"/>
                <w:szCs w:val="14"/>
              </w:rPr>
              <w:t xml:space="preserve">        620 odvody</w:t>
            </w:r>
          </w:p>
        </w:tc>
        <w:tc>
          <w:tcPr>
            <w:tcW w:w="1001"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362 216</w:t>
            </w:r>
          </w:p>
        </w:tc>
        <w:tc>
          <w:tcPr>
            <w:tcW w:w="964"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342 868</w:t>
            </w:r>
          </w:p>
        </w:tc>
        <w:tc>
          <w:tcPr>
            <w:tcW w:w="1000"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283 060</w:t>
            </w:r>
          </w:p>
        </w:tc>
        <w:tc>
          <w:tcPr>
            <w:tcW w:w="890" w:type="dxa"/>
            <w:tcBorders>
              <w:top w:val="single" w:sz="4" w:space="0" w:color="auto"/>
              <w:left w:val="nil"/>
              <w:bottom w:val="single" w:sz="4" w:space="0" w:color="auto"/>
              <w:right w:val="single" w:sz="4" w:space="0" w:color="auto"/>
            </w:tcBorders>
            <w:textDirection w:val="lrTb"/>
            <w:vAlign w:val="center"/>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285 940</w:t>
            </w:r>
          </w:p>
        </w:tc>
        <w:tc>
          <w:tcPr>
            <w:tcW w:w="964" w:type="dxa"/>
            <w:tcBorders>
              <w:top w:val="nil"/>
              <w:left w:val="single" w:sz="4" w:space="0" w:color="auto"/>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273 518</w:t>
            </w:r>
          </w:p>
        </w:tc>
        <w:tc>
          <w:tcPr>
            <w:tcW w:w="964" w:type="dxa"/>
            <w:tcBorders>
              <w:top w:val="nil"/>
              <w:left w:val="nil"/>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273 816</w:t>
            </w:r>
          </w:p>
        </w:tc>
        <w:tc>
          <w:tcPr>
            <w:tcW w:w="964" w:type="dxa"/>
            <w:tcBorders>
              <w:top w:val="nil"/>
              <w:left w:val="nil"/>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274 725</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9D2A34" w:rsidRPr="00AA55E0" w:rsidP="006338E5">
            <w:pPr>
              <w:bidi w:val="0"/>
              <w:rPr>
                <w:rFonts w:ascii="Times New Roman" w:hAnsi="Times New Roman" w:cs="Times New Roman"/>
                <w:color w:val="000000"/>
                <w:sz w:val="14"/>
                <w:szCs w:val="14"/>
              </w:rPr>
            </w:pPr>
            <w:r w:rsidRPr="00AA55E0">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AA55E0">
              <w:rPr>
                <w:rFonts w:ascii="Times New Roman" w:hAnsi="Times New Roman" w:cs="Times New Roman"/>
                <w:color w:val="000000"/>
                <w:sz w:val="14"/>
                <w:szCs w:val="14"/>
              </w:rPr>
              <w:t xml:space="preserve">        630 tovary a služby</w:t>
            </w:r>
          </w:p>
        </w:tc>
        <w:tc>
          <w:tcPr>
            <w:tcW w:w="1001"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1 743 276</w:t>
            </w:r>
          </w:p>
        </w:tc>
        <w:tc>
          <w:tcPr>
            <w:tcW w:w="964"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1 555 510</w:t>
            </w:r>
          </w:p>
        </w:tc>
        <w:tc>
          <w:tcPr>
            <w:tcW w:w="1000"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1 760 120</w:t>
            </w:r>
          </w:p>
        </w:tc>
        <w:tc>
          <w:tcPr>
            <w:tcW w:w="890" w:type="dxa"/>
            <w:tcBorders>
              <w:top w:val="single" w:sz="4" w:space="0" w:color="auto"/>
              <w:left w:val="nil"/>
              <w:bottom w:val="single" w:sz="4" w:space="0" w:color="auto"/>
              <w:right w:val="single" w:sz="4" w:space="0" w:color="auto"/>
            </w:tcBorders>
            <w:textDirection w:val="lrTb"/>
            <w:vAlign w:val="center"/>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10 562 023</w:t>
            </w:r>
          </w:p>
        </w:tc>
        <w:tc>
          <w:tcPr>
            <w:tcW w:w="964" w:type="dxa"/>
            <w:tcBorders>
              <w:top w:val="nil"/>
              <w:left w:val="single" w:sz="4" w:space="0" w:color="auto"/>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1 799 619</w:t>
            </w:r>
          </w:p>
        </w:tc>
        <w:tc>
          <w:tcPr>
            <w:tcW w:w="964" w:type="dxa"/>
            <w:tcBorders>
              <w:top w:val="nil"/>
              <w:left w:val="nil"/>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1 738 357</w:t>
            </w:r>
          </w:p>
        </w:tc>
        <w:tc>
          <w:tcPr>
            <w:tcW w:w="964" w:type="dxa"/>
            <w:tcBorders>
              <w:top w:val="nil"/>
              <w:left w:val="nil"/>
              <w:bottom w:val="single" w:sz="4" w:space="0" w:color="auto"/>
              <w:right w:val="single" w:sz="4" w:space="0" w:color="auto"/>
            </w:tcBorders>
            <w:noWrap/>
            <w:textDirection w:val="lrTb"/>
            <w:vAlign w:val="center"/>
            <w:hideMark/>
          </w:tcPr>
          <w:p w:rsidR="009D2A34" w:rsidRPr="00E517BD" w:rsidP="006338E5">
            <w:pPr>
              <w:bidi w:val="0"/>
              <w:jc w:val="right"/>
              <w:rPr>
                <w:rFonts w:ascii="Times New Roman" w:hAnsi="Times New Roman" w:cs="Times New Roman"/>
                <w:color w:val="000000"/>
                <w:sz w:val="14"/>
                <w:szCs w:val="14"/>
              </w:rPr>
            </w:pPr>
            <w:r w:rsidRPr="00E517BD">
              <w:rPr>
                <w:rFonts w:ascii="Times New Roman" w:hAnsi="Times New Roman" w:cs="Times New Roman"/>
                <w:color w:val="000000"/>
                <w:sz w:val="14"/>
                <w:szCs w:val="14"/>
              </w:rPr>
              <w:t>1 738 358</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9D2A34" w:rsidRPr="00AA55E0" w:rsidP="006338E5">
            <w:pPr>
              <w:bidi w:val="0"/>
              <w:rPr>
                <w:rFonts w:ascii="Times New Roman" w:hAnsi="Times New Roman" w:cs="Times New Roman"/>
                <w:color w:val="000000"/>
                <w:sz w:val="14"/>
                <w:szCs w:val="14"/>
              </w:rPr>
            </w:pPr>
            <w:r w:rsidRPr="00AA55E0">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AA55E0">
              <w:rPr>
                <w:rFonts w:ascii="Times New Roman" w:hAnsi="Times New Roman" w:cs="Times New Roman"/>
                <w:color w:val="000000"/>
                <w:sz w:val="14"/>
                <w:szCs w:val="14"/>
              </w:rPr>
              <w:t xml:space="preserve">        640 bežné transfery</w:t>
            </w:r>
          </w:p>
        </w:tc>
        <w:tc>
          <w:tcPr>
            <w:tcW w:w="1001"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3 969 603</w:t>
            </w:r>
          </w:p>
        </w:tc>
        <w:tc>
          <w:tcPr>
            <w:tcW w:w="964"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3 564 075</w:t>
            </w:r>
          </w:p>
        </w:tc>
        <w:tc>
          <w:tcPr>
            <w:tcW w:w="1000"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3 196 557</w:t>
            </w:r>
          </w:p>
        </w:tc>
        <w:tc>
          <w:tcPr>
            <w:tcW w:w="890" w:type="dxa"/>
            <w:tcBorders>
              <w:top w:val="single" w:sz="4" w:space="0" w:color="auto"/>
              <w:left w:val="nil"/>
              <w:bottom w:val="single" w:sz="4" w:space="0" w:color="auto"/>
              <w:right w:val="single" w:sz="4" w:space="0" w:color="auto"/>
            </w:tcBorders>
            <w:textDirection w:val="lrTb"/>
            <w:vAlign w:val="center"/>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3 210 685</w:t>
            </w:r>
          </w:p>
        </w:tc>
        <w:tc>
          <w:tcPr>
            <w:tcW w:w="964" w:type="dxa"/>
            <w:tcBorders>
              <w:top w:val="nil"/>
              <w:left w:val="single" w:sz="4" w:space="0" w:color="auto"/>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3 039 673</w:t>
            </w:r>
          </w:p>
        </w:tc>
        <w:tc>
          <w:tcPr>
            <w:tcW w:w="964"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3 039 673</w:t>
            </w:r>
          </w:p>
        </w:tc>
        <w:tc>
          <w:tcPr>
            <w:tcW w:w="964"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3 039 673</w:t>
            </w:r>
          </w:p>
        </w:tc>
      </w:tr>
      <w:tr>
        <w:tblPrEx>
          <w:tblW w:w="9015" w:type="dxa"/>
          <w:tblInd w:w="59" w:type="dxa"/>
          <w:tblCellMar>
            <w:left w:w="70" w:type="dxa"/>
            <w:right w:w="70" w:type="dxa"/>
          </w:tblCellMar>
          <w:tblLook w:val="04A0"/>
        </w:tblPrEx>
        <w:trPr>
          <w:trHeight w:val="259"/>
        </w:trPr>
        <w:tc>
          <w:tcPr>
            <w:tcW w:w="2268" w:type="dxa"/>
            <w:tcBorders>
              <w:top w:val="nil"/>
              <w:left w:val="single" w:sz="4" w:space="0" w:color="auto"/>
              <w:bottom w:val="single" w:sz="4" w:space="0" w:color="auto"/>
              <w:right w:val="single" w:sz="4" w:space="0" w:color="auto"/>
            </w:tcBorders>
            <w:noWrap/>
            <w:textDirection w:val="lrTb"/>
            <w:vAlign w:val="center"/>
            <w:hideMark/>
          </w:tcPr>
          <w:p w:rsidR="009D2A34" w:rsidRPr="00AA55E0" w:rsidP="006338E5">
            <w:pPr>
              <w:bidi w:val="0"/>
              <w:rPr>
                <w:rFonts w:ascii="Times New Roman" w:hAnsi="Times New Roman" w:cs="Times New Roman"/>
                <w:color w:val="000000"/>
                <w:sz w:val="14"/>
                <w:szCs w:val="14"/>
              </w:rPr>
            </w:pPr>
            <w:r w:rsidRPr="00AA55E0">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AA55E0">
              <w:rPr>
                <w:rFonts w:ascii="Times New Roman" w:hAnsi="Times New Roman" w:cs="Times New Roman"/>
                <w:color w:val="000000"/>
                <w:sz w:val="14"/>
                <w:szCs w:val="14"/>
              </w:rPr>
              <w:t xml:space="preserve">     kapitál</w:t>
            </w:r>
            <w:r>
              <w:rPr>
                <w:rFonts w:ascii="Times New Roman" w:hAnsi="Times New Roman" w:cs="Times New Roman"/>
                <w:color w:val="000000"/>
                <w:sz w:val="14"/>
                <w:szCs w:val="14"/>
              </w:rPr>
              <w:t>ové</w:t>
            </w:r>
            <w:r w:rsidRPr="00AA55E0">
              <w:rPr>
                <w:rFonts w:ascii="Times New Roman" w:hAnsi="Times New Roman" w:cs="Times New Roman"/>
                <w:color w:val="000000"/>
                <w:sz w:val="14"/>
                <w:szCs w:val="14"/>
              </w:rPr>
              <w:t xml:space="preserve"> výdavky 700</w:t>
            </w:r>
          </w:p>
        </w:tc>
        <w:tc>
          <w:tcPr>
            <w:tcW w:w="1001"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38 591</w:t>
            </w:r>
          </w:p>
        </w:tc>
        <w:tc>
          <w:tcPr>
            <w:tcW w:w="964"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30 043</w:t>
            </w:r>
          </w:p>
        </w:tc>
        <w:tc>
          <w:tcPr>
            <w:tcW w:w="1000"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0</w:t>
            </w:r>
          </w:p>
        </w:tc>
        <w:tc>
          <w:tcPr>
            <w:tcW w:w="890" w:type="dxa"/>
            <w:tcBorders>
              <w:top w:val="single" w:sz="4" w:space="0" w:color="auto"/>
              <w:left w:val="nil"/>
              <w:bottom w:val="single" w:sz="4" w:space="0" w:color="auto"/>
              <w:right w:val="single" w:sz="4" w:space="0" w:color="auto"/>
            </w:tcBorders>
            <w:textDirection w:val="lrTb"/>
            <w:vAlign w:val="center"/>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0</w:t>
            </w:r>
          </w:p>
        </w:tc>
        <w:tc>
          <w:tcPr>
            <w:tcW w:w="964" w:type="dxa"/>
            <w:tcBorders>
              <w:top w:val="nil"/>
              <w:left w:val="single" w:sz="4" w:space="0" w:color="auto"/>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0</w:t>
            </w:r>
          </w:p>
        </w:tc>
        <w:tc>
          <w:tcPr>
            <w:tcW w:w="964"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0</w:t>
            </w:r>
          </w:p>
        </w:tc>
        <w:tc>
          <w:tcPr>
            <w:tcW w:w="964" w:type="dxa"/>
            <w:tcBorders>
              <w:top w:val="nil"/>
              <w:left w:val="nil"/>
              <w:bottom w:val="single" w:sz="4" w:space="0" w:color="auto"/>
              <w:right w:val="single" w:sz="4" w:space="0" w:color="auto"/>
            </w:tcBorders>
            <w:noWrap/>
            <w:textDirection w:val="lrTb"/>
            <w:vAlign w:val="center"/>
            <w:hideMark/>
          </w:tcPr>
          <w:p w:rsidR="009D2A34" w:rsidRPr="005D3045" w:rsidP="006338E5">
            <w:pPr>
              <w:bidi w:val="0"/>
              <w:jc w:val="right"/>
              <w:rPr>
                <w:rFonts w:ascii="Times New Roman" w:hAnsi="Times New Roman" w:cs="Times New Roman"/>
                <w:color w:val="000000"/>
                <w:sz w:val="14"/>
                <w:szCs w:val="14"/>
              </w:rPr>
            </w:pPr>
            <w:r w:rsidRPr="005D3045">
              <w:rPr>
                <w:rFonts w:ascii="Times New Roman" w:hAnsi="Times New Roman" w:cs="Times New Roman"/>
                <w:color w:val="000000"/>
                <w:sz w:val="14"/>
                <w:szCs w:val="14"/>
              </w:rPr>
              <w:t>0</w:t>
            </w:r>
          </w:p>
        </w:tc>
      </w:tr>
    </w:tbl>
    <w:p w:rsidR="009D2A34" w:rsidP="009D2A34">
      <w:pPr>
        <w:bidi w:val="0"/>
        <w:jc w:val="both"/>
        <w:rPr>
          <w:rFonts w:ascii="Arial Narrow" w:hAnsi="Arial Narrow"/>
          <w:sz w:val="22"/>
          <w:szCs w:val="22"/>
        </w:rPr>
      </w:pPr>
    </w:p>
    <w:p w:rsidR="009D2A34" w:rsidRPr="000C0ABF" w:rsidP="009D2A34">
      <w:pPr>
        <w:bidi w:val="0"/>
        <w:ind w:firstLine="708"/>
        <w:jc w:val="both"/>
        <w:rPr>
          <w:rFonts w:ascii="Times New Roman" w:hAnsi="Times New Roman" w:cs="Times New Roman"/>
        </w:rPr>
      </w:pPr>
      <w:r w:rsidRPr="000C0ABF">
        <w:rPr>
          <w:rFonts w:ascii="Times New Roman" w:hAnsi="Times New Roman" w:cs="Times New Roman"/>
        </w:rPr>
        <w:t>V návrhu rozpočtu kapitoly Ú</w:t>
      </w:r>
      <w:r>
        <w:rPr>
          <w:rFonts w:ascii="Times New Roman" w:hAnsi="Times New Roman" w:cs="Times New Roman"/>
        </w:rPr>
        <w:t>radu pre normalizáciu, metrológiu a skúšobníctvo</w:t>
      </w:r>
      <w:r w:rsidRPr="000C0ABF">
        <w:rPr>
          <w:rFonts w:ascii="Times New Roman" w:hAnsi="Times New Roman" w:cs="Times New Roman"/>
        </w:rPr>
        <w:t xml:space="preserve"> SR </w:t>
      </w:r>
      <w:r>
        <w:rPr>
          <w:rFonts w:ascii="Times New Roman" w:hAnsi="Times New Roman" w:cs="Times New Roman"/>
        </w:rPr>
        <w:t xml:space="preserve">(ďalej len „ÚNMS SR“) </w:t>
      </w:r>
      <w:r w:rsidRPr="000C0ABF">
        <w:rPr>
          <w:rFonts w:ascii="Times New Roman" w:hAnsi="Times New Roman" w:cs="Times New Roman"/>
        </w:rPr>
        <w:t xml:space="preserve">na rok 2013 sú </w:t>
      </w:r>
      <w:r>
        <w:rPr>
          <w:rFonts w:ascii="Times New Roman" w:hAnsi="Times New Roman" w:cs="Times New Roman"/>
        </w:rPr>
        <w:t>rozpočtované výdavky v sume 5,91</w:t>
      </w:r>
      <w:r w:rsidRPr="000C0ABF">
        <w:rPr>
          <w:rFonts w:ascii="Times New Roman" w:hAnsi="Times New Roman" w:cs="Times New Roman"/>
        </w:rPr>
        <w:t xml:space="preserve"> mil. eur nižšie oproti schválenému rozpočtu na rok 2012 o </w:t>
      </w:r>
      <w:r>
        <w:rPr>
          <w:rFonts w:ascii="Times New Roman" w:hAnsi="Times New Roman" w:cs="Times New Roman"/>
        </w:rPr>
        <w:t>120 tis. eur, t. j. o 1,99</w:t>
      </w:r>
      <w:r w:rsidRPr="000C0ABF">
        <w:rPr>
          <w:rFonts w:ascii="Times New Roman" w:hAnsi="Times New Roman" w:cs="Times New Roman"/>
        </w:rPr>
        <w:t xml:space="preserve"> %.</w:t>
      </w:r>
    </w:p>
    <w:p w:rsidR="009D2A34" w:rsidRPr="000C0ABF" w:rsidP="009D2A34">
      <w:pPr>
        <w:bidi w:val="0"/>
        <w:jc w:val="both"/>
        <w:rPr>
          <w:rFonts w:ascii="Times New Roman" w:hAnsi="Times New Roman" w:cs="Times New Roman"/>
          <w:b/>
        </w:rPr>
      </w:pPr>
    </w:p>
    <w:p w:rsidR="009D2A34" w:rsidRPr="000C0ABF" w:rsidP="009D2A34">
      <w:pPr>
        <w:bidi w:val="0"/>
        <w:ind w:firstLine="708"/>
        <w:jc w:val="both"/>
        <w:rPr>
          <w:rFonts w:ascii="Times New Roman" w:hAnsi="Times New Roman" w:cs="Times New Roman"/>
        </w:rPr>
      </w:pPr>
      <w:r w:rsidRPr="000C0ABF">
        <w:rPr>
          <w:rFonts w:ascii="Times New Roman" w:hAnsi="Times New Roman" w:cs="Times New Roman"/>
        </w:rPr>
        <w:t>Osobné výdavky rozpočtované v návrhu rozpočtu na rok 2013</w:t>
      </w:r>
      <w:r>
        <w:rPr>
          <w:rFonts w:ascii="Times New Roman" w:hAnsi="Times New Roman" w:cs="Times New Roman"/>
        </w:rPr>
        <w:t xml:space="preserve"> v sume 1,07</w:t>
      </w:r>
      <w:r w:rsidRPr="000C0ABF">
        <w:rPr>
          <w:rFonts w:ascii="Times New Roman" w:hAnsi="Times New Roman" w:cs="Times New Roman"/>
        </w:rPr>
        <w:t xml:space="preserve"> mil. eur klesajú oproti schválenému rozpočtu na rok 2012 o</w:t>
      </w:r>
      <w:r>
        <w:rPr>
          <w:rFonts w:ascii="Times New Roman" w:hAnsi="Times New Roman" w:cs="Times New Roman"/>
        </w:rPr>
        <w:t> 2,64 tis. eur, t. j. o 0,25</w:t>
      </w:r>
      <w:r w:rsidRPr="000C0ABF">
        <w:rPr>
          <w:rFonts w:ascii="Times New Roman" w:hAnsi="Times New Roman" w:cs="Times New Roman"/>
        </w:rPr>
        <w:t xml:space="preserve"> %</w:t>
      </w:r>
      <w:r>
        <w:rPr>
          <w:rFonts w:ascii="Times New Roman" w:hAnsi="Times New Roman" w:cs="Times New Roman"/>
        </w:rPr>
        <w:t>.</w:t>
      </w:r>
      <w:r w:rsidRPr="000C0ABF">
        <w:rPr>
          <w:rFonts w:ascii="Times New Roman" w:hAnsi="Times New Roman" w:cs="Times New Roman"/>
        </w:rPr>
        <w:t xml:space="preserve"> </w:t>
      </w:r>
      <w:r>
        <w:rPr>
          <w:rFonts w:ascii="Times New Roman" w:hAnsi="Times New Roman" w:cs="Times New Roman"/>
        </w:rPr>
        <w:t>V návrhu rozpočtu na rok 2013 sú rozpočtované mzdové prostriedky na zvýšenie zamestnancov o 3 inšpektorov Slovenského metrologického inšpektorátu.</w:t>
      </w:r>
    </w:p>
    <w:p w:rsidR="009D2A34" w:rsidRPr="000C0ABF" w:rsidP="009D2A34">
      <w:pPr>
        <w:bidi w:val="0"/>
        <w:jc w:val="both"/>
        <w:rPr>
          <w:rFonts w:ascii="Times New Roman" w:hAnsi="Times New Roman" w:cs="Times New Roman"/>
        </w:rPr>
      </w:pPr>
    </w:p>
    <w:p w:rsidR="009D2A34" w:rsidRPr="000C0ABF" w:rsidP="009D2A34">
      <w:pPr>
        <w:bidi w:val="0"/>
        <w:ind w:firstLine="708"/>
        <w:jc w:val="both"/>
        <w:rPr>
          <w:rFonts w:ascii="Times New Roman" w:hAnsi="Times New Roman" w:cs="Times New Roman"/>
        </w:rPr>
      </w:pPr>
      <w:r w:rsidRPr="000C0ABF">
        <w:rPr>
          <w:rFonts w:ascii="Times New Roman" w:hAnsi="Times New Roman" w:cs="Times New Roman"/>
        </w:rPr>
        <w:t>Výdavky na tovary a služby sú v návrhu rozpočtu n</w:t>
      </w:r>
      <w:r>
        <w:rPr>
          <w:rFonts w:ascii="Times New Roman" w:hAnsi="Times New Roman" w:cs="Times New Roman"/>
        </w:rPr>
        <w:t xml:space="preserve">a rok 2013 navrhované v sume 1,80 </w:t>
      </w:r>
      <w:r w:rsidRPr="000C0ABF">
        <w:rPr>
          <w:rFonts w:ascii="Times New Roman" w:hAnsi="Times New Roman" w:cs="Times New Roman"/>
        </w:rPr>
        <w:t xml:space="preserve"> mil. eur a oproti schválen</w:t>
      </w:r>
      <w:r>
        <w:rPr>
          <w:rFonts w:ascii="Times New Roman" w:hAnsi="Times New Roman" w:cs="Times New Roman"/>
        </w:rPr>
        <w:t xml:space="preserve">ému rozpočtu na rok 2012  rastú </w:t>
      </w:r>
      <w:r w:rsidRPr="000C0ABF">
        <w:rPr>
          <w:rFonts w:ascii="Times New Roman" w:hAnsi="Times New Roman" w:cs="Times New Roman"/>
        </w:rPr>
        <w:t xml:space="preserve"> o</w:t>
      </w:r>
      <w:r>
        <w:rPr>
          <w:rFonts w:ascii="Times New Roman" w:hAnsi="Times New Roman" w:cs="Times New Roman"/>
        </w:rPr>
        <w:t> 39,5 tis. eur, t. j. o 2</w:t>
      </w:r>
      <w:r w:rsidRPr="000C0ABF">
        <w:rPr>
          <w:rFonts w:ascii="Times New Roman" w:hAnsi="Times New Roman" w:cs="Times New Roman"/>
        </w:rPr>
        <w:t>,24 %.</w:t>
      </w:r>
      <w:r>
        <w:rPr>
          <w:rFonts w:ascii="Times New Roman" w:hAnsi="Times New Roman" w:cs="Times New Roman"/>
        </w:rPr>
        <w:t xml:space="preserve"> Uvedený vývoj ovplyvnilo rozpočtovanie výdavkov v sume 181 tis. eur na Cyklotrónové centrum SR v zmysle materiálu schváleného uznesením vlády č. 47 z 8. februára 2012 k návrhu dohody o uzatvorení zmieru v rámci prebiehajúceho arbitrážneho sporu ohľadom projektu Cyklotrónového centra SR a viazanie výdavkov v návrhu rozpočtu.</w:t>
      </w:r>
    </w:p>
    <w:p w:rsidR="009D2A34" w:rsidRPr="000C0ABF" w:rsidP="009D2A34">
      <w:pPr>
        <w:bidi w:val="0"/>
        <w:jc w:val="both"/>
        <w:rPr>
          <w:rFonts w:ascii="Times New Roman" w:hAnsi="Times New Roman" w:cs="Times New Roman"/>
        </w:rPr>
      </w:pPr>
    </w:p>
    <w:p w:rsidR="009D2A34" w:rsidRPr="00C03E61" w:rsidP="009D2A34">
      <w:pPr>
        <w:bidi w:val="0"/>
        <w:ind w:firstLine="708"/>
        <w:jc w:val="both"/>
        <w:rPr>
          <w:rFonts w:ascii="Times New Roman" w:hAnsi="Times New Roman" w:cs="Times New Roman"/>
        </w:rPr>
      </w:pPr>
      <w:r w:rsidRPr="000C0ABF">
        <w:rPr>
          <w:rFonts w:ascii="Times New Roman" w:hAnsi="Times New Roman" w:cs="Times New Roman"/>
        </w:rPr>
        <w:t>Výdavky na bežné transfery v návrhu rozpočtu na rok 2013 v sume 3,04 mil. eur oproti schválenému rozpočtu na rok 2012 klesajú o 157 tis. eur</w:t>
      </w:r>
      <w:r>
        <w:rPr>
          <w:rFonts w:ascii="Times New Roman" w:hAnsi="Times New Roman" w:cs="Times New Roman"/>
        </w:rPr>
        <w:t>,</w:t>
      </w:r>
      <w:r w:rsidRPr="000C0ABF">
        <w:rPr>
          <w:rFonts w:ascii="Times New Roman" w:hAnsi="Times New Roman" w:cs="Times New Roman"/>
        </w:rPr>
        <w:t xml:space="preserve"> t. j. o 4,91 %, z toho transfery príspevkovým organizáciám medziročne klesajú o 165 tis. eur</w:t>
      </w:r>
      <w:r>
        <w:rPr>
          <w:rFonts w:ascii="Times New Roman" w:hAnsi="Times New Roman" w:cs="Times New Roman"/>
        </w:rPr>
        <w:t>. Dôvodom poklesu transferov príspevkovým organizáciám je najmä prijatie</w:t>
      </w:r>
      <w:r w:rsidRPr="000C0ABF">
        <w:rPr>
          <w:rFonts w:ascii="Times New Roman" w:hAnsi="Times New Roman" w:cs="Times New Roman"/>
        </w:rPr>
        <w:t xml:space="preserve"> úsporných opatrení a reali</w:t>
      </w:r>
      <w:r>
        <w:rPr>
          <w:rFonts w:ascii="Times New Roman" w:hAnsi="Times New Roman" w:cs="Times New Roman"/>
        </w:rPr>
        <w:t>zácia systémových zmien v týchto</w:t>
      </w:r>
      <w:r w:rsidRPr="000C0ABF">
        <w:rPr>
          <w:rFonts w:ascii="Times New Roman" w:hAnsi="Times New Roman" w:cs="Times New Roman"/>
        </w:rPr>
        <w:t xml:space="preserve"> organizáciách.</w:t>
      </w:r>
    </w:p>
    <w:p w:rsidR="009D2A34" w:rsidRPr="00C03E61" w:rsidP="009D2A34">
      <w:pPr>
        <w:bidi w:val="0"/>
        <w:jc w:val="both"/>
        <w:rPr>
          <w:rFonts w:ascii="Times New Roman" w:hAnsi="Times New Roman" w:cs="Times New Roman"/>
        </w:rPr>
      </w:pPr>
    </w:p>
    <w:p w:rsidR="009D2A34" w:rsidRPr="00C03E61" w:rsidP="009D2A34">
      <w:pPr>
        <w:bidi w:val="0"/>
        <w:ind w:firstLine="708"/>
        <w:jc w:val="both"/>
        <w:rPr>
          <w:rFonts w:ascii="Times New Roman" w:hAnsi="Times New Roman" w:cs="Times New Roman"/>
        </w:rPr>
      </w:pPr>
      <w:r w:rsidRPr="00C03E61">
        <w:rPr>
          <w:rFonts w:ascii="Times New Roman" w:hAnsi="Times New Roman" w:cs="Times New Roman"/>
        </w:rPr>
        <w:t>Kapitola nerozpočtuje kapitálové výdavky.</w:t>
      </w:r>
    </w:p>
    <w:p w:rsidR="009D2A34" w:rsidP="009D2A34">
      <w:pPr>
        <w:bidi w:val="0"/>
        <w:ind w:firstLine="708"/>
        <w:jc w:val="both"/>
        <w:rPr>
          <w:rFonts w:ascii="Times New Roman" w:hAnsi="Times New Roman"/>
        </w:rPr>
      </w:pPr>
    </w:p>
    <w:p w:rsidR="003E7CD4" w:rsidP="009D2A34">
      <w:pPr>
        <w:bidi w:val="0"/>
        <w:ind w:firstLine="708"/>
        <w:jc w:val="both"/>
        <w:rPr>
          <w:rFonts w:ascii="Times New Roman" w:hAnsi="Times New Roman"/>
        </w:rPr>
      </w:pPr>
    </w:p>
    <w:p w:rsidR="003E7CD4" w:rsidP="009D2A34">
      <w:pPr>
        <w:bidi w:val="0"/>
        <w:ind w:firstLine="708"/>
        <w:jc w:val="both"/>
        <w:rPr>
          <w:rFonts w:ascii="Times New Roman" w:hAnsi="Times New Roman"/>
        </w:rPr>
      </w:pPr>
    </w:p>
    <w:p w:rsidR="003E7CD4" w:rsidP="009D2A34">
      <w:pPr>
        <w:bidi w:val="0"/>
        <w:ind w:firstLine="708"/>
        <w:jc w:val="both"/>
        <w:rPr>
          <w:rFonts w:ascii="Times New Roman" w:hAnsi="Times New Roman"/>
        </w:rPr>
      </w:pPr>
    </w:p>
    <w:p w:rsidR="003E7CD4" w:rsidP="009D2A34">
      <w:pPr>
        <w:bidi w:val="0"/>
        <w:ind w:firstLine="708"/>
        <w:jc w:val="both"/>
        <w:rPr>
          <w:rFonts w:ascii="Times New Roman" w:hAnsi="Times New Roman"/>
        </w:rPr>
      </w:pPr>
    </w:p>
    <w:p w:rsidR="003E7CD4" w:rsidP="009D2A34">
      <w:pPr>
        <w:bidi w:val="0"/>
        <w:ind w:firstLine="708"/>
        <w:jc w:val="both"/>
        <w:rPr>
          <w:rFonts w:ascii="Times New Roman" w:hAnsi="Times New Roman"/>
        </w:rPr>
      </w:pPr>
    </w:p>
    <w:p w:rsidR="003E7CD4" w:rsidP="009D2A34">
      <w:pPr>
        <w:bidi w:val="0"/>
        <w:ind w:firstLine="708"/>
        <w:jc w:val="both"/>
        <w:rPr>
          <w:rFonts w:ascii="Times New Roman" w:hAnsi="Times New Roman"/>
        </w:rPr>
      </w:pPr>
    </w:p>
    <w:p w:rsidR="003E7CD4" w:rsidP="009D2A34">
      <w:pPr>
        <w:bidi w:val="0"/>
        <w:ind w:firstLine="708"/>
        <w:jc w:val="both"/>
        <w:rPr>
          <w:rFonts w:ascii="Times New Roman" w:hAnsi="Times New Roman"/>
        </w:rPr>
      </w:pPr>
    </w:p>
    <w:p w:rsidR="009D2A34" w:rsidRPr="00AA55E0" w:rsidP="009D2A34">
      <w:pPr>
        <w:bidi w:val="0"/>
        <w:ind w:firstLine="708"/>
        <w:jc w:val="both"/>
        <w:rPr>
          <w:rFonts w:ascii="Times New Roman" w:hAnsi="Times New Roman"/>
        </w:rPr>
      </w:pPr>
      <w:r w:rsidRPr="00AA55E0">
        <w:rPr>
          <w:rFonts w:ascii="Times New Roman" w:hAnsi="Times New Roman"/>
        </w:rPr>
        <w:t>Zdroje kapit</w:t>
      </w:r>
      <w:r>
        <w:rPr>
          <w:rFonts w:ascii="Times New Roman" w:hAnsi="Times New Roman"/>
        </w:rPr>
        <w:t>oly sú smerované na</w:t>
      </w:r>
      <w:r w:rsidRPr="00AA55E0">
        <w:rPr>
          <w:rFonts w:ascii="Times New Roman" w:hAnsi="Times New Roman"/>
        </w:rPr>
        <w:t xml:space="preserve"> úloh</w:t>
      </w:r>
      <w:r>
        <w:rPr>
          <w:rFonts w:ascii="Times New Roman" w:hAnsi="Times New Roman"/>
        </w:rPr>
        <w:t>y</w:t>
      </w:r>
      <w:r w:rsidRPr="00AA55E0">
        <w:rPr>
          <w:rFonts w:ascii="Times New Roman" w:hAnsi="Times New Roman"/>
        </w:rPr>
        <w:t xml:space="preserve"> ústredného orgánu, rozpočtovej organizácie a prísp</w:t>
      </w:r>
      <w:r w:rsidR="00141719">
        <w:rPr>
          <w:rFonts w:ascii="Times New Roman" w:hAnsi="Times New Roman"/>
        </w:rPr>
        <w:t>evkových organizácií nasledovne:</w:t>
      </w:r>
    </w:p>
    <w:p w:rsidR="009D2A34" w:rsidRPr="00CD37C6" w:rsidP="009D2A34">
      <w:pPr>
        <w:bidi w:val="0"/>
        <w:jc w:val="both"/>
        <w:rPr>
          <w:rFonts w:ascii="Times New Roman" w:hAnsi="Times New Roman"/>
          <w:highlight w:val="yellow"/>
        </w:rPr>
      </w:pPr>
    </w:p>
    <w:tbl>
      <w:tblPr>
        <w:tblStyle w:val="TableNormal"/>
        <w:tblW w:w="915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28"/>
        <w:gridCol w:w="859"/>
        <w:gridCol w:w="860"/>
        <w:gridCol w:w="861"/>
        <w:gridCol w:w="860"/>
        <w:gridCol w:w="861"/>
        <w:gridCol w:w="860"/>
        <w:gridCol w:w="861"/>
      </w:tblGrid>
      <w:tr>
        <w:tblPrEx>
          <w:tblW w:w="915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82"/>
        </w:trPr>
        <w:tc>
          <w:tcPr>
            <w:tcW w:w="3128" w:type="dxa"/>
            <w:tcBorders>
              <w:top w:val="single" w:sz="4" w:space="0" w:color="auto"/>
              <w:left w:val="single" w:sz="4" w:space="0" w:color="auto"/>
              <w:bottom w:val="single" w:sz="4" w:space="0" w:color="auto"/>
              <w:right w:val="single" w:sz="4" w:space="0" w:color="auto"/>
            </w:tcBorders>
            <w:shd w:val="clear" w:color="auto" w:fill="A6A6A6"/>
            <w:noWrap/>
            <w:tcMar>
              <w:top w:w="0" w:type="dxa"/>
              <w:left w:w="70" w:type="dxa"/>
              <w:bottom w:w="0" w:type="dxa"/>
              <w:right w:w="70" w:type="dxa"/>
            </w:tcMar>
            <w:textDirection w:val="lrTb"/>
            <w:vAlign w:val="center"/>
            <w:hideMark/>
          </w:tcPr>
          <w:p w:rsidR="009D2A34" w:rsidP="006338E5">
            <w:pPr>
              <w:bidi w:val="0"/>
              <w:spacing w:line="276" w:lineRule="auto"/>
              <w:rPr>
                <w:rFonts w:ascii="Times New Roman" w:hAnsi="Times New Roman"/>
                <w:b/>
                <w:bCs/>
                <w:color w:val="000000"/>
                <w:sz w:val="14"/>
                <w:szCs w:val="14"/>
              </w:rPr>
            </w:pPr>
            <w:r>
              <w:rPr>
                <w:rFonts w:ascii="Times New Roman" w:hAnsi="Times New Roman"/>
                <w:b/>
                <w:bCs/>
                <w:color w:val="000000"/>
                <w:sz w:val="14"/>
                <w:szCs w:val="14"/>
              </w:rPr>
              <w:t>v eurách</w:t>
            </w:r>
          </w:p>
        </w:tc>
        <w:tc>
          <w:tcPr>
            <w:tcW w:w="859" w:type="dxa"/>
            <w:tcBorders>
              <w:top w:val="single" w:sz="4" w:space="0" w:color="auto"/>
              <w:left w:val="single" w:sz="4" w:space="0" w:color="auto"/>
              <w:bottom w:val="single" w:sz="4" w:space="0" w:color="auto"/>
              <w:right w:val="single" w:sz="4" w:space="0" w:color="auto"/>
            </w:tcBorders>
            <w:shd w:val="clear" w:color="auto" w:fill="A6A6A6"/>
            <w:noWrap/>
            <w:tcMar>
              <w:top w:w="0" w:type="dxa"/>
              <w:left w:w="70" w:type="dxa"/>
              <w:bottom w:w="0" w:type="dxa"/>
              <w:right w:w="70" w:type="dxa"/>
            </w:tcMar>
            <w:textDirection w:val="lrTb"/>
            <w:vAlign w:val="center"/>
            <w:hideMark/>
          </w:tcPr>
          <w:p w:rsidR="009D2A34" w:rsidP="006338E5">
            <w:pPr>
              <w:bidi w:val="0"/>
              <w:spacing w:line="276" w:lineRule="auto"/>
              <w:jc w:val="center"/>
              <w:rPr>
                <w:rFonts w:ascii="Times New Roman" w:hAnsi="Times New Roman"/>
                <w:b/>
                <w:bCs/>
                <w:color w:val="000000"/>
                <w:sz w:val="14"/>
                <w:szCs w:val="14"/>
              </w:rPr>
            </w:pPr>
            <w:r>
              <w:rPr>
                <w:rFonts w:ascii="Times New Roman" w:hAnsi="Times New Roman"/>
                <w:b/>
                <w:bCs/>
                <w:color w:val="000000"/>
                <w:sz w:val="14"/>
                <w:szCs w:val="14"/>
              </w:rPr>
              <w:t>2010 S</w:t>
            </w:r>
          </w:p>
        </w:tc>
        <w:tc>
          <w:tcPr>
            <w:tcW w:w="860" w:type="dxa"/>
            <w:tcBorders>
              <w:top w:val="single" w:sz="4" w:space="0" w:color="auto"/>
              <w:left w:val="single" w:sz="4" w:space="0" w:color="auto"/>
              <w:bottom w:val="single" w:sz="4" w:space="0" w:color="auto"/>
              <w:right w:val="single" w:sz="4" w:space="0" w:color="auto"/>
            </w:tcBorders>
            <w:shd w:val="clear" w:color="auto" w:fill="A6A6A6"/>
            <w:noWrap/>
            <w:tcMar>
              <w:top w:w="0" w:type="dxa"/>
              <w:left w:w="70" w:type="dxa"/>
              <w:bottom w:w="0" w:type="dxa"/>
              <w:right w:w="70" w:type="dxa"/>
            </w:tcMar>
            <w:textDirection w:val="lrTb"/>
            <w:vAlign w:val="center"/>
            <w:hideMark/>
          </w:tcPr>
          <w:p w:rsidR="009D2A34" w:rsidP="006338E5">
            <w:pPr>
              <w:bidi w:val="0"/>
              <w:spacing w:line="276" w:lineRule="auto"/>
              <w:jc w:val="center"/>
              <w:rPr>
                <w:rFonts w:ascii="Times New Roman" w:hAnsi="Times New Roman"/>
                <w:b/>
                <w:bCs/>
                <w:color w:val="000000"/>
                <w:sz w:val="14"/>
                <w:szCs w:val="14"/>
              </w:rPr>
            </w:pPr>
            <w:r>
              <w:rPr>
                <w:rFonts w:ascii="Times New Roman" w:hAnsi="Times New Roman"/>
                <w:b/>
                <w:bCs/>
                <w:color w:val="000000"/>
                <w:sz w:val="14"/>
                <w:szCs w:val="14"/>
              </w:rPr>
              <w:t>2011 S</w:t>
            </w:r>
          </w:p>
        </w:tc>
        <w:tc>
          <w:tcPr>
            <w:tcW w:w="861" w:type="dxa"/>
            <w:tcBorders>
              <w:top w:val="single" w:sz="4" w:space="0" w:color="auto"/>
              <w:left w:val="single" w:sz="4" w:space="0" w:color="auto"/>
              <w:bottom w:val="single" w:sz="4" w:space="0" w:color="auto"/>
              <w:right w:val="single" w:sz="4" w:space="0" w:color="auto"/>
            </w:tcBorders>
            <w:shd w:val="clear" w:color="auto" w:fill="A6A6A6"/>
            <w:noWrap/>
            <w:tcMar>
              <w:top w:w="0" w:type="dxa"/>
              <w:left w:w="70" w:type="dxa"/>
              <w:bottom w:w="0" w:type="dxa"/>
              <w:right w:w="70" w:type="dxa"/>
            </w:tcMar>
            <w:textDirection w:val="lrTb"/>
            <w:vAlign w:val="center"/>
            <w:hideMark/>
          </w:tcPr>
          <w:p w:rsidR="009D2A34" w:rsidP="006338E5">
            <w:pPr>
              <w:bidi w:val="0"/>
              <w:spacing w:line="276" w:lineRule="auto"/>
              <w:jc w:val="center"/>
              <w:rPr>
                <w:rFonts w:ascii="Times New Roman" w:hAnsi="Times New Roman"/>
                <w:b/>
                <w:bCs/>
                <w:color w:val="000000"/>
                <w:sz w:val="14"/>
                <w:szCs w:val="14"/>
              </w:rPr>
            </w:pPr>
            <w:r>
              <w:rPr>
                <w:rFonts w:ascii="Times New Roman" w:hAnsi="Times New Roman"/>
                <w:b/>
                <w:bCs/>
                <w:color w:val="000000"/>
                <w:sz w:val="14"/>
                <w:szCs w:val="14"/>
              </w:rPr>
              <w:t>2012 R</w:t>
            </w:r>
          </w:p>
        </w:tc>
        <w:tc>
          <w:tcPr>
            <w:tcW w:w="860" w:type="dxa"/>
            <w:tcBorders>
              <w:top w:val="single" w:sz="4" w:space="0" w:color="auto"/>
              <w:left w:val="single" w:sz="4" w:space="0" w:color="auto"/>
              <w:bottom w:val="single" w:sz="4" w:space="0" w:color="auto"/>
              <w:right w:val="single" w:sz="4" w:space="0" w:color="auto"/>
            </w:tcBorders>
            <w:shd w:val="clear" w:color="auto" w:fill="A6A6A6"/>
            <w:noWrap/>
            <w:tcMar>
              <w:top w:w="0" w:type="dxa"/>
              <w:left w:w="70" w:type="dxa"/>
              <w:bottom w:w="0" w:type="dxa"/>
              <w:right w:w="70" w:type="dxa"/>
            </w:tcMar>
            <w:textDirection w:val="lrTb"/>
            <w:vAlign w:val="center"/>
            <w:hideMark/>
          </w:tcPr>
          <w:p w:rsidR="009D2A34" w:rsidP="006338E5">
            <w:pPr>
              <w:bidi w:val="0"/>
              <w:spacing w:line="276" w:lineRule="auto"/>
              <w:jc w:val="center"/>
              <w:rPr>
                <w:rFonts w:ascii="Times New Roman" w:hAnsi="Times New Roman"/>
                <w:b/>
                <w:bCs/>
                <w:color w:val="000000"/>
                <w:sz w:val="14"/>
                <w:szCs w:val="14"/>
              </w:rPr>
            </w:pPr>
            <w:r>
              <w:rPr>
                <w:rFonts w:ascii="Times New Roman" w:hAnsi="Times New Roman"/>
                <w:b/>
                <w:bCs/>
                <w:color w:val="000000"/>
                <w:sz w:val="14"/>
                <w:szCs w:val="14"/>
              </w:rPr>
              <w:t>2012 OS</w:t>
            </w:r>
          </w:p>
        </w:tc>
        <w:tc>
          <w:tcPr>
            <w:tcW w:w="861" w:type="dxa"/>
            <w:tcBorders>
              <w:top w:val="single" w:sz="4" w:space="0" w:color="auto"/>
              <w:left w:val="single" w:sz="4" w:space="0" w:color="auto"/>
              <w:bottom w:val="single" w:sz="4" w:space="0" w:color="auto"/>
              <w:right w:val="single" w:sz="4" w:space="0" w:color="auto"/>
            </w:tcBorders>
            <w:shd w:val="clear" w:color="auto" w:fill="A6A6A6"/>
            <w:noWrap/>
            <w:tcMar>
              <w:top w:w="0" w:type="dxa"/>
              <w:left w:w="70" w:type="dxa"/>
              <w:bottom w:w="0" w:type="dxa"/>
              <w:right w:w="70" w:type="dxa"/>
            </w:tcMar>
            <w:textDirection w:val="lrTb"/>
            <w:vAlign w:val="center"/>
            <w:hideMark/>
          </w:tcPr>
          <w:p w:rsidR="009D2A34" w:rsidP="006338E5">
            <w:pPr>
              <w:bidi w:val="0"/>
              <w:spacing w:line="276" w:lineRule="auto"/>
              <w:jc w:val="center"/>
              <w:rPr>
                <w:rFonts w:ascii="Times New Roman" w:hAnsi="Times New Roman"/>
                <w:b/>
                <w:bCs/>
                <w:color w:val="000000"/>
                <w:sz w:val="14"/>
                <w:szCs w:val="14"/>
              </w:rPr>
            </w:pPr>
            <w:r>
              <w:rPr>
                <w:rFonts w:ascii="Times New Roman" w:hAnsi="Times New Roman"/>
                <w:b/>
                <w:bCs/>
                <w:color w:val="000000"/>
                <w:sz w:val="14"/>
                <w:szCs w:val="14"/>
              </w:rPr>
              <w:t>2013 N</w:t>
            </w:r>
          </w:p>
        </w:tc>
        <w:tc>
          <w:tcPr>
            <w:tcW w:w="860" w:type="dxa"/>
            <w:tcBorders>
              <w:top w:val="single" w:sz="4" w:space="0" w:color="auto"/>
              <w:left w:val="single" w:sz="4" w:space="0" w:color="auto"/>
              <w:bottom w:val="single" w:sz="4" w:space="0" w:color="auto"/>
              <w:right w:val="single" w:sz="4" w:space="0" w:color="auto"/>
            </w:tcBorders>
            <w:shd w:val="clear" w:color="auto" w:fill="A6A6A6"/>
            <w:noWrap/>
            <w:tcMar>
              <w:top w:w="0" w:type="dxa"/>
              <w:left w:w="70" w:type="dxa"/>
              <w:bottom w:w="0" w:type="dxa"/>
              <w:right w:w="70" w:type="dxa"/>
            </w:tcMar>
            <w:textDirection w:val="lrTb"/>
            <w:vAlign w:val="center"/>
            <w:hideMark/>
          </w:tcPr>
          <w:p w:rsidR="009D2A34" w:rsidP="006338E5">
            <w:pPr>
              <w:bidi w:val="0"/>
              <w:spacing w:line="276" w:lineRule="auto"/>
              <w:jc w:val="center"/>
              <w:rPr>
                <w:rFonts w:ascii="Times New Roman" w:hAnsi="Times New Roman"/>
                <w:b/>
                <w:bCs/>
                <w:color w:val="000000"/>
                <w:sz w:val="14"/>
                <w:szCs w:val="14"/>
              </w:rPr>
            </w:pPr>
            <w:r>
              <w:rPr>
                <w:rFonts w:ascii="Times New Roman" w:hAnsi="Times New Roman"/>
                <w:b/>
                <w:bCs/>
                <w:color w:val="000000"/>
                <w:sz w:val="14"/>
                <w:szCs w:val="14"/>
              </w:rPr>
              <w:t>2014 N</w:t>
            </w:r>
          </w:p>
        </w:tc>
        <w:tc>
          <w:tcPr>
            <w:tcW w:w="861" w:type="dxa"/>
            <w:tcBorders>
              <w:top w:val="single" w:sz="4" w:space="0" w:color="auto"/>
              <w:left w:val="single" w:sz="4" w:space="0" w:color="auto"/>
              <w:bottom w:val="single" w:sz="4" w:space="0" w:color="auto"/>
              <w:right w:val="single" w:sz="4" w:space="0" w:color="auto"/>
            </w:tcBorders>
            <w:shd w:val="clear" w:color="auto" w:fill="A6A6A6"/>
            <w:noWrap/>
            <w:tcMar>
              <w:top w:w="0" w:type="dxa"/>
              <w:left w:w="70" w:type="dxa"/>
              <w:bottom w:w="0" w:type="dxa"/>
              <w:right w:w="70" w:type="dxa"/>
            </w:tcMar>
            <w:textDirection w:val="lrTb"/>
            <w:vAlign w:val="center"/>
            <w:hideMark/>
          </w:tcPr>
          <w:p w:rsidR="009D2A34" w:rsidP="006338E5">
            <w:pPr>
              <w:bidi w:val="0"/>
              <w:spacing w:line="276" w:lineRule="auto"/>
              <w:jc w:val="center"/>
              <w:rPr>
                <w:rFonts w:ascii="Times New Roman" w:hAnsi="Times New Roman"/>
                <w:b/>
                <w:bCs/>
                <w:color w:val="000000"/>
                <w:sz w:val="14"/>
                <w:szCs w:val="14"/>
              </w:rPr>
            </w:pPr>
            <w:r>
              <w:rPr>
                <w:rFonts w:ascii="Times New Roman" w:hAnsi="Times New Roman"/>
                <w:b/>
                <w:bCs/>
                <w:color w:val="000000"/>
                <w:sz w:val="14"/>
                <w:szCs w:val="14"/>
              </w:rPr>
              <w:t>2015 N</w:t>
            </w:r>
          </w:p>
        </w:tc>
      </w:tr>
      <w:tr>
        <w:tblPrEx>
          <w:tblW w:w="9150" w:type="dxa"/>
          <w:tblInd w:w="59" w:type="dxa"/>
          <w:tblCellMar>
            <w:left w:w="0" w:type="dxa"/>
            <w:right w:w="0" w:type="dxa"/>
          </w:tblCellMar>
          <w:tblLook w:val="04A0"/>
        </w:tblPrEx>
        <w:trPr>
          <w:trHeight w:val="282"/>
        </w:trPr>
        <w:tc>
          <w:tcPr>
            <w:tcW w:w="3128" w:type="dxa"/>
            <w:tcBorders>
              <w:top w:val="single" w:sz="4" w:space="0" w:color="auto"/>
              <w:left w:val="single" w:sz="4" w:space="0" w:color="auto"/>
              <w:bottom w:val="single" w:sz="4" w:space="0" w:color="auto"/>
              <w:right w:val="single" w:sz="4" w:space="0" w:color="auto"/>
            </w:tcBorders>
            <w:shd w:val="clear" w:color="auto" w:fill="BFBFBF"/>
            <w:noWrap/>
            <w:tcMar>
              <w:top w:w="0" w:type="dxa"/>
              <w:left w:w="70" w:type="dxa"/>
              <w:bottom w:w="0" w:type="dxa"/>
              <w:right w:w="70" w:type="dxa"/>
            </w:tcMar>
            <w:textDirection w:val="lrTb"/>
            <w:vAlign w:val="center"/>
            <w:hideMark/>
          </w:tcPr>
          <w:p w:rsidR="009D2A34" w:rsidP="006338E5">
            <w:pPr>
              <w:bidi w:val="0"/>
              <w:spacing w:line="276" w:lineRule="auto"/>
              <w:rPr>
                <w:rFonts w:ascii="Times New Roman" w:hAnsi="Times New Roman"/>
                <w:b/>
                <w:bCs/>
                <w:color w:val="000000"/>
                <w:sz w:val="14"/>
                <w:szCs w:val="14"/>
              </w:rPr>
            </w:pPr>
            <w:r>
              <w:rPr>
                <w:rFonts w:ascii="Times New Roman" w:hAnsi="Times New Roman"/>
                <w:b/>
                <w:bCs/>
                <w:color w:val="000000"/>
                <w:sz w:val="14"/>
                <w:szCs w:val="14"/>
              </w:rPr>
              <w:t>Zdroje príslušnej kapitoly</w:t>
            </w:r>
          </w:p>
        </w:tc>
        <w:tc>
          <w:tcPr>
            <w:tcW w:w="859"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b/>
                <w:bCs/>
                <w:color w:val="000000"/>
                <w:sz w:val="14"/>
                <w:szCs w:val="14"/>
              </w:rPr>
            </w:pPr>
            <w:r>
              <w:rPr>
                <w:rFonts w:ascii="Times New Roman" w:hAnsi="Times New Roman"/>
                <w:b/>
                <w:bCs/>
                <w:color w:val="000000"/>
                <w:sz w:val="14"/>
                <w:szCs w:val="14"/>
              </w:rPr>
              <w:t>7 190 755</w:t>
            </w:r>
          </w:p>
        </w:tc>
        <w:tc>
          <w:tcPr>
            <w:tcW w:w="86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b/>
                <w:bCs/>
                <w:color w:val="000000"/>
                <w:sz w:val="14"/>
                <w:szCs w:val="14"/>
              </w:rPr>
            </w:pPr>
            <w:r>
              <w:rPr>
                <w:rFonts w:ascii="Times New Roman" w:hAnsi="Times New Roman"/>
                <w:b/>
                <w:bCs/>
                <w:color w:val="000000"/>
                <w:sz w:val="14"/>
                <w:szCs w:val="14"/>
              </w:rPr>
              <w:t>6 525 834</w:t>
            </w:r>
          </w:p>
        </w:tc>
        <w:tc>
          <w:tcPr>
            <w:tcW w:w="861"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b/>
                <w:bCs/>
                <w:color w:val="000000"/>
                <w:sz w:val="14"/>
                <w:szCs w:val="14"/>
              </w:rPr>
            </w:pPr>
            <w:r>
              <w:rPr>
                <w:rFonts w:ascii="Times New Roman" w:hAnsi="Times New Roman"/>
                <w:b/>
                <w:bCs/>
                <w:color w:val="000000"/>
                <w:sz w:val="14"/>
                <w:szCs w:val="14"/>
              </w:rPr>
              <w:t>6 028 285</w:t>
            </w:r>
          </w:p>
        </w:tc>
        <w:tc>
          <w:tcPr>
            <w:tcW w:w="86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b/>
                <w:bCs/>
                <w:color w:val="000000"/>
                <w:sz w:val="14"/>
                <w:szCs w:val="14"/>
              </w:rPr>
            </w:pPr>
            <w:r>
              <w:rPr>
                <w:rFonts w:ascii="Times New Roman" w:hAnsi="Times New Roman"/>
                <w:b/>
                <w:bCs/>
                <w:color w:val="000000"/>
                <w:sz w:val="14"/>
                <w:szCs w:val="14"/>
              </w:rPr>
              <w:t>14 847 196</w:t>
            </w:r>
          </w:p>
        </w:tc>
        <w:tc>
          <w:tcPr>
            <w:tcW w:w="861"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b/>
                <w:bCs/>
                <w:color w:val="000000"/>
                <w:sz w:val="14"/>
                <w:szCs w:val="14"/>
              </w:rPr>
            </w:pPr>
            <w:r>
              <w:rPr>
                <w:rFonts w:ascii="Times New Roman" w:hAnsi="Times New Roman"/>
                <w:b/>
                <w:bCs/>
                <w:color w:val="000000"/>
                <w:sz w:val="14"/>
                <w:szCs w:val="14"/>
              </w:rPr>
              <w:t>5 908 263</w:t>
            </w:r>
          </w:p>
        </w:tc>
        <w:tc>
          <w:tcPr>
            <w:tcW w:w="86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b/>
                <w:bCs/>
                <w:color w:val="000000"/>
                <w:sz w:val="14"/>
                <w:szCs w:val="14"/>
              </w:rPr>
            </w:pPr>
            <w:r>
              <w:rPr>
                <w:rFonts w:ascii="Times New Roman" w:hAnsi="Times New Roman"/>
                <w:b/>
                <w:bCs/>
                <w:color w:val="000000"/>
                <w:sz w:val="14"/>
                <w:szCs w:val="14"/>
              </w:rPr>
              <w:t>5 848 151</w:t>
            </w:r>
          </w:p>
        </w:tc>
        <w:tc>
          <w:tcPr>
            <w:tcW w:w="861"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b/>
                <w:bCs/>
                <w:color w:val="000000"/>
                <w:sz w:val="14"/>
                <w:szCs w:val="14"/>
              </w:rPr>
            </w:pPr>
            <w:r>
              <w:rPr>
                <w:rFonts w:ascii="Times New Roman" w:hAnsi="Times New Roman"/>
                <w:b/>
                <w:bCs/>
                <w:color w:val="000000"/>
                <w:sz w:val="14"/>
                <w:szCs w:val="14"/>
              </w:rPr>
              <w:t>5 851 665</w:t>
            </w:r>
          </w:p>
        </w:tc>
      </w:tr>
      <w:tr>
        <w:tblPrEx>
          <w:tblW w:w="9150" w:type="dxa"/>
          <w:tblInd w:w="59" w:type="dxa"/>
          <w:tblCellMar>
            <w:left w:w="0" w:type="dxa"/>
            <w:right w:w="0" w:type="dxa"/>
          </w:tblCellMar>
          <w:tblLook w:val="04A0"/>
        </w:tblPrEx>
        <w:trPr>
          <w:trHeight w:val="284"/>
        </w:trPr>
        <w:tc>
          <w:tcPr>
            <w:tcW w:w="3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rPr>
                <w:rFonts w:ascii="Times New Roman" w:hAnsi="Times New Roman"/>
                <w:color w:val="000000"/>
                <w:sz w:val="14"/>
                <w:szCs w:val="14"/>
              </w:rPr>
            </w:pPr>
            <w:r>
              <w:rPr>
                <w:rFonts w:ascii="Times New Roman" w:hAnsi="Times New Roman"/>
                <w:color w:val="000000"/>
                <w:sz w:val="14"/>
                <w:szCs w:val="14"/>
              </w:rPr>
              <w:t>Úrad pre norm., metrológiu a skúšobníctvo SR</w:t>
            </w:r>
          </w:p>
        </w:tc>
        <w:tc>
          <w:tcPr>
            <w:tcW w:w="8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sz w:val="14"/>
                <w:szCs w:val="14"/>
              </w:rPr>
            </w:pPr>
            <w:r>
              <w:rPr>
                <w:rFonts w:ascii="Times New Roman" w:hAnsi="Times New Roman"/>
                <w:sz w:val="14"/>
                <w:szCs w:val="14"/>
              </w:rPr>
              <w:t>3 199 396</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sz w:val="14"/>
                <w:szCs w:val="14"/>
              </w:rPr>
            </w:pPr>
            <w:r>
              <w:rPr>
                <w:rFonts w:ascii="Times New Roman" w:hAnsi="Times New Roman"/>
                <w:sz w:val="14"/>
                <w:szCs w:val="14"/>
              </w:rPr>
              <w:t>2 892 543</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sz w:val="14"/>
                <w:szCs w:val="14"/>
              </w:rPr>
            </w:pPr>
            <w:r>
              <w:rPr>
                <w:rFonts w:ascii="Times New Roman" w:hAnsi="Times New Roman"/>
                <w:sz w:val="14"/>
                <w:szCs w:val="14"/>
              </w:rPr>
              <w:t>2 793 149</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sz w:val="14"/>
                <w:szCs w:val="14"/>
              </w:rPr>
            </w:pPr>
            <w:r>
              <w:rPr>
                <w:rFonts w:ascii="Times New Roman" w:hAnsi="Times New Roman"/>
                <w:sz w:val="14"/>
                <w:szCs w:val="14"/>
              </w:rPr>
              <w:t>11 612 060</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sz w:val="14"/>
                <w:szCs w:val="14"/>
              </w:rPr>
            </w:pPr>
            <w:r>
              <w:rPr>
                <w:rFonts w:ascii="Times New Roman" w:hAnsi="Times New Roman"/>
                <w:sz w:val="14"/>
                <w:szCs w:val="14"/>
              </w:rPr>
              <w:t>2 798 566</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sz w:val="14"/>
                <w:szCs w:val="14"/>
              </w:rPr>
            </w:pPr>
            <w:r>
              <w:rPr>
                <w:rFonts w:ascii="Times New Roman" w:hAnsi="Times New Roman"/>
                <w:sz w:val="14"/>
                <w:szCs w:val="14"/>
              </w:rPr>
              <w:t>2 738 454</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sz w:val="14"/>
                <w:szCs w:val="14"/>
              </w:rPr>
            </w:pPr>
            <w:r>
              <w:rPr>
                <w:rFonts w:ascii="Times New Roman" w:hAnsi="Times New Roman"/>
                <w:sz w:val="14"/>
                <w:szCs w:val="14"/>
              </w:rPr>
              <w:t>2 741 968</w:t>
            </w:r>
          </w:p>
        </w:tc>
      </w:tr>
      <w:tr>
        <w:tblPrEx>
          <w:tblW w:w="9150" w:type="dxa"/>
          <w:tblInd w:w="59" w:type="dxa"/>
          <w:tblCellMar>
            <w:left w:w="0" w:type="dxa"/>
            <w:right w:w="0" w:type="dxa"/>
          </w:tblCellMar>
          <w:tblLook w:val="04A0"/>
        </w:tblPrEx>
        <w:trPr>
          <w:trHeight w:val="284"/>
        </w:trPr>
        <w:tc>
          <w:tcPr>
            <w:tcW w:w="3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EE5706" w:rsidP="006338E5">
            <w:pPr>
              <w:bidi w:val="0"/>
              <w:spacing w:line="276" w:lineRule="auto"/>
              <w:rPr>
                <w:rFonts w:ascii="Times New Roman" w:hAnsi="Times New Roman" w:cs="Times New Roman"/>
                <w:sz w:val="14"/>
                <w:szCs w:val="14"/>
              </w:rPr>
            </w:pPr>
            <w:r w:rsidRPr="007B663F">
              <w:rPr>
                <w:rFonts w:ascii="Times New Roman" w:hAnsi="Times New Roman"/>
                <w:sz w:val="14"/>
                <w:szCs w:val="14"/>
              </w:rPr>
              <w:t xml:space="preserve"> v</w:t>
            </w:r>
            <w:r>
              <w:rPr>
                <w:rFonts w:ascii="Times New Roman" w:hAnsi="Times New Roman"/>
                <w:sz w:val="14"/>
                <w:szCs w:val="14"/>
              </w:rPr>
              <w:t> </w:t>
            </w:r>
            <w:r w:rsidRPr="007B663F">
              <w:rPr>
                <w:rFonts w:ascii="Times New Roman" w:hAnsi="Times New Roman"/>
                <w:sz w:val="14"/>
                <w:szCs w:val="14"/>
              </w:rPr>
              <w:t>tom</w:t>
            </w:r>
            <w:r>
              <w:rPr>
                <w:rFonts w:ascii="Times New Roman" w:hAnsi="Times New Roman"/>
                <w:sz w:val="14"/>
                <w:szCs w:val="14"/>
              </w:rPr>
              <w:t>:</w:t>
            </w:r>
            <w:r>
              <w:rPr>
                <w:rFonts w:ascii="Times New Roman" w:hAnsi="Times New Roman"/>
                <w:iCs/>
                <w:color w:val="000000"/>
                <w:sz w:val="14"/>
                <w:szCs w:val="14"/>
              </w:rPr>
              <w:t xml:space="preserve">  </w:t>
            </w:r>
            <w:r w:rsidRPr="007B663F">
              <w:rPr>
                <w:rFonts w:ascii="Times New Roman" w:hAnsi="Times New Roman"/>
                <w:iCs/>
                <w:color w:val="000000"/>
                <w:sz w:val="14"/>
                <w:szCs w:val="14"/>
              </w:rPr>
              <w:t>Riadenie činnosti úradu</w:t>
            </w:r>
          </w:p>
        </w:tc>
        <w:tc>
          <w:tcPr>
            <w:tcW w:w="8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2 813 173</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2 690 103</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2 570 343</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11 389 254</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2 399 544</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2 494 984</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2 524 208</w:t>
            </w:r>
          </w:p>
        </w:tc>
      </w:tr>
      <w:tr>
        <w:tblPrEx>
          <w:tblW w:w="9150" w:type="dxa"/>
          <w:tblInd w:w="59" w:type="dxa"/>
          <w:tblCellMar>
            <w:left w:w="0" w:type="dxa"/>
            <w:right w:w="0" w:type="dxa"/>
          </w:tblCellMar>
          <w:tblLook w:val="04A0"/>
        </w:tblPrEx>
        <w:trPr>
          <w:trHeight w:val="284"/>
        </w:trPr>
        <w:tc>
          <w:tcPr>
            <w:tcW w:w="3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rPr>
                <w:rFonts w:ascii="Times New Roman" w:hAnsi="Times New Roman"/>
                <w:iCs/>
                <w:color w:val="000000"/>
                <w:sz w:val="14"/>
                <w:szCs w:val="14"/>
              </w:rPr>
            </w:pPr>
            <w:r w:rsidRPr="007B663F">
              <w:rPr>
                <w:rFonts w:ascii="Times New Roman" w:hAnsi="Times New Roman"/>
                <w:iCs/>
                <w:color w:val="000000"/>
                <w:sz w:val="14"/>
                <w:szCs w:val="14"/>
              </w:rPr>
              <w:t xml:space="preserve">   </w:t>
            </w:r>
            <w:r>
              <w:rPr>
                <w:rFonts w:ascii="Times New Roman" w:hAnsi="Times New Roman"/>
                <w:iCs/>
                <w:color w:val="000000"/>
                <w:sz w:val="14"/>
                <w:szCs w:val="14"/>
              </w:rPr>
              <w:t xml:space="preserve">          </w:t>
            </w:r>
            <w:r w:rsidRPr="007B663F">
              <w:rPr>
                <w:rFonts w:ascii="Times New Roman" w:hAnsi="Times New Roman"/>
                <w:iCs/>
                <w:color w:val="000000"/>
                <w:sz w:val="14"/>
                <w:szCs w:val="14"/>
              </w:rPr>
              <w:t>Výstavba Cyklotrónového centra</w:t>
            </w:r>
          </w:p>
        </w:tc>
        <w:tc>
          <w:tcPr>
            <w:tcW w:w="8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184 462</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0</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0</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0</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181 262</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30 210</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0</w:t>
            </w:r>
          </w:p>
        </w:tc>
      </w:tr>
      <w:tr>
        <w:tblPrEx>
          <w:tblW w:w="9150" w:type="dxa"/>
          <w:tblInd w:w="59" w:type="dxa"/>
          <w:tblCellMar>
            <w:left w:w="0" w:type="dxa"/>
            <w:right w:w="0" w:type="dxa"/>
          </w:tblCellMar>
          <w:tblLook w:val="04A0"/>
        </w:tblPrEx>
        <w:trPr>
          <w:trHeight w:val="284"/>
        </w:trPr>
        <w:tc>
          <w:tcPr>
            <w:tcW w:w="3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rPr>
                <w:rFonts w:ascii="Times New Roman" w:hAnsi="Times New Roman"/>
                <w:iCs/>
                <w:color w:val="000000"/>
                <w:sz w:val="14"/>
                <w:szCs w:val="14"/>
              </w:rPr>
            </w:pPr>
            <w:r w:rsidRPr="007B663F">
              <w:rPr>
                <w:rFonts w:ascii="Times New Roman" w:hAnsi="Times New Roman"/>
                <w:iCs/>
                <w:color w:val="000000"/>
                <w:sz w:val="14"/>
                <w:szCs w:val="14"/>
              </w:rPr>
              <w:t xml:space="preserve">    </w:t>
            </w:r>
            <w:r>
              <w:rPr>
                <w:rFonts w:ascii="Times New Roman" w:hAnsi="Times New Roman"/>
                <w:iCs/>
                <w:color w:val="000000"/>
                <w:sz w:val="14"/>
                <w:szCs w:val="14"/>
              </w:rPr>
              <w:t xml:space="preserve">         </w:t>
            </w:r>
            <w:r w:rsidRPr="007B663F">
              <w:rPr>
                <w:rFonts w:ascii="Times New Roman" w:hAnsi="Times New Roman"/>
                <w:iCs/>
                <w:color w:val="000000"/>
                <w:sz w:val="14"/>
                <w:szCs w:val="14"/>
              </w:rPr>
              <w:t>Národný program kvality</w:t>
            </w:r>
          </w:p>
        </w:tc>
        <w:tc>
          <w:tcPr>
            <w:tcW w:w="8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129 112</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128 374</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146 550</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146 550</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131 150</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126 650</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131 150</w:t>
            </w:r>
          </w:p>
        </w:tc>
      </w:tr>
      <w:tr>
        <w:tblPrEx>
          <w:tblW w:w="9150" w:type="dxa"/>
          <w:tblInd w:w="59" w:type="dxa"/>
          <w:tblCellMar>
            <w:left w:w="0" w:type="dxa"/>
            <w:right w:w="0" w:type="dxa"/>
          </w:tblCellMar>
          <w:tblLook w:val="04A0"/>
        </w:tblPrEx>
        <w:trPr>
          <w:trHeight w:val="284"/>
        </w:trPr>
        <w:tc>
          <w:tcPr>
            <w:tcW w:w="3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rPr>
                <w:rFonts w:ascii="Times New Roman" w:hAnsi="Times New Roman"/>
                <w:iCs/>
                <w:color w:val="000000"/>
                <w:sz w:val="14"/>
                <w:szCs w:val="14"/>
              </w:rPr>
            </w:pPr>
            <w:r w:rsidRPr="007B663F">
              <w:rPr>
                <w:rFonts w:ascii="Times New Roman" w:hAnsi="Times New Roman"/>
                <w:iCs/>
                <w:color w:val="000000"/>
                <w:sz w:val="14"/>
                <w:szCs w:val="14"/>
              </w:rPr>
              <w:t xml:space="preserve">    </w:t>
            </w:r>
            <w:r>
              <w:rPr>
                <w:rFonts w:ascii="Times New Roman" w:hAnsi="Times New Roman"/>
                <w:iCs/>
                <w:color w:val="000000"/>
                <w:sz w:val="14"/>
                <w:szCs w:val="14"/>
              </w:rPr>
              <w:t xml:space="preserve">          </w:t>
            </w:r>
            <w:r w:rsidRPr="007B663F">
              <w:rPr>
                <w:rFonts w:ascii="Times New Roman" w:hAnsi="Times New Roman"/>
                <w:iCs/>
                <w:color w:val="000000"/>
                <w:sz w:val="14"/>
                <w:szCs w:val="14"/>
              </w:rPr>
              <w:t>Príspevky SR do MO</w:t>
            </w:r>
          </w:p>
        </w:tc>
        <w:tc>
          <w:tcPr>
            <w:tcW w:w="8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72 649</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74 066</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76 256</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76 256</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86 610</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86 610</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RPr="007B663F" w:rsidP="006338E5">
            <w:pPr>
              <w:bidi w:val="0"/>
              <w:spacing w:line="276" w:lineRule="auto"/>
              <w:jc w:val="right"/>
              <w:rPr>
                <w:rFonts w:ascii="Times New Roman" w:hAnsi="Times New Roman"/>
                <w:iCs/>
                <w:color w:val="000000"/>
                <w:sz w:val="14"/>
                <w:szCs w:val="14"/>
              </w:rPr>
            </w:pPr>
            <w:r w:rsidRPr="007B663F">
              <w:rPr>
                <w:rFonts w:ascii="Times New Roman" w:hAnsi="Times New Roman"/>
                <w:iCs/>
                <w:color w:val="000000"/>
                <w:sz w:val="14"/>
                <w:szCs w:val="14"/>
              </w:rPr>
              <w:t>86 610</w:t>
            </w:r>
          </w:p>
        </w:tc>
      </w:tr>
      <w:tr>
        <w:tblPrEx>
          <w:tblW w:w="9150" w:type="dxa"/>
          <w:tblInd w:w="59" w:type="dxa"/>
          <w:tblCellMar>
            <w:left w:w="0" w:type="dxa"/>
            <w:right w:w="0" w:type="dxa"/>
          </w:tblCellMar>
          <w:tblLook w:val="04A0"/>
        </w:tblPrEx>
        <w:trPr>
          <w:trHeight w:val="284"/>
        </w:trPr>
        <w:tc>
          <w:tcPr>
            <w:tcW w:w="3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rPr>
                <w:rFonts w:ascii="Times New Roman" w:hAnsi="Times New Roman"/>
                <w:color w:val="000000"/>
                <w:sz w:val="14"/>
                <w:szCs w:val="14"/>
              </w:rPr>
            </w:pPr>
            <w:r>
              <w:rPr>
                <w:rFonts w:ascii="Times New Roman" w:hAnsi="Times New Roman"/>
                <w:color w:val="000000"/>
                <w:sz w:val="14"/>
                <w:szCs w:val="14"/>
              </w:rPr>
              <w:t xml:space="preserve">Slovenský metrologický ústav </w:t>
            </w:r>
          </w:p>
        </w:tc>
        <w:tc>
          <w:tcPr>
            <w:tcW w:w="8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2 378 418</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2 140 576</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2 031 407</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2 031 407</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1 865 968</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1 865 968</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1 865 968</w:t>
            </w:r>
          </w:p>
        </w:tc>
      </w:tr>
      <w:tr>
        <w:tblPrEx>
          <w:tblW w:w="9150" w:type="dxa"/>
          <w:tblInd w:w="59" w:type="dxa"/>
          <w:tblCellMar>
            <w:left w:w="0" w:type="dxa"/>
            <w:right w:w="0" w:type="dxa"/>
          </w:tblCellMar>
          <w:tblLook w:val="04A0"/>
        </w:tblPrEx>
        <w:trPr>
          <w:trHeight w:val="284"/>
        </w:trPr>
        <w:tc>
          <w:tcPr>
            <w:tcW w:w="3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rPr>
                <w:rFonts w:ascii="Times New Roman" w:hAnsi="Times New Roman"/>
                <w:color w:val="000000"/>
                <w:sz w:val="14"/>
                <w:szCs w:val="14"/>
              </w:rPr>
            </w:pPr>
            <w:r>
              <w:rPr>
                <w:rFonts w:ascii="Times New Roman" w:hAnsi="Times New Roman"/>
                <w:color w:val="000000"/>
                <w:sz w:val="14"/>
                <w:szCs w:val="14"/>
              </w:rPr>
              <w:t xml:space="preserve">Slovenský metrologický inšpektorát </w:t>
            </w:r>
          </w:p>
        </w:tc>
        <w:tc>
          <w:tcPr>
            <w:tcW w:w="8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333 640</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341 344</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341 352</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341 352</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381 352</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381 352</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381 352</w:t>
            </w:r>
          </w:p>
        </w:tc>
      </w:tr>
      <w:tr>
        <w:tblPrEx>
          <w:tblW w:w="9150" w:type="dxa"/>
          <w:tblInd w:w="59" w:type="dxa"/>
          <w:tblCellMar>
            <w:left w:w="0" w:type="dxa"/>
            <w:right w:w="0" w:type="dxa"/>
          </w:tblCellMar>
          <w:tblLook w:val="04A0"/>
        </w:tblPrEx>
        <w:trPr>
          <w:trHeight w:val="284"/>
        </w:trPr>
        <w:tc>
          <w:tcPr>
            <w:tcW w:w="3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rPr>
                <w:rFonts w:ascii="Times New Roman" w:hAnsi="Times New Roman"/>
                <w:color w:val="000000"/>
                <w:sz w:val="14"/>
                <w:szCs w:val="14"/>
              </w:rPr>
            </w:pPr>
            <w:r>
              <w:rPr>
                <w:rFonts w:ascii="Times New Roman" w:hAnsi="Times New Roman"/>
                <w:color w:val="000000"/>
                <w:sz w:val="14"/>
                <w:szCs w:val="14"/>
              </w:rPr>
              <w:t xml:space="preserve">Slovenský ústav technickej normalizácie </w:t>
            </w:r>
          </w:p>
        </w:tc>
        <w:tc>
          <w:tcPr>
            <w:tcW w:w="8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1 279 301</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1 151 371</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862 377</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862 377</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862 377</w:t>
            </w:r>
          </w:p>
        </w:tc>
        <w:tc>
          <w:tcPr>
            <w:tcW w:w="8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862 377</w:t>
            </w:r>
          </w:p>
        </w:tc>
        <w:tc>
          <w:tcPr>
            <w:tcW w:w="8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hideMark/>
          </w:tcPr>
          <w:p w:rsidR="009D2A34" w:rsidP="006338E5">
            <w:pPr>
              <w:bidi w:val="0"/>
              <w:spacing w:line="276" w:lineRule="auto"/>
              <w:jc w:val="right"/>
              <w:rPr>
                <w:rFonts w:ascii="Times New Roman" w:hAnsi="Times New Roman"/>
                <w:color w:val="000000"/>
                <w:sz w:val="14"/>
                <w:szCs w:val="14"/>
              </w:rPr>
            </w:pPr>
            <w:r>
              <w:rPr>
                <w:rFonts w:ascii="Times New Roman" w:hAnsi="Times New Roman"/>
                <w:color w:val="000000"/>
                <w:sz w:val="14"/>
                <w:szCs w:val="14"/>
              </w:rPr>
              <w:t>862 377</w:t>
            </w:r>
          </w:p>
        </w:tc>
      </w:tr>
    </w:tbl>
    <w:p w:rsidR="009D2A34" w:rsidRPr="00CD37C6" w:rsidP="009D2A34">
      <w:pPr>
        <w:bidi w:val="0"/>
        <w:ind w:firstLine="708"/>
        <w:jc w:val="both"/>
        <w:rPr>
          <w:rFonts w:ascii="Times New Roman" w:hAnsi="Times New Roman"/>
          <w:highlight w:val="yellow"/>
        </w:rPr>
      </w:pPr>
    </w:p>
    <w:p w:rsidR="009D2A34" w:rsidRPr="00C03E61" w:rsidP="009D2A34">
      <w:pPr>
        <w:bidi w:val="0"/>
        <w:ind w:firstLine="708"/>
        <w:jc w:val="both"/>
        <w:rPr>
          <w:rFonts w:ascii="Times New Roman" w:hAnsi="Times New Roman"/>
        </w:rPr>
      </w:pPr>
      <w:r w:rsidRPr="00C03E61">
        <w:rPr>
          <w:rFonts w:ascii="Times New Roman" w:hAnsi="Times New Roman"/>
        </w:rPr>
        <w:t>Výdavky ÚNMS SR ako ústredného orgánu štátnej s</w:t>
      </w:r>
      <w:r>
        <w:rPr>
          <w:rFonts w:ascii="Times New Roman" w:hAnsi="Times New Roman"/>
        </w:rPr>
        <w:t>právy sú určené na plnenie úloh</w:t>
      </w:r>
      <w:r w:rsidRPr="00C03E61">
        <w:rPr>
          <w:rFonts w:ascii="Times New Roman" w:hAnsi="Times New Roman"/>
        </w:rPr>
        <w:t xml:space="preserve"> a cieľov zameraných na tvorbu a udržiavanie nástrojov infraštruktúry kvality pre konkurencieschopné podnikateľské prostredie, pričom štandardnými nástrojmi infraštruktúry kvality v európskom ponímaní sú normalizácia, metrológia, posudzovanie zhody, akreditácia a trhový dozor v rozsahu, v ktorom vykonáva činnosti zamerané na vymožiteľnosť smerníc</w:t>
      </w:r>
      <w:r>
        <w:rPr>
          <w:rFonts w:ascii="Times New Roman" w:hAnsi="Times New Roman"/>
        </w:rPr>
        <w:t xml:space="preserve"> a na Cyklotrónové centrum SR</w:t>
      </w:r>
      <w:r w:rsidRPr="00C03E61">
        <w:rPr>
          <w:rFonts w:ascii="Times New Roman" w:hAnsi="Times New Roman"/>
        </w:rPr>
        <w:t xml:space="preserve">. </w:t>
      </w:r>
    </w:p>
    <w:p w:rsidR="009D2A34" w:rsidRPr="007E0D85" w:rsidP="009D2A34">
      <w:pPr>
        <w:bidi w:val="0"/>
        <w:ind w:firstLine="708"/>
        <w:jc w:val="both"/>
        <w:rPr>
          <w:rFonts w:ascii="Times New Roman" w:hAnsi="Times New Roman"/>
          <w:highlight w:val="yellow"/>
        </w:rPr>
      </w:pPr>
    </w:p>
    <w:p w:rsidR="009D2A34" w:rsidRPr="002E6296" w:rsidP="009D2A34">
      <w:pPr>
        <w:bidi w:val="0"/>
        <w:jc w:val="both"/>
        <w:rPr>
          <w:rFonts w:ascii="Times New Roman" w:hAnsi="Times New Roman" w:cs="Times New Roman"/>
          <w:b/>
        </w:rPr>
      </w:pPr>
      <w:bookmarkStart w:id="60" w:name="_Toc108849140"/>
      <w:bookmarkEnd w:id="60"/>
      <w:r w:rsidRPr="002E6296">
        <w:rPr>
          <w:rFonts w:ascii="Times New Roman" w:hAnsi="Times New Roman" w:cs="Times New Roman"/>
          <w:lang w:eastAsia="sk-SK"/>
        </w:rPr>
        <w:t> </w:t>
      </w:r>
      <w:r w:rsidRPr="002E6296">
        <w:rPr>
          <w:rFonts w:ascii="Times New Roman" w:hAnsi="Times New Roman" w:cs="Times New Roman"/>
          <w:b/>
        </w:rPr>
        <w:t>Protimonopolný úrad SR</w:t>
      </w:r>
    </w:p>
    <w:p w:rsidR="009D2A34" w:rsidRPr="002E6296" w:rsidP="009D2A34">
      <w:pPr>
        <w:bidi w:val="0"/>
        <w:jc w:val="both"/>
        <w:rPr>
          <w:rFonts w:ascii="Times New Roman" w:hAnsi="Times New Roman" w:cs="Times New Roman"/>
          <w:b/>
        </w:rPr>
      </w:pPr>
      <w:r>
        <w:rPr>
          <w:noProof/>
          <w:lang w:eastAsia="sk-SK"/>
        </w:rPr>
        <w:pict>
          <v:shapetype id="_x0000_t32" coordsize="21600,21600" o:spt="32" o:oned="t" path="m,l21600,21600e" filled="f">
            <v:path arrowok="t" fillok="f" o:connecttype="none"/>
            <o:lock v:ext="edit" shapetype="t"/>
          </v:shapetype>
          <v:shape id="AutoShape 5" o:spid="_x0000_s1025" type="#_x0000_t32" style="width:453.75pt;height:0;margin-top:1.15pt;margin-left:0.4pt;mso-wrap-distance-bottom:0pt;mso-wrap-distance-top:0pt;position:absolute;visibility:visible;z-index:251658240" filled="f" stroked="t">
            <v:path arrowok="t"/>
            <o:lock v:ext="edit" aspectratio="f" shapetype="t"/>
          </v:shape>
        </w:pict>
      </w:r>
    </w:p>
    <w:tbl>
      <w:tblPr>
        <w:tblStyle w:val="TableNormal"/>
        <w:tblW w:w="5000" w:type="pct"/>
        <w:tblCellMar>
          <w:left w:w="70" w:type="dxa"/>
          <w:right w:w="70" w:type="dxa"/>
        </w:tblCellMar>
        <w:tblLook w:val="04A0"/>
      </w:tblPr>
      <w:tblGrid>
        <w:gridCol w:w="2818"/>
        <w:gridCol w:w="914"/>
        <w:gridCol w:w="914"/>
        <w:gridCol w:w="914"/>
        <w:gridCol w:w="914"/>
        <w:gridCol w:w="914"/>
        <w:gridCol w:w="914"/>
        <w:gridCol w:w="910"/>
      </w:tblGrid>
      <w:tr>
        <w:tblPrEx>
          <w:tblW w:w="5000" w:type="pct"/>
          <w:tblCellMar>
            <w:left w:w="70" w:type="dxa"/>
            <w:right w:w="70" w:type="dxa"/>
          </w:tblCellMar>
          <w:tblLook w:val="04A0"/>
        </w:tblPrEx>
        <w:trPr>
          <w:trHeight w:val="255"/>
        </w:trPr>
        <w:tc>
          <w:tcPr>
            <w:tcW w:w="1530" w:type="pct"/>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9D2A34" w:rsidRPr="002E6296" w:rsidP="006338E5">
            <w:pPr>
              <w:bidi w:val="0"/>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v eurách</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2E6296" w:rsidP="006338E5">
            <w:pPr>
              <w:bidi w:val="0"/>
              <w:jc w:val="center"/>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2010</w:t>
            </w:r>
            <w:r w:rsidR="009F409E">
              <w:rPr>
                <w:rFonts w:ascii="Times New Roman" w:hAnsi="Times New Roman" w:cs="Times New Roman"/>
                <w:b/>
                <w:bCs/>
                <w:color w:val="000000"/>
                <w:sz w:val="14"/>
                <w:szCs w:val="14"/>
              </w:rPr>
              <w:t xml:space="preserve"> </w:t>
            </w:r>
            <w:r w:rsidRPr="002E6296">
              <w:rPr>
                <w:rFonts w:ascii="Times New Roman" w:hAnsi="Times New Roman" w:cs="Times New Roman"/>
                <w:b/>
                <w:bCs/>
                <w:color w:val="000000"/>
                <w:sz w:val="14"/>
                <w:szCs w:val="14"/>
              </w:rPr>
              <w:t>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2E6296" w:rsidP="006338E5">
            <w:pPr>
              <w:bidi w:val="0"/>
              <w:jc w:val="center"/>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2011 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2E6296" w:rsidP="006338E5">
            <w:pPr>
              <w:bidi w:val="0"/>
              <w:jc w:val="center"/>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2012 R</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2E6296" w:rsidP="006338E5">
            <w:pPr>
              <w:bidi w:val="0"/>
              <w:jc w:val="center"/>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2012 OS</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2E6296" w:rsidP="006338E5">
            <w:pPr>
              <w:bidi w:val="0"/>
              <w:jc w:val="center"/>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2013 N</w:t>
            </w:r>
          </w:p>
        </w:tc>
        <w:tc>
          <w:tcPr>
            <w:tcW w:w="496"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2E6296" w:rsidP="006338E5">
            <w:pPr>
              <w:bidi w:val="0"/>
              <w:jc w:val="center"/>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2014 N</w:t>
            </w:r>
          </w:p>
        </w:tc>
        <w:tc>
          <w:tcPr>
            <w:tcW w:w="494" w:type="pct"/>
            <w:tcBorders>
              <w:top w:val="single" w:sz="4" w:space="0" w:color="auto"/>
              <w:left w:val="nil"/>
              <w:bottom w:val="single" w:sz="4" w:space="0" w:color="auto"/>
              <w:right w:val="single" w:sz="4" w:space="0" w:color="auto"/>
            </w:tcBorders>
            <w:shd w:val="clear" w:color="auto" w:fill="A6A6A6"/>
            <w:noWrap/>
            <w:textDirection w:val="lrTb"/>
            <w:vAlign w:val="center"/>
            <w:hideMark/>
          </w:tcPr>
          <w:p w:rsidR="009D2A34" w:rsidRPr="002E6296" w:rsidP="006338E5">
            <w:pPr>
              <w:bidi w:val="0"/>
              <w:jc w:val="center"/>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2015 N</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9D2A34" w:rsidRPr="002E6296" w:rsidP="006338E5">
            <w:pPr>
              <w:bidi w:val="0"/>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Zdroje príslušnej kapitoly</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2E6296" w:rsidP="006338E5">
            <w:pPr>
              <w:bidi w:val="0"/>
              <w:jc w:val="right"/>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2 374 019</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2E6296" w:rsidP="006338E5">
            <w:pPr>
              <w:bidi w:val="0"/>
              <w:jc w:val="right"/>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2 400 170</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2E6296" w:rsidP="006338E5">
            <w:pPr>
              <w:bidi w:val="0"/>
              <w:jc w:val="right"/>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2 119 136</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2E6296" w:rsidP="006338E5">
            <w:pPr>
              <w:bidi w:val="0"/>
              <w:jc w:val="right"/>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2 119 136</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2E6296" w:rsidP="006338E5">
            <w:pPr>
              <w:bidi w:val="0"/>
              <w:jc w:val="right"/>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2 097 610</w:t>
            </w:r>
          </w:p>
        </w:tc>
        <w:tc>
          <w:tcPr>
            <w:tcW w:w="496" w:type="pct"/>
            <w:tcBorders>
              <w:top w:val="nil"/>
              <w:left w:val="nil"/>
              <w:bottom w:val="single" w:sz="4" w:space="0" w:color="auto"/>
              <w:right w:val="single" w:sz="4" w:space="0" w:color="auto"/>
            </w:tcBorders>
            <w:shd w:val="clear" w:color="auto" w:fill="BFBFBF"/>
            <w:textDirection w:val="lrTb"/>
            <w:vAlign w:val="center"/>
            <w:hideMark/>
          </w:tcPr>
          <w:p w:rsidR="009D2A34" w:rsidRPr="002E6296" w:rsidP="006338E5">
            <w:pPr>
              <w:bidi w:val="0"/>
              <w:jc w:val="right"/>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2 098 760</w:t>
            </w:r>
          </w:p>
        </w:tc>
        <w:tc>
          <w:tcPr>
            <w:tcW w:w="494" w:type="pct"/>
            <w:tcBorders>
              <w:top w:val="nil"/>
              <w:left w:val="nil"/>
              <w:bottom w:val="single" w:sz="4" w:space="0" w:color="auto"/>
              <w:right w:val="single" w:sz="4" w:space="0" w:color="auto"/>
            </w:tcBorders>
            <w:shd w:val="clear" w:color="auto" w:fill="BFBFBF"/>
            <w:textDirection w:val="lrTb"/>
            <w:vAlign w:val="center"/>
            <w:hideMark/>
          </w:tcPr>
          <w:p w:rsidR="009D2A34" w:rsidRPr="002E6296" w:rsidP="006338E5">
            <w:pPr>
              <w:bidi w:val="0"/>
              <w:jc w:val="right"/>
              <w:rPr>
                <w:rFonts w:ascii="Times New Roman" w:hAnsi="Times New Roman" w:cs="Times New Roman"/>
                <w:b/>
                <w:bCs/>
                <w:color w:val="000000"/>
                <w:sz w:val="14"/>
                <w:szCs w:val="14"/>
              </w:rPr>
            </w:pPr>
            <w:r w:rsidRPr="002E6296">
              <w:rPr>
                <w:rFonts w:ascii="Times New Roman" w:hAnsi="Times New Roman" w:cs="Times New Roman"/>
                <w:b/>
                <w:bCs/>
                <w:color w:val="000000"/>
                <w:sz w:val="14"/>
                <w:szCs w:val="14"/>
              </w:rPr>
              <w:t>2 102 274</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2E6296" w:rsidP="006338E5">
            <w:pPr>
              <w:bidi w:val="0"/>
              <w:rPr>
                <w:rFonts w:ascii="Times New Roman" w:hAnsi="Times New Roman" w:cs="Times New Roman"/>
                <w:b/>
                <w:color w:val="000000"/>
                <w:sz w:val="14"/>
                <w:szCs w:val="14"/>
              </w:rPr>
            </w:pPr>
            <w:r w:rsidRPr="002E6296">
              <w:rPr>
                <w:rFonts w:ascii="Times New Roman" w:hAnsi="Times New Roman" w:cs="Times New Roman"/>
                <w:b/>
                <w:color w:val="000000"/>
                <w:sz w:val="14"/>
                <w:szCs w:val="14"/>
              </w:rPr>
              <w:t xml:space="preserve">rozpočtové zdroje kapitoly </w:t>
            </w:r>
          </w:p>
        </w:tc>
        <w:tc>
          <w:tcPr>
            <w:tcW w:w="496" w:type="pct"/>
            <w:tcBorders>
              <w:top w:val="nil"/>
              <w:left w:val="nil"/>
              <w:bottom w:val="single" w:sz="4" w:space="0" w:color="auto"/>
              <w:right w:val="single" w:sz="4" w:space="0" w:color="auto"/>
            </w:tcBorders>
            <w:textDirection w:val="lrTb"/>
            <w:vAlign w:val="center"/>
            <w:hideMark/>
          </w:tcPr>
          <w:p w:rsidR="009D2A34" w:rsidRPr="002E6296" w:rsidP="006338E5">
            <w:pPr>
              <w:bidi w:val="0"/>
              <w:jc w:val="right"/>
              <w:rPr>
                <w:rFonts w:ascii="Times New Roman" w:hAnsi="Times New Roman" w:cs="Times New Roman"/>
                <w:b/>
                <w:color w:val="000000"/>
                <w:sz w:val="14"/>
                <w:szCs w:val="14"/>
              </w:rPr>
            </w:pPr>
            <w:r w:rsidRPr="002E6296">
              <w:rPr>
                <w:rFonts w:ascii="Times New Roman" w:hAnsi="Times New Roman" w:cs="Times New Roman"/>
                <w:b/>
                <w:color w:val="000000"/>
                <w:sz w:val="14"/>
                <w:szCs w:val="14"/>
              </w:rPr>
              <w:t>2 374 019</w:t>
            </w:r>
          </w:p>
        </w:tc>
        <w:tc>
          <w:tcPr>
            <w:tcW w:w="496" w:type="pct"/>
            <w:tcBorders>
              <w:top w:val="nil"/>
              <w:left w:val="nil"/>
              <w:bottom w:val="single" w:sz="4" w:space="0" w:color="auto"/>
              <w:right w:val="single" w:sz="4" w:space="0" w:color="auto"/>
            </w:tcBorders>
            <w:textDirection w:val="lrTb"/>
            <w:vAlign w:val="center"/>
            <w:hideMark/>
          </w:tcPr>
          <w:p w:rsidR="009D2A34" w:rsidRPr="002E6296" w:rsidP="006338E5">
            <w:pPr>
              <w:bidi w:val="0"/>
              <w:jc w:val="right"/>
              <w:rPr>
                <w:rFonts w:ascii="Times New Roman" w:hAnsi="Times New Roman" w:cs="Times New Roman"/>
                <w:b/>
                <w:color w:val="000000"/>
                <w:sz w:val="14"/>
                <w:szCs w:val="14"/>
              </w:rPr>
            </w:pPr>
            <w:r w:rsidRPr="002E6296">
              <w:rPr>
                <w:rFonts w:ascii="Times New Roman" w:hAnsi="Times New Roman" w:cs="Times New Roman"/>
                <w:b/>
                <w:color w:val="000000"/>
                <w:sz w:val="14"/>
                <w:szCs w:val="14"/>
              </w:rPr>
              <w:t>2 400 170</w:t>
            </w:r>
          </w:p>
        </w:tc>
        <w:tc>
          <w:tcPr>
            <w:tcW w:w="496" w:type="pct"/>
            <w:tcBorders>
              <w:top w:val="nil"/>
              <w:left w:val="nil"/>
              <w:bottom w:val="single" w:sz="4" w:space="0" w:color="auto"/>
              <w:right w:val="single" w:sz="4" w:space="0" w:color="auto"/>
            </w:tcBorders>
            <w:textDirection w:val="lrTb"/>
            <w:vAlign w:val="center"/>
            <w:hideMark/>
          </w:tcPr>
          <w:p w:rsidR="009D2A34" w:rsidRPr="002E6296" w:rsidP="006338E5">
            <w:pPr>
              <w:bidi w:val="0"/>
              <w:jc w:val="right"/>
              <w:rPr>
                <w:rFonts w:ascii="Times New Roman" w:hAnsi="Times New Roman" w:cs="Times New Roman"/>
                <w:b/>
                <w:color w:val="000000"/>
                <w:sz w:val="14"/>
                <w:szCs w:val="14"/>
              </w:rPr>
            </w:pPr>
            <w:r w:rsidRPr="002E6296">
              <w:rPr>
                <w:rFonts w:ascii="Times New Roman" w:hAnsi="Times New Roman" w:cs="Times New Roman"/>
                <w:b/>
                <w:color w:val="000000"/>
                <w:sz w:val="14"/>
                <w:szCs w:val="14"/>
              </w:rPr>
              <w:t>2 119 136</w:t>
            </w:r>
          </w:p>
        </w:tc>
        <w:tc>
          <w:tcPr>
            <w:tcW w:w="496" w:type="pct"/>
            <w:tcBorders>
              <w:top w:val="nil"/>
              <w:left w:val="nil"/>
              <w:bottom w:val="single" w:sz="4" w:space="0" w:color="auto"/>
              <w:right w:val="single" w:sz="4" w:space="0" w:color="auto"/>
            </w:tcBorders>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2 119 136</w:t>
            </w:r>
          </w:p>
        </w:tc>
        <w:tc>
          <w:tcPr>
            <w:tcW w:w="496" w:type="pct"/>
            <w:tcBorders>
              <w:top w:val="nil"/>
              <w:left w:val="nil"/>
              <w:bottom w:val="single" w:sz="4" w:space="0" w:color="auto"/>
              <w:right w:val="single" w:sz="4" w:space="0" w:color="auto"/>
            </w:tcBorders>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2 097 610</w:t>
            </w:r>
          </w:p>
        </w:tc>
        <w:tc>
          <w:tcPr>
            <w:tcW w:w="496" w:type="pct"/>
            <w:tcBorders>
              <w:top w:val="nil"/>
              <w:left w:val="nil"/>
              <w:bottom w:val="single" w:sz="4" w:space="0" w:color="auto"/>
              <w:right w:val="single" w:sz="4" w:space="0" w:color="auto"/>
            </w:tcBorders>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2 098 760</w:t>
            </w:r>
          </w:p>
        </w:tc>
        <w:tc>
          <w:tcPr>
            <w:tcW w:w="494" w:type="pct"/>
            <w:tcBorders>
              <w:top w:val="nil"/>
              <w:left w:val="nil"/>
              <w:bottom w:val="single" w:sz="4" w:space="0" w:color="auto"/>
              <w:right w:val="single" w:sz="4" w:space="0" w:color="auto"/>
            </w:tcBorders>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2 102 274</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2E6296" w:rsidP="006338E5">
            <w:pPr>
              <w:bidi w:val="0"/>
              <w:rPr>
                <w:rFonts w:ascii="Times New Roman" w:hAnsi="Times New Roman" w:cs="Times New Roman"/>
                <w:color w:val="000000"/>
                <w:sz w:val="14"/>
                <w:szCs w:val="14"/>
              </w:rPr>
            </w:pPr>
            <w:r w:rsidRPr="002E6296">
              <w:rPr>
                <w:rFonts w:ascii="Times New Roman" w:hAnsi="Times New Roman" w:cs="Times New Roman"/>
                <w:color w:val="000000"/>
                <w:sz w:val="14"/>
                <w:szCs w:val="14"/>
              </w:rPr>
              <w:t xml:space="preserve">     v tom: bežné výdavky  600</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2 330 112</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2 345 755</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2 099 220</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2 099 220</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2 077 694</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2 078 844</w:t>
            </w:r>
          </w:p>
        </w:tc>
        <w:tc>
          <w:tcPr>
            <w:tcW w:w="494"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2 082 358</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2E6296" w:rsidP="006338E5">
            <w:pPr>
              <w:bidi w:val="0"/>
              <w:rPr>
                <w:rFonts w:ascii="Times New Roman" w:hAnsi="Times New Roman" w:cs="Times New Roman"/>
                <w:color w:val="000000"/>
                <w:sz w:val="14"/>
                <w:szCs w:val="14"/>
              </w:rPr>
            </w:pPr>
            <w:r w:rsidRPr="002E6296">
              <w:rPr>
                <w:rFonts w:ascii="Times New Roman" w:hAnsi="Times New Roman" w:cs="Times New Roman"/>
                <w:color w:val="000000"/>
                <w:sz w:val="14"/>
                <w:szCs w:val="14"/>
              </w:rPr>
              <w:t xml:space="preserve">                           610 mzdy</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1 241 154</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1 128 579</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1 131 348</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1 131 348</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1 111 114</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1 111 966</w:t>
            </w:r>
          </w:p>
        </w:tc>
        <w:tc>
          <w:tcPr>
            <w:tcW w:w="494"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1 114 570</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2E6296" w:rsidP="006338E5">
            <w:pPr>
              <w:bidi w:val="0"/>
              <w:rPr>
                <w:rFonts w:ascii="Times New Roman" w:hAnsi="Times New Roman" w:cs="Times New Roman"/>
                <w:color w:val="000000"/>
                <w:sz w:val="14"/>
                <w:szCs w:val="14"/>
              </w:rPr>
            </w:pPr>
            <w:r w:rsidRPr="002E6296">
              <w:rPr>
                <w:rFonts w:ascii="Times New Roman" w:hAnsi="Times New Roman" w:cs="Times New Roman"/>
                <w:color w:val="000000"/>
                <w:sz w:val="14"/>
                <w:szCs w:val="14"/>
              </w:rPr>
              <w:t xml:space="preserve">                           620 odvody</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443 356</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392 773</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389 626</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402 914</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388 334</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388 632</w:t>
            </w:r>
          </w:p>
        </w:tc>
        <w:tc>
          <w:tcPr>
            <w:tcW w:w="494"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389 542</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2E6296" w:rsidP="006338E5">
            <w:pPr>
              <w:bidi w:val="0"/>
              <w:rPr>
                <w:rFonts w:ascii="Times New Roman" w:hAnsi="Times New Roman" w:cs="Times New Roman"/>
                <w:color w:val="000000"/>
                <w:sz w:val="14"/>
                <w:szCs w:val="14"/>
              </w:rPr>
            </w:pPr>
            <w:r w:rsidRPr="002E6296">
              <w:rPr>
                <w:rFonts w:ascii="Times New Roman" w:hAnsi="Times New Roman" w:cs="Times New Roman"/>
                <w:color w:val="000000"/>
                <w:sz w:val="14"/>
                <w:szCs w:val="14"/>
              </w:rPr>
              <w:t xml:space="preserve">                           630 tovary a služby</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605 004</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822 998</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553 966</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539 311</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553 966</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553 966</w:t>
            </w:r>
          </w:p>
        </w:tc>
        <w:tc>
          <w:tcPr>
            <w:tcW w:w="494"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553 966</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2E6296" w:rsidP="006338E5">
            <w:pPr>
              <w:bidi w:val="0"/>
              <w:rPr>
                <w:rFonts w:ascii="Times New Roman" w:hAnsi="Times New Roman" w:cs="Times New Roman"/>
                <w:color w:val="000000"/>
                <w:sz w:val="14"/>
                <w:szCs w:val="14"/>
              </w:rPr>
            </w:pPr>
            <w:r w:rsidRPr="002E6296">
              <w:rPr>
                <w:rFonts w:ascii="Times New Roman" w:hAnsi="Times New Roman" w:cs="Times New Roman"/>
                <w:color w:val="000000"/>
                <w:sz w:val="14"/>
                <w:szCs w:val="14"/>
              </w:rPr>
              <w:t xml:space="preserve">                           640 bežné transfery</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40 598</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1 405</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24 280</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25 647</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24 280</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24 280</w:t>
            </w:r>
          </w:p>
        </w:tc>
        <w:tc>
          <w:tcPr>
            <w:tcW w:w="494"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24 280</w:t>
            </w:r>
          </w:p>
        </w:tc>
      </w:tr>
      <w:tr>
        <w:tblPrEx>
          <w:tblW w:w="5000" w:type="pct"/>
          <w:tblCellMar>
            <w:left w:w="70" w:type="dxa"/>
            <w:right w:w="70" w:type="dxa"/>
          </w:tblCellMar>
          <w:tblLook w:val="04A0"/>
        </w:tblPrEx>
        <w:trPr>
          <w:trHeight w:val="255"/>
        </w:trPr>
        <w:tc>
          <w:tcPr>
            <w:tcW w:w="1530" w:type="pct"/>
            <w:tcBorders>
              <w:top w:val="nil"/>
              <w:left w:val="single" w:sz="4" w:space="0" w:color="auto"/>
              <w:bottom w:val="single" w:sz="4" w:space="0" w:color="auto"/>
              <w:right w:val="single" w:sz="4" w:space="0" w:color="auto"/>
            </w:tcBorders>
            <w:noWrap/>
            <w:textDirection w:val="lrTb"/>
            <w:vAlign w:val="center"/>
            <w:hideMark/>
          </w:tcPr>
          <w:p w:rsidR="009D2A34" w:rsidRPr="002E6296" w:rsidP="006338E5">
            <w:pPr>
              <w:bidi w:val="0"/>
              <w:rPr>
                <w:rFonts w:ascii="Times New Roman" w:hAnsi="Times New Roman" w:cs="Times New Roman"/>
                <w:color w:val="000000"/>
                <w:sz w:val="14"/>
                <w:szCs w:val="14"/>
              </w:rPr>
            </w:pPr>
            <w:r w:rsidRPr="002E6296">
              <w:rPr>
                <w:rFonts w:ascii="Times New Roman" w:hAnsi="Times New Roman" w:cs="Times New Roman"/>
                <w:color w:val="000000"/>
                <w:sz w:val="14"/>
                <w:szCs w:val="14"/>
              </w:rPr>
              <w:t xml:space="preserve">                 kapitálové výdavky 700</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43 907</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54 415</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19 916</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19 916</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19 916</w:t>
            </w:r>
          </w:p>
        </w:tc>
        <w:tc>
          <w:tcPr>
            <w:tcW w:w="496"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19 916</w:t>
            </w:r>
          </w:p>
        </w:tc>
        <w:tc>
          <w:tcPr>
            <w:tcW w:w="494" w:type="pct"/>
            <w:tcBorders>
              <w:top w:val="nil"/>
              <w:left w:val="nil"/>
              <w:bottom w:val="single" w:sz="4" w:space="0" w:color="auto"/>
              <w:right w:val="single" w:sz="4" w:space="0" w:color="auto"/>
            </w:tcBorders>
            <w:noWrap/>
            <w:textDirection w:val="lrTb"/>
            <w:vAlign w:val="center"/>
            <w:hideMark/>
          </w:tcPr>
          <w:p w:rsidR="009D2A34" w:rsidRPr="002E6296" w:rsidP="006338E5">
            <w:pPr>
              <w:bidi w:val="0"/>
              <w:jc w:val="right"/>
              <w:rPr>
                <w:rFonts w:ascii="Times New Roman" w:hAnsi="Times New Roman" w:cs="Times New Roman"/>
                <w:color w:val="000000"/>
                <w:sz w:val="14"/>
                <w:szCs w:val="14"/>
              </w:rPr>
            </w:pPr>
            <w:r w:rsidRPr="002E6296">
              <w:rPr>
                <w:rFonts w:ascii="Times New Roman" w:hAnsi="Times New Roman" w:cs="Times New Roman"/>
                <w:color w:val="000000"/>
                <w:sz w:val="14"/>
                <w:szCs w:val="14"/>
              </w:rPr>
              <w:t>19 916</w:t>
            </w:r>
          </w:p>
        </w:tc>
      </w:tr>
    </w:tbl>
    <w:p w:rsidR="009D2A34" w:rsidRPr="002E6296" w:rsidP="009D2A34">
      <w:pPr>
        <w:bidi w:val="0"/>
        <w:jc w:val="both"/>
        <w:rPr>
          <w:rFonts w:ascii="Times New Roman" w:hAnsi="Times New Roman" w:cs="Times New Roman"/>
        </w:rPr>
      </w:pPr>
    </w:p>
    <w:p w:rsidR="009D2A34" w:rsidRPr="002E6296" w:rsidP="009D2A34">
      <w:pPr>
        <w:bidi w:val="0"/>
        <w:ind w:firstLine="708"/>
        <w:jc w:val="both"/>
        <w:rPr>
          <w:rFonts w:ascii="Times New Roman" w:hAnsi="Times New Roman" w:cs="Times New Roman"/>
          <w:bCs/>
        </w:rPr>
      </w:pPr>
      <w:r w:rsidRPr="002E6296">
        <w:rPr>
          <w:rFonts w:ascii="Times New Roman" w:hAnsi="Times New Roman" w:cs="Times New Roman"/>
          <w:bCs/>
        </w:rPr>
        <w:t>Výdavky úradu sa v roku 2013 rozpočtujú v sume 2,1</w:t>
      </w:r>
      <w:r w:rsidRPr="002E6296">
        <w:rPr>
          <w:rFonts w:ascii="Times New Roman" w:hAnsi="Times New Roman" w:cs="Times New Roman"/>
        </w:rPr>
        <w:t xml:space="preserve"> mil. eur, čo v porovnaní so schváleným rozpočtom roka 2012 predstavuje pokles o 1 %</w:t>
      </w:r>
      <w:r w:rsidRPr="002E6296">
        <w:rPr>
          <w:rFonts w:ascii="Times New Roman" w:hAnsi="Times New Roman" w:cs="Times New Roman"/>
          <w:bCs/>
        </w:rPr>
        <w:t>.</w:t>
      </w:r>
    </w:p>
    <w:p w:rsidR="009D2A34" w:rsidRPr="002E6296" w:rsidP="009D2A34">
      <w:pPr>
        <w:bidi w:val="0"/>
        <w:ind w:firstLine="708"/>
        <w:jc w:val="both"/>
        <w:rPr>
          <w:rFonts w:ascii="Times New Roman" w:hAnsi="Times New Roman" w:cs="Times New Roman"/>
          <w:bCs/>
        </w:rPr>
      </w:pPr>
    </w:p>
    <w:p w:rsidR="009D2A34" w:rsidRPr="002E6296" w:rsidP="009D2A34">
      <w:pPr>
        <w:bidi w:val="0"/>
        <w:ind w:firstLine="708"/>
        <w:jc w:val="both"/>
        <w:rPr>
          <w:rFonts w:ascii="Times New Roman" w:hAnsi="Times New Roman" w:cs="Times New Roman"/>
        </w:rPr>
      </w:pPr>
      <w:r w:rsidRPr="002E6296">
        <w:rPr>
          <w:rFonts w:ascii="Times New Roman" w:hAnsi="Times New Roman" w:cs="Times New Roman"/>
          <w:bCs/>
        </w:rPr>
        <w:t xml:space="preserve">Objem osobných výdavkov sa na rok 2013 rozpočtuje na úrovni 1,5 mil. eur, čo v porovnaní so schváleným rozpočtom roka 2012 predstavuje pokles o 1,4 %. </w:t>
      </w:r>
    </w:p>
    <w:p w:rsidR="009D2A34" w:rsidRPr="002E6296" w:rsidP="009D2A34">
      <w:pPr>
        <w:bidi w:val="0"/>
        <w:ind w:firstLine="708"/>
        <w:jc w:val="both"/>
        <w:rPr>
          <w:rFonts w:ascii="Times New Roman" w:hAnsi="Times New Roman" w:cs="Times New Roman"/>
          <w:bCs/>
        </w:rPr>
      </w:pPr>
    </w:p>
    <w:p w:rsidR="009D2A34" w:rsidRPr="002E6296" w:rsidP="009D2A34">
      <w:pPr>
        <w:bidi w:val="0"/>
        <w:ind w:firstLine="708"/>
        <w:jc w:val="both"/>
        <w:rPr>
          <w:rFonts w:ascii="Times New Roman" w:hAnsi="Times New Roman" w:cs="Times New Roman"/>
          <w:bCs/>
        </w:rPr>
      </w:pPr>
      <w:r w:rsidRPr="002E6296">
        <w:rPr>
          <w:rFonts w:ascii="Times New Roman" w:hAnsi="Times New Roman" w:cs="Times New Roman"/>
          <w:bCs/>
        </w:rPr>
        <w:t>Výdavky na prevádzku v roku 2013 v sume 554 tis. eur sú rozpočtované vo výške schváleného rozpočtu roku 2012.</w:t>
      </w:r>
    </w:p>
    <w:p w:rsidR="009D2A34" w:rsidRPr="002E6296" w:rsidP="009D2A34">
      <w:pPr>
        <w:bidi w:val="0"/>
        <w:ind w:firstLine="708"/>
        <w:jc w:val="both"/>
        <w:rPr>
          <w:rFonts w:ascii="Times New Roman" w:hAnsi="Times New Roman" w:cs="Times New Roman"/>
          <w:bCs/>
        </w:rPr>
      </w:pPr>
    </w:p>
    <w:p w:rsidR="009D2A34" w:rsidRPr="002E6296" w:rsidP="009D2A34">
      <w:pPr>
        <w:pStyle w:val="NormalWeb"/>
        <w:bidi w:val="0"/>
        <w:spacing w:before="0" w:beforeAutospacing="0" w:after="0" w:afterAutospacing="0"/>
        <w:ind w:firstLine="708"/>
        <w:jc w:val="both"/>
        <w:rPr>
          <w:rFonts w:ascii="Times New Roman" w:hAnsi="Times New Roman"/>
        </w:rPr>
      </w:pPr>
      <w:r w:rsidRPr="002E6296">
        <w:rPr>
          <w:rFonts w:ascii="Times New Roman" w:hAnsi="Times New Roman"/>
        </w:rPr>
        <w:t>Výdavky na bežné transfery sú v roku 2013 v objeme 24,3 tis. eur rozpočtované na úrovni schváleného rozpočtu roku 2012.</w:t>
      </w:r>
    </w:p>
    <w:p w:rsidR="009D2A34" w:rsidRPr="002E6296" w:rsidP="009D2A34">
      <w:pPr>
        <w:bidi w:val="0"/>
        <w:ind w:firstLine="708"/>
        <w:jc w:val="both"/>
        <w:rPr>
          <w:rFonts w:ascii="Times New Roman" w:hAnsi="Times New Roman" w:cs="Times New Roman"/>
          <w:bCs/>
        </w:rPr>
      </w:pPr>
    </w:p>
    <w:p w:rsidR="009D2A34" w:rsidRPr="002E6296" w:rsidP="009D2A34">
      <w:pPr>
        <w:pStyle w:val="NormalWeb"/>
        <w:bidi w:val="0"/>
        <w:spacing w:before="0" w:beforeAutospacing="0" w:after="0" w:afterAutospacing="0"/>
        <w:ind w:firstLine="708"/>
        <w:jc w:val="both"/>
        <w:rPr>
          <w:rFonts w:ascii="Times New Roman" w:hAnsi="Times New Roman"/>
        </w:rPr>
      </w:pPr>
      <w:r w:rsidRPr="002E6296">
        <w:rPr>
          <w:rFonts w:ascii="Times New Roman" w:hAnsi="Times New Roman"/>
        </w:rPr>
        <w:t xml:space="preserve">Objem kapitálových výdavkov rozpočtovaných na rok 2013 v sume 19,9 tis. eur je na </w:t>
      </w:r>
      <w:r w:rsidR="00522E7E">
        <w:rPr>
          <w:rFonts w:ascii="Times New Roman" w:hAnsi="Times New Roman"/>
        </w:rPr>
        <w:t>rovnakej</w:t>
      </w:r>
      <w:r w:rsidRPr="002E6296">
        <w:rPr>
          <w:rFonts w:ascii="Times New Roman" w:hAnsi="Times New Roman"/>
        </w:rPr>
        <w:t xml:space="preserve"> úrovni so schváleným rozpočtom na rok 2012.</w:t>
      </w:r>
    </w:p>
    <w:p w:rsidR="003E7CD4" w:rsidP="009D2A34">
      <w:pPr>
        <w:bidi w:val="0"/>
        <w:jc w:val="both"/>
        <w:rPr>
          <w:rFonts w:ascii="Times New Roman" w:hAnsi="Times New Roman" w:cs="Times New Roman"/>
          <w:lang w:eastAsia="sk-SK"/>
        </w:rPr>
      </w:pPr>
      <w:r w:rsidRPr="002E6296" w:rsidR="009D2A34">
        <w:rPr>
          <w:rFonts w:ascii="Times New Roman" w:hAnsi="Times New Roman" w:cs="Times New Roman"/>
          <w:lang w:eastAsia="sk-SK"/>
        </w:rPr>
        <w:t>  </w:t>
      </w:r>
    </w:p>
    <w:p w:rsidR="00D83F50" w:rsidP="009D2A34">
      <w:pPr>
        <w:bidi w:val="0"/>
        <w:jc w:val="both"/>
        <w:rPr>
          <w:rFonts w:ascii="Times New Roman" w:hAnsi="Times New Roman" w:cs="Times New Roman"/>
          <w:lang w:eastAsia="sk-SK"/>
        </w:rPr>
      </w:pPr>
    </w:p>
    <w:p w:rsidR="00D83F50" w:rsidRPr="002E6296" w:rsidP="009D2A34">
      <w:pPr>
        <w:bidi w:val="0"/>
        <w:jc w:val="both"/>
        <w:rPr>
          <w:rFonts w:ascii="Times New Roman" w:hAnsi="Times New Roman" w:cs="Times New Roman"/>
          <w:lang w:eastAsia="sk-SK"/>
        </w:rPr>
      </w:pPr>
    </w:p>
    <w:p w:rsidR="009D2A34" w:rsidRPr="007A68FB" w:rsidP="009D2A34">
      <w:pPr>
        <w:pBdr>
          <w:bottom w:val="single" w:sz="4" w:space="1" w:color="000000"/>
        </w:pBdr>
        <w:bidi w:val="0"/>
        <w:jc w:val="both"/>
        <w:rPr>
          <w:rFonts w:ascii="Times New Roman" w:hAnsi="Times New Roman" w:cs="Times New Roman"/>
          <w:lang w:eastAsia="sk-SK"/>
        </w:rPr>
      </w:pPr>
      <w:r w:rsidRPr="007A68FB">
        <w:rPr>
          <w:rFonts w:ascii="Times New Roman" w:hAnsi="Times New Roman" w:cs="Times New Roman"/>
          <w:b/>
          <w:bCs/>
          <w:lang w:eastAsia="sk-SK"/>
        </w:rPr>
        <w:t>Národný bezpečnostný úrad</w:t>
      </w:r>
    </w:p>
    <w:p w:rsidR="009D2A34" w:rsidRPr="007A68FB" w:rsidP="009D2A34">
      <w:pPr>
        <w:bidi w:val="0"/>
        <w:jc w:val="both"/>
        <w:rPr>
          <w:rFonts w:ascii="Times New Roman" w:hAnsi="Times New Roman" w:cs="Times New Roman"/>
          <w:lang w:eastAsia="sk-SK"/>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40"/>
        <w:gridCol w:w="977"/>
        <w:gridCol w:w="978"/>
        <w:gridCol w:w="978"/>
        <w:gridCol w:w="978"/>
        <w:gridCol w:w="978"/>
        <w:gridCol w:w="978"/>
        <w:gridCol w:w="978"/>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7A68FB" w:rsidP="006338E5">
            <w:pPr>
              <w:bidi w:val="0"/>
              <w:rPr>
                <w:rFonts w:ascii="Times New Roman" w:hAnsi="Times New Roman" w:cs="Times New Roman"/>
                <w:b/>
                <w:bCs/>
                <w:color w:val="000000"/>
                <w:sz w:val="14"/>
                <w:szCs w:val="14"/>
                <w:lang w:eastAsia="sk-SK"/>
              </w:rPr>
            </w:pPr>
            <w:bookmarkStart w:id="61" w:name="RANGE!B2"/>
            <w:bookmarkEnd w:id="61"/>
            <w:r w:rsidRPr="007A68FB">
              <w:rPr>
                <w:rFonts w:ascii="Times New Roman" w:hAnsi="Times New Roman" w:cs="Times New Roman"/>
                <w:b/>
                <w:bCs/>
                <w:color w:val="000000"/>
                <w:sz w:val="14"/>
                <w:szCs w:val="14"/>
                <w:lang w:eastAsia="sk-SK"/>
              </w:rPr>
              <w:t>v eurách</w:t>
            </w:r>
          </w:p>
        </w:tc>
        <w:tc>
          <w:tcPr>
            <w:tcW w:w="977"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2010 S</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2011 S</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2012 R</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2012 OS</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2013 N</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2014 N</w:t>
            </w:r>
          </w:p>
        </w:tc>
        <w:tc>
          <w:tcPr>
            <w:tcW w:w="97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2015 N</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7A68FB" w:rsidP="006338E5">
            <w:pPr>
              <w:bidi w:val="0"/>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Zdroje príslušnej kapitoly</w:t>
            </w:r>
          </w:p>
        </w:tc>
        <w:tc>
          <w:tcPr>
            <w:tcW w:w="97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8 528 648</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7 766 774</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7 889 654</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b/>
                <w:bCs/>
                <w:color w:val="000000"/>
                <w:sz w:val="14"/>
                <w:szCs w:val="14"/>
              </w:rPr>
            </w:pPr>
            <w:r w:rsidRPr="007A68FB">
              <w:rPr>
                <w:rFonts w:ascii="Times New Roman" w:hAnsi="Times New Roman" w:cs="Times New Roman"/>
                <w:b/>
                <w:bCs/>
                <w:color w:val="000000"/>
                <w:sz w:val="14"/>
                <w:szCs w:val="14"/>
                <w:lang w:eastAsia="sk-SK"/>
              </w:rPr>
              <w:t>13 093 554</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7 689 990</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7 691 599</w:t>
            </w:r>
          </w:p>
        </w:tc>
        <w:tc>
          <w:tcPr>
            <w:tcW w:w="97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7 696 519</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 xml:space="preserve">rozpočtové zdroje kapitoly </w:t>
            </w:r>
          </w:p>
        </w:tc>
        <w:tc>
          <w:tcPr>
            <w:tcW w:w="97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8 528 648</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7 766 774</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7 889 654</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b/>
                <w:color w:val="000000"/>
                <w:sz w:val="14"/>
                <w:szCs w:val="14"/>
              </w:rPr>
            </w:pPr>
            <w:r w:rsidRPr="007A68FB">
              <w:rPr>
                <w:rFonts w:ascii="Times New Roman" w:hAnsi="Times New Roman" w:cs="Times New Roman"/>
                <w:b/>
                <w:color w:val="000000"/>
                <w:sz w:val="14"/>
                <w:szCs w:val="14"/>
                <w:lang w:eastAsia="sk-SK"/>
              </w:rPr>
              <w:t>12 889 654</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7 689 990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7 691 599</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7 696 519</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 v tom: bežné výdavky  600</w:t>
            </w:r>
          </w:p>
        </w:tc>
        <w:tc>
          <w:tcPr>
            <w:tcW w:w="97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8 226 683</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7 749 422</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7 839 863</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7 707 110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7 689 990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7 691 599</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7 696 519</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                      610 mzdy</w:t>
            </w:r>
          </w:p>
        </w:tc>
        <w:tc>
          <w:tcPr>
            <w:tcW w:w="97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4 628 834</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4 379 687</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4 381 552</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4 381 552</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4 378 313</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4 379 624</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4 383 634</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                      620 odvody</w:t>
            </w:r>
          </w:p>
        </w:tc>
        <w:tc>
          <w:tcPr>
            <w:tcW w:w="97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1 450 009</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1 393 869</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1 454 576</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1 454 576</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1 452 591</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1 452 889</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1 453 799</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                      630 tovary a služby</w:t>
            </w:r>
          </w:p>
        </w:tc>
        <w:tc>
          <w:tcPr>
            <w:tcW w:w="97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1 955 487</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1 758 197</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1 944 402</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1 765 982</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1 743 686</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1 743 686</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1 743 686</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                      640 bežné transfery</w:t>
            </w:r>
          </w:p>
        </w:tc>
        <w:tc>
          <w:tcPr>
            <w:tcW w:w="97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192 353</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217 669</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59 333</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105 000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115 400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115 400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115 400</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              kapitálové výdavky 700</w:t>
            </w:r>
          </w:p>
        </w:tc>
        <w:tc>
          <w:tcPr>
            <w:tcW w:w="97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301 965</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17 352</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49 791</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5 182 544</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0</w:t>
            </w:r>
          </w:p>
        </w:tc>
      </w:tr>
      <w:tr>
        <w:tblPrEx>
          <w:tblW w:w="9085" w:type="dxa"/>
          <w:tblInd w:w="57" w:type="dxa"/>
          <w:tblLayout w:type="fixed"/>
          <w:tblCellMar>
            <w:left w:w="70" w:type="dxa"/>
            <w:right w:w="70" w:type="dxa"/>
          </w:tblCellMar>
          <w:tblLook w:val="04A0"/>
        </w:tblPrEx>
        <w:trPr>
          <w:trHeight w:val="261"/>
        </w:trPr>
        <w:tc>
          <w:tcPr>
            <w:tcW w:w="224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presun z minulých rokov</w:t>
            </w:r>
          </w:p>
        </w:tc>
        <w:tc>
          <w:tcPr>
            <w:tcW w:w="97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203 900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0</w:t>
            </w:r>
          </w:p>
        </w:tc>
        <w:tc>
          <w:tcPr>
            <w:tcW w:w="97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b/>
                <w:color w:val="000000"/>
                <w:sz w:val="14"/>
                <w:szCs w:val="14"/>
                <w:lang w:eastAsia="sk-SK"/>
              </w:rPr>
            </w:pPr>
            <w:r w:rsidRPr="007A68FB">
              <w:rPr>
                <w:rFonts w:ascii="Times New Roman" w:hAnsi="Times New Roman" w:cs="Times New Roman"/>
                <w:b/>
                <w:color w:val="000000"/>
                <w:sz w:val="14"/>
                <w:szCs w:val="14"/>
                <w:lang w:eastAsia="sk-SK"/>
              </w:rPr>
              <w:t>0</w:t>
            </w:r>
          </w:p>
        </w:tc>
      </w:tr>
    </w:tbl>
    <w:p w:rsidR="009D2A34" w:rsidRPr="007A68FB" w:rsidP="009D2A34">
      <w:pPr>
        <w:bidi w:val="0"/>
        <w:jc w:val="both"/>
        <w:rPr>
          <w:rFonts w:ascii="Times New Roman" w:hAnsi="Times New Roman" w:cs="Times New Roman"/>
          <w:lang w:eastAsia="sk-SK"/>
        </w:rPr>
      </w:pPr>
    </w:p>
    <w:p w:rsidR="009D2A34" w:rsidRPr="007A68FB" w:rsidP="009D2A34">
      <w:pPr>
        <w:bidi w:val="0"/>
        <w:ind w:firstLine="708"/>
        <w:jc w:val="both"/>
        <w:rPr>
          <w:rFonts w:ascii="Times New Roman" w:hAnsi="Times New Roman" w:cs="Times New Roman"/>
        </w:rPr>
      </w:pPr>
      <w:r w:rsidRPr="007A68FB">
        <w:rPr>
          <w:rFonts w:ascii="Times New Roman" w:hAnsi="Times New Roman" w:cs="Times New Roman"/>
        </w:rPr>
        <w:t>Celkové výdavky kapitoly na rok 2013 sa rozpočtujú v sume 7,69 mil. eur, čo predstavuje oproti schválenému rozpočtu roku 2012 pokles o 200 tis. eur, t.</w:t>
      </w:r>
      <w:r w:rsidR="009F409E">
        <w:rPr>
          <w:rFonts w:ascii="Times New Roman" w:hAnsi="Times New Roman" w:cs="Times New Roman"/>
        </w:rPr>
        <w:t xml:space="preserve"> </w:t>
      </w:r>
      <w:r w:rsidRPr="007A68FB">
        <w:rPr>
          <w:rFonts w:ascii="Times New Roman" w:hAnsi="Times New Roman" w:cs="Times New Roman"/>
        </w:rPr>
        <w:t xml:space="preserve">j. o 2,53 %. </w:t>
      </w:r>
    </w:p>
    <w:p w:rsidR="009D2A34" w:rsidRPr="007A68FB" w:rsidP="009D2A34">
      <w:pPr>
        <w:bidi w:val="0"/>
        <w:ind w:firstLine="708"/>
        <w:jc w:val="both"/>
        <w:rPr>
          <w:rFonts w:ascii="Times New Roman" w:hAnsi="Times New Roman" w:cs="Times New Roman"/>
        </w:rPr>
      </w:pPr>
    </w:p>
    <w:p w:rsidR="009D2A34" w:rsidRPr="007A68FB" w:rsidP="009D2A34">
      <w:pPr>
        <w:bidi w:val="0"/>
        <w:ind w:firstLine="708"/>
        <w:jc w:val="both"/>
        <w:rPr>
          <w:rFonts w:ascii="Times New Roman" w:hAnsi="Times New Roman" w:cs="Times New Roman"/>
        </w:rPr>
      </w:pPr>
      <w:r w:rsidRPr="007A68FB">
        <w:rPr>
          <w:rFonts w:ascii="Times New Roman" w:hAnsi="Times New Roman" w:cs="Times New Roman"/>
        </w:rPr>
        <w:t>Osobné výdavky na rok 2013 sa rozpočtujú v sume 5,83 mil. eur, čo predstavuje oproti schválenému rozpočtu roku 2012 pokles o 5,22 tis. eur, t.</w:t>
      </w:r>
      <w:r w:rsidR="009F409E">
        <w:rPr>
          <w:rFonts w:ascii="Times New Roman" w:hAnsi="Times New Roman" w:cs="Times New Roman"/>
        </w:rPr>
        <w:t xml:space="preserve"> </w:t>
      </w:r>
      <w:r w:rsidRPr="007A68FB">
        <w:rPr>
          <w:rFonts w:ascii="Times New Roman" w:hAnsi="Times New Roman" w:cs="Times New Roman"/>
        </w:rPr>
        <w:t xml:space="preserve">j. o 0,09 %. </w:t>
      </w:r>
    </w:p>
    <w:p w:rsidR="009D2A34" w:rsidRPr="007A68FB" w:rsidP="009D2A34">
      <w:pPr>
        <w:bidi w:val="0"/>
        <w:ind w:firstLine="708"/>
        <w:jc w:val="both"/>
        <w:rPr>
          <w:rFonts w:ascii="Times New Roman" w:hAnsi="Times New Roman" w:cs="Times New Roman"/>
        </w:rPr>
      </w:pPr>
    </w:p>
    <w:p w:rsidR="009D2A34" w:rsidRPr="007A68FB" w:rsidP="009D2A34">
      <w:pPr>
        <w:bidi w:val="0"/>
        <w:ind w:firstLine="708"/>
        <w:jc w:val="both"/>
        <w:rPr>
          <w:rFonts w:ascii="Times New Roman" w:hAnsi="Times New Roman" w:cs="Times New Roman"/>
        </w:rPr>
      </w:pPr>
      <w:r w:rsidRPr="007A68FB">
        <w:rPr>
          <w:rFonts w:ascii="Times New Roman" w:hAnsi="Times New Roman" w:cs="Times New Roman"/>
        </w:rPr>
        <w:t xml:space="preserve">Výdavky na tovary a služby sú </w:t>
      </w:r>
      <w:r w:rsidR="00522E7E">
        <w:rPr>
          <w:rFonts w:ascii="Times New Roman" w:hAnsi="Times New Roman" w:cs="Times New Roman"/>
        </w:rPr>
        <w:t>na</w:t>
      </w:r>
      <w:r w:rsidRPr="007A68FB">
        <w:rPr>
          <w:rFonts w:ascii="Times New Roman" w:hAnsi="Times New Roman" w:cs="Times New Roman"/>
        </w:rPr>
        <w:t xml:space="preserve"> rok 2013 navrhnuté v objeme 1,74 mil. eur, čo predstavuje pokles oproti schválenému rozpočtu roku 2012 o sumu 201 tis. eur, t.</w:t>
      </w:r>
      <w:r w:rsidR="009F409E">
        <w:rPr>
          <w:rFonts w:ascii="Times New Roman" w:hAnsi="Times New Roman" w:cs="Times New Roman"/>
        </w:rPr>
        <w:t xml:space="preserve"> </w:t>
      </w:r>
      <w:r w:rsidRPr="007A68FB">
        <w:rPr>
          <w:rFonts w:ascii="Times New Roman" w:hAnsi="Times New Roman" w:cs="Times New Roman"/>
        </w:rPr>
        <w:t xml:space="preserve">j. o 10,3 %.  </w:t>
      </w:r>
    </w:p>
    <w:p w:rsidR="009D2A34" w:rsidRPr="007A68FB" w:rsidP="009D2A34">
      <w:pPr>
        <w:bidi w:val="0"/>
        <w:ind w:firstLine="708"/>
        <w:jc w:val="both"/>
        <w:rPr>
          <w:rFonts w:ascii="Times New Roman" w:hAnsi="Times New Roman" w:cs="Times New Roman"/>
        </w:rPr>
      </w:pPr>
    </w:p>
    <w:p w:rsidR="009D2A34" w:rsidRPr="007A68FB" w:rsidP="009D2A34">
      <w:pPr>
        <w:bidi w:val="0"/>
        <w:ind w:firstLine="708"/>
        <w:jc w:val="both"/>
        <w:rPr>
          <w:rFonts w:ascii="Times New Roman" w:hAnsi="Times New Roman" w:cs="Times New Roman"/>
        </w:rPr>
      </w:pPr>
      <w:r w:rsidRPr="007A68FB">
        <w:rPr>
          <w:rFonts w:ascii="Times New Roman" w:hAnsi="Times New Roman" w:cs="Times New Roman"/>
        </w:rPr>
        <w:t>Bežné transfery na rok 2013 sa rozpočtujú v sume 115 tis. eur, čo predstavuje oproti schválenému rozpočtu roku 2012 nárast o 56,1 tis. eur, t.</w:t>
      </w:r>
      <w:r w:rsidR="009F409E">
        <w:rPr>
          <w:rFonts w:ascii="Times New Roman" w:hAnsi="Times New Roman" w:cs="Times New Roman"/>
        </w:rPr>
        <w:t xml:space="preserve"> </w:t>
      </w:r>
      <w:r w:rsidRPr="007A68FB">
        <w:rPr>
          <w:rFonts w:ascii="Times New Roman" w:hAnsi="Times New Roman" w:cs="Times New Roman"/>
        </w:rPr>
        <w:t xml:space="preserve">j. o 94,5 %. Tento nárast bol ovplyvnený tým, že na rok 2013 sa nerozpočtujú kapitálové výdavky, ktoré boli v roku 2012 rozpočtované v sume 49,8 tis. eur.  </w:t>
      </w:r>
    </w:p>
    <w:p w:rsidR="009D2A34" w:rsidRPr="007A68FB" w:rsidP="009D2A34">
      <w:pPr>
        <w:bidi w:val="0"/>
        <w:ind w:firstLine="708"/>
        <w:jc w:val="both"/>
        <w:rPr>
          <w:rFonts w:ascii="Times New Roman" w:hAnsi="Times New Roman" w:cs="Times New Roman"/>
        </w:rPr>
      </w:pPr>
    </w:p>
    <w:p w:rsidR="009D2A34" w:rsidRPr="007A68FB" w:rsidP="009D2A34">
      <w:pPr>
        <w:bidi w:val="0"/>
        <w:ind w:firstLine="708"/>
        <w:jc w:val="both"/>
        <w:rPr>
          <w:rFonts w:ascii="Times New Roman" w:hAnsi="Times New Roman" w:cs="Times New Roman"/>
        </w:rPr>
      </w:pPr>
      <w:r w:rsidRPr="007A68FB">
        <w:rPr>
          <w:rFonts w:ascii="Times New Roman" w:hAnsi="Times New Roman" w:cs="Times New Roman"/>
        </w:rPr>
        <w:t xml:space="preserve">Kapitola nerozpočtuje kapitálové výdavky. </w:t>
      </w:r>
    </w:p>
    <w:p w:rsidR="009D2A34" w:rsidRPr="007A68FB" w:rsidP="009D2A34">
      <w:pPr>
        <w:bidi w:val="0"/>
        <w:ind w:firstLine="708"/>
        <w:jc w:val="both"/>
        <w:rPr>
          <w:rFonts w:ascii="Times New Roman" w:hAnsi="Times New Roman" w:cs="Times New Roman"/>
        </w:rPr>
      </w:pPr>
    </w:p>
    <w:p w:rsidR="009D2A34" w:rsidRPr="007A68FB" w:rsidP="009D2A34">
      <w:pPr>
        <w:bidi w:val="0"/>
        <w:ind w:firstLine="708"/>
        <w:jc w:val="both"/>
        <w:rPr>
          <w:rFonts w:ascii="Times New Roman" w:hAnsi="Times New Roman" w:cs="Times New Roman"/>
        </w:rPr>
      </w:pPr>
      <w:r w:rsidRPr="007A68FB">
        <w:rPr>
          <w:rFonts w:ascii="Times New Roman" w:hAnsi="Times New Roman" w:cs="Times New Roman"/>
        </w:rPr>
        <w:t xml:space="preserve">Výdavky kapitoly sa rozpočtujú na plnenie úloh na úseku ochrany utajovaných skutočností, bezpečnosti komunikačných a informačných systémov a elektronického podpisu. </w:t>
      </w:r>
    </w:p>
    <w:p w:rsidR="009D2A34" w:rsidRPr="007A68FB" w:rsidP="009D2A34">
      <w:pPr>
        <w:bidi w:val="0"/>
        <w:ind w:firstLine="708"/>
        <w:jc w:val="both"/>
        <w:rPr>
          <w:rFonts w:ascii="Times New Roman" w:hAnsi="Times New Roman" w:cs="Times New Roman"/>
        </w:rPr>
      </w:pPr>
    </w:p>
    <w:tbl>
      <w:tblPr>
        <w:tblStyle w:val="TableNormal"/>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60"/>
        <w:gridCol w:w="917"/>
        <w:gridCol w:w="918"/>
        <w:gridCol w:w="918"/>
        <w:gridCol w:w="918"/>
        <w:gridCol w:w="918"/>
        <w:gridCol w:w="918"/>
        <w:gridCol w:w="918"/>
      </w:tblGrid>
      <w:tr>
        <w:tblPrEx>
          <w:tblW w:w="90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61"/>
        </w:trPr>
        <w:tc>
          <w:tcPr>
            <w:tcW w:w="266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9D2A34" w:rsidRPr="007A68FB" w:rsidP="006338E5">
            <w:pPr>
              <w:bidi w:val="0"/>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v eurách</w:t>
            </w:r>
          </w:p>
        </w:tc>
        <w:tc>
          <w:tcPr>
            <w:tcW w:w="917"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2010 S</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2011 S</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2012 R</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2012 OS</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2013 N</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2014 N</w:t>
            </w:r>
          </w:p>
        </w:tc>
        <w:tc>
          <w:tcPr>
            <w:tcW w:w="918" w:type="dxa"/>
            <w:tcBorders>
              <w:top w:val="single" w:sz="4" w:space="0" w:color="auto"/>
              <w:left w:val="single" w:sz="4" w:space="0" w:color="auto"/>
              <w:bottom w:val="single" w:sz="4" w:space="0" w:color="auto"/>
              <w:right w:val="single" w:sz="4" w:space="0" w:color="auto"/>
            </w:tcBorders>
            <w:shd w:val="clear" w:color="000000" w:fill="A5A5A5"/>
            <w:noWrap/>
            <w:textDirection w:val="lrTb"/>
            <w:vAlign w:val="center"/>
            <w:hideMark/>
          </w:tcPr>
          <w:p w:rsidR="009D2A34" w:rsidRPr="007A68FB" w:rsidP="006338E5">
            <w:pPr>
              <w:bidi w:val="0"/>
              <w:jc w:val="center"/>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2015 N</w:t>
            </w:r>
          </w:p>
        </w:tc>
      </w:tr>
      <w:tr>
        <w:tblPrEx>
          <w:tblW w:w="9085" w:type="dxa"/>
          <w:tblInd w:w="57" w:type="dxa"/>
          <w:tblLayout w:type="fixed"/>
          <w:tblCellMar>
            <w:left w:w="70" w:type="dxa"/>
            <w:right w:w="70" w:type="dxa"/>
          </w:tblCellMar>
          <w:tblLook w:val="04A0"/>
        </w:tblPrEx>
        <w:trPr>
          <w:trHeight w:val="261"/>
        </w:trPr>
        <w:tc>
          <w:tcPr>
            <w:tcW w:w="2660" w:type="dxa"/>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D2A34" w:rsidRPr="007A68FB" w:rsidP="006338E5">
            <w:pPr>
              <w:bidi w:val="0"/>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Bezpečnosť informácií</w:t>
            </w:r>
          </w:p>
        </w:tc>
        <w:tc>
          <w:tcPr>
            <w:tcW w:w="917"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8 528 648</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7 766 774</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7 889 654</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b/>
                <w:bCs/>
                <w:color w:val="000000"/>
                <w:sz w:val="14"/>
                <w:szCs w:val="14"/>
              </w:rPr>
            </w:pPr>
            <w:r w:rsidRPr="007A68FB">
              <w:rPr>
                <w:rFonts w:ascii="Times New Roman" w:hAnsi="Times New Roman" w:cs="Times New Roman"/>
                <w:b/>
                <w:bCs/>
                <w:color w:val="000000"/>
                <w:sz w:val="14"/>
                <w:szCs w:val="14"/>
                <w:lang w:eastAsia="sk-SK"/>
              </w:rPr>
              <w:t>13 093 554</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7 689 990</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7 691 599</w:t>
            </w:r>
          </w:p>
        </w:tc>
        <w:tc>
          <w:tcPr>
            <w:tcW w:w="918"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D2A34" w:rsidRPr="007A68FB" w:rsidP="006338E5">
            <w:pPr>
              <w:bidi w:val="0"/>
              <w:jc w:val="right"/>
              <w:rPr>
                <w:rFonts w:ascii="Times New Roman" w:hAnsi="Times New Roman" w:cs="Times New Roman"/>
                <w:b/>
                <w:bCs/>
                <w:color w:val="000000"/>
                <w:sz w:val="14"/>
                <w:szCs w:val="14"/>
                <w:lang w:eastAsia="sk-SK"/>
              </w:rPr>
            </w:pPr>
            <w:r w:rsidRPr="007A68FB">
              <w:rPr>
                <w:rFonts w:ascii="Times New Roman" w:hAnsi="Times New Roman" w:cs="Times New Roman"/>
                <w:b/>
                <w:bCs/>
                <w:color w:val="000000"/>
                <w:sz w:val="14"/>
                <w:szCs w:val="14"/>
                <w:lang w:eastAsia="sk-SK"/>
              </w:rPr>
              <w:t>7 696 519</w:t>
            </w:r>
          </w:p>
        </w:tc>
      </w:tr>
      <w:tr>
        <w:tblPrEx>
          <w:tblW w:w="9085" w:type="dxa"/>
          <w:tblInd w:w="57" w:type="dxa"/>
          <w:tblLayout w:type="fixed"/>
          <w:tblCellMar>
            <w:left w:w="70" w:type="dxa"/>
            <w:right w:w="70" w:type="dxa"/>
          </w:tblCellMar>
          <w:tblLook w:val="04A0"/>
        </w:tblPrEx>
        <w:trPr>
          <w:trHeight w:val="261"/>
        </w:trPr>
        <w:tc>
          <w:tcPr>
            <w:tcW w:w="266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Riadenie a podpora programov</w:t>
            </w:r>
          </w:p>
        </w:tc>
        <w:tc>
          <w:tcPr>
            <w:tcW w:w="9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3 720 467</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3 345 567</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3 863 513</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3 781 706</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3 635 837</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3 637 446</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3 642 366</w:t>
            </w:r>
          </w:p>
        </w:tc>
      </w:tr>
      <w:tr>
        <w:tblPrEx>
          <w:tblW w:w="9085" w:type="dxa"/>
          <w:tblInd w:w="57" w:type="dxa"/>
          <w:tblLayout w:type="fixed"/>
          <w:tblCellMar>
            <w:left w:w="70" w:type="dxa"/>
            <w:right w:w="70" w:type="dxa"/>
          </w:tblCellMar>
          <w:tblLook w:val="04A0"/>
        </w:tblPrEx>
        <w:trPr>
          <w:trHeight w:val="261"/>
        </w:trPr>
        <w:tc>
          <w:tcPr>
            <w:tcW w:w="266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Ochrana utajovaných skutočností</w:t>
            </w:r>
          </w:p>
        </w:tc>
        <w:tc>
          <w:tcPr>
            <w:tcW w:w="9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1 808 834</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1 798 057</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1 658 650</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1 701 282</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1 666 997</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1 666 997</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1 666 997</w:t>
            </w:r>
          </w:p>
        </w:tc>
      </w:tr>
      <w:tr>
        <w:tblPrEx>
          <w:tblW w:w="9085" w:type="dxa"/>
          <w:tblInd w:w="57" w:type="dxa"/>
          <w:tblLayout w:type="fixed"/>
          <w:tblCellMar>
            <w:left w:w="70" w:type="dxa"/>
            <w:right w:w="70" w:type="dxa"/>
          </w:tblCellMar>
          <w:tblLook w:val="04A0"/>
        </w:tblPrEx>
        <w:trPr>
          <w:trHeight w:val="261"/>
        </w:trPr>
        <w:tc>
          <w:tcPr>
            <w:tcW w:w="266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Bezpečnosť kom. a informačných systémov</w:t>
            </w:r>
          </w:p>
        </w:tc>
        <w:tc>
          <w:tcPr>
            <w:tcW w:w="9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1 967 192</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1 692 033</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1 477 978</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6 672 752</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1 480 652</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1 480 652</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1 480 652</w:t>
            </w:r>
          </w:p>
        </w:tc>
      </w:tr>
      <w:tr>
        <w:tblPrEx>
          <w:tblW w:w="9085" w:type="dxa"/>
          <w:tblInd w:w="57" w:type="dxa"/>
          <w:tblLayout w:type="fixed"/>
          <w:tblCellMar>
            <w:left w:w="70" w:type="dxa"/>
            <w:right w:w="70" w:type="dxa"/>
          </w:tblCellMar>
          <w:tblLook w:val="04A0"/>
        </w:tblPrEx>
        <w:trPr>
          <w:trHeight w:val="261"/>
        </w:trPr>
        <w:tc>
          <w:tcPr>
            <w:tcW w:w="2660" w:type="dxa"/>
            <w:tcBorders>
              <w:top w:val="single" w:sz="4" w:space="0" w:color="auto"/>
              <w:left w:val="single" w:sz="4" w:space="0" w:color="auto"/>
              <w:bottom w:val="single" w:sz="4" w:space="0" w:color="auto"/>
              <w:right w:val="single" w:sz="4" w:space="0" w:color="auto"/>
            </w:tcBorders>
            <w:textDirection w:val="lrTb"/>
            <w:vAlign w:val="center"/>
            <w:hideMark/>
          </w:tcPr>
          <w:p w:rsidR="009D2A34" w:rsidRPr="007A68FB" w:rsidP="006338E5">
            <w:pPr>
              <w:bidi w:val="0"/>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Elektronický podpis</w:t>
            </w:r>
          </w:p>
        </w:tc>
        <w:tc>
          <w:tcPr>
            <w:tcW w:w="917"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1 032 155</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931 117</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889 513</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937 814</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906 504</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906 504</w:t>
            </w:r>
          </w:p>
        </w:tc>
        <w:tc>
          <w:tcPr>
            <w:tcW w:w="918" w:type="dxa"/>
            <w:tcBorders>
              <w:top w:val="single" w:sz="4" w:space="0" w:color="auto"/>
              <w:left w:val="single" w:sz="4" w:space="0" w:color="auto"/>
              <w:bottom w:val="single" w:sz="4" w:space="0" w:color="auto"/>
              <w:right w:val="single" w:sz="4" w:space="0" w:color="auto"/>
            </w:tcBorders>
            <w:noWrap/>
            <w:textDirection w:val="lrTb"/>
            <w:vAlign w:val="center"/>
            <w:hideMark/>
          </w:tcPr>
          <w:p w:rsidR="009D2A34" w:rsidRPr="007A68FB" w:rsidP="006338E5">
            <w:pPr>
              <w:bidi w:val="0"/>
              <w:jc w:val="right"/>
              <w:rPr>
                <w:rFonts w:ascii="Times New Roman" w:hAnsi="Times New Roman" w:cs="Times New Roman"/>
                <w:color w:val="000000"/>
                <w:sz w:val="14"/>
                <w:szCs w:val="14"/>
                <w:lang w:eastAsia="sk-SK"/>
              </w:rPr>
            </w:pPr>
            <w:r w:rsidRPr="007A68FB">
              <w:rPr>
                <w:rFonts w:ascii="Times New Roman" w:hAnsi="Times New Roman" w:cs="Times New Roman"/>
                <w:color w:val="000000"/>
                <w:sz w:val="14"/>
                <w:szCs w:val="14"/>
                <w:lang w:eastAsia="sk-SK"/>
              </w:rPr>
              <w:t>906 504</w:t>
            </w:r>
          </w:p>
        </w:tc>
      </w:tr>
    </w:tbl>
    <w:p w:rsidR="009D2A34" w:rsidP="009D2A34">
      <w:pPr>
        <w:bidi w:val="0"/>
        <w:jc w:val="both"/>
      </w:pPr>
    </w:p>
    <w:p w:rsidR="003E7CD4" w:rsidP="009D2A34">
      <w:pPr>
        <w:bidi w:val="0"/>
        <w:jc w:val="both"/>
      </w:pPr>
    </w:p>
    <w:p w:rsidR="003E7CD4" w:rsidP="009D2A34">
      <w:pPr>
        <w:bidi w:val="0"/>
        <w:jc w:val="both"/>
      </w:pPr>
    </w:p>
    <w:p w:rsidR="003E7CD4" w:rsidP="009D2A34">
      <w:pPr>
        <w:bidi w:val="0"/>
        <w:jc w:val="both"/>
      </w:pPr>
    </w:p>
    <w:p w:rsidR="003E7CD4" w:rsidP="009D2A34">
      <w:pPr>
        <w:bidi w:val="0"/>
        <w:jc w:val="both"/>
      </w:pPr>
    </w:p>
    <w:p w:rsidR="003E7CD4" w:rsidP="009D2A34">
      <w:pPr>
        <w:bidi w:val="0"/>
        <w:jc w:val="both"/>
      </w:pPr>
    </w:p>
    <w:p w:rsidR="003E7CD4" w:rsidP="009D2A34">
      <w:pPr>
        <w:bidi w:val="0"/>
        <w:jc w:val="both"/>
      </w:pPr>
    </w:p>
    <w:p w:rsidR="003E7CD4" w:rsidP="009D2A34">
      <w:pPr>
        <w:bidi w:val="0"/>
        <w:jc w:val="both"/>
      </w:pPr>
    </w:p>
    <w:p w:rsidR="003E7CD4" w:rsidP="009D2A34">
      <w:pPr>
        <w:bidi w:val="0"/>
        <w:jc w:val="both"/>
      </w:pPr>
    </w:p>
    <w:p w:rsidR="003E7CD4" w:rsidP="009D2A34">
      <w:pPr>
        <w:bidi w:val="0"/>
        <w:jc w:val="both"/>
      </w:pPr>
    </w:p>
    <w:p w:rsidR="003E7CD4" w:rsidP="009D2A34">
      <w:pPr>
        <w:bidi w:val="0"/>
        <w:jc w:val="both"/>
      </w:pPr>
    </w:p>
    <w:p w:rsidR="003E7CD4" w:rsidRPr="007A68FB" w:rsidP="009D2A34">
      <w:pPr>
        <w:bidi w:val="0"/>
        <w:jc w:val="both"/>
      </w:pPr>
    </w:p>
    <w:p w:rsidR="009D2A34" w:rsidRPr="007A68FB" w:rsidP="009D2A34">
      <w:pPr>
        <w:pBdr>
          <w:bottom w:val="single" w:sz="4" w:space="1" w:color="000000"/>
        </w:pBdr>
        <w:bidi w:val="0"/>
        <w:jc w:val="both"/>
        <w:rPr>
          <w:rFonts w:ascii="Times New Roman" w:hAnsi="Times New Roman" w:cs="Times New Roman"/>
          <w:lang w:eastAsia="sk-SK"/>
        </w:rPr>
      </w:pPr>
      <w:r w:rsidRPr="007A68FB">
        <w:rPr>
          <w:rFonts w:ascii="Times New Roman" w:hAnsi="Times New Roman" w:cs="Times New Roman"/>
          <w:b/>
          <w:bCs/>
          <w:lang w:eastAsia="sk-SK"/>
        </w:rPr>
        <w:t>Správa štátnych hmotných rezerv SR</w:t>
      </w:r>
    </w:p>
    <w:p w:rsidR="009D2A34" w:rsidRPr="007A68FB" w:rsidP="009D2A34">
      <w:pPr>
        <w:bidi w:val="0"/>
        <w:rPr>
          <w:rFonts w:ascii="Times New Roman" w:hAnsi="Times New Roman" w:cs="Times New Roman"/>
          <w:lang w:eastAsia="sk-SK"/>
        </w:rPr>
      </w:pPr>
      <w:r w:rsidRPr="007A68FB">
        <w:rPr>
          <w:rFonts w:ascii="Times New Roman" w:hAnsi="Times New Roman" w:cs="Times New Roman"/>
          <w:lang w:eastAsia="sk-SK"/>
        </w:rPr>
        <w:t> </w:t>
      </w:r>
    </w:p>
    <w:tbl>
      <w:tblPr>
        <w:tblStyle w:val="TableNormal"/>
        <w:tblW w:w="9229" w:type="dxa"/>
        <w:tblCellMar>
          <w:left w:w="0" w:type="dxa"/>
          <w:right w:w="0" w:type="dxa"/>
        </w:tblCellMar>
        <w:tblLook w:val="04A0"/>
      </w:tblPr>
      <w:tblGrid>
        <w:gridCol w:w="2425"/>
        <w:gridCol w:w="972"/>
        <w:gridCol w:w="972"/>
        <w:gridCol w:w="972"/>
        <w:gridCol w:w="972"/>
        <w:gridCol w:w="972"/>
        <w:gridCol w:w="972"/>
        <w:gridCol w:w="972"/>
      </w:tblGrid>
      <w:tr>
        <w:tblPrEx>
          <w:tblW w:w="9229" w:type="dxa"/>
          <w:tblCellMar>
            <w:left w:w="0" w:type="dxa"/>
            <w:right w:w="0" w:type="dxa"/>
          </w:tblCellMar>
          <w:tblLook w:val="04A0"/>
        </w:tblPrEx>
        <w:trPr>
          <w:trHeight w:val="261"/>
        </w:trPr>
        <w:tc>
          <w:tcPr>
            <w:tcW w:w="2425"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v eurách</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2010 S</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2011 S</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2012 R</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 xml:space="preserve">2012 OS </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2013 N</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2014 N</w:t>
            </w:r>
          </w:p>
        </w:tc>
        <w:tc>
          <w:tcPr>
            <w:tcW w:w="972" w:type="dxa"/>
            <w:tcBorders>
              <w:top w:val="single" w:sz="4" w:space="0" w:color="000000"/>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2015 N</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Zdroje príslušnej kapitoly</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51 969 745</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59 980 280</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33 191 887</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40 103 451</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32 381 186</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32 382 336</w:t>
            </w:r>
          </w:p>
        </w:tc>
        <w:tc>
          <w:tcPr>
            <w:tcW w:w="972"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32 385 850</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 xml:space="preserve">rozpočtové zdroje kapitoly </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33 478 891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52 406 324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33 191 887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33 191 887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32 381 186</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32 382 336</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32 385 850</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color w:val="000000"/>
                <w:sz w:val="14"/>
                <w:szCs w:val="14"/>
              </w:rPr>
            </w:pPr>
            <w:r w:rsidRPr="007A68FB">
              <w:rPr>
                <w:rFonts w:ascii="Times New Roman" w:hAnsi="Times New Roman" w:cs="Times New Roman"/>
                <w:color w:val="000000"/>
                <w:sz w:val="14"/>
                <w:szCs w:val="14"/>
              </w:rPr>
              <w:t>v tom: bežné výdavky 600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28 697 683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49 850 418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30 316 430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30 316 430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30 902 824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30 489 710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30 930 883</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color w:val="000000"/>
                <w:sz w:val="14"/>
                <w:szCs w:val="14"/>
              </w:rPr>
            </w:pPr>
            <w:r w:rsidRPr="007A68FB">
              <w:rPr>
                <w:rFonts w:ascii="Times New Roman" w:hAnsi="Times New Roman" w:cs="Times New Roman"/>
                <w:color w:val="000000"/>
                <w:sz w:val="14"/>
                <w:szCs w:val="14"/>
              </w:rPr>
              <w:t>                   610 mzdy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1 404 708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1 319 520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1 161 851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1 161 851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1 110 091</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1 110 943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1 113 547</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color w:val="000000"/>
                <w:sz w:val="14"/>
                <w:szCs w:val="14"/>
              </w:rPr>
            </w:pPr>
            <w:r w:rsidRPr="007A68FB">
              <w:rPr>
                <w:rFonts w:ascii="Times New Roman" w:hAnsi="Times New Roman" w:cs="Times New Roman"/>
                <w:color w:val="000000"/>
                <w:sz w:val="14"/>
                <w:szCs w:val="14"/>
              </w:rPr>
              <w:t>                   620 odvody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507 302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483 500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440 387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440 387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422 842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423 380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430 669</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color w:val="000000"/>
                <w:sz w:val="14"/>
                <w:szCs w:val="14"/>
              </w:rPr>
            </w:pPr>
            <w:r w:rsidRPr="007A68FB">
              <w:rPr>
                <w:rFonts w:ascii="Times New Roman" w:hAnsi="Times New Roman" w:cs="Times New Roman"/>
                <w:color w:val="000000"/>
                <w:sz w:val="14"/>
                <w:szCs w:val="14"/>
              </w:rPr>
              <w:t>                   630 tovary a služby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26 729 389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48 021 878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28 688 969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28 663 308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29 341 499</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28 923 995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29 354 975</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color w:val="000000"/>
                <w:sz w:val="14"/>
                <w:szCs w:val="14"/>
              </w:rPr>
            </w:pPr>
            <w:r w:rsidRPr="007A68FB">
              <w:rPr>
                <w:rFonts w:ascii="Times New Roman" w:hAnsi="Times New Roman" w:cs="Times New Roman"/>
                <w:color w:val="000000"/>
                <w:sz w:val="14"/>
                <w:szCs w:val="14"/>
              </w:rPr>
              <w:t>                   640 bežné transfery</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56 284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25 520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25 223</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50 884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28 392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31 392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31 692</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color w:val="000000"/>
                <w:sz w:val="14"/>
                <w:szCs w:val="14"/>
              </w:rPr>
            </w:pPr>
            <w:r w:rsidRPr="007A68FB">
              <w:rPr>
                <w:rFonts w:ascii="Times New Roman" w:hAnsi="Times New Roman" w:cs="Times New Roman"/>
                <w:color w:val="000000"/>
                <w:sz w:val="14"/>
                <w:szCs w:val="14"/>
              </w:rPr>
              <w:t>             kapitálové výdavky 700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4 781 208</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2 555 905</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2 875 457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2 875 457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1 478 362</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1 892 626</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1 454 967</w:t>
            </w:r>
          </w:p>
        </w:tc>
      </w:tr>
      <w:tr>
        <w:tblPrEx>
          <w:tblW w:w="9229" w:type="dxa"/>
          <w:tblCellMar>
            <w:left w:w="0" w:type="dxa"/>
            <w:right w:w="0" w:type="dxa"/>
          </w:tblCellMar>
          <w:tblLook w:val="04A0"/>
        </w:tblPrEx>
        <w:trPr>
          <w:trHeight w:val="261"/>
        </w:trPr>
        <w:tc>
          <w:tcPr>
            <w:tcW w:w="2425"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presun z minulých rokov</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18 490 854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7 573 957</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6 911 564</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0</w:t>
            </w:r>
          </w:p>
        </w:tc>
        <w:tc>
          <w:tcPr>
            <w:tcW w:w="9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b/>
                <w:color w:val="000000"/>
                <w:sz w:val="14"/>
                <w:szCs w:val="14"/>
              </w:rPr>
            </w:pPr>
            <w:r w:rsidRPr="007A68FB">
              <w:rPr>
                <w:rFonts w:ascii="Times New Roman" w:hAnsi="Times New Roman" w:cs="Times New Roman"/>
                <w:b/>
                <w:color w:val="000000"/>
                <w:sz w:val="14"/>
                <w:szCs w:val="14"/>
              </w:rPr>
              <w:t>0</w:t>
            </w:r>
          </w:p>
        </w:tc>
      </w:tr>
    </w:tbl>
    <w:p w:rsidR="009D2A34" w:rsidRPr="007A68FB" w:rsidP="009D2A34">
      <w:pPr>
        <w:bidi w:val="0"/>
        <w:jc w:val="both"/>
        <w:rPr>
          <w:rFonts w:ascii="Times New Roman" w:hAnsi="Times New Roman" w:cs="Times New Roman"/>
          <w:lang w:eastAsia="sk-SK"/>
        </w:rPr>
      </w:pPr>
    </w:p>
    <w:p w:rsidR="009D2A34" w:rsidRPr="007A68FB" w:rsidP="009D2A34">
      <w:pPr>
        <w:bidi w:val="0"/>
        <w:ind w:firstLine="708"/>
        <w:jc w:val="both"/>
        <w:rPr>
          <w:rFonts w:ascii="Times New Roman" w:hAnsi="Times New Roman" w:cs="Times New Roman"/>
        </w:rPr>
      </w:pPr>
      <w:r w:rsidRPr="007A68FB">
        <w:rPr>
          <w:rFonts w:ascii="Times New Roman" w:hAnsi="Times New Roman" w:cs="Times New Roman"/>
        </w:rPr>
        <w:t>Celkové výdavky na rok 2013 sa rozpočtujú v sume 32,4 mil. eur, čo predstavuje oproti schválenému rozpočtu roku 2012 pokles o sumu 811 tis. eur, t.</w:t>
      </w:r>
      <w:r w:rsidR="009F409E">
        <w:rPr>
          <w:rFonts w:ascii="Times New Roman" w:hAnsi="Times New Roman" w:cs="Times New Roman"/>
        </w:rPr>
        <w:t xml:space="preserve"> </w:t>
      </w:r>
      <w:r w:rsidRPr="007A68FB">
        <w:rPr>
          <w:rFonts w:ascii="Times New Roman" w:hAnsi="Times New Roman" w:cs="Times New Roman"/>
        </w:rPr>
        <w:t xml:space="preserve">j. o 2,44 %. </w:t>
      </w:r>
    </w:p>
    <w:p w:rsidR="009D2A34" w:rsidRPr="007A68FB" w:rsidP="009D2A34">
      <w:pPr>
        <w:bidi w:val="0"/>
        <w:jc w:val="both"/>
        <w:rPr>
          <w:rFonts w:ascii="Times New Roman" w:hAnsi="Times New Roman" w:cs="Times New Roman"/>
        </w:rPr>
      </w:pPr>
    </w:p>
    <w:p w:rsidR="009D2A34" w:rsidRPr="007A68FB" w:rsidP="009D2A34">
      <w:pPr>
        <w:bidi w:val="0"/>
        <w:ind w:firstLine="708"/>
        <w:jc w:val="both"/>
        <w:rPr>
          <w:rFonts w:ascii="Times New Roman" w:hAnsi="Times New Roman" w:cs="Times New Roman"/>
        </w:rPr>
      </w:pPr>
      <w:r w:rsidRPr="007A68FB">
        <w:rPr>
          <w:rFonts w:ascii="Times New Roman" w:hAnsi="Times New Roman" w:cs="Times New Roman"/>
        </w:rPr>
        <w:t>Osobné výdavky na rok 2013 sa rozpočtujú v sume 1,53 mil. eur, čo predstavuje oproti schválenému rozpočtu roku 2012 pokles o 69,3 tis. eur, t.</w:t>
      </w:r>
      <w:r w:rsidR="009F409E">
        <w:rPr>
          <w:rFonts w:ascii="Times New Roman" w:hAnsi="Times New Roman" w:cs="Times New Roman"/>
        </w:rPr>
        <w:t xml:space="preserve"> </w:t>
      </w:r>
      <w:r w:rsidRPr="007A68FB">
        <w:rPr>
          <w:rFonts w:ascii="Times New Roman" w:hAnsi="Times New Roman" w:cs="Times New Roman"/>
        </w:rPr>
        <w:t xml:space="preserve">j. o 4,33 %.  </w:t>
      </w:r>
    </w:p>
    <w:p w:rsidR="009D2A34" w:rsidRPr="007A68FB" w:rsidP="009D2A34">
      <w:pPr>
        <w:bidi w:val="0"/>
        <w:jc w:val="both"/>
        <w:rPr>
          <w:rFonts w:ascii="Times New Roman" w:hAnsi="Times New Roman" w:cs="Times New Roman"/>
        </w:rPr>
      </w:pPr>
    </w:p>
    <w:p w:rsidR="009D2A34" w:rsidRPr="007A68FB" w:rsidP="009D2A34">
      <w:pPr>
        <w:bidi w:val="0"/>
        <w:ind w:firstLine="708"/>
        <w:jc w:val="both"/>
        <w:rPr>
          <w:rFonts w:ascii="Times New Roman" w:hAnsi="Times New Roman" w:cs="Times New Roman"/>
        </w:rPr>
      </w:pPr>
      <w:r w:rsidRPr="007A68FB">
        <w:rPr>
          <w:rFonts w:ascii="Times New Roman" w:hAnsi="Times New Roman" w:cs="Times New Roman"/>
        </w:rPr>
        <w:t>Tovary a služby na rok 2013 sa rozpočtujú v sume 29,3 mil. eur, čo predstavuje oproti schválenému rozpočtu roku 2012 nárast o sumu 653 tis. eur, t.</w:t>
      </w:r>
      <w:r w:rsidR="009F409E">
        <w:rPr>
          <w:rFonts w:ascii="Times New Roman" w:hAnsi="Times New Roman" w:cs="Times New Roman"/>
        </w:rPr>
        <w:t xml:space="preserve"> </w:t>
      </w:r>
      <w:r w:rsidRPr="007A68FB">
        <w:rPr>
          <w:rFonts w:ascii="Times New Roman" w:hAnsi="Times New Roman" w:cs="Times New Roman"/>
        </w:rPr>
        <w:t xml:space="preserve">j. o 2,27 %. Kapitola premietla viazanie výdavkov na tovary a služby do zníženia kapitálových výdavkov.  </w:t>
      </w:r>
    </w:p>
    <w:p w:rsidR="009D2A34" w:rsidRPr="007A68FB" w:rsidP="009D2A34">
      <w:pPr>
        <w:bidi w:val="0"/>
        <w:jc w:val="both"/>
        <w:rPr>
          <w:rFonts w:ascii="Times New Roman" w:hAnsi="Times New Roman" w:cs="Times New Roman"/>
        </w:rPr>
      </w:pPr>
    </w:p>
    <w:p w:rsidR="009D2A34" w:rsidRPr="007A68FB" w:rsidP="009D2A34">
      <w:pPr>
        <w:bidi w:val="0"/>
        <w:ind w:firstLine="708"/>
        <w:jc w:val="both"/>
        <w:rPr>
          <w:rFonts w:ascii="Times New Roman" w:hAnsi="Times New Roman" w:cs="Times New Roman"/>
        </w:rPr>
      </w:pPr>
      <w:r w:rsidRPr="007A68FB">
        <w:rPr>
          <w:rFonts w:ascii="Times New Roman" w:hAnsi="Times New Roman" w:cs="Times New Roman"/>
        </w:rPr>
        <w:t>Bežné transfery na rok 2013 sa rozpočtujú v sume 28,4 tis. eur, čo predstavuje medziročný nárast o sumu 3,17 tis. eur, t.</w:t>
      </w:r>
      <w:r w:rsidR="009F409E">
        <w:rPr>
          <w:rFonts w:ascii="Times New Roman" w:hAnsi="Times New Roman" w:cs="Times New Roman"/>
        </w:rPr>
        <w:t xml:space="preserve"> </w:t>
      </w:r>
      <w:r w:rsidRPr="007A68FB">
        <w:rPr>
          <w:rFonts w:ascii="Times New Roman" w:hAnsi="Times New Roman" w:cs="Times New Roman"/>
        </w:rPr>
        <w:t xml:space="preserve">j. o 12,6 %.  </w:t>
      </w:r>
    </w:p>
    <w:p w:rsidR="009D2A34" w:rsidRPr="007A68FB" w:rsidP="009D2A34">
      <w:pPr>
        <w:bidi w:val="0"/>
        <w:jc w:val="both"/>
        <w:rPr>
          <w:rFonts w:ascii="Times New Roman" w:hAnsi="Times New Roman" w:cs="Times New Roman"/>
        </w:rPr>
      </w:pPr>
    </w:p>
    <w:p w:rsidR="009D2A34" w:rsidRPr="007A68FB" w:rsidP="009D2A34">
      <w:pPr>
        <w:bidi w:val="0"/>
        <w:ind w:firstLine="708"/>
        <w:jc w:val="both"/>
        <w:rPr>
          <w:rFonts w:ascii="Times New Roman" w:hAnsi="Times New Roman" w:cs="Times New Roman"/>
        </w:rPr>
      </w:pPr>
      <w:r w:rsidRPr="007A68FB">
        <w:rPr>
          <w:rFonts w:ascii="Times New Roman" w:hAnsi="Times New Roman" w:cs="Times New Roman"/>
        </w:rPr>
        <w:t>Kapitálové výdavky sa na rok 2013 rozpočtujú v sume 1,48 mil. eur, čo predstavuje medziročný pokles o sumu 1,4 mil. eur, t.</w:t>
      </w:r>
      <w:r w:rsidR="009F409E">
        <w:rPr>
          <w:rFonts w:ascii="Times New Roman" w:hAnsi="Times New Roman" w:cs="Times New Roman"/>
        </w:rPr>
        <w:t xml:space="preserve"> </w:t>
      </w:r>
      <w:r w:rsidRPr="007A68FB">
        <w:rPr>
          <w:rFonts w:ascii="Times New Roman" w:hAnsi="Times New Roman" w:cs="Times New Roman"/>
        </w:rPr>
        <w:t xml:space="preserve">j. o 48,6 %. </w:t>
      </w:r>
    </w:p>
    <w:p w:rsidR="009D2A34" w:rsidRPr="007A68FB" w:rsidP="009D2A34">
      <w:pPr>
        <w:bidi w:val="0"/>
        <w:jc w:val="both"/>
        <w:rPr>
          <w:rFonts w:ascii="Times New Roman" w:hAnsi="Times New Roman" w:cs="Times New Roman"/>
          <w:lang w:eastAsia="sk-SK"/>
        </w:rPr>
      </w:pPr>
      <w:r w:rsidRPr="007A68FB">
        <w:rPr>
          <w:rFonts w:ascii="Times New Roman" w:hAnsi="Times New Roman" w:cs="Times New Roman"/>
          <w:b/>
          <w:bCs/>
          <w:lang w:eastAsia="sk-SK"/>
        </w:rPr>
        <w:t> </w:t>
      </w:r>
    </w:p>
    <w:p w:rsidR="009D2A34" w:rsidRPr="007A68FB" w:rsidP="009D2A34">
      <w:pPr>
        <w:bidi w:val="0"/>
        <w:ind w:firstLine="708"/>
        <w:jc w:val="both"/>
        <w:rPr>
          <w:rFonts w:ascii="Times New Roman" w:hAnsi="Times New Roman" w:cs="Times New Roman"/>
          <w:lang w:eastAsia="sk-SK"/>
        </w:rPr>
      </w:pPr>
      <w:r w:rsidRPr="007A68FB">
        <w:rPr>
          <w:rFonts w:ascii="Times New Roman" w:hAnsi="Times New Roman" w:cs="Times New Roman"/>
          <w:lang w:eastAsia="sk-SK"/>
        </w:rPr>
        <w:t xml:space="preserve">Okrem zdrojov zo štátneho rozpočtu kapitola disponuje mimorozpočtovými bežnými účtami obmien, zámen a pôžičiek štátnych hmotných rezerv. Prostredníctvom daného účtu sa zabezpečuje hospodárenie, t. j. obchodná činnosť pri nákupe a predaji štátnych hmotných rezerv v rámci obmien, zámen a pôžičiek. Uvedený účet sa používa tiež na pravidelné mesačné uhrádzanie spotrebnej dane z minerálneho oleja a dane z pridanej hodnoty. </w:t>
      </w:r>
    </w:p>
    <w:p w:rsidR="009D2A34" w:rsidRPr="007A68FB" w:rsidP="009D2A34">
      <w:pPr>
        <w:bidi w:val="0"/>
        <w:ind w:firstLine="708"/>
        <w:jc w:val="both"/>
        <w:rPr>
          <w:rFonts w:ascii="Times New Roman" w:hAnsi="Times New Roman" w:cs="Times New Roman"/>
          <w:lang w:eastAsia="sk-SK"/>
        </w:rPr>
      </w:pPr>
    </w:p>
    <w:p w:rsidR="009D2A34" w:rsidRPr="007A68FB" w:rsidP="009D2A34">
      <w:pPr>
        <w:bidi w:val="0"/>
        <w:ind w:firstLine="708"/>
        <w:jc w:val="both"/>
        <w:rPr>
          <w:rFonts w:ascii="Times New Roman" w:hAnsi="Times New Roman" w:cs="Times New Roman"/>
          <w:lang w:eastAsia="sk-SK"/>
        </w:rPr>
      </w:pPr>
      <w:r w:rsidRPr="007A68FB">
        <w:rPr>
          <w:rFonts w:ascii="Times New Roman" w:hAnsi="Times New Roman" w:cs="Times New Roman"/>
          <w:lang w:eastAsia="sk-SK"/>
        </w:rPr>
        <w:t>Skutočný a očakávaný stav mimorozpočtových prostriedkov kapitoly.</w:t>
      </w:r>
    </w:p>
    <w:p w:rsidR="009D2A34" w:rsidRPr="007A68FB" w:rsidP="009D2A34">
      <w:pPr>
        <w:bidi w:val="0"/>
        <w:jc w:val="both"/>
        <w:rPr>
          <w:rFonts w:ascii="Times New Roman" w:hAnsi="Times New Roman" w:cs="Times New Roman"/>
          <w:lang w:eastAsia="sk-SK"/>
        </w:rPr>
      </w:pPr>
      <w:r w:rsidRPr="007A68FB">
        <w:rPr>
          <w:rFonts w:ascii="Times New Roman" w:hAnsi="Times New Roman" w:cs="Times New Roman"/>
          <w:lang w:eastAsia="sk-SK"/>
        </w:rPr>
        <w:t> </w:t>
      </w:r>
    </w:p>
    <w:tbl>
      <w:tblPr>
        <w:tblStyle w:val="TableNormal"/>
        <w:tblW w:w="9206" w:type="dxa"/>
        <w:tblCellMar>
          <w:left w:w="0" w:type="dxa"/>
          <w:right w:w="0" w:type="dxa"/>
        </w:tblCellMar>
        <w:tblLook w:val="04A0"/>
      </w:tblPr>
      <w:tblGrid>
        <w:gridCol w:w="2197"/>
        <w:gridCol w:w="1001"/>
        <w:gridCol w:w="1001"/>
        <w:gridCol w:w="1001"/>
        <w:gridCol w:w="1002"/>
        <w:gridCol w:w="1001"/>
        <w:gridCol w:w="1001"/>
        <w:gridCol w:w="1002"/>
      </w:tblGrid>
      <w:tr>
        <w:tblPrEx>
          <w:tblW w:w="9206" w:type="dxa"/>
          <w:tblCellMar>
            <w:left w:w="0" w:type="dxa"/>
            <w:right w:w="0" w:type="dxa"/>
          </w:tblCellMar>
          <w:tblLook w:val="04A0"/>
        </w:tblPrEx>
        <w:trPr>
          <w:trHeight w:val="217"/>
        </w:trPr>
        <w:tc>
          <w:tcPr>
            <w:tcW w:w="2197"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v eurách</w:t>
            </w:r>
          </w:p>
        </w:tc>
        <w:tc>
          <w:tcPr>
            <w:tcW w:w="1001"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skutočnosť k</w:t>
            </w:r>
          </w:p>
        </w:tc>
        <w:tc>
          <w:tcPr>
            <w:tcW w:w="1001"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skutočnosť k</w:t>
            </w:r>
          </w:p>
        </w:tc>
        <w:tc>
          <w:tcPr>
            <w:tcW w:w="1001"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skutočnosť k</w:t>
            </w:r>
          </w:p>
        </w:tc>
        <w:tc>
          <w:tcPr>
            <w:tcW w:w="1002"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očakávaná</w:t>
            </w:r>
          </w:p>
        </w:tc>
        <w:tc>
          <w:tcPr>
            <w:tcW w:w="1001"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očakávaná</w:t>
            </w:r>
          </w:p>
        </w:tc>
        <w:tc>
          <w:tcPr>
            <w:tcW w:w="1001" w:type="dxa"/>
            <w:tcBorders>
              <w:top w:val="single" w:sz="4" w:space="0" w:color="000000"/>
              <w:left w:val="single" w:sz="4" w:space="0" w:color="000000"/>
              <w:bottom w:val="none" w:sz="0" w:space="0" w:color="auto"/>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očakávaná</w:t>
            </w:r>
          </w:p>
        </w:tc>
        <w:tc>
          <w:tcPr>
            <w:tcW w:w="1002" w:type="dxa"/>
            <w:tcBorders>
              <w:top w:val="single" w:sz="4" w:space="0" w:color="000000"/>
              <w:left w:val="single" w:sz="4" w:space="0" w:color="000000"/>
              <w:bottom w:val="none" w:sz="0" w:space="0" w:color="auto"/>
              <w:right w:val="single" w:sz="4" w:space="0" w:color="000000"/>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očakávaná</w:t>
            </w:r>
          </w:p>
        </w:tc>
      </w:tr>
      <w:tr>
        <w:tblPrEx>
          <w:tblW w:w="9206" w:type="dxa"/>
          <w:tblCellMar>
            <w:left w:w="0" w:type="dxa"/>
            <w:right w:w="0" w:type="dxa"/>
          </w:tblCellMar>
          <w:tblLook w:val="04A0"/>
        </w:tblPrEx>
        <w:trPr>
          <w:trHeight w:val="217"/>
        </w:trPr>
        <w:tc>
          <w:tcPr>
            <w:tcW w:w="2197"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 </w:t>
            </w:r>
          </w:p>
        </w:tc>
        <w:tc>
          <w:tcPr>
            <w:tcW w:w="1001"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 </w:t>
            </w:r>
          </w:p>
        </w:tc>
        <w:tc>
          <w:tcPr>
            <w:tcW w:w="1001"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 </w:t>
            </w:r>
          </w:p>
        </w:tc>
        <w:tc>
          <w:tcPr>
            <w:tcW w:w="1001"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 </w:t>
            </w:r>
          </w:p>
        </w:tc>
        <w:tc>
          <w:tcPr>
            <w:tcW w:w="1002"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skutočnosť k</w:t>
            </w:r>
          </w:p>
        </w:tc>
        <w:tc>
          <w:tcPr>
            <w:tcW w:w="1001"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skutočnosť k</w:t>
            </w:r>
          </w:p>
        </w:tc>
        <w:tc>
          <w:tcPr>
            <w:tcW w:w="1001" w:type="dxa"/>
            <w:tcBorders>
              <w:top w:val="none" w:sz="0" w:space="0" w:color="auto"/>
              <w:left w:val="single" w:sz="4" w:space="0" w:color="000000"/>
              <w:bottom w:val="none" w:sz="0" w:space="0" w:color="auto"/>
              <w:right w:val="none" w:sz="0" w:space="0" w:color="auto"/>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skutočnosť k</w:t>
            </w:r>
          </w:p>
        </w:tc>
        <w:tc>
          <w:tcPr>
            <w:tcW w:w="1002" w:type="dxa"/>
            <w:tcBorders>
              <w:top w:val="none" w:sz="0" w:space="0" w:color="auto"/>
              <w:left w:val="single" w:sz="4" w:space="0" w:color="000000"/>
              <w:bottom w:val="none" w:sz="0" w:space="0" w:color="auto"/>
              <w:right w:val="single" w:sz="4" w:space="0" w:color="000000"/>
            </w:tcBorders>
            <w:shd w:val="clear" w:color="auto" w:fill="A6A6A6"/>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skutočnosť k</w:t>
            </w:r>
          </w:p>
        </w:tc>
      </w:tr>
      <w:tr>
        <w:tblPrEx>
          <w:tblW w:w="9206" w:type="dxa"/>
          <w:tblCellMar>
            <w:left w:w="0" w:type="dxa"/>
            <w:right w:w="0" w:type="dxa"/>
          </w:tblCellMar>
          <w:tblLook w:val="04A0"/>
        </w:tblPrEx>
        <w:trPr>
          <w:trHeight w:val="217"/>
        </w:trPr>
        <w:tc>
          <w:tcPr>
            <w:tcW w:w="2197"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 </w:t>
            </w:r>
          </w:p>
        </w:tc>
        <w:tc>
          <w:tcPr>
            <w:tcW w:w="1001"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31.12.2010</w:t>
            </w:r>
          </w:p>
        </w:tc>
        <w:tc>
          <w:tcPr>
            <w:tcW w:w="1001"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31.12.2011</w:t>
            </w:r>
          </w:p>
        </w:tc>
        <w:tc>
          <w:tcPr>
            <w:tcW w:w="1001"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30.6.2012</w:t>
            </w:r>
          </w:p>
        </w:tc>
        <w:tc>
          <w:tcPr>
            <w:tcW w:w="1002"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31.12.2012</w:t>
            </w:r>
          </w:p>
        </w:tc>
        <w:tc>
          <w:tcPr>
            <w:tcW w:w="1001"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31.12.2013</w:t>
            </w:r>
          </w:p>
        </w:tc>
        <w:tc>
          <w:tcPr>
            <w:tcW w:w="1001" w:type="dxa"/>
            <w:tcBorders>
              <w:top w:val="none" w:sz="0" w:space="0" w:color="auto"/>
              <w:left w:val="single" w:sz="4" w:space="0" w:color="000000"/>
              <w:bottom w:val="single" w:sz="4" w:space="0" w:color="000000"/>
              <w:right w:val="none" w:sz="0" w:space="0" w:color="auto"/>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31.12.2014</w:t>
            </w:r>
          </w:p>
        </w:tc>
        <w:tc>
          <w:tcPr>
            <w:tcW w:w="1002" w:type="dxa"/>
            <w:tcBorders>
              <w:top w:val="none" w:sz="0" w:space="0" w:color="auto"/>
              <w:left w:val="single" w:sz="4" w:space="0" w:color="000000"/>
              <w:bottom w:val="single" w:sz="4" w:space="0" w:color="000000"/>
              <w:right w:val="single" w:sz="4" w:space="0" w:color="000000"/>
            </w:tcBorders>
            <w:shd w:val="clear" w:color="auto" w:fill="A5A5A5"/>
            <w:tcMar>
              <w:top w:w="0" w:type="dxa"/>
              <w:left w:w="70" w:type="dxa"/>
              <w:bottom w:w="0" w:type="dxa"/>
              <w:right w:w="70" w:type="dxa"/>
            </w:tcMar>
            <w:textDirection w:val="lrTb"/>
            <w:vAlign w:val="center"/>
            <w:hideMark/>
          </w:tcPr>
          <w:p w:rsidR="009D2A34" w:rsidRPr="007A68FB" w:rsidP="006338E5">
            <w:pPr>
              <w:bidi w:val="0"/>
              <w:jc w:val="center"/>
              <w:rPr>
                <w:rFonts w:ascii="Times New Roman" w:hAnsi="Times New Roman" w:cs="Times New Roman"/>
                <w:b/>
                <w:bCs/>
                <w:color w:val="000000"/>
                <w:sz w:val="14"/>
                <w:szCs w:val="14"/>
              </w:rPr>
            </w:pPr>
            <w:r w:rsidRPr="007A68FB">
              <w:rPr>
                <w:rFonts w:ascii="Times New Roman" w:hAnsi="Times New Roman" w:cs="Times New Roman"/>
                <w:b/>
                <w:bCs/>
                <w:color w:val="000000"/>
                <w:sz w:val="14"/>
                <w:szCs w:val="14"/>
              </w:rPr>
              <w:t>31.12.2015</w:t>
            </w:r>
          </w:p>
        </w:tc>
      </w:tr>
      <w:tr>
        <w:tblPrEx>
          <w:tblW w:w="9206" w:type="dxa"/>
          <w:tblCellMar>
            <w:left w:w="0" w:type="dxa"/>
            <w:right w:w="0" w:type="dxa"/>
          </w:tblCellMar>
          <w:tblLook w:val="04A0"/>
        </w:tblPrEx>
        <w:trPr>
          <w:trHeight w:val="255"/>
        </w:trPr>
        <w:tc>
          <w:tcPr>
            <w:tcW w:w="21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rPr>
                <w:rFonts w:ascii="Times New Roman" w:hAnsi="Times New Roman" w:cs="Times New Roman"/>
                <w:color w:val="000000"/>
                <w:sz w:val="14"/>
                <w:szCs w:val="14"/>
              </w:rPr>
            </w:pPr>
            <w:r w:rsidRPr="007A68FB">
              <w:rPr>
                <w:rFonts w:ascii="Times New Roman" w:hAnsi="Times New Roman" w:cs="Times New Roman"/>
                <w:color w:val="000000"/>
                <w:sz w:val="14"/>
                <w:szCs w:val="14"/>
              </w:rPr>
              <w:t>Mimorozpočtové prostriedky</w:t>
            </w:r>
          </w:p>
        </w:tc>
        <w:tc>
          <w:tcPr>
            <w:tcW w:w="100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26 543 764</w:t>
            </w:r>
          </w:p>
        </w:tc>
        <w:tc>
          <w:tcPr>
            <w:tcW w:w="100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13 256 019</w:t>
            </w:r>
          </w:p>
        </w:tc>
        <w:tc>
          <w:tcPr>
            <w:tcW w:w="100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7 014 419</w:t>
            </w:r>
          </w:p>
        </w:tc>
        <w:tc>
          <w:tcPr>
            <w:tcW w:w="100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Pr>
                <w:rFonts w:ascii="Times New Roman" w:hAnsi="Times New Roman" w:cs="Times New Roman"/>
                <w:color w:val="000000"/>
                <w:sz w:val="14"/>
                <w:szCs w:val="14"/>
              </w:rPr>
              <w:t>8 257 512</w:t>
            </w:r>
            <w:r w:rsidRPr="007A68FB">
              <w:rPr>
                <w:rFonts w:ascii="Times New Roman" w:hAnsi="Times New Roman" w:cs="Times New Roman"/>
                <w:color w:val="000000"/>
                <w:sz w:val="14"/>
                <w:szCs w:val="14"/>
              </w:rPr>
              <w:t> </w:t>
            </w:r>
          </w:p>
        </w:tc>
        <w:tc>
          <w:tcPr>
            <w:tcW w:w="100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6 330 021</w:t>
            </w:r>
          </w:p>
        </w:tc>
        <w:tc>
          <w:tcPr>
            <w:tcW w:w="100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5 395 905</w:t>
            </w:r>
          </w:p>
        </w:tc>
        <w:tc>
          <w:tcPr>
            <w:tcW w:w="100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9D2A34" w:rsidRPr="007A68FB" w:rsidP="006338E5">
            <w:pPr>
              <w:bidi w:val="0"/>
              <w:jc w:val="right"/>
              <w:rPr>
                <w:rFonts w:ascii="Times New Roman" w:hAnsi="Times New Roman" w:cs="Times New Roman"/>
                <w:color w:val="000000"/>
                <w:sz w:val="14"/>
                <w:szCs w:val="14"/>
              </w:rPr>
            </w:pPr>
            <w:r w:rsidRPr="007A68FB">
              <w:rPr>
                <w:rFonts w:ascii="Times New Roman" w:hAnsi="Times New Roman" w:cs="Times New Roman"/>
                <w:color w:val="000000"/>
                <w:sz w:val="14"/>
                <w:szCs w:val="14"/>
              </w:rPr>
              <w:t>3 885 069</w:t>
            </w:r>
          </w:p>
        </w:tc>
      </w:tr>
    </w:tbl>
    <w:p w:rsidR="009D2A34" w:rsidP="003E7CD4">
      <w:pPr>
        <w:bidi w:val="0"/>
        <w:jc w:val="both"/>
        <w:rPr>
          <w:rFonts w:ascii="Times New Roman" w:hAnsi="Times New Roman"/>
        </w:rPr>
      </w:pPr>
    </w:p>
    <w:p w:rsidR="003E7CD4" w:rsidP="003E7CD4">
      <w:pPr>
        <w:bidi w:val="0"/>
        <w:jc w:val="both"/>
        <w:rPr>
          <w:rFonts w:ascii="Times New Roman" w:hAnsi="Times New Roman"/>
        </w:rPr>
      </w:pPr>
    </w:p>
    <w:p w:rsidR="003E7CD4" w:rsidP="003E7CD4">
      <w:pPr>
        <w:bidi w:val="0"/>
        <w:jc w:val="both"/>
        <w:rPr>
          <w:rFonts w:ascii="Times New Roman" w:hAnsi="Times New Roman"/>
        </w:rPr>
      </w:pPr>
    </w:p>
    <w:p w:rsidR="003E7CD4" w:rsidP="003E7CD4">
      <w:pPr>
        <w:bidi w:val="0"/>
        <w:jc w:val="both"/>
        <w:rPr>
          <w:rFonts w:ascii="Times New Roman" w:hAnsi="Times New Roman"/>
        </w:rPr>
      </w:pPr>
    </w:p>
    <w:p w:rsidR="003E7CD4" w:rsidP="003E7CD4">
      <w:pPr>
        <w:bidi w:val="0"/>
        <w:jc w:val="both"/>
        <w:rPr>
          <w:rFonts w:ascii="Times New Roman" w:hAnsi="Times New Roman"/>
        </w:rPr>
      </w:pPr>
    </w:p>
    <w:p w:rsidR="003E7CD4" w:rsidP="003E7CD4">
      <w:pPr>
        <w:bidi w:val="0"/>
        <w:jc w:val="both"/>
        <w:rPr>
          <w:rFonts w:ascii="Times New Roman" w:hAnsi="Times New Roman"/>
        </w:rPr>
      </w:pPr>
    </w:p>
    <w:p w:rsidR="003E7CD4" w:rsidP="003E7CD4">
      <w:pPr>
        <w:bidi w:val="0"/>
        <w:jc w:val="both"/>
        <w:rPr>
          <w:rFonts w:ascii="Times New Roman" w:hAnsi="Times New Roman"/>
        </w:rPr>
      </w:pPr>
    </w:p>
    <w:p w:rsidR="003E7CD4" w:rsidP="003E7CD4">
      <w:pPr>
        <w:bidi w:val="0"/>
        <w:jc w:val="both"/>
        <w:rPr>
          <w:rFonts w:ascii="Times New Roman" w:hAnsi="Times New Roman"/>
        </w:rPr>
      </w:pPr>
    </w:p>
    <w:p w:rsidR="003E7CD4" w:rsidP="003E7CD4">
      <w:pPr>
        <w:bidi w:val="0"/>
        <w:jc w:val="both"/>
        <w:rPr>
          <w:rFonts w:ascii="Times New Roman" w:hAnsi="Times New Roman"/>
        </w:rPr>
      </w:pPr>
    </w:p>
    <w:p w:rsidR="003E7CD4" w:rsidP="003E7CD4">
      <w:pPr>
        <w:bidi w:val="0"/>
        <w:jc w:val="both"/>
        <w:rPr>
          <w:rFonts w:ascii="Times New Roman" w:hAnsi="Times New Roman"/>
        </w:rPr>
      </w:pPr>
    </w:p>
    <w:p w:rsidR="009D2A34" w:rsidRPr="00291C28" w:rsidP="009D2A34">
      <w:pPr>
        <w:pBdr>
          <w:bottom w:val="single" w:sz="4" w:space="1" w:color="000000"/>
        </w:pBdr>
        <w:bidi w:val="0"/>
        <w:jc w:val="both"/>
        <w:rPr>
          <w:rFonts w:ascii="Times New Roman" w:hAnsi="Times New Roman"/>
          <w:b/>
          <w:bCs/>
          <w:lang w:eastAsia="sk-SK"/>
        </w:rPr>
      </w:pPr>
      <w:r w:rsidRPr="00291C28">
        <w:rPr>
          <w:rFonts w:ascii="Times New Roman" w:hAnsi="Times New Roman"/>
          <w:b/>
          <w:bCs/>
          <w:lang w:eastAsia="sk-SK"/>
        </w:rPr>
        <w:t>Slovenská akadémia vied</w:t>
      </w:r>
    </w:p>
    <w:p w:rsidR="009D2A34" w:rsidRPr="00291C28" w:rsidP="009D2A34">
      <w:pPr>
        <w:bidi w:val="0"/>
        <w:jc w:val="both"/>
        <w:rPr>
          <w:rFonts w:ascii="Times New Roman" w:hAnsi="Times New Roman"/>
          <w:lang w:eastAsia="sk-SK"/>
        </w:rPr>
      </w:pPr>
    </w:p>
    <w:tbl>
      <w:tblPr>
        <w:tblStyle w:val="TableNormal"/>
        <w:tblW w:w="9229" w:type="dxa"/>
        <w:tblInd w:w="55" w:type="dxa"/>
        <w:tblLayout w:type="fixed"/>
        <w:tblCellMar>
          <w:left w:w="70" w:type="dxa"/>
          <w:right w:w="70" w:type="dxa"/>
        </w:tblCellMar>
        <w:tblLook w:val="04A0"/>
      </w:tblPr>
      <w:tblGrid>
        <w:gridCol w:w="2567"/>
        <w:gridCol w:w="951"/>
        <w:gridCol w:w="952"/>
        <w:gridCol w:w="952"/>
        <w:gridCol w:w="951"/>
        <w:gridCol w:w="952"/>
        <w:gridCol w:w="952"/>
        <w:gridCol w:w="952"/>
      </w:tblGrid>
      <w:tr>
        <w:tblPrEx>
          <w:tblW w:w="9229" w:type="dxa"/>
          <w:tblInd w:w="55" w:type="dxa"/>
          <w:tblLayout w:type="fixed"/>
          <w:tblCellMar>
            <w:left w:w="70" w:type="dxa"/>
            <w:right w:w="70" w:type="dxa"/>
          </w:tblCellMar>
          <w:tblLook w:val="04A0"/>
        </w:tblPrEx>
        <w:trPr>
          <w:trHeight w:val="255"/>
        </w:trPr>
        <w:tc>
          <w:tcPr>
            <w:tcW w:w="256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v eurách</w:t>
            </w:r>
          </w:p>
        </w:tc>
        <w:tc>
          <w:tcPr>
            <w:tcW w:w="9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2010 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2011 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2012 R</w:t>
            </w:r>
          </w:p>
        </w:tc>
        <w:tc>
          <w:tcPr>
            <w:tcW w:w="951"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2012 OS</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2013 N</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2014 N</w:t>
            </w:r>
          </w:p>
        </w:tc>
        <w:tc>
          <w:tcPr>
            <w:tcW w:w="952"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2015 N</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Zdroje kapitoly</w:t>
            </w:r>
          </w:p>
        </w:tc>
        <w:tc>
          <w:tcPr>
            <w:tcW w:w="951" w:type="dxa"/>
            <w:tcBorders>
              <w:top w:val="nil"/>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77 502 862</w:t>
            </w:r>
          </w:p>
        </w:tc>
        <w:tc>
          <w:tcPr>
            <w:tcW w:w="952" w:type="dxa"/>
            <w:tcBorders>
              <w:top w:val="nil"/>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75 018 790</w:t>
            </w:r>
          </w:p>
        </w:tc>
        <w:tc>
          <w:tcPr>
            <w:tcW w:w="952" w:type="dxa"/>
            <w:tcBorders>
              <w:top w:val="nil"/>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58 985 607</w:t>
            </w:r>
          </w:p>
        </w:tc>
        <w:tc>
          <w:tcPr>
            <w:tcW w:w="951" w:type="dxa"/>
            <w:tcBorders>
              <w:top w:val="nil"/>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75 213 790</w:t>
            </w:r>
          </w:p>
        </w:tc>
        <w:tc>
          <w:tcPr>
            <w:tcW w:w="952" w:type="dxa"/>
            <w:tcBorders>
              <w:top w:val="nil"/>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60 076 460</w:t>
            </w:r>
          </w:p>
        </w:tc>
        <w:tc>
          <w:tcPr>
            <w:tcW w:w="952" w:type="dxa"/>
            <w:tcBorders>
              <w:top w:val="nil"/>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60 076 460</w:t>
            </w:r>
          </w:p>
        </w:tc>
        <w:tc>
          <w:tcPr>
            <w:tcW w:w="952" w:type="dxa"/>
            <w:tcBorders>
              <w:top w:val="nil"/>
              <w:left w:val="nil"/>
              <w:bottom w:val="single" w:sz="4" w:space="0" w:color="auto"/>
              <w:right w:val="single" w:sz="4" w:space="0" w:color="auto"/>
            </w:tcBorders>
            <w:shd w:val="clear" w:color="000000" w:fill="BFBFBF"/>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60 076 460</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 xml:space="preserve">rozpočtové zdroje kapitoly (111 +11H) </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67 650 616</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59 187 562</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58 985 607</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58 985 607</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60 076 460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60 076 460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60 076 460</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v tom: bežné výdavky 600</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61 219 905</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58 001 230</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58 445 974</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58 445 974</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59 536 827</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59 536 827</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59 536 827</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610 mzdy</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20 350 095</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19 385 056</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19 236 664</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19 236 664</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19 236 664</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19 236 664</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19 236 664</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620 odvody</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6 891 107</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6 647 213</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6 675 122</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6 655 010</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6 676 008</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6 676 008</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6 676 008</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630 tovary a služby</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10 642 912</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9 388 418</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10 396 002</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9 866 565</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10 166 265</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10 166 265</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10 166 265</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640 bežné transfery</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23 335 791</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22 580 543</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22 138 186</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22 687 735</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23 457 890</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23 457 890</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23 457 890</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kapitálové výdavky 700</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6 430 711</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1 186 332</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539 633</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539 633</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539 633</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539 633</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Cs/>
                <w:color w:val="000000"/>
                <w:sz w:val="14"/>
                <w:szCs w:val="14"/>
                <w:lang w:eastAsia="sk-SK"/>
              </w:rPr>
            </w:pPr>
            <w:r w:rsidRPr="00291C28">
              <w:rPr>
                <w:rFonts w:ascii="Times New Roman" w:hAnsi="Times New Roman" w:cs="Times New Roman"/>
                <w:bCs/>
                <w:color w:val="000000"/>
                <w:sz w:val="14"/>
                <w:szCs w:val="14"/>
                <w:lang w:eastAsia="sk-SK"/>
              </w:rPr>
              <w:t>539 633</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 xml:space="preserve">zdroje EÚ vrátane spolufinancovania: </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1 067 487</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13 202 683</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51"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9 361 971</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52" w:type="dxa"/>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EÚ prostriedky</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907 363</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11 197 223</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7 946 141</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spolufinancovanie zo ŠR</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160 124</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2 005 460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1 415 830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presun z minulých rokov §8</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8 784 759</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2 628 545</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6 866 212</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b/>
                <w:bCs/>
                <w:color w:val="000000"/>
                <w:sz w:val="14"/>
                <w:szCs w:val="14"/>
                <w:lang w:eastAsia="sk-SK"/>
              </w:rPr>
            </w:pPr>
            <w:r w:rsidRPr="00291C28">
              <w:rPr>
                <w:rFonts w:ascii="Times New Roman" w:hAnsi="Times New Roman" w:cs="Times New Roman"/>
                <w:b/>
                <w:bCs/>
                <w:color w:val="000000"/>
                <w:sz w:val="14"/>
                <w:szCs w:val="14"/>
                <w:lang w:eastAsia="sk-SK"/>
              </w:rPr>
              <w:t>0</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z toho: štátny rozpočet</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2 092 650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212 776</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4 160 091</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EÚ prostriedky</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5 688 289</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2 053 415</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2 299 128</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r>
      <w:tr>
        <w:tblPrEx>
          <w:tblW w:w="9229" w:type="dxa"/>
          <w:tblInd w:w="55" w:type="dxa"/>
          <w:tblLayout w:type="fixed"/>
          <w:tblCellMar>
            <w:left w:w="70" w:type="dxa"/>
            <w:right w:w="70" w:type="dxa"/>
          </w:tblCellMar>
          <w:tblLook w:val="04A0"/>
        </w:tblPrEx>
        <w:trPr>
          <w:trHeight w:val="255"/>
        </w:trPr>
        <w:tc>
          <w:tcPr>
            <w:tcW w:w="2567" w:type="dxa"/>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 xml:space="preserve">                spolufinancovanie zo ŠR</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1 003 820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362 354</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1"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406 993</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c>
          <w:tcPr>
            <w:tcW w:w="952" w:type="dxa"/>
            <w:tcBorders>
              <w:top w:val="nil"/>
              <w:left w:val="nil"/>
              <w:bottom w:val="single" w:sz="4" w:space="0" w:color="auto"/>
              <w:right w:val="single" w:sz="4" w:space="0" w:color="auto"/>
            </w:tcBorders>
            <w:textDirection w:val="lrTb"/>
            <w:vAlign w:val="center"/>
            <w:hideMark/>
          </w:tcPr>
          <w:p w:rsidR="009D2A34" w:rsidRPr="00291C28" w:rsidP="006338E5">
            <w:pPr>
              <w:bidi w:val="0"/>
              <w:jc w:val="right"/>
              <w:rPr>
                <w:rFonts w:ascii="Times New Roman" w:hAnsi="Times New Roman" w:cs="Times New Roman"/>
                <w:color w:val="000000"/>
                <w:sz w:val="14"/>
                <w:szCs w:val="14"/>
                <w:lang w:eastAsia="sk-SK"/>
              </w:rPr>
            </w:pPr>
            <w:r w:rsidRPr="00291C28">
              <w:rPr>
                <w:rFonts w:ascii="Times New Roman" w:hAnsi="Times New Roman" w:cs="Times New Roman"/>
                <w:color w:val="000000"/>
                <w:sz w:val="14"/>
                <w:szCs w:val="14"/>
                <w:lang w:eastAsia="sk-SK"/>
              </w:rPr>
              <w:t>0</w:t>
            </w:r>
          </w:p>
        </w:tc>
      </w:tr>
    </w:tbl>
    <w:p w:rsidR="009D2A34" w:rsidRPr="00291C28" w:rsidP="009D2A34">
      <w:pPr>
        <w:bidi w:val="0"/>
        <w:jc w:val="both"/>
        <w:rPr>
          <w:rFonts w:ascii="Times New Roman" w:hAnsi="Times New Roman"/>
          <w:lang w:eastAsia="sk-SK"/>
        </w:rPr>
      </w:pPr>
    </w:p>
    <w:p w:rsidR="009D2A34" w:rsidRPr="00291C28" w:rsidP="009D2A34">
      <w:pPr>
        <w:bidi w:val="0"/>
        <w:ind w:firstLine="708"/>
        <w:jc w:val="both"/>
        <w:rPr>
          <w:rFonts w:ascii="Times New Roman" w:hAnsi="Times New Roman"/>
          <w:lang w:eastAsia="sk-SK"/>
        </w:rPr>
      </w:pPr>
      <w:r w:rsidRPr="00291C28">
        <w:rPr>
          <w:rFonts w:ascii="Times New Roman" w:hAnsi="Times New Roman"/>
          <w:lang w:eastAsia="sk-SK"/>
        </w:rPr>
        <w:t>Celkové zdroje SAV na rok 2013 sa rozpočtujú  v sume 60,1 mil. eur, čo predstavuje nárast oproti schválenému rozpočtu roku 2012 o </w:t>
      </w:r>
      <w:r w:rsidRPr="00291C28">
        <w:rPr>
          <w:rFonts w:ascii="Times New Roman" w:hAnsi="Times New Roman" w:cs="Times New Roman"/>
          <w:lang w:eastAsia="sk-SK"/>
        </w:rPr>
        <w:t>1,09 mil. eur, t.</w:t>
      </w:r>
      <w:r w:rsidR="009F409E">
        <w:rPr>
          <w:rFonts w:ascii="Times New Roman" w:hAnsi="Times New Roman" w:cs="Times New Roman"/>
          <w:lang w:eastAsia="sk-SK"/>
        </w:rPr>
        <w:t xml:space="preserve"> </w:t>
      </w:r>
      <w:r w:rsidRPr="00291C28">
        <w:rPr>
          <w:rFonts w:ascii="Times New Roman" w:hAnsi="Times New Roman" w:cs="Times New Roman"/>
          <w:lang w:eastAsia="sk-SK"/>
        </w:rPr>
        <w:t>j. 1,85 %.  </w:t>
      </w:r>
    </w:p>
    <w:p w:rsidR="009D2A34" w:rsidRPr="00291C28" w:rsidP="009D2A34">
      <w:pPr>
        <w:bidi w:val="0"/>
        <w:ind w:firstLine="708"/>
        <w:jc w:val="both"/>
        <w:rPr>
          <w:rFonts w:ascii="Times New Roman" w:hAnsi="Times New Roman"/>
          <w:lang w:eastAsia="sk-SK"/>
        </w:rPr>
      </w:pPr>
    </w:p>
    <w:p w:rsidR="009D2A34" w:rsidRPr="00291C28" w:rsidP="009D2A34">
      <w:pPr>
        <w:bidi w:val="0"/>
        <w:ind w:firstLine="708"/>
        <w:jc w:val="both"/>
        <w:rPr>
          <w:rFonts w:ascii="Times New Roman" w:hAnsi="Times New Roman"/>
          <w:lang w:eastAsia="sk-SK"/>
        </w:rPr>
      </w:pPr>
      <w:r w:rsidRPr="00291C28">
        <w:rPr>
          <w:rFonts w:ascii="Times New Roman" w:hAnsi="Times New Roman"/>
          <w:lang w:eastAsia="sk-SK"/>
        </w:rPr>
        <w:t>Osobné výdavky sa rozpočtujú v sume 25,9 mil. eur, čo je na približnej úrovni  schváleného rozpočtu roku 2012.</w:t>
      </w:r>
    </w:p>
    <w:p w:rsidR="009D2A34" w:rsidRPr="00291C28" w:rsidP="009D2A34">
      <w:pPr>
        <w:bidi w:val="0"/>
        <w:jc w:val="both"/>
        <w:rPr>
          <w:rFonts w:ascii="Times New Roman" w:hAnsi="Times New Roman"/>
          <w:lang w:eastAsia="sk-SK"/>
        </w:rPr>
      </w:pPr>
      <w:r w:rsidRPr="00291C28">
        <w:rPr>
          <w:rFonts w:ascii="Times New Roman" w:hAnsi="Times New Roman"/>
          <w:lang w:eastAsia="sk-SK"/>
        </w:rPr>
        <w:t> </w:t>
        <w:tab/>
      </w:r>
    </w:p>
    <w:p w:rsidR="009D2A34" w:rsidRPr="00291C28" w:rsidP="009D2A34">
      <w:pPr>
        <w:bidi w:val="0"/>
        <w:ind w:firstLine="708"/>
        <w:jc w:val="both"/>
        <w:rPr>
          <w:rFonts w:ascii="Times New Roman" w:hAnsi="Times New Roman"/>
          <w:lang w:eastAsia="sk-SK"/>
        </w:rPr>
      </w:pPr>
      <w:r w:rsidRPr="00291C28">
        <w:rPr>
          <w:rFonts w:ascii="Times New Roman" w:hAnsi="Times New Roman"/>
          <w:lang w:eastAsia="sk-SK"/>
        </w:rPr>
        <w:t>Výdavky na tovary a služby na rok 2013 sa navrhujú v sume 10,2 mil. eur, čo predstavuje pokles o 230 tis. eur, t.</w:t>
      </w:r>
      <w:r w:rsidR="009F409E">
        <w:rPr>
          <w:rFonts w:ascii="Times New Roman" w:hAnsi="Times New Roman"/>
          <w:lang w:eastAsia="sk-SK"/>
        </w:rPr>
        <w:t xml:space="preserve"> </w:t>
      </w:r>
      <w:r w:rsidRPr="00291C28">
        <w:rPr>
          <w:rFonts w:ascii="Times New Roman" w:hAnsi="Times New Roman"/>
          <w:lang w:eastAsia="sk-SK"/>
        </w:rPr>
        <w:t>j. o 2,21 % oproti schválenému rozpočtu roku 2012. Na poklese sa prejavuje presun finančných prostriedkov, ktorými kapitola navrhla posilniť kategóriu bežné transfery.  </w:t>
      </w:r>
    </w:p>
    <w:p w:rsidR="009D2A34" w:rsidRPr="00291C28" w:rsidP="009D2A34">
      <w:pPr>
        <w:bidi w:val="0"/>
        <w:ind w:firstLine="708"/>
        <w:jc w:val="both"/>
        <w:rPr>
          <w:rFonts w:ascii="Times New Roman" w:hAnsi="Times New Roman"/>
          <w:lang w:eastAsia="sk-SK"/>
        </w:rPr>
      </w:pPr>
    </w:p>
    <w:p w:rsidR="009D2A34" w:rsidRPr="00291C28" w:rsidP="009D2A34">
      <w:pPr>
        <w:bidi w:val="0"/>
        <w:ind w:firstLine="708"/>
        <w:jc w:val="both"/>
        <w:rPr>
          <w:rFonts w:ascii="Times New Roman" w:hAnsi="Times New Roman"/>
          <w:lang w:eastAsia="sk-SK"/>
        </w:rPr>
      </w:pPr>
      <w:r w:rsidRPr="00291C28">
        <w:rPr>
          <w:rFonts w:ascii="Times New Roman" w:hAnsi="Times New Roman"/>
          <w:lang w:eastAsia="sk-SK"/>
        </w:rPr>
        <w:t>Rozpočtovaná úroveň bežných transferov na rok 2013 v sume 23,5 mil. eur je oproti schválenému rozpočtu roku 2012 vyššia o 1,32 mil. eur, t.</w:t>
      </w:r>
      <w:r w:rsidR="009F409E">
        <w:rPr>
          <w:rFonts w:ascii="Times New Roman" w:hAnsi="Times New Roman"/>
          <w:lang w:eastAsia="sk-SK"/>
        </w:rPr>
        <w:t xml:space="preserve"> </w:t>
      </w:r>
      <w:r w:rsidRPr="00291C28">
        <w:rPr>
          <w:rFonts w:ascii="Times New Roman" w:hAnsi="Times New Roman"/>
          <w:lang w:eastAsia="sk-SK"/>
        </w:rPr>
        <w:t xml:space="preserve">j. o 5,96 %. Prostriedky sú určené </w:t>
      </w:r>
      <w:r w:rsidR="009F409E">
        <w:rPr>
          <w:rFonts w:ascii="Times New Roman" w:hAnsi="Times New Roman"/>
          <w:lang w:eastAsia="sk-SK"/>
        </w:rPr>
        <w:t>na</w:t>
      </w:r>
      <w:r w:rsidRPr="00291C28">
        <w:rPr>
          <w:rFonts w:ascii="Times New Roman" w:hAnsi="Times New Roman"/>
          <w:lang w:eastAsia="sk-SK"/>
        </w:rPr>
        <w:t xml:space="preserve"> podporu výskumu v príspevkových organizáciách SAV a na financovanie štipendií doktorandov. </w:t>
      </w:r>
    </w:p>
    <w:p w:rsidR="009D2A34" w:rsidRPr="00291C28" w:rsidP="009D2A34">
      <w:pPr>
        <w:bidi w:val="0"/>
        <w:ind w:firstLine="708"/>
        <w:jc w:val="both"/>
        <w:rPr>
          <w:rFonts w:ascii="Times New Roman" w:hAnsi="Times New Roman"/>
          <w:lang w:eastAsia="sk-SK"/>
        </w:rPr>
      </w:pPr>
    </w:p>
    <w:p w:rsidR="009D2A34" w:rsidRPr="00291C28" w:rsidP="009D2A34">
      <w:pPr>
        <w:bidi w:val="0"/>
        <w:ind w:firstLine="708"/>
        <w:jc w:val="both"/>
        <w:rPr>
          <w:rFonts w:ascii="Times New Roman" w:hAnsi="Times New Roman"/>
          <w:lang w:eastAsia="sk-SK"/>
        </w:rPr>
      </w:pPr>
      <w:r w:rsidRPr="00291C28">
        <w:rPr>
          <w:rFonts w:ascii="Times New Roman" w:hAnsi="Times New Roman"/>
          <w:lang w:eastAsia="sk-SK"/>
        </w:rPr>
        <w:t>Kapitálové výdavky v sume 540 tis. eur predstavujú úroveň schváleného rozpočtu roku 2012.</w:t>
      </w:r>
    </w:p>
    <w:p w:rsidR="009D2A34" w:rsidRPr="00291C28" w:rsidP="009D2A34">
      <w:pPr>
        <w:bidi w:val="0"/>
        <w:ind w:firstLine="708"/>
        <w:jc w:val="both"/>
        <w:rPr>
          <w:rFonts w:ascii="Times New Roman" w:hAnsi="Times New Roman"/>
          <w:lang w:eastAsia="sk-SK"/>
        </w:rPr>
      </w:pPr>
    </w:p>
    <w:p w:rsidR="009D2A34" w:rsidRPr="00291C28" w:rsidP="009D2A34">
      <w:pPr>
        <w:bidi w:val="0"/>
        <w:ind w:firstLine="708"/>
        <w:jc w:val="both"/>
        <w:rPr>
          <w:rFonts w:ascii="Times New Roman" w:hAnsi="Times New Roman"/>
          <w:lang w:eastAsia="sk-SK"/>
        </w:rPr>
      </w:pPr>
      <w:r w:rsidRPr="00291C28">
        <w:rPr>
          <w:rFonts w:ascii="Times New Roman" w:hAnsi="Times New Roman"/>
          <w:lang w:eastAsia="sk-SK"/>
        </w:rPr>
        <w:t>Činnosť akadémie je zameraná na základný výskum, zúčastňuje sa aj na aplikovanom výskume a zabezpečuje tretí stupeň vysokoškolského vzdelávania.</w:t>
      </w:r>
    </w:p>
    <w:p w:rsidR="009D2A34" w:rsidRPr="00291C28" w:rsidP="009D2A34">
      <w:pPr>
        <w:bidi w:val="0"/>
        <w:ind w:firstLine="708"/>
        <w:jc w:val="both"/>
        <w:rPr>
          <w:rFonts w:ascii="Times New Roman" w:hAnsi="Times New Roman"/>
          <w:lang w:eastAsia="sk-SK"/>
        </w:rPr>
      </w:pPr>
    </w:p>
    <w:p w:rsidR="009D2A34" w:rsidRPr="00291C28" w:rsidP="009D2A34">
      <w:pPr>
        <w:bidi w:val="0"/>
        <w:jc w:val="both"/>
        <w:rPr>
          <w:rFonts w:ascii="Times New Roman" w:hAnsi="Times New Roman"/>
          <w:b/>
          <w:bCs/>
          <w:lang w:eastAsia="sk-SK"/>
        </w:rPr>
      </w:pPr>
      <w:r w:rsidRPr="00291C28">
        <w:rPr>
          <w:rFonts w:ascii="Times New Roman" w:hAnsi="Times New Roman"/>
          <w:b/>
          <w:bCs/>
          <w:lang w:eastAsia="sk-SK"/>
        </w:rPr>
        <w:t>Financovanie základného a aplikovaného výskumu </w:t>
      </w:r>
    </w:p>
    <w:p w:rsidR="009D2A34" w:rsidRPr="00291C28" w:rsidP="009D2A34">
      <w:pPr>
        <w:bidi w:val="0"/>
        <w:jc w:val="both"/>
        <w:rPr>
          <w:rFonts w:ascii="Times New Roman" w:hAnsi="Times New Roman"/>
          <w:lang w:eastAsia="sk-SK"/>
        </w:rPr>
      </w:pPr>
    </w:p>
    <w:p w:rsidR="009D2A34" w:rsidP="009D2A34">
      <w:pPr>
        <w:bidi w:val="0"/>
        <w:ind w:firstLine="708"/>
        <w:jc w:val="both"/>
        <w:rPr>
          <w:rFonts w:ascii="Times New Roman" w:hAnsi="Times New Roman"/>
          <w:lang w:eastAsia="sk-SK"/>
        </w:rPr>
      </w:pPr>
      <w:r w:rsidRPr="00291C28">
        <w:rPr>
          <w:rFonts w:ascii="Times New Roman" w:hAnsi="Times New Roman"/>
          <w:lang w:eastAsia="sk-SK"/>
        </w:rPr>
        <w:t xml:space="preserve">SAV prostredníctvom svojich 48 rozpočtových organizácií (vrátane Úradu predsedníctva SAV) a 21 príspevkových organizácií zabezpečuje riešenie úloh základného výskumu a aplikovaného výskumu. Na realizáciu výskumných úloh v roku 2013 kapitola rozpísala celkové výdavky v sume 55,7 mil. eur, čo je oproti schválenému rozpočtu roku 2012 menej o 126 tis. eur, t. j.  o 0,23 %. </w:t>
      </w:r>
    </w:p>
    <w:p w:rsidR="003E7CD4" w:rsidP="009D2A34">
      <w:pPr>
        <w:bidi w:val="0"/>
        <w:ind w:firstLine="708"/>
        <w:jc w:val="both"/>
        <w:rPr>
          <w:rFonts w:ascii="Times New Roman" w:hAnsi="Times New Roman"/>
          <w:lang w:eastAsia="sk-SK"/>
        </w:rPr>
      </w:pPr>
    </w:p>
    <w:p w:rsidR="003E7CD4" w:rsidP="009D2A34">
      <w:pPr>
        <w:bidi w:val="0"/>
        <w:ind w:firstLine="708"/>
        <w:jc w:val="both"/>
        <w:rPr>
          <w:rFonts w:ascii="Times New Roman" w:hAnsi="Times New Roman"/>
          <w:lang w:eastAsia="sk-SK"/>
        </w:rPr>
      </w:pPr>
    </w:p>
    <w:p w:rsidR="009D2A34" w:rsidRPr="00291C28" w:rsidP="009D2A34">
      <w:pPr>
        <w:bidi w:val="0"/>
        <w:ind w:firstLine="708"/>
        <w:jc w:val="both"/>
        <w:rPr>
          <w:rFonts w:ascii="Times New Roman" w:hAnsi="Times New Roman"/>
          <w:lang w:eastAsia="sk-SK"/>
        </w:rPr>
      </w:pPr>
    </w:p>
    <w:tbl>
      <w:tblPr>
        <w:tblStyle w:val="TableNormal"/>
        <w:tblW w:w="5000" w:type="pct"/>
        <w:tblCellMar>
          <w:left w:w="70" w:type="dxa"/>
          <w:right w:w="70" w:type="dxa"/>
        </w:tblCellMar>
        <w:tblLook w:val="04A0"/>
      </w:tblPr>
      <w:tblGrid>
        <w:gridCol w:w="3027"/>
        <w:gridCol w:w="978"/>
        <w:gridCol w:w="868"/>
        <w:gridCol w:w="886"/>
        <w:gridCol w:w="868"/>
        <w:gridCol w:w="868"/>
        <w:gridCol w:w="849"/>
        <w:gridCol w:w="868"/>
      </w:tblGrid>
      <w:tr>
        <w:tblPrEx>
          <w:tblW w:w="5000" w:type="pct"/>
          <w:tblCellMar>
            <w:left w:w="70" w:type="dxa"/>
            <w:right w:w="70" w:type="dxa"/>
          </w:tblCellMar>
          <w:tblLook w:val="04A0"/>
        </w:tblPrEx>
        <w:trPr>
          <w:trHeight w:val="255"/>
        </w:trPr>
        <w:tc>
          <w:tcPr>
            <w:tcW w:w="164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v eurách</w:t>
            </w:r>
          </w:p>
        </w:tc>
        <w:tc>
          <w:tcPr>
            <w:tcW w:w="53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2010</w:t>
            </w:r>
            <w:r w:rsidR="009F409E">
              <w:rPr>
                <w:rFonts w:ascii="Times New Roman" w:hAnsi="Times New Roman"/>
                <w:b/>
                <w:bCs/>
                <w:color w:val="000000"/>
                <w:sz w:val="14"/>
                <w:szCs w:val="14"/>
                <w:lang w:eastAsia="sk-SK"/>
              </w:rPr>
              <w:t xml:space="preserve"> </w:t>
            </w:r>
            <w:r w:rsidRPr="00291C28">
              <w:rPr>
                <w:rFonts w:ascii="Times New Roman" w:hAnsi="Times New Roman"/>
                <w:b/>
                <w:bCs/>
                <w:color w:val="000000"/>
                <w:sz w:val="14"/>
                <w:szCs w:val="14"/>
                <w:lang w:eastAsia="sk-SK"/>
              </w:rPr>
              <w:t xml:space="preserve">S </w:t>
            </w:r>
          </w:p>
        </w:tc>
        <w:tc>
          <w:tcPr>
            <w:tcW w:w="47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2011 S</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2012 R</w:t>
            </w:r>
          </w:p>
        </w:tc>
        <w:tc>
          <w:tcPr>
            <w:tcW w:w="47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2012 OS</w:t>
            </w:r>
          </w:p>
        </w:tc>
        <w:tc>
          <w:tcPr>
            <w:tcW w:w="47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2013 N</w:t>
            </w:r>
          </w:p>
        </w:tc>
        <w:tc>
          <w:tcPr>
            <w:tcW w:w="46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2014 N</w:t>
            </w:r>
          </w:p>
        </w:tc>
        <w:tc>
          <w:tcPr>
            <w:tcW w:w="47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2015 N</w:t>
            </w:r>
          </w:p>
        </w:tc>
      </w:tr>
      <w:tr>
        <w:tblPrEx>
          <w:tblW w:w="5000" w:type="pct"/>
          <w:tblCellMar>
            <w:left w:w="70" w:type="dxa"/>
            <w:right w:w="70" w:type="dxa"/>
          </w:tblCellMar>
          <w:tblLook w:val="04A0"/>
        </w:tblPrEx>
        <w:trPr>
          <w:trHeight w:val="255"/>
        </w:trPr>
        <w:tc>
          <w:tcPr>
            <w:tcW w:w="1643"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Spolu výdavky</w:t>
            </w:r>
          </w:p>
        </w:tc>
        <w:tc>
          <w:tcPr>
            <w:tcW w:w="53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74 855 327</w:t>
            </w:r>
          </w:p>
        </w:tc>
        <w:tc>
          <w:tcPr>
            <w:tcW w:w="47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71 937 654</w:t>
            </w:r>
          </w:p>
        </w:tc>
        <w:tc>
          <w:tcPr>
            <w:tcW w:w="48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55 802 171</w:t>
            </w:r>
          </w:p>
        </w:tc>
        <w:tc>
          <w:tcPr>
            <w:tcW w:w="47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71 698 555</w:t>
            </w:r>
          </w:p>
        </w:tc>
        <w:tc>
          <w:tcPr>
            <w:tcW w:w="47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55 676 290</w:t>
            </w:r>
          </w:p>
        </w:tc>
        <w:tc>
          <w:tcPr>
            <w:tcW w:w="46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55 676 290</w:t>
            </w:r>
          </w:p>
        </w:tc>
        <w:tc>
          <w:tcPr>
            <w:tcW w:w="47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55 676 290</w:t>
            </w:r>
          </w:p>
        </w:tc>
      </w:tr>
      <w:tr>
        <w:tblPrEx>
          <w:tblW w:w="5000" w:type="pct"/>
          <w:tblCellMar>
            <w:left w:w="70" w:type="dxa"/>
            <w:right w:w="70" w:type="dxa"/>
          </w:tblCellMar>
          <w:tblLook w:val="04A0"/>
        </w:tblPrEx>
        <w:trPr>
          <w:trHeight w:val="255"/>
        </w:trPr>
        <w:tc>
          <w:tcPr>
            <w:tcW w:w="1643"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Úrad predsedníctva SAV</w:t>
            </w:r>
          </w:p>
        </w:tc>
        <w:tc>
          <w:tcPr>
            <w:tcW w:w="53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8 742 368</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4 147 993</w:t>
            </w:r>
          </w:p>
        </w:tc>
        <w:tc>
          <w:tcPr>
            <w:tcW w:w="48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5 973 599</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7 824 570</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6 630 421</w:t>
            </w:r>
          </w:p>
        </w:tc>
        <w:tc>
          <w:tcPr>
            <w:tcW w:w="46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6 630 421</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6 630 421</w:t>
            </w:r>
          </w:p>
        </w:tc>
      </w:tr>
      <w:tr>
        <w:tblPrEx>
          <w:tblW w:w="5000" w:type="pct"/>
          <w:tblCellMar>
            <w:left w:w="70" w:type="dxa"/>
            <w:right w:w="70" w:type="dxa"/>
          </w:tblCellMar>
          <w:tblLook w:val="04A0"/>
        </w:tblPrEx>
        <w:trPr>
          <w:trHeight w:val="255"/>
        </w:trPr>
        <w:tc>
          <w:tcPr>
            <w:tcW w:w="1643"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rozpočtové organizácie </w:t>
            </w:r>
          </w:p>
        </w:tc>
        <w:tc>
          <w:tcPr>
            <w:tcW w:w="53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44 797 168</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48 450 813</w:t>
            </w:r>
          </w:p>
        </w:tc>
        <w:tc>
          <w:tcPr>
            <w:tcW w:w="48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30 938 026</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44 507 489</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30 045 553</w:t>
            </w:r>
          </w:p>
        </w:tc>
        <w:tc>
          <w:tcPr>
            <w:tcW w:w="46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30 045 553</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30 045 553</w:t>
            </w:r>
          </w:p>
        </w:tc>
      </w:tr>
      <w:tr>
        <w:tblPrEx>
          <w:tblW w:w="5000" w:type="pct"/>
          <w:tblCellMar>
            <w:left w:w="70" w:type="dxa"/>
            <w:right w:w="70" w:type="dxa"/>
          </w:tblCellMar>
          <w:tblLook w:val="04A0"/>
        </w:tblPrEx>
        <w:trPr>
          <w:trHeight w:val="255"/>
        </w:trPr>
        <w:tc>
          <w:tcPr>
            <w:tcW w:w="1643"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príspevkové organizácie</w:t>
            </w:r>
          </w:p>
        </w:tc>
        <w:tc>
          <w:tcPr>
            <w:tcW w:w="53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21 315 791</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19 338 848</w:t>
            </w:r>
          </w:p>
        </w:tc>
        <w:tc>
          <w:tcPr>
            <w:tcW w:w="48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18 890 546</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19 366 496</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19 000 316</w:t>
            </w:r>
          </w:p>
        </w:tc>
        <w:tc>
          <w:tcPr>
            <w:tcW w:w="46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19 000 316</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19 000 316</w:t>
            </w:r>
          </w:p>
        </w:tc>
      </w:tr>
    </w:tbl>
    <w:p w:rsidR="009D2A34" w:rsidRPr="00291C28" w:rsidP="009D2A34">
      <w:pPr>
        <w:bidi w:val="0"/>
        <w:jc w:val="both"/>
        <w:rPr>
          <w:rFonts w:ascii="Times New Roman" w:hAnsi="Times New Roman"/>
          <w:lang w:eastAsia="sk-SK"/>
        </w:rPr>
      </w:pPr>
    </w:p>
    <w:p w:rsidR="009D2A34" w:rsidRPr="00291C28" w:rsidP="009D2A34">
      <w:pPr>
        <w:bidi w:val="0"/>
        <w:ind w:firstLine="708"/>
        <w:jc w:val="both"/>
        <w:rPr>
          <w:rFonts w:ascii="Times New Roman" w:hAnsi="Times New Roman"/>
          <w:lang w:eastAsia="sk-SK"/>
        </w:rPr>
      </w:pPr>
      <w:r w:rsidRPr="00291C28">
        <w:rPr>
          <w:rFonts w:ascii="Times New Roman" w:hAnsi="Times New Roman"/>
          <w:lang w:eastAsia="sk-SK"/>
        </w:rPr>
        <w:t>Prehľad rozpočtových a príspevkových organizácií Slovenskej akadémie vied je uvedený nižšie.</w:t>
      </w:r>
    </w:p>
    <w:p w:rsidR="009D2A34" w:rsidRPr="00291C28" w:rsidP="009D2A34">
      <w:pPr>
        <w:bidi w:val="0"/>
        <w:jc w:val="both"/>
        <w:rPr>
          <w:rFonts w:ascii="Times New Roman" w:hAnsi="Times New Roman"/>
          <w:lang w:eastAsia="sk-SK"/>
        </w:rPr>
      </w:pPr>
    </w:p>
    <w:tbl>
      <w:tblPr>
        <w:tblStyle w:val="TableNormal"/>
        <w:tblW w:w="5000" w:type="pct"/>
        <w:tblCellMar>
          <w:left w:w="70" w:type="dxa"/>
          <w:right w:w="70" w:type="dxa"/>
        </w:tblCellMar>
        <w:tblLook w:val="04A0"/>
      </w:tblPr>
      <w:tblGrid>
        <w:gridCol w:w="315"/>
        <w:gridCol w:w="3437"/>
        <w:gridCol w:w="805"/>
        <w:gridCol w:w="805"/>
        <w:gridCol w:w="770"/>
        <w:gridCol w:w="770"/>
        <w:gridCol w:w="770"/>
        <w:gridCol w:w="770"/>
        <w:gridCol w:w="770"/>
      </w:tblGrid>
      <w:tr>
        <w:tblPrEx>
          <w:tblW w:w="5000" w:type="pct"/>
          <w:tblCellMar>
            <w:left w:w="70" w:type="dxa"/>
            <w:right w:w="70" w:type="dxa"/>
          </w:tblCellMar>
          <w:tblLook w:val="04A0"/>
        </w:tblPrEx>
        <w:trPr>
          <w:trHeight w:val="198"/>
        </w:trPr>
        <w:tc>
          <w:tcPr>
            <w:tcW w:w="2011" w:type="pct"/>
            <w:gridSpan w:val="2"/>
            <w:tcBorders>
              <w:top w:val="single" w:sz="4" w:space="0" w:color="auto"/>
              <w:left w:val="single" w:sz="4" w:space="0" w:color="auto"/>
              <w:bottom w:val="single" w:sz="4" w:space="0" w:color="auto"/>
              <w:right w:val="single" w:sz="4" w:space="0" w:color="000000"/>
            </w:tcBorders>
            <w:shd w:val="clear" w:color="000000" w:fill="A6A6A6"/>
            <w:noWrap/>
            <w:textDirection w:val="lrTb"/>
            <w:vAlign w:val="center"/>
            <w:hideMark/>
          </w:tcPr>
          <w:p w:rsidR="009D2A34" w:rsidRPr="00291C28" w:rsidP="006338E5">
            <w:pPr>
              <w:bidi w:val="0"/>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v eurách</w:t>
            </w:r>
          </w:p>
        </w:tc>
        <w:tc>
          <w:tcPr>
            <w:tcW w:w="45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2010</w:t>
            </w:r>
            <w:r w:rsidR="009F409E">
              <w:rPr>
                <w:rFonts w:ascii="Times New Roman" w:hAnsi="Times New Roman"/>
                <w:b/>
                <w:bCs/>
                <w:color w:val="000000"/>
                <w:sz w:val="14"/>
                <w:szCs w:val="14"/>
                <w:lang w:eastAsia="sk-SK"/>
              </w:rPr>
              <w:t xml:space="preserve"> </w:t>
            </w:r>
            <w:r w:rsidRPr="00291C28">
              <w:rPr>
                <w:rFonts w:ascii="Times New Roman" w:hAnsi="Times New Roman"/>
                <w:b/>
                <w:bCs/>
                <w:color w:val="000000"/>
                <w:sz w:val="14"/>
                <w:szCs w:val="14"/>
                <w:lang w:eastAsia="sk-SK"/>
              </w:rPr>
              <w:t xml:space="preserve">S </w:t>
            </w:r>
          </w:p>
        </w:tc>
        <w:tc>
          <w:tcPr>
            <w:tcW w:w="45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2011 S</w:t>
            </w:r>
          </w:p>
        </w:tc>
        <w:tc>
          <w:tcPr>
            <w:tcW w:w="4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2012 R</w:t>
            </w:r>
          </w:p>
        </w:tc>
        <w:tc>
          <w:tcPr>
            <w:tcW w:w="4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2012 OS</w:t>
            </w:r>
          </w:p>
        </w:tc>
        <w:tc>
          <w:tcPr>
            <w:tcW w:w="4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2013 N</w:t>
            </w:r>
          </w:p>
        </w:tc>
        <w:tc>
          <w:tcPr>
            <w:tcW w:w="4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2014 N</w:t>
            </w:r>
          </w:p>
        </w:tc>
        <w:tc>
          <w:tcPr>
            <w:tcW w:w="417"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2015 N</w:t>
            </w:r>
          </w:p>
        </w:tc>
      </w:tr>
      <w:tr>
        <w:tblPrEx>
          <w:tblW w:w="5000" w:type="pct"/>
          <w:tblCellMar>
            <w:left w:w="70" w:type="dxa"/>
            <w:right w:w="70" w:type="dxa"/>
          </w:tblCellMar>
          <w:tblLook w:val="04A0"/>
        </w:tblPrEx>
        <w:trPr>
          <w:trHeight w:val="198"/>
        </w:trPr>
        <w:tc>
          <w:tcPr>
            <w:tcW w:w="2011" w:type="pct"/>
            <w:gridSpan w:val="2"/>
            <w:tcBorders>
              <w:top w:val="single" w:sz="4" w:space="0" w:color="auto"/>
              <w:left w:val="single" w:sz="4" w:space="0" w:color="auto"/>
              <w:bottom w:val="single" w:sz="4" w:space="0" w:color="auto"/>
              <w:right w:val="single" w:sz="4" w:space="0" w:color="000000"/>
            </w:tcBorders>
            <w:shd w:val="clear" w:color="000000" w:fill="BFBFBF"/>
            <w:noWrap/>
            <w:textDirection w:val="lrTb"/>
            <w:vAlign w:val="center"/>
            <w:hideMark/>
          </w:tcPr>
          <w:p w:rsidR="009D2A34" w:rsidRPr="00291C28" w:rsidP="006338E5">
            <w:pPr>
              <w:bidi w:val="0"/>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Rozpočtové organizácie spolu</w:t>
            </w:r>
          </w:p>
        </w:tc>
        <w:tc>
          <w:tcPr>
            <w:tcW w:w="452"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44 797 168</w:t>
            </w:r>
          </w:p>
        </w:tc>
        <w:tc>
          <w:tcPr>
            <w:tcW w:w="452"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48 450 813</w:t>
            </w:r>
          </w:p>
        </w:tc>
        <w:tc>
          <w:tcPr>
            <w:tcW w:w="417"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30 938 026</w:t>
            </w:r>
          </w:p>
        </w:tc>
        <w:tc>
          <w:tcPr>
            <w:tcW w:w="417"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44 507 489</w:t>
            </w:r>
          </w:p>
        </w:tc>
        <w:tc>
          <w:tcPr>
            <w:tcW w:w="417"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30 045 553</w:t>
            </w:r>
          </w:p>
        </w:tc>
        <w:tc>
          <w:tcPr>
            <w:tcW w:w="417"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30 045 553</w:t>
            </w:r>
          </w:p>
        </w:tc>
        <w:tc>
          <w:tcPr>
            <w:tcW w:w="417"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30 045 553</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Spoločenskovedný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448 044</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417 992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286 868</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376 230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281 257</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281 257</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281 257</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Technicko-hospodárska správa ústavov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2 850 104</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2 311 408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1 013 272</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1 262 889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1 009 214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1 009 214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1 009 214</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Astronomický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1 433 302</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1 638 654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858 465</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1 821 499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855 625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855 625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855 625</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4.</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Geografický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625 503</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605 755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602 810</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607 269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588 985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588 985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588 985</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5.</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molekulárnej biológie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1 233 002</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1 210 840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1 042 393</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1 086 394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1 028 909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1 028 909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1 028 909</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6.</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Ústav experimentálnej onkológie</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1 542 266</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1 499 400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1 437 446</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1 676 325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1 425 979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1 425 979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1 425 979</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7.</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Virologický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3 491 109</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3 688 608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1 524 011</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3 156 148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1 481 300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1 481 300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1 481 300</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8.</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Archeologický ústav</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2 401 249</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1 750 174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1 688 676</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1 615 972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1 429 200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1 429 200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1 429 200</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9.</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Matematický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876 620</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844 180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797 639</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804 317</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777 380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777 380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777 380</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10.</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experimentálnej fyziky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4 459 828</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4 075 337</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1 913 756</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3 337 260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1 922 614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1 922 614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1 922 614</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11.</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Neurobiologický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689 037</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2 115 026</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524 304</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2 047 920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443 548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443 548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443 548</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12.</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fyziológie hospodárskych zvierat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1 593 528</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1 961 379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664 085</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1 270 202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649 059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649 059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649 059</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13.</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Historický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1 343 427</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1 286 933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1 246 324</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1 282 124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1 231 560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1 231 560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1 231 560</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14.</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etnológie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491 113</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499 330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459 848</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453 514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445 684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445 684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445 684</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15.</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Filozofický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507 221</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473 891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449 748</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454 378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436 902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436 902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436 902</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16.</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Ústav experimentálnej psychológie</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391 660</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355 645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361 854</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349 878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357 199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357 199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357 199</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17.</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štátu a práva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341 758</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337 759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319 207</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318 594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313 587</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313 587</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313 587</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18.</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Jazykovedný ústav Ľudovíta Štúra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1 079 877</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1 049 710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899 617</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1 046 999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905 955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905 955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905 955</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19.</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Technicko-hospodárska správa ústavov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805 681</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442 823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372 603</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437 319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366 744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366 744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366 744</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20.</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dejín umenia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250 407</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292 432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226 598</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269 278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223 799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223 799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223 799</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21.</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Ústav molekulárnej fyziológie a genetiky</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858 684</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938 682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744 880</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847 724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741 104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741 104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741 104</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22.</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 Ústredný archív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145 369</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117 104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116 025</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111 016</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114 411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114 411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114 411</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23.</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 Ústav politických vied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224 245</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233 853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217 915</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216 190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215 102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215 102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215 102</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24.</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anorganickej chémie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2 106 739</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4 204 986</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1 044 718</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4 059 959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1 034 288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1 034 288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1 034 288</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25.</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Geofyzikálny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921 316</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886 416</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855 068</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978 343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848 160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848 160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848 160</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26.</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Parazitologický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1 430 538</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1 368 142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787 279</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1 757 512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781 420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781 420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781 420</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27.</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biochémie a genetiky živočíchov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722 074</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724 524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697 576</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683 005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649 729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649 729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649 729</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28.</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hudobnej vedy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269 830</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267 604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248 841</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264 696</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245 481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245 481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245 481</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29.</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divadelnej a filmovej vedy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178 451</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168 315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155 599</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179 092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156 482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156 482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156 482</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30.</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Ústredná knižnica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678 929</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675 006</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638 533</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645 809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640 785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640 785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640 785</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31.</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Prognostický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372 362</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344 710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313 063</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350 522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321 020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321 020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321 020</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32.</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experimentálnej endokrinológie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1 111 633</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1 496 021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1 040 982</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1 030 280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965 197</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965 197</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965 197</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33.</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experimentálnej farmakológie a toxikológie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977 424</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1 296 822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1 024 648</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1 149 640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951 921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951 921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951 921</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34.</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pre výskum srdca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434 669</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409 495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407 181</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422 358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402 920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402 920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402 920</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35.</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normálnej a patologickej fyziológie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826 864</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607 378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576 842</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610 682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579 514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579 514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579 514</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36.</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Botanický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1 206 911</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1 147 761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1 124 943</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1 129 518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1 111 413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1 111 413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1 111 413</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37.</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genetiky a biotechnológie rastlín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932 099</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591 166</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547 060</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557 938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533 123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533 123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533 123</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38.</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Sociologický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413 273</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392 843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375 874</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386 943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367 755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367 755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367 755</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39.</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výskumu sociálnej komunikácie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262 233</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247 583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242 891</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245 338</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259 833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259 833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259 833</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40.</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orientalistiky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249 060</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240 496</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237 583</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240 126</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232 530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232 530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232 530</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41.</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svetovej literatúry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377 251</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388 941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372 431</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375 266</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361 989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361 989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361 989</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42.</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slovenskej literatúry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600 719</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573 159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558 822</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568 425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547 604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547 604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547 604</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43.</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Neuroimunologický ústav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795 069</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1 204 713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546 367</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794 003</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481 562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481 562</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481 562</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44.</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Slavistický ústav Jána Stanislava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179 280</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174 511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167 238</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179 760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164 339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164 339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164 339</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45.</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Molekulárno-medicínske centrum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312 023</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164 289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233 148</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237 011</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227 217</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227 217</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227 217</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46.</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Technologický inštitút </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358 427</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1 456 890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65 507</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1 918 109</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64 544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64 544</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64 544</w:t>
            </w:r>
          </w:p>
        </w:tc>
      </w:tr>
      <w:tr>
        <w:tblPrEx>
          <w:tblW w:w="5000" w:type="pct"/>
          <w:tblCellMar>
            <w:left w:w="70" w:type="dxa"/>
            <w:right w:w="70" w:type="dxa"/>
          </w:tblCellMar>
          <w:tblLook w:val="04A0"/>
        </w:tblPrEx>
        <w:trPr>
          <w:trHeight w:val="198"/>
        </w:trPr>
        <w:tc>
          <w:tcPr>
            <w:tcW w:w="130"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47.</w:t>
            </w:r>
          </w:p>
        </w:tc>
        <w:tc>
          <w:tcPr>
            <w:tcW w:w="1880"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Kongresové centrum Smolenice</w:t>
            </w:r>
          </w:p>
        </w:tc>
        <w:tc>
          <w:tcPr>
            <w:tcW w:w="452"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996 960</w:t>
            </w:r>
          </w:p>
        </w:tc>
        <w:tc>
          <w:tcPr>
            <w:tcW w:w="452"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1 272 127</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907 488</w:t>
            </w:r>
          </w:p>
        </w:tc>
        <w:tc>
          <w:tcPr>
            <w:tcW w:w="417"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893 715</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871 610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871 610</w:t>
            </w:r>
          </w:p>
        </w:tc>
        <w:tc>
          <w:tcPr>
            <w:tcW w:w="417"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871 610</w:t>
            </w:r>
          </w:p>
        </w:tc>
      </w:tr>
    </w:tbl>
    <w:p w:rsidR="009D2A34" w:rsidRPr="00291C28" w:rsidP="009D2A34">
      <w:pPr>
        <w:bidi w:val="0"/>
        <w:rPr>
          <w:rFonts w:ascii="Times New Roman" w:hAnsi="Times New Roman"/>
          <w:color w:val="000000"/>
          <w:lang w:eastAsia="sk-SK"/>
        </w:rPr>
      </w:pPr>
    </w:p>
    <w:p w:rsidR="009D2A34" w:rsidRPr="00291C28" w:rsidP="009D2A34">
      <w:pPr>
        <w:bidi w:val="0"/>
        <w:rPr>
          <w:rFonts w:ascii="Times New Roman" w:hAnsi="Times New Roman"/>
          <w:color w:val="000000"/>
          <w:lang w:eastAsia="sk-SK"/>
        </w:rPr>
      </w:pPr>
    </w:p>
    <w:p w:rsidR="009D2A34" w:rsidRPr="00291C28" w:rsidP="009D2A34">
      <w:pPr>
        <w:bidi w:val="0"/>
        <w:rPr>
          <w:rFonts w:ascii="Times New Roman" w:hAnsi="Times New Roman"/>
          <w:color w:val="000000"/>
          <w:lang w:eastAsia="sk-SK"/>
        </w:rPr>
      </w:pPr>
    </w:p>
    <w:p w:rsidR="009D2A34" w:rsidRPr="00291C28" w:rsidP="009D2A34">
      <w:pPr>
        <w:bidi w:val="0"/>
        <w:rPr>
          <w:rFonts w:ascii="Times New Roman" w:hAnsi="Times New Roman"/>
          <w:color w:val="000000"/>
          <w:lang w:eastAsia="sk-SK"/>
        </w:rPr>
      </w:pPr>
    </w:p>
    <w:tbl>
      <w:tblPr>
        <w:tblStyle w:val="TableNormal"/>
        <w:tblW w:w="5000" w:type="pct"/>
        <w:tblCellMar>
          <w:left w:w="70" w:type="dxa"/>
          <w:right w:w="70" w:type="dxa"/>
        </w:tblCellMar>
        <w:tblLook w:val="04A0"/>
      </w:tblPr>
      <w:tblGrid>
        <w:gridCol w:w="316"/>
        <w:gridCol w:w="3414"/>
        <w:gridCol w:w="816"/>
        <w:gridCol w:w="816"/>
        <w:gridCol w:w="770"/>
        <w:gridCol w:w="770"/>
        <w:gridCol w:w="770"/>
        <w:gridCol w:w="770"/>
        <w:gridCol w:w="770"/>
      </w:tblGrid>
      <w:tr>
        <w:tblPrEx>
          <w:tblW w:w="5000" w:type="pct"/>
          <w:tblCellMar>
            <w:left w:w="70" w:type="dxa"/>
            <w:right w:w="70" w:type="dxa"/>
          </w:tblCellMar>
          <w:tblLook w:val="04A0"/>
        </w:tblPrEx>
        <w:trPr>
          <w:trHeight w:hRule="exact" w:val="272"/>
        </w:trPr>
        <w:tc>
          <w:tcPr>
            <w:tcW w:w="2024" w:type="pct"/>
            <w:gridSpan w:val="2"/>
            <w:tcBorders>
              <w:top w:val="single" w:sz="4" w:space="0" w:color="auto"/>
              <w:left w:val="single" w:sz="4" w:space="0" w:color="auto"/>
              <w:bottom w:val="single" w:sz="4" w:space="0" w:color="auto"/>
              <w:right w:val="single" w:sz="4" w:space="0" w:color="000000"/>
            </w:tcBorders>
            <w:shd w:val="clear" w:color="000000" w:fill="A6A6A6"/>
            <w:noWrap/>
            <w:textDirection w:val="lrTb"/>
            <w:vAlign w:val="center"/>
            <w:hideMark/>
          </w:tcPr>
          <w:p w:rsidR="009D2A34" w:rsidRPr="00291C28" w:rsidP="006338E5">
            <w:pPr>
              <w:bidi w:val="0"/>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v eurách</w:t>
            </w:r>
          </w:p>
        </w:tc>
        <w:tc>
          <w:tcPr>
            <w:tcW w:w="4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2010 S</w:t>
            </w:r>
          </w:p>
        </w:tc>
        <w:tc>
          <w:tcPr>
            <w:tcW w:w="443"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2011 S</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2012 R</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2012 OS</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2013 N</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2014 N</w:t>
            </w:r>
          </w:p>
        </w:tc>
        <w:tc>
          <w:tcPr>
            <w:tcW w:w="41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2015 N</w:t>
            </w:r>
          </w:p>
        </w:tc>
      </w:tr>
      <w:tr>
        <w:tblPrEx>
          <w:tblW w:w="5000" w:type="pct"/>
          <w:tblCellMar>
            <w:left w:w="70" w:type="dxa"/>
            <w:right w:w="70" w:type="dxa"/>
          </w:tblCellMar>
          <w:tblLook w:val="04A0"/>
        </w:tblPrEx>
        <w:trPr>
          <w:trHeight w:hRule="exact" w:val="272"/>
        </w:trPr>
        <w:tc>
          <w:tcPr>
            <w:tcW w:w="2024" w:type="pct"/>
            <w:gridSpan w:val="2"/>
            <w:tcBorders>
              <w:top w:val="single" w:sz="4" w:space="0" w:color="auto"/>
              <w:left w:val="single" w:sz="4" w:space="0" w:color="auto"/>
              <w:bottom w:val="single" w:sz="4" w:space="0" w:color="auto"/>
              <w:right w:val="single" w:sz="4" w:space="0" w:color="000000"/>
            </w:tcBorders>
            <w:shd w:val="clear" w:color="000000" w:fill="BFBFBF"/>
            <w:noWrap/>
            <w:textDirection w:val="lrTb"/>
            <w:vAlign w:val="center"/>
            <w:hideMark/>
          </w:tcPr>
          <w:p w:rsidR="009D2A34" w:rsidRPr="00291C28" w:rsidP="006338E5">
            <w:pPr>
              <w:bidi w:val="0"/>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Príspevkové organizácie spolu</w:t>
            </w:r>
          </w:p>
        </w:tc>
        <w:tc>
          <w:tcPr>
            <w:tcW w:w="44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21 315 791</w:t>
            </w:r>
          </w:p>
        </w:tc>
        <w:tc>
          <w:tcPr>
            <w:tcW w:w="443"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19 338 848</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18 890 546</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19 366 496</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19 000 316</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19 000 316</w:t>
            </w:r>
          </w:p>
        </w:tc>
        <w:tc>
          <w:tcPr>
            <w:tcW w:w="41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19 000 316</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Fyzikálny ústav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1 607 350</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1 576 228</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1 457 165</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1 541 393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1 479 756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1 479 756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1 479 756</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geotechniky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787 776</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718 811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713 892</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672 073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702 821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702 821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702 821</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3.</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stavebníctva a architektúry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1 214 421</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737 179</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797 584</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761 541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792 323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792 323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792 323</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4.</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hydrológie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725 861</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623 881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641 871</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638 914</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620 976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620 976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620 976</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5.</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Chemický ústav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2 027 134</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1 891 828</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1 792 509</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1 839 761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1 808 105</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1 808 105</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1 808 105</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6.</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Arborétum Mlyňany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508 085</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437 725</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426 760</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424 515</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407 753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407 753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407 753</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7.</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Veda, vydavateľstvo SAV</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521 070</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398 762</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288 294</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273 543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269 878</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269 878</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269 878</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8.</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materiálového výskumu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1 093 771</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1 188 921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1 036 353</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867 401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951 577</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951 577</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951 577</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9.</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Encyklopedický ústav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727 100</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716 187</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709 472</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695 631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689 002</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689 002</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689 002</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10.</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Správa účelových zariadení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1 276 040</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1 028 584</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1 008 460</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871 055</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920 845</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920 845</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920 845</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11.</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Výpočtové stredisko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504 929</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512 145</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464 630</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565 676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548 621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548 621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548 621</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12.</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materiálov a mechaniky strojov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1 332 765</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1 167 504</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1 376 270</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1 986 349</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1 695 895</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1 695 895</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1 695 895</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13.</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Ústav polymérov</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1 105 637</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1 053 822</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993 225</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1 058 700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1 011 242</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1 011 242</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1 011 242</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14.</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Geologický ústav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781 199</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575 024</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617 580</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595 113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607 421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607 421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607 421</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15.</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merania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933 454</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904 326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871 982</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854 250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861 263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861 263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861 263</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16.</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Elektrotechnický ústav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1 573 636</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1 468 484</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1 425 946</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1 430 120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1 404 680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1 404 680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1 404 680</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17.</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ekológie lesa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933 536</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812 053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775 041</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785 144</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761 224</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761 224</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761 224</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18.</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zoológie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915 318</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856 070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800 947</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782 754</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816 728</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816 728</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816 728</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19.</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krajinnej ekológie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679 306</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701 642</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666 143</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652 211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652 239</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652 239</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652 239</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20.</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Ekonomický ústav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767 927</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743 840</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714 747</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750 049</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724 966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724 966</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724 966</w:t>
            </w:r>
          </w:p>
        </w:tc>
      </w:tr>
      <w:tr>
        <w:tblPrEx>
          <w:tblW w:w="5000" w:type="pct"/>
          <w:tblCellMar>
            <w:left w:w="70" w:type="dxa"/>
            <w:right w:w="70" w:type="dxa"/>
          </w:tblCellMar>
          <w:tblLook w:val="04A0"/>
        </w:tblPrEx>
        <w:trPr>
          <w:trHeight w:hRule="exact" w:val="272"/>
        </w:trPr>
        <w:tc>
          <w:tcPr>
            <w:tcW w:w="171"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21.</w:t>
            </w:r>
          </w:p>
        </w:tc>
        <w:tc>
          <w:tcPr>
            <w:tcW w:w="185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Ústav informatiky </w:t>
            </w:r>
          </w:p>
        </w:tc>
        <w:tc>
          <w:tcPr>
            <w:tcW w:w="443"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1 299 475</w:t>
            </w:r>
          </w:p>
        </w:tc>
        <w:tc>
          <w:tcPr>
            <w:tcW w:w="443"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1 225 832</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1 311 675</w:t>
            </w:r>
          </w:p>
        </w:tc>
        <w:tc>
          <w:tcPr>
            <w:tcW w:w="418" w:type="pct"/>
            <w:tcBorders>
              <w:top w:val="nil"/>
              <w:left w:val="nil"/>
              <w:bottom w:val="single" w:sz="4" w:space="0" w:color="auto"/>
              <w:right w:val="single" w:sz="4" w:space="0" w:color="auto"/>
            </w:tcBorders>
            <w:shd w:val="clear" w:color="000000" w:fill="FFFFFF"/>
            <w:textDirection w:val="lrTb"/>
            <w:vAlign w:val="center"/>
            <w:hideMark/>
          </w:tcPr>
          <w:p w:rsidR="009D2A34" w:rsidRPr="00291C28" w:rsidP="006338E5">
            <w:pPr>
              <w:bidi w:val="0"/>
              <w:jc w:val="right"/>
              <w:rPr>
                <w:rFonts w:ascii="Times New Roman" w:hAnsi="Times New Roman"/>
                <w:sz w:val="14"/>
                <w:szCs w:val="14"/>
                <w:lang w:eastAsia="sk-SK"/>
              </w:rPr>
            </w:pPr>
            <w:r w:rsidRPr="00291C28">
              <w:rPr>
                <w:rFonts w:ascii="Times New Roman" w:hAnsi="Times New Roman"/>
                <w:sz w:val="14"/>
                <w:szCs w:val="14"/>
                <w:lang w:eastAsia="sk-SK"/>
              </w:rPr>
              <w:t>1 320 303</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1 273 001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1 273 001</w:t>
            </w:r>
          </w:p>
        </w:tc>
        <w:tc>
          <w:tcPr>
            <w:tcW w:w="418"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1 273 001</w:t>
            </w:r>
          </w:p>
        </w:tc>
      </w:tr>
    </w:tbl>
    <w:p w:rsidR="009D2A34" w:rsidRPr="00291C28" w:rsidP="009D2A34">
      <w:pPr>
        <w:bidi w:val="0"/>
        <w:jc w:val="both"/>
        <w:rPr>
          <w:rFonts w:ascii="Times New Roman" w:hAnsi="Times New Roman"/>
          <w:lang w:eastAsia="sk-SK"/>
        </w:rPr>
      </w:pPr>
    </w:p>
    <w:p w:rsidR="009D2A34" w:rsidRPr="00291C28" w:rsidP="009D2A34">
      <w:pPr>
        <w:bidi w:val="0"/>
        <w:jc w:val="both"/>
        <w:rPr>
          <w:rFonts w:ascii="Times New Roman" w:hAnsi="Times New Roman"/>
          <w:lang w:eastAsia="sk-SK"/>
        </w:rPr>
      </w:pPr>
      <w:r w:rsidRPr="00291C28">
        <w:rPr>
          <w:rFonts w:ascii="Times New Roman" w:hAnsi="Times New Roman"/>
          <w:b/>
          <w:bCs/>
          <w:lang w:eastAsia="sk-SK"/>
        </w:rPr>
        <w:t>Financovanie tretieho stupňa vysokoškolského vzdelávania</w:t>
      </w:r>
      <w:r w:rsidRPr="00291C28">
        <w:rPr>
          <w:rFonts w:ascii="Times New Roman" w:hAnsi="Times New Roman"/>
          <w:lang w:eastAsia="sk-SK"/>
        </w:rPr>
        <w:t> </w:t>
      </w:r>
    </w:p>
    <w:p w:rsidR="009D2A34" w:rsidRPr="00291C28" w:rsidP="009D2A34">
      <w:pPr>
        <w:bidi w:val="0"/>
        <w:jc w:val="both"/>
        <w:rPr>
          <w:rFonts w:ascii="Times New Roman" w:hAnsi="Times New Roman"/>
          <w:lang w:eastAsia="sk-SK"/>
        </w:rPr>
      </w:pPr>
    </w:p>
    <w:p w:rsidR="009D2A34" w:rsidRPr="00291C28" w:rsidP="009D2A34">
      <w:pPr>
        <w:bidi w:val="0"/>
        <w:ind w:firstLine="708"/>
        <w:jc w:val="both"/>
        <w:rPr>
          <w:rFonts w:ascii="Times New Roman" w:hAnsi="Times New Roman"/>
          <w:lang w:eastAsia="sk-SK"/>
        </w:rPr>
      </w:pPr>
      <w:r w:rsidRPr="00291C28">
        <w:rPr>
          <w:rFonts w:ascii="Times New Roman" w:hAnsi="Times New Roman"/>
          <w:lang w:eastAsia="sk-SK"/>
        </w:rPr>
        <w:t xml:space="preserve">SAV ako externá vzdelávacia inštitúcia sa podieľa na výchove nových generácií vedeckých pracovníkov v širokej palete vedných odborov. Zo svojho rozpočtu hradí nielen prostriedky na štipendiá, ale aj náklady spojené s vedeckou činnosťou doktorandov. Na rok 2013 SAV rozpísala výdavky na tretí stupeň vysokoškolského vzdelávania v sume </w:t>
        <w:br/>
        <w:t xml:space="preserve">4,40 mil. eur, čo predstavuje nárast oproti  schválenému rozpočtu roku 2012 o 1,22 mil. eur, </w:t>
        <w:br/>
        <w:t xml:space="preserve">t. j. 38,2 %. Zo sumy 4,40 mil. eur sú rozpočtované výdavky na štipendiá v sume 4,26 mil. eur a 0,14 mil. eur sú bežné výdavky na tovary a služby spojené s vedeckou činnosťou doktorandov. </w:t>
      </w:r>
    </w:p>
    <w:p w:rsidR="009D2A34" w:rsidRPr="00291C28" w:rsidP="009D2A34">
      <w:pPr>
        <w:bidi w:val="0"/>
        <w:ind w:firstLine="708"/>
        <w:jc w:val="both"/>
        <w:rPr>
          <w:rFonts w:ascii="Times New Roman" w:hAnsi="Times New Roman"/>
          <w:lang w:eastAsia="sk-SK"/>
        </w:rPr>
      </w:pPr>
    </w:p>
    <w:tbl>
      <w:tblPr>
        <w:tblStyle w:val="TableNormal"/>
        <w:tblW w:w="5000" w:type="pct"/>
        <w:tblCellMar>
          <w:left w:w="70" w:type="dxa"/>
          <w:right w:w="70" w:type="dxa"/>
        </w:tblCellMar>
        <w:tblLook w:val="04A0"/>
      </w:tblPr>
      <w:tblGrid>
        <w:gridCol w:w="3027"/>
        <w:gridCol w:w="978"/>
        <w:gridCol w:w="868"/>
        <w:gridCol w:w="886"/>
        <w:gridCol w:w="868"/>
        <w:gridCol w:w="868"/>
        <w:gridCol w:w="849"/>
        <w:gridCol w:w="868"/>
      </w:tblGrid>
      <w:tr>
        <w:tblPrEx>
          <w:tblW w:w="5000" w:type="pct"/>
          <w:tblCellMar>
            <w:left w:w="70" w:type="dxa"/>
            <w:right w:w="70" w:type="dxa"/>
          </w:tblCellMar>
          <w:tblLook w:val="04A0"/>
        </w:tblPrEx>
        <w:trPr>
          <w:trHeight w:val="227"/>
        </w:trPr>
        <w:tc>
          <w:tcPr>
            <w:tcW w:w="1643" w:type="pct"/>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9D2A34" w:rsidRPr="00291C28" w:rsidP="006338E5">
            <w:pPr>
              <w:bidi w:val="0"/>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v eurách</w:t>
            </w:r>
          </w:p>
        </w:tc>
        <w:tc>
          <w:tcPr>
            <w:tcW w:w="53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 xml:space="preserve">2010 S </w:t>
            </w:r>
          </w:p>
        </w:tc>
        <w:tc>
          <w:tcPr>
            <w:tcW w:w="47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2011 S</w:t>
            </w:r>
          </w:p>
        </w:tc>
        <w:tc>
          <w:tcPr>
            <w:tcW w:w="48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2012 R</w:t>
            </w:r>
          </w:p>
        </w:tc>
        <w:tc>
          <w:tcPr>
            <w:tcW w:w="47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2012 OS</w:t>
            </w:r>
          </w:p>
        </w:tc>
        <w:tc>
          <w:tcPr>
            <w:tcW w:w="47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2013 N</w:t>
            </w:r>
          </w:p>
        </w:tc>
        <w:tc>
          <w:tcPr>
            <w:tcW w:w="46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2014 N</w:t>
            </w:r>
          </w:p>
        </w:tc>
        <w:tc>
          <w:tcPr>
            <w:tcW w:w="47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9D2A34" w:rsidRPr="00291C28" w:rsidP="006338E5">
            <w:pPr>
              <w:bidi w:val="0"/>
              <w:jc w:val="center"/>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2015 N</w:t>
            </w:r>
          </w:p>
        </w:tc>
      </w:tr>
      <w:tr>
        <w:tblPrEx>
          <w:tblW w:w="5000" w:type="pct"/>
          <w:tblCellMar>
            <w:left w:w="70" w:type="dxa"/>
            <w:right w:w="70" w:type="dxa"/>
          </w:tblCellMar>
          <w:tblLook w:val="04A0"/>
        </w:tblPrEx>
        <w:trPr>
          <w:trHeight w:val="227"/>
        </w:trPr>
        <w:tc>
          <w:tcPr>
            <w:tcW w:w="1643"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9D2A34" w:rsidRPr="00291C28" w:rsidP="006338E5">
            <w:pPr>
              <w:bidi w:val="0"/>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Výdavky na doktorandov v eurách spolu</w:t>
            </w:r>
          </w:p>
        </w:tc>
        <w:tc>
          <w:tcPr>
            <w:tcW w:w="53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2 647 534</w:t>
            </w:r>
          </w:p>
        </w:tc>
        <w:tc>
          <w:tcPr>
            <w:tcW w:w="47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3 081 134</w:t>
            </w:r>
          </w:p>
        </w:tc>
        <w:tc>
          <w:tcPr>
            <w:tcW w:w="48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3 183 436</w:t>
            </w:r>
          </w:p>
        </w:tc>
        <w:tc>
          <w:tcPr>
            <w:tcW w:w="47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3 300 170</w:t>
            </w:r>
          </w:p>
        </w:tc>
        <w:tc>
          <w:tcPr>
            <w:tcW w:w="47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4 400 170</w:t>
            </w:r>
          </w:p>
        </w:tc>
        <w:tc>
          <w:tcPr>
            <w:tcW w:w="46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4 400 170</w:t>
            </w:r>
          </w:p>
        </w:tc>
        <w:tc>
          <w:tcPr>
            <w:tcW w:w="471" w:type="pct"/>
            <w:tcBorders>
              <w:top w:val="nil"/>
              <w:left w:val="nil"/>
              <w:bottom w:val="single" w:sz="4" w:space="0" w:color="auto"/>
              <w:right w:val="single" w:sz="4" w:space="0" w:color="auto"/>
            </w:tcBorders>
            <w:shd w:val="clear" w:color="000000" w:fill="BFBFBF"/>
            <w:noWrap/>
            <w:textDirection w:val="lrTb"/>
            <w:vAlign w:val="center"/>
            <w:hideMark/>
          </w:tcPr>
          <w:p w:rsidR="009D2A34" w:rsidRPr="00291C28" w:rsidP="006338E5">
            <w:pPr>
              <w:bidi w:val="0"/>
              <w:jc w:val="right"/>
              <w:rPr>
                <w:rFonts w:ascii="Times New Roman" w:hAnsi="Times New Roman"/>
                <w:b/>
                <w:bCs/>
                <w:color w:val="000000"/>
                <w:sz w:val="14"/>
                <w:szCs w:val="14"/>
                <w:lang w:eastAsia="sk-SK"/>
              </w:rPr>
            </w:pPr>
            <w:r w:rsidRPr="00291C28">
              <w:rPr>
                <w:rFonts w:ascii="Times New Roman" w:hAnsi="Times New Roman"/>
                <w:b/>
                <w:bCs/>
                <w:color w:val="000000"/>
                <w:sz w:val="14"/>
                <w:szCs w:val="14"/>
                <w:lang w:eastAsia="sk-SK"/>
              </w:rPr>
              <w:t>4 400 170</w:t>
            </w:r>
          </w:p>
        </w:tc>
      </w:tr>
      <w:tr>
        <w:tblPrEx>
          <w:tblW w:w="5000" w:type="pct"/>
          <w:tblCellMar>
            <w:left w:w="70" w:type="dxa"/>
            <w:right w:w="70" w:type="dxa"/>
          </w:tblCellMar>
          <w:tblLook w:val="04A0"/>
        </w:tblPrEx>
        <w:trPr>
          <w:trHeight w:val="227"/>
        </w:trPr>
        <w:tc>
          <w:tcPr>
            <w:tcW w:w="1643"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z toho: tovary a služby na doktorandov </w:t>
            </w:r>
          </w:p>
        </w:tc>
        <w:tc>
          <w:tcPr>
            <w:tcW w:w="53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109 838</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122 179</w:t>
            </w:r>
          </w:p>
        </w:tc>
        <w:tc>
          <w:tcPr>
            <w:tcW w:w="48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134 960</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141 760</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141 760</w:t>
            </w:r>
          </w:p>
        </w:tc>
        <w:tc>
          <w:tcPr>
            <w:tcW w:w="46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141 760</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141 760</w:t>
            </w:r>
          </w:p>
        </w:tc>
      </w:tr>
      <w:tr>
        <w:tblPrEx>
          <w:tblW w:w="5000" w:type="pct"/>
          <w:tblCellMar>
            <w:left w:w="70" w:type="dxa"/>
            <w:right w:w="70" w:type="dxa"/>
          </w:tblCellMar>
          <w:tblLook w:val="04A0"/>
        </w:tblPrEx>
        <w:trPr>
          <w:trHeight w:val="227"/>
        </w:trPr>
        <w:tc>
          <w:tcPr>
            <w:tcW w:w="1643"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 xml:space="preserve">              štipendiá doktorandov</w:t>
            </w:r>
          </w:p>
        </w:tc>
        <w:tc>
          <w:tcPr>
            <w:tcW w:w="53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2 537 696</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2 958 955</w:t>
            </w:r>
          </w:p>
        </w:tc>
        <w:tc>
          <w:tcPr>
            <w:tcW w:w="48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3 048 476</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3 158 410</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4 258 410</w:t>
            </w:r>
          </w:p>
        </w:tc>
        <w:tc>
          <w:tcPr>
            <w:tcW w:w="46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4 258 410</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4 258 410</w:t>
            </w:r>
          </w:p>
        </w:tc>
      </w:tr>
      <w:tr>
        <w:tblPrEx>
          <w:tblW w:w="5000" w:type="pct"/>
          <w:tblCellMar>
            <w:left w:w="70" w:type="dxa"/>
            <w:right w:w="70" w:type="dxa"/>
          </w:tblCellMar>
          <w:tblLook w:val="04A0"/>
        </w:tblPrEx>
        <w:trPr>
          <w:trHeight w:val="227"/>
        </w:trPr>
        <w:tc>
          <w:tcPr>
            <w:tcW w:w="1643" w:type="pct"/>
            <w:tcBorders>
              <w:top w:val="nil"/>
              <w:left w:val="single" w:sz="4" w:space="0" w:color="auto"/>
              <w:bottom w:val="single" w:sz="4" w:space="0" w:color="auto"/>
              <w:right w:val="single" w:sz="4" w:space="0" w:color="auto"/>
            </w:tcBorders>
            <w:noWrap/>
            <w:textDirection w:val="lrTb"/>
            <w:vAlign w:val="center"/>
            <w:hideMark/>
          </w:tcPr>
          <w:p w:rsidR="009D2A34" w:rsidRPr="00291C28" w:rsidP="006338E5">
            <w:pPr>
              <w:bidi w:val="0"/>
              <w:rPr>
                <w:rFonts w:ascii="Times New Roman" w:hAnsi="Times New Roman"/>
                <w:color w:val="000000"/>
                <w:sz w:val="14"/>
                <w:szCs w:val="14"/>
                <w:lang w:eastAsia="sk-SK"/>
              </w:rPr>
            </w:pPr>
            <w:r w:rsidRPr="00291C28">
              <w:rPr>
                <w:rFonts w:ascii="Times New Roman" w:hAnsi="Times New Roman"/>
                <w:color w:val="000000"/>
                <w:sz w:val="14"/>
                <w:szCs w:val="14"/>
                <w:lang w:eastAsia="sk-SK"/>
              </w:rPr>
              <w:t>počet doktorandov (osôb)</w:t>
            </w:r>
          </w:p>
        </w:tc>
        <w:tc>
          <w:tcPr>
            <w:tcW w:w="53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419</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440</w:t>
            </w:r>
          </w:p>
        </w:tc>
        <w:tc>
          <w:tcPr>
            <w:tcW w:w="48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510</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color w:val="000000"/>
                <w:sz w:val="14"/>
                <w:szCs w:val="14"/>
                <w:lang w:eastAsia="sk-SK"/>
              </w:rPr>
            </w:pPr>
            <w:r w:rsidRPr="00291C28">
              <w:rPr>
                <w:rFonts w:ascii="Times New Roman" w:hAnsi="Times New Roman"/>
                <w:color w:val="000000"/>
                <w:sz w:val="14"/>
                <w:szCs w:val="14"/>
                <w:lang w:eastAsia="sk-SK"/>
              </w:rPr>
              <w:t>470</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470</w:t>
            </w:r>
          </w:p>
        </w:tc>
        <w:tc>
          <w:tcPr>
            <w:tcW w:w="46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470</w:t>
            </w:r>
          </w:p>
        </w:tc>
        <w:tc>
          <w:tcPr>
            <w:tcW w:w="471" w:type="pct"/>
            <w:tcBorders>
              <w:top w:val="nil"/>
              <w:left w:val="nil"/>
              <w:bottom w:val="single" w:sz="4" w:space="0" w:color="auto"/>
              <w:right w:val="single" w:sz="4" w:space="0" w:color="auto"/>
            </w:tcBorders>
            <w:noWrap/>
            <w:textDirection w:val="lrTb"/>
            <w:vAlign w:val="center"/>
            <w:hideMark/>
          </w:tcPr>
          <w:p w:rsidR="009D2A34" w:rsidRPr="00291C28" w:rsidP="006338E5">
            <w:pPr>
              <w:bidi w:val="0"/>
              <w:jc w:val="right"/>
              <w:rPr>
                <w:rFonts w:ascii="Times New Roman" w:hAnsi="Times New Roman"/>
                <w:bCs/>
                <w:color w:val="000000"/>
                <w:sz w:val="14"/>
                <w:szCs w:val="14"/>
                <w:lang w:eastAsia="sk-SK"/>
              </w:rPr>
            </w:pPr>
            <w:r w:rsidRPr="00291C28">
              <w:rPr>
                <w:rFonts w:ascii="Times New Roman" w:hAnsi="Times New Roman"/>
                <w:bCs/>
                <w:color w:val="000000"/>
                <w:sz w:val="14"/>
                <w:szCs w:val="14"/>
                <w:lang w:eastAsia="sk-SK"/>
              </w:rPr>
              <w:t>470</w:t>
            </w:r>
          </w:p>
        </w:tc>
      </w:tr>
    </w:tbl>
    <w:p w:rsidR="009C536E" w:rsidP="005D1A7E">
      <w:pPr>
        <w:bidi w:val="0"/>
        <w:rPr>
          <w:rFonts w:ascii="Times New Roman" w:hAnsi="Times New Roman" w:cs="Times New Roman"/>
          <w:color w:val="0070C0"/>
        </w:rPr>
      </w:pPr>
    </w:p>
    <w:p w:rsidR="00064239" w:rsidRPr="00461390" w:rsidP="00064239">
      <w:pPr>
        <w:bidi w:val="0"/>
        <w:rPr>
          <w:rFonts w:ascii="Times New Roman" w:hAnsi="Times New Roman"/>
          <w:b/>
          <w:iCs/>
        </w:rPr>
      </w:pPr>
      <w:r>
        <w:rPr>
          <w:noProof/>
          <w:lang w:eastAsia="sk-SK"/>
        </w:rPr>
        <w:pict>
          <v:shape id="AutoShape 6" o:spid="_x0000_s1026" type="#_x0000_t32" style="width:458.25pt;height:0;margin-top:16.55pt;margin-left:0.4pt;position:absolute;visibility:visible;z-index:251659264">
            <o:diagram v:ext="edit"/>
          </v:shape>
        </w:pict>
      </w:r>
      <w:r w:rsidRPr="00461390">
        <w:rPr>
          <w:rFonts w:ascii="Times New Roman" w:hAnsi="Times New Roman"/>
          <w:b/>
          <w:iCs/>
        </w:rPr>
        <w:t>Všeobecná pokladničná správa</w:t>
      </w:r>
    </w:p>
    <w:p w:rsidR="00064239" w:rsidRPr="00461390" w:rsidP="00064239">
      <w:pPr>
        <w:bidi w:val="0"/>
        <w:ind w:firstLine="709"/>
        <w:jc w:val="both"/>
        <w:rPr>
          <w:rFonts w:ascii="Times New Roman" w:hAnsi="Times New Roman"/>
        </w:rPr>
      </w:pPr>
    </w:p>
    <w:p w:rsidR="00064239" w:rsidRPr="00461390" w:rsidP="00064239">
      <w:pPr>
        <w:pStyle w:val="BodyTextIndent2"/>
        <w:bidi w:val="0"/>
        <w:spacing w:after="0" w:line="240" w:lineRule="auto"/>
        <w:ind w:left="0" w:firstLine="709"/>
        <w:jc w:val="both"/>
        <w:rPr>
          <w:rFonts w:ascii="Times New Roman" w:hAnsi="Times New Roman"/>
        </w:rPr>
      </w:pPr>
      <w:r w:rsidRPr="00461390">
        <w:rPr>
          <w:rFonts w:ascii="Times New Roman" w:hAnsi="Times New Roman"/>
        </w:rPr>
        <w:t>V kapitole sú obsiahnuté výdavky štátneho rozpočtu, ktoré nesúvisia s  výdavkami ostatných kapitol, vrátane výdavkov spojených so správou štátneho dlhu. V rámci kapitoly sú rozpočtované aj prostriedky súvisiace s činnosťou Kancelárie verejného ochrancu práv, Rady pre vysielanie a retransmisiu a Úradu na ochranu osobných údajov. Zároveň sa rozpočtujú aj transfery na činnosť Ústavu pamäti národa</w:t>
      </w:r>
      <w:r>
        <w:rPr>
          <w:rFonts w:ascii="Times New Roman" w:hAnsi="Times New Roman"/>
        </w:rPr>
        <w:t>,</w:t>
      </w:r>
      <w:r w:rsidRPr="00461390">
        <w:rPr>
          <w:rFonts w:ascii="Times New Roman" w:hAnsi="Times New Roman"/>
        </w:rPr>
        <w:t> Slovenského národného strediska pre ľudské práva</w:t>
      </w:r>
      <w:r>
        <w:rPr>
          <w:rFonts w:ascii="Times New Roman" w:hAnsi="Times New Roman"/>
        </w:rPr>
        <w:t xml:space="preserve"> a transfer Sociálnej poisťovni</w:t>
      </w:r>
      <w:r w:rsidRPr="00461390">
        <w:rPr>
          <w:rFonts w:ascii="Times New Roman" w:hAnsi="Times New Roman"/>
        </w:rPr>
        <w:t>.</w:t>
      </w:r>
    </w:p>
    <w:p w:rsidR="00064239" w:rsidRPr="00461390" w:rsidP="00064239">
      <w:pPr>
        <w:bidi w:val="0"/>
        <w:ind w:firstLine="709"/>
        <w:jc w:val="both"/>
        <w:rPr>
          <w:rFonts w:ascii="Times New Roman" w:hAnsi="Times New Roman"/>
        </w:rPr>
      </w:pPr>
      <w:r>
        <w:rPr>
          <w:rFonts w:ascii="Times New Roman" w:hAnsi="Times New Roman"/>
        </w:rPr>
        <w:t xml:space="preserve"> </w:t>
      </w:r>
    </w:p>
    <w:p w:rsidR="00064239" w:rsidRPr="00461390" w:rsidP="00064239">
      <w:pPr>
        <w:bidi w:val="0"/>
        <w:ind w:firstLine="709"/>
        <w:jc w:val="both"/>
        <w:rPr>
          <w:rFonts w:ascii="Times New Roman" w:hAnsi="Times New Roman"/>
        </w:rPr>
      </w:pPr>
      <w:r w:rsidRPr="00461390">
        <w:rPr>
          <w:rFonts w:ascii="Times New Roman" w:hAnsi="Times New Roman"/>
        </w:rPr>
        <w:t>Výdavky kapitoly na rok 201</w:t>
      </w:r>
      <w:r>
        <w:rPr>
          <w:rFonts w:ascii="Times New Roman" w:hAnsi="Times New Roman"/>
        </w:rPr>
        <w:t>3</w:t>
      </w:r>
      <w:r w:rsidRPr="00461390">
        <w:rPr>
          <w:rFonts w:ascii="Times New Roman" w:hAnsi="Times New Roman"/>
        </w:rPr>
        <w:t xml:space="preserve"> predstavujú </w:t>
      </w:r>
      <w:r>
        <w:rPr>
          <w:rFonts w:ascii="Times New Roman" w:hAnsi="Times New Roman"/>
        </w:rPr>
        <w:t>3</w:t>
      </w:r>
      <w:r w:rsidRPr="000A21A8">
        <w:rPr>
          <w:rFonts w:ascii="Times New Roman" w:hAnsi="Times New Roman"/>
        </w:rPr>
        <w:t>,</w:t>
      </w:r>
      <w:r>
        <w:rPr>
          <w:rFonts w:ascii="Times New Roman" w:hAnsi="Times New Roman"/>
        </w:rPr>
        <w:t>5</w:t>
      </w:r>
      <w:r w:rsidRPr="000A21A8">
        <w:rPr>
          <w:rFonts w:ascii="Times New Roman" w:hAnsi="Times New Roman"/>
        </w:rPr>
        <w:t xml:space="preserve"> mld.</w:t>
      </w:r>
      <w:r w:rsidRPr="00461390">
        <w:rPr>
          <w:rFonts w:ascii="Times New Roman" w:hAnsi="Times New Roman"/>
        </w:rPr>
        <w:t xml:space="preserve"> eur, čo je v porovnaní so schváleným rozpočtom na rok 201</w:t>
      </w:r>
      <w:r>
        <w:rPr>
          <w:rFonts w:ascii="Times New Roman" w:hAnsi="Times New Roman"/>
        </w:rPr>
        <w:t>2</w:t>
      </w:r>
      <w:r w:rsidRPr="00461390">
        <w:rPr>
          <w:rFonts w:ascii="Times New Roman" w:hAnsi="Times New Roman"/>
        </w:rPr>
        <w:t xml:space="preserve"> </w:t>
      </w:r>
      <w:r>
        <w:rPr>
          <w:rFonts w:ascii="Times New Roman" w:hAnsi="Times New Roman"/>
        </w:rPr>
        <w:t>menej</w:t>
      </w:r>
      <w:r w:rsidRPr="007F06FB">
        <w:rPr>
          <w:rFonts w:ascii="Times New Roman" w:hAnsi="Times New Roman"/>
        </w:rPr>
        <w:t xml:space="preserve"> o</w:t>
      </w:r>
      <w:r>
        <w:rPr>
          <w:rFonts w:ascii="Times New Roman" w:hAnsi="Times New Roman"/>
        </w:rPr>
        <w:t> 16,5 %, na čom sa podieľa najmä zníženie transferu Sociálnej poisťovni.</w:t>
      </w:r>
    </w:p>
    <w:p w:rsidR="00064239" w:rsidRPr="00461390" w:rsidP="00064239">
      <w:pPr>
        <w:bidi w:val="0"/>
        <w:ind w:firstLine="709"/>
        <w:jc w:val="both"/>
        <w:rPr>
          <w:rFonts w:ascii="Times New Roman" w:hAnsi="Times New Roman"/>
        </w:rPr>
      </w:pPr>
    </w:p>
    <w:p w:rsidR="00064239" w:rsidRPr="00461390" w:rsidP="00064239">
      <w:pPr>
        <w:bidi w:val="0"/>
        <w:ind w:firstLine="709"/>
        <w:jc w:val="both"/>
        <w:rPr>
          <w:rFonts w:ascii="Times New Roman" w:hAnsi="Times New Roman"/>
        </w:rPr>
      </w:pPr>
      <w:r w:rsidRPr="00461390">
        <w:rPr>
          <w:rFonts w:ascii="Times New Roman" w:hAnsi="Times New Roman"/>
        </w:rPr>
        <w:t xml:space="preserve">Výdavky kapitoly možno rozčleniť do piatich základných skupín. </w:t>
      </w:r>
    </w:p>
    <w:p w:rsidR="00064239" w:rsidRPr="00461390" w:rsidP="00064239">
      <w:pPr>
        <w:bidi w:val="0"/>
        <w:ind w:firstLine="709"/>
        <w:jc w:val="both"/>
        <w:rPr>
          <w:rFonts w:ascii="Times New Roman" w:hAnsi="Times New Roman"/>
        </w:rPr>
      </w:pP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25"/>
        <w:gridCol w:w="951"/>
        <w:gridCol w:w="952"/>
        <w:gridCol w:w="952"/>
        <w:gridCol w:w="951"/>
        <w:gridCol w:w="952"/>
        <w:gridCol w:w="952"/>
        <w:gridCol w:w="952"/>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rPr>
                <w:rFonts w:ascii="Times New Roman" w:hAnsi="Times New Roman"/>
                <w:b/>
                <w:bCs/>
                <w:sz w:val="14"/>
                <w:szCs w:val="14"/>
                <w:lang w:eastAsia="sk-SK"/>
              </w:rPr>
            </w:pPr>
            <w:r w:rsidRPr="00461390">
              <w:rPr>
                <w:rFonts w:ascii="Times New Roman" w:hAnsi="Times New Roman"/>
                <w:b/>
                <w:bCs/>
                <w:sz w:val="14"/>
                <w:szCs w:val="14"/>
                <w:lang w:eastAsia="sk-SK"/>
              </w:rPr>
              <w:t>v</w:t>
            </w:r>
            <w:r>
              <w:rPr>
                <w:rFonts w:ascii="Times New Roman" w:hAnsi="Times New Roman"/>
                <w:b/>
                <w:bCs/>
                <w:sz w:val="14"/>
                <w:szCs w:val="14"/>
                <w:lang w:eastAsia="sk-SK"/>
              </w:rPr>
              <w:t> </w:t>
            </w:r>
            <w:r w:rsidRPr="00461390">
              <w:rPr>
                <w:rFonts w:ascii="Times New Roman" w:hAnsi="Times New Roman"/>
                <w:b/>
                <w:bCs/>
                <w:sz w:val="14"/>
                <w:szCs w:val="14"/>
                <w:lang w:eastAsia="sk-SK"/>
              </w:rPr>
              <w:t>eurách</w:t>
            </w:r>
          </w:p>
        </w:tc>
        <w:tc>
          <w:tcPr>
            <w:tcW w:w="951"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 xml:space="preserve">2010 S </w:t>
            </w:r>
          </w:p>
        </w:tc>
        <w:tc>
          <w:tcPr>
            <w:tcW w:w="95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1</w:t>
            </w:r>
            <w:r w:rsidRPr="00461390">
              <w:rPr>
                <w:rFonts w:ascii="Times New Roman" w:hAnsi="Times New Roman"/>
                <w:b/>
                <w:sz w:val="14"/>
                <w:szCs w:val="14"/>
                <w:lang w:eastAsia="sk-SK"/>
              </w:rPr>
              <w:t xml:space="preserve"> S</w:t>
            </w:r>
          </w:p>
        </w:tc>
        <w:tc>
          <w:tcPr>
            <w:tcW w:w="95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R</w:t>
            </w:r>
          </w:p>
        </w:tc>
        <w:tc>
          <w:tcPr>
            <w:tcW w:w="951"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OS</w:t>
            </w:r>
          </w:p>
        </w:tc>
        <w:tc>
          <w:tcPr>
            <w:tcW w:w="95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w:t>
            </w:r>
            <w:r>
              <w:rPr>
                <w:rFonts w:ascii="Times New Roman" w:hAnsi="Times New Roman"/>
                <w:b/>
                <w:sz w:val="14"/>
                <w:szCs w:val="14"/>
                <w:lang w:eastAsia="sk-SK"/>
              </w:rPr>
              <w:t>N</w:t>
            </w:r>
          </w:p>
        </w:tc>
        <w:tc>
          <w:tcPr>
            <w:tcW w:w="95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4</w:t>
            </w:r>
            <w:r w:rsidRPr="00461390">
              <w:rPr>
                <w:rFonts w:ascii="Times New Roman" w:hAnsi="Times New Roman"/>
                <w:b/>
                <w:sz w:val="14"/>
                <w:szCs w:val="14"/>
                <w:lang w:eastAsia="sk-SK"/>
              </w:rPr>
              <w:t xml:space="preserve"> N</w:t>
            </w:r>
          </w:p>
        </w:tc>
        <w:tc>
          <w:tcPr>
            <w:tcW w:w="95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5</w:t>
            </w:r>
            <w:r w:rsidRPr="00461390">
              <w:rPr>
                <w:rFonts w:ascii="Times New Roman" w:hAnsi="Times New Roman"/>
                <w:b/>
                <w:sz w:val="14"/>
                <w:szCs w:val="14"/>
                <w:lang w:eastAsia="sk-SK"/>
              </w:rPr>
              <w:t xml:space="preserve"> N</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461390" w:rsidP="00C450B8">
            <w:pPr>
              <w:bidi w:val="0"/>
              <w:rPr>
                <w:rFonts w:ascii="Times New Roman" w:hAnsi="Times New Roman"/>
                <w:b/>
                <w:bCs/>
                <w:sz w:val="14"/>
                <w:szCs w:val="14"/>
                <w:lang w:eastAsia="sk-SK"/>
              </w:rPr>
            </w:pPr>
            <w:r w:rsidRPr="00461390">
              <w:rPr>
                <w:rFonts w:ascii="Times New Roman" w:hAnsi="Times New Roman"/>
                <w:b/>
                <w:bCs/>
                <w:sz w:val="14"/>
                <w:szCs w:val="14"/>
                <w:lang w:eastAsia="sk-SK"/>
              </w:rPr>
              <w:t>V</w:t>
            </w:r>
            <w:r>
              <w:rPr>
                <w:rFonts w:ascii="Times New Roman" w:hAnsi="Times New Roman"/>
                <w:b/>
                <w:bCs/>
                <w:sz w:val="14"/>
                <w:szCs w:val="14"/>
                <w:lang w:eastAsia="sk-SK"/>
              </w:rPr>
              <w:t>ýdavky spolu</w:t>
            </w:r>
          </w:p>
        </w:tc>
        <w:tc>
          <w:tcPr>
            <w:tcW w:w="95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64239" w:rsidRPr="00461390" w:rsidP="00C450B8">
            <w:pPr>
              <w:bidi w:val="0"/>
              <w:jc w:val="right"/>
              <w:rPr>
                <w:rFonts w:ascii="Times New Roman" w:hAnsi="Times New Roman"/>
                <w:b/>
                <w:sz w:val="14"/>
                <w:szCs w:val="14"/>
                <w:lang w:eastAsia="sk-SK"/>
              </w:rPr>
            </w:pPr>
            <w:r w:rsidRPr="00461390">
              <w:rPr>
                <w:rFonts w:ascii="Times New Roman" w:hAnsi="Times New Roman"/>
                <w:b/>
                <w:sz w:val="14"/>
                <w:szCs w:val="14"/>
                <w:lang w:eastAsia="sk-SK"/>
              </w:rPr>
              <w:t>3 067 024 368</w:t>
            </w:r>
          </w:p>
        </w:tc>
        <w:tc>
          <w:tcPr>
            <w:tcW w:w="95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sz w:val="14"/>
                <w:szCs w:val="14"/>
                <w:lang w:eastAsia="sk-SK"/>
              </w:rPr>
            </w:pPr>
            <w:r>
              <w:rPr>
                <w:rFonts w:ascii="Times New Roman" w:hAnsi="Times New Roman"/>
                <w:b/>
                <w:sz w:val="14"/>
                <w:szCs w:val="14"/>
                <w:lang w:eastAsia="sk-SK"/>
              </w:rPr>
              <w:t>3 113 429 378</w:t>
            </w:r>
          </w:p>
        </w:tc>
        <w:tc>
          <w:tcPr>
            <w:tcW w:w="95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sz w:val="14"/>
                <w:szCs w:val="14"/>
                <w:lang w:eastAsia="sk-SK"/>
              </w:rPr>
            </w:pPr>
            <w:r>
              <w:rPr>
                <w:rFonts w:ascii="Times New Roman" w:hAnsi="Times New Roman"/>
                <w:b/>
                <w:sz w:val="14"/>
                <w:szCs w:val="14"/>
                <w:lang w:eastAsia="sk-SK"/>
              </w:rPr>
              <w:t>4 144 599 875</w:t>
            </w:r>
          </w:p>
        </w:tc>
        <w:tc>
          <w:tcPr>
            <w:tcW w:w="951"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64239" w:rsidRPr="00461390" w:rsidP="00C450B8">
            <w:pPr>
              <w:bidi w:val="0"/>
              <w:jc w:val="right"/>
              <w:rPr>
                <w:rFonts w:ascii="Times New Roman" w:hAnsi="Times New Roman"/>
                <w:b/>
                <w:sz w:val="14"/>
                <w:szCs w:val="14"/>
                <w:lang w:eastAsia="sk-SK"/>
              </w:rPr>
            </w:pPr>
            <w:r>
              <w:rPr>
                <w:rFonts w:ascii="Times New Roman" w:hAnsi="Times New Roman"/>
                <w:b/>
                <w:sz w:val="14"/>
                <w:szCs w:val="14"/>
                <w:lang w:eastAsia="sk-SK"/>
              </w:rPr>
              <w:t>3 616 090 458</w:t>
            </w:r>
          </w:p>
        </w:tc>
        <w:tc>
          <w:tcPr>
            <w:tcW w:w="95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sz w:val="14"/>
                <w:szCs w:val="14"/>
                <w:lang w:eastAsia="sk-SK"/>
              </w:rPr>
            </w:pPr>
            <w:r>
              <w:rPr>
                <w:rFonts w:ascii="Times New Roman" w:hAnsi="Times New Roman"/>
                <w:b/>
                <w:sz w:val="14"/>
                <w:szCs w:val="14"/>
                <w:lang w:eastAsia="sk-SK"/>
              </w:rPr>
              <w:t>3 461 052 932</w:t>
            </w:r>
          </w:p>
        </w:tc>
        <w:tc>
          <w:tcPr>
            <w:tcW w:w="95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sz w:val="14"/>
                <w:szCs w:val="14"/>
                <w:lang w:eastAsia="sk-SK"/>
              </w:rPr>
            </w:pPr>
            <w:r>
              <w:rPr>
                <w:rFonts w:ascii="Times New Roman" w:hAnsi="Times New Roman"/>
                <w:b/>
                <w:sz w:val="14"/>
                <w:szCs w:val="14"/>
                <w:lang w:eastAsia="sk-SK"/>
              </w:rPr>
              <w:t>3 594 613 167</w:t>
            </w:r>
          </w:p>
        </w:tc>
        <w:tc>
          <w:tcPr>
            <w:tcW w:w="95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sz w:val="14"/>
                <w:szCs w:val="14"/>
                <w:lang w:eastAsia="sk-SK"/>
              </w:rPr>
            </w:pPr>
            <w:r>
              <w:rPr>
                <w:rFonts w:ascii="Times New Roman" w:hAnsi="Times New Roman"/>
                <w:b/>
                <w:sz w:val="14"/>
                <w:szCs w:val="14"/>
                <w:lang w:eastAsia="sk-SK"/>
              </w:rPr>
              <w:t>3 898 585 510</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rPr>
                <w:rFonts w:ascii="Times New Roman" w:hAnsi="Times New Roman"/>
                <w:bCs/>
                <w:sz w:val="14"/>
                <w:szCs w:val="14"/>
                <w:lang w:eastAsia="sk-SK"/>
              </w:rPr>
            </w:pPr>
            <w:r w:rsidRPr="00C90492">
              <w:rPr>
                <w:rFonts w:ascii="Times New Roman" w:hAnsi="Times New Roman"/>
                <w:bCs/>
                <w:sz w:val="14"/>
                <w:szCs w:val="14"/>
                <w:lang w:eastAsia="sk-SK"/>
              </w:rPr>
              <w:t>Rezervy</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064239" w:rsidRPr="00C90492" w:rsidP="00C450B8">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7 889 307</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212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56353F" w:rsidP="00C450B8">
            <w:pPr>
              <w:bidi w:val="0"/>
              <w:jc w:val="right"/>
              <w:rPr>
                <w:rFonts w:ascii="Times New Roman" w:hAnsi="Times New Roman"/>
                <w:bCs/>
                <w:sz w:val="14"/>
                <w:szCs w:val="14"/>
                <w:lang w:eastAsia="sk-SK"/>
              </w:rPr>
            </w:pPr>
            <w:r>
              <w:rPr>
                <w:rFonts w:ascii="Times New Roman" w:hAnsi="Times New Roman"/>
                <w:bCs/>
                <w:sz w:val="14"/>
                <w:szCs w:val="14"/>
                <w:lang w:eastAsia="sk-SK"/>
              </w:rPr>
              <w:t>73 417 161</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sz w:val="14"/>
                <w:szCs w:val="14"/>
                <w:lang w:eastAsia="sk-SK"/>
              </w:rPr>
              <w:t>3 031 196</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016969" w:rsidP="00C450B8">
            <w:pPr>
              <w:bidi w:val="0"/>
              <w:jc w:val="right"/>
              <w:rPr>
                <w:rFonts w:ascii="Times New Roman" w:hAnsi="Times New Roman"/>
                <w:bCs/>
                <w:sz w:val="14"/>
                <w:szCs w:val="14"/>
                <w:lang w:eastAsia="sk-SK"/>
              </w:rPr>
            </w:pPr>
            <w:r>
              <w:rPr>
                <w:rFonts w:ascii="Times New Roman" w:hAnsi="Times New Roman"/>
                <w:bCs/>
                <w:sz w:val="14"/>
                <w:szCs w:val="14"/>
                <w:lang w:eastAsia="sk-SK"/>
              </w:rPr>
              <w:t>374 529 936</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016969" w:rsidP="00C450B8">
            <w:pPr>
              <w:bidi w:val="0"/>
              <w:jc w:val="right"/>
              <w:rPr>
                <w:rFonts w:ascii="Times New Roman" w:hAnsi="Times New Roman"/>
                <w:bCs/>
                <w:sz w:val="14"/>
                <w:szCs w:val="14"/>
                <w:lang w:eastAsia="sk-SK"/>
              </w:rPr>
            </w:pPr>
            <w:r>
              <w:rPr>
                <w:rFonts w:ascii="Times New Roman" w:hAnsi="Times New Roman"/>
                <w:bCs/>
                <w:sz w:val="14"/>
                <w:szCs w:val="14"/>
                <w:lang w:eastAsia="sk-SK"/>
              </w:rPr>
              <w:t>335 472 902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016969" w:rsidP="00C450B8">
            <w:pPr>
              <w:bidi w:val="0"/>
              <w:jc w:val="right"/>
              <w:rPr>
                <w:rFonts w:ascii="Times New Roman" w:hAnsi="Times New Roman"/>
                <w:bCs/>
                <w:sz w:val="14"/>
                <w:szCs w:val="14"/>
                <w:lang w:eastAsia="sk-SK"/>
              </w:rPr>
            </w:pPr>
            <w:r>
              <w:rPr>
                <w:rFonts w:ascii="Times New Roman" w:hAnsi="Times New Roman"/>
                <w:bCs/>
                <w:sz w:val="14"/>
                <w:szCs w:val="14"/>
                <w:lang w:eastAsia="sk-SK"/>
              </w:rPr>
              <w:t>434 609 869</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rPr>
                <w:rFonts w:ascii="Times New Roman" w:hAnsi="Times New Roman"/>
                <w:bCs/>
                <w:sz w:val="14"/>
                <w:szCs w:val="14"/>
                <w:lang w:eastAsia="sk-SK"/>
              </w:rPr>
            </w:pPr>
            <w:r w:rsidRPr="00C90492">
              <w:rPr>
                <w:rFonts w:ascii="Times New Roman" w:hAnsi="Times New Roman"/>
                <w:bCs/>
                <w:sz w:val="14"/>
                <w:szCs w:val="14"/>
                <w:lang w:eastAsia="sk-SK"/>
              </w:rPr>
              <w:t>Fin</w:t>
            </w:r>
            <w:r>
              <w:rPr>
                <w:rFonts w:ascii="Times New Roman" w:hAnsi="Times New Roman"/>
                <w:bCs/>
                <w:sz w:val="14"/>
                <w:szCs w:val="14"/>
                <w:lang w:eastAsia="sk-SK"/>
              </w:rPr>
              <w:t>.</w:t>
            </w:r>
            <w:r w:rsidRPr="00C90492">
              <w:rPr>
                <w:rFonts w:ascii="Times New Roman" w:hAnsi="Times New Roman"/>
                <w:bCs/>
                <w:sz w:val="14"/>
                <w:szCs w:val="14"/>
                <w:lang w:eastAsia="sk-SK"/>
              </w:rPr>
              <w:t xml:space="preserve"> vzťahy súvisiace s rozpočtom EÚ</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064239" w:rsidRPr="00C90492" w:rsidP="00C450B8">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574 565 740</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596 498 107</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720 771 260</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064239" w:rsidRPr="009A219D" w:rsidP="00C450B8">
            <w:pPr>
              <w:bidi w:val="0"/>
              <w:jc w:val="right"/>
              <w:rPr>
                <w:rFonts w:ascii="Times New Roman" w:hAnsi="Times New Roman"/>
                <w:bCs/>
                <w:sz w:val="14"/>
                <w:szCs w:val="14"/>
                <w:lang w:eastAsia="sk-SK"/>
              </w:rPr>
            </w:pPr>
            <w:r w:rsidRPr="009A219D">
              <w:rPr>
                <w:rFonts w:ascii="Times New Roman" w:hAnsi="Times New Roman"/>
                <w:bCs/>
                <w:sz w:val="14"/>
                <w:szCs w:val="14"/>
                <w:lang w:eastAsia="sk-SK"/>
              </w:rPr>
              <w:t>652 337 641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7</w:t>
            </w:r>
            <w:r>
              <w:rPr>
                <w:rFonts w:ascii="Times New Roman" w:hAnsi="Times New Roman"/>
                <w:bCs/>
                <w:sz w:val="14"/>
                <w:szCs w:val="14"/>
                <w:lang w:eastAsia="sk-SK"/>
              </w:rPr>
              <w:t>49 034 111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723 661 834</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780 610 826</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rPr>
                <w:rFonts w:ascii="Times New Roman" w:hAnsi="Times New Roman"/>
                <w:bCs/>
                <w:sz w:val="14"/>
                <w:szCs w:val="14"/>
                <w:lang w:eastAsia="sk-SK"/>
              </w:rPr>
            </w:pPr>
            <w:r w:rsidRPr="00C90492">
              <w:rPr>
                <w:rFonts w:ascii="Times New Roman" w:hAnsi="Times New Roman"/>
                <w:bCs/>
                <w:sz w:val="14"/>
                <w:szCs w:val="14"/>
                <w:lang w:eastAsia="sk-SK"/>
              </w:rPr>
              <w:t>Výdavky spojené so správou št</w:t>
            </w:r>
            <w:r>
              <w:rPr>
                <w:rFonts w:ascii="Times New Roman" w:hAnsi="Times New Roman"/>
                <w:bCs/>
                <w:sz w:val="14"/>
                <w:szCs w:val="14"/>
                <w:lang w:eastAsia="sk-SK"/>
              </w:rPr>
              <w:t>.</w:t>
            </w:r>
            <w:r w:rsidRPr="00C90492">
              <w:rPr>
                <w:rFonts w:ascii="Times New Roman" w:hAnsi="Times New Roman"/>
                <w:bCs/>
                <w:sz w:val="14"/>
                <w:szCs w:val="14"/>
                <w:lang w:eastAsia="sk-SK"/>
              </w:rPr>
              <w:t xml:space="preserve"> dlhu</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064239" w:rsidRPr="00C90492" w:rsidP="00C450B8">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864 075 225</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1 006 647 067</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1 386 678 600</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1 349 888 108</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575F10" w:rsidP="00C450B8">
            <w:pPr>
              <w:bidi w:val="0"/>
              <w:jc w:val="right"/>
              <w:rPr>
                <w:rFonts w:ascii="Times New Roman" w:hAnsi="Times New Roman"/>
                <w:bCs/>
                <w:sz w:val="14"/>
                <w:szCs w:val="14"/>
                <w:lang w:eastAsia="sk-SK"/>
              </w:rPr>
            </w:pPr>
            <w:r w:rsidRPr="00575F10">
              <w:rPr>
                <w:rFonts w:ascii="Times New Roman" w:hAnsi="Times New Roman"/>
                <w:bCs/>
                <w:sz w:val="14"/>
                <w:szCs w:val="14"/>
                <w:lang w:eastAsia="sk-SK"/>
              </w:rPr>
              <w:t>1</w:t>
            </w:r>
            <w:r>
              <w:rPr>
                <w:rFonts w:ascii="Times New Roman" w:hAnsi="Times New Roman"/>
                <w:bCs/>
                <w:sz w:val="14"/>
                <w:szCs w:val="14"/>
                <w:lang w:eastAsia="sk-SK"/>
              </w:rPr>
              <w:t> </w:t>
            </w:r>
            <w:r w:rsidRPr="00575F10">
              <w:rPr>
                <w:rFonts w:ascii="Times New Roman" w:hAnsi="Times New Roman"/>
                <w:bCs/>
                <w:sz w:val="14"/>
                <w:szCs w:val="14"/>
                <w:lang w:eastAsia="sk-SK"/>
              </w:rPr>
              <w:t>32</w:t>
            </w:r>
            <w:r>
              <w:rPr>
                <w:rFonts w:ascii="Times New Roman" w:hAnsi="Times New Roman"/>
                <w:bCs/>
                <w:sz w:val="14"/>
                <w:szCs w:val="14"/>
                <w:lang w:eastAsia="sk-SK"/>
              </w:rPr>
              <w:t>6 365 603</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575F10" w:rsidP="00C450B8">
            <w:pPr>
              <w:bidi w:val="0"/>
              <w:jc w:val="right"/>
              <w:rPr>
                <w:rFonts w:ascii="Times New Roman" w:hAnsi="Times New Roman"/>
                <w:bCs/>
                <w:sz w:val="14"/>
                <w:szCs w:val="14"/>
                <w:lang w:eastAsia="sk-SK"/>
              </w:rPr>
            </w:pPr>
            <w:r w:rsidRPr="00575F10">
              <w:rPr>
                <w:rFonts w:ascii="Times New Roman" w:hAnsi="Times New Roman"/>
                <w:bCs/>
                <w:sz w:val="14"/>
                <w:szCs w:val="14"/>
                <w:lang w:eastAsia="sk-SK"/>
              </w:rPr>
              <w:t>1</w:t>
            </w:r>
            <w:r>
              <w:rPr>
                <w:rFonts w:ascii="Times New Roman" w:hAnsi="Times New Roman"/>
                <w:bCs/>
                <w:sz w:val="14"/>
                <w:szCs w:val="14"/>
                <w:lang w:eastAsia="sk-SK"/>
              </w:rPr>
              <w:t> </w:t>
            </w:r>
            <w:r w:rsidRPr="00575F10">
              <w:rPr>
                <w:rFonts w:ascii="Times New Roman" w:hAnsi="Times New Roman"/>
                <w:bCs/>
                <w:sz w:val="14"/>
                <w:szCs w:val="14"/>
                <w:lang w:eastAsia="sk-SK"/>
              </w:rPr>
              <w:t>51</w:t>
            </w:r>
            <w:r>
              <w:rPr>
                <w:rFonts w:ascii="Times New Roman" w:hAnsi="Times New Roman"/>
                <w:bCs/>
                <w:sz w:val="14"/>
                <w:szCs w:val="14"/>
                <w:lang w:eastAsia="sk-SK"/>
              </w:rPr>
              <w:t>7 326 476</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575F10" w:rsidP="00C450B8">
            <w:pPr>
              <w:bidi w:val="0"/>
              <w:jc w:val="right"/>
              <w:rPr>
                <w:rFonts w:ascii="Times New Roman" w:hAnsi="Times New Roman"/>
                <w:bCs/>
                <w:sz w:val="14"/>
                <w:szCs w:val="14"/>
                <w:lang w:eastAsia="sk-SK"/>
              </w:rPr>
            </w:pPr>
            <w:r w:rsidRPr="00575F10">
              <w:rPr>
                <w:rFonts w:ascii="Times New Roman" w:hAnsi="Times New Roman"/>
                <w:bCs/>
                <w:sz w:val="14"/>
                <w:szCs w:val="14"/>
                <w:lang w:eastAsia="sk-SK"/>
              </w:rPr>
              <w:t>1</w:t>
            </w:r>
            <w:r>
              <w:rPr>
                <w:rFonts w:ascii="Times New Roman" w:hAnsi="Times New Roman"/>
                <w:bCs/>
                <w:sz w:val="14"/>
                <w:szCs w:val="14"/>
                <w:lang w:eastAsia="sk-SK"/>
              </w:rPr>
              <w:t> </w:t>
            </w:r>
            <w:r w:rsidRPr="00575F10">
              <w:rPr>
                <w:rFonts w:ascii="Times New Roman" w:hAnsi="Times New Roman"/>
                <w:bCs/>
                <w:sz w:val="14"/>
                <w:szCs w:val="14"/>
                <w:lang w:eastAsia="sk-SK"/>
              </w:rPr>
              <w:t>6</w:t>
            </w:r>
            <w:r>
              <w:rPr>
                <w:rFonts w:ascii="Times New Roman" w:hAnsi="Times New Roman"/>
                <w:bCs/>
                <w:sz w:val="14"/>
                <w:szCs w:val="14"/>
                <w:lang w:eastAsia="sk-SK"/>
              </w:rPr>
              <w:t>78 101 594</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rPr>
                <w:rFonts w:ascii="Times New Roman" w:hAnsi="Times New Roman"/>
                <w:bCs/>
                <w:sz w:val="14"/>
                <w:szCs w:val="14"/>
                <w:lang w:eastAsia="sk-SK"/>
              </w:rPr>
            </w:pPr>
            <w:r>
              <w:rPr>
                <w:rFonts w:ascii="Times New Roman" w:hAnsi="Times New Roman"/>
                <w:bCs/>
                <w:sz w:val="14"/>
                <w:szCs w:val="14"/>
                <w:lang w:eastAsia="sk-SK"/>
              </w:rPr>
              <w:t>Finančné vzťahy k Sociálnej poisťovni</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064239" w:rsidRPr="00C90492" w:rsidP="00C450B8">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1 441 708 625</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1 446 193 405</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1 780 000 000</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1 564 592 500</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918 237 452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940 012 232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927 213 858</w:t>
            </w:r>
          </w:p>
        </w:tc>
      </w:tr>
      <w:tr>
        <w:tblPrEx>
          <w:tblW w:w="9087" w:type="dxa"/>
          <w:tblInd w:w="55" w:type="dxa"/>
          <w:tblLayout w:type="fixed"/>
          <w:tblCellMar>
            <w:left w:w="70" w:type="dxa"/>
            <w:right w:w="70" w:type="dxa"/>
          </w:tblCellMar>
          <w:tblLook w:val="04A0"/>
        </w:tblPrEx>
        <w:trPr>
          <w:trHeight w:val="270"/>
        </w:trPr>
        <w:tc>
          <w:tcPr>
            <w:tcW w:w="2425"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rPr>
                <w:rFonts w:ascii="Times New Roman" w:hAnsi="Times New Roman"/>
                <w:bCs/>
                <w:sz w:val="14"/>
                <w:szCs w:val="14"/>
                <w:lang w:eastAsia="sk-SK"/>
              </w:rPr>
            </w:pPr>
            <w:r w:rsidRPr="00C90492">
              <w:rPr>
                <w:rFonts w:ascii="Times New Roman" w:hAnsi="Times New Roman"/>
                <w:bCs/>
                <w:sz w:val="14"/>
                <w:szCs w:val="14"/>
                <w:lang w:eastAsia="sk-SK"/>
              </w:rPr>
              <w:t>Ostatné</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064239" w:rsidRPr="00C90492" w:rsidP="00C450B8">
            <w:pPr>
              <w:bidi w:val="0"/>
              <w:jc w:val="right"/>
              <w:rPr>
                <w:rFonts w:ascii="Times New Roman" w:hAnsi="Times New Roman"/>
                <w:bCs/>
                <w:sz w:val="14"/>
                <w:szCs w:val="14"/>
                <w:lang w:eastAsia="sk-SK"/>
              </w:rPr>
            </w:pPr>
            <w:r w:rsidRPr="00C90492">
              <w:rPr>
                <w:rFonts w:ascii="Times New Roman" w:hAnsi="Times New Roman"/>
                <w:bCs/>
                <w:sz w:val="14"/>
                <w:szCs w:val="14"/>
                <w:lang w:eastAsia="sk-SK"/>
              </w:rPr>
              <w:t>178 785 471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64 090 587</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183 732 854</w:t>
            </w:r>
          </w:p>
        </w:tc>
        <w:tc>
          <w:tcPr>
            <w:tcW w:w="951"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064239" w:rsidRPr="00092179" w:rsidP="00C450B8">
            <w:pPr>
              <w:bidi w:val="0"/>
              <w:jc w:val="right"/>
              <w:rPr>
                <w:rFonts w:ascii="Times New Roman" w:hAnsi="Times New Roman"/>
                <w:bCs/>
                <w:sz w:val="14"/>
                <w:szCs w:val="14"/>
                <w:lang w:eastAsia="sk-SK"/>
              </w:rPr>
            </w:pPr>
            <w:r w:rsidRPr="00092179">
              <w:rPr>
                <w:rFonts w:ascii="Times New Roman" w:hAnsi="Times New Roman"/>
                <w:bCs/>
                <w:sz w:val="14"/>
                <w:szCs w:val="14"/>
                <w:lang w:eastAsia="sk-SK"/>
              </w:rPr>
              <w:t>46 241 013</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92 885 830</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78 139 723</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064239" w:rsidRPr="00C90492" w:rsidP="00C450B8">
            <w:pPr>
              <w:bidi w:val="0"/>
              <w:jc w:val="right"/>
              <w:rPr>
                <w:rFonts w:ascii="Times New Roman" w:hAnsi="Times New Roman"/>
                <w:bCs/>
                <w:sz w:val="14"/>
                <w:szCs w:val="14"/>
                <w:lang w:eastAsia="sk-SK"/>
              </w:rPr>
            </w:pPr>
            <w:r>
              <w:rPr>
                <w:rFonts w:ascii="Times New Roman" w:hAnsi="Times New Roman"/>
                <w:bCs/>
                <w:sz w:val="14"/>
                <w:szCs w:val="14"/>
                <w:lang w:eastAsia="sk-SK"/>
              </w:rPr>
              <w:t>78 049 363</w:t>
            </w:r>
          </w:p>
        </w:tc>
      </w:tr>
    </w:tbl>
    <w:p w:rsidR="00064239" w:rsidP="00064239">
      <w:pPr>
        <w:bidi w:val="0"/>
        <w:jc w:val="both"/>
        <w:rPr>
          <w:rFonts w:ascii="Times New Roman" w:hAnsi="Times New Roman"/>
          <w:b/>
          <w:iCs/>
        </w:rPr>
      </w:pPr>
    </w:p>
    <w:p w:rsidR="00064239" w:rsidRPr="00461390" w:rsidP="00064239">
      <w:pPr>
        <w:bidi w:val="0"/>
        <w:jc w:val="both"/>
        <w:rPr>
          <w:rFonts w:ascii="Times New Roman" w:hAnsi="Times New Roman"/>
          <w:iCs/>
        </w:rPr>
      </w:pPr>
      <w:r w:rsidRPr="00461390">
        <w:rPr>
          <w:rFonts w:ascii="Times New Roman" w:hAnsi="Times New Roman"/>
          <w:b/>
          <w:iCs/>
        </w:rPr>
        <w:t>Rezervy</w:t>
      </w:r>
    </w:p>
    <w:p w:rsidR="00064239" w:rsidRPr="00461390" w:rsidP="00064239">
      <w:pPr>
        <w:bidi w:val="0"/>
        <w:ind w:firstLine="709"/>
        <w:jc w:val="both"/>
        <w:rPr>
          <w:rFonts w:ascii="Times New Roman" w:hAnsi="Times New Roman"/>
        </w:rPr>
      </w:pPr>
    </w:p>
    <w:tbl>
      <w:tblPr>
        <w:tblStyle w:val="TableNormal"/>
        <w:tblW w:w="9087" w:type="dxa"/>
        <w:tblInd w:w="55" w:type="dxa"/>
        <w:tblLayout w:type="fixed"/>
        <w:tblCellMar>
          <w:left w:w="70" w:type="dxa"/>
          <w:right w:w="70" w:type="dxa"/>
        </w:tblCellMar>
        <w:tblLook w:val="04A0"/>
      </w:tblPr>
      <w:tblGrid>
        <w:gridCol w:w="2000"/>
        <w:gridCol w:w="1012"/>
        <w:gridCol w:w="1012"/>
        <w:gridCol w:w="1013"/>
        <w:gridCol w:w="1012"/>
        <w:gridCol w:w="1013"/>
        <w:gridCol w:w="1012"/>
        <w:gridCol w:w="1013"/>
      </w:tblGrid>
      <w:tr>
        <w:tblPrEx>
          <w:tblW w:w="9087" w:type="dxa"/>
          <w:tblInd w:w="55" w:type="dxa"/>
          <w:tblLayout w:type="fixed"/>
          <w:tblCellMar>
            <w:left w:w="70" w:type="dxa"/>
            <w:right w:w="70" w:type="dxa"/>
          </w:tblCellMar>
          <w:tblLook w:val="04A0"/>
        </w:tblPrEx>
        <w:trPr>
          <w:trHeight w:val="260"/>
        </w:trPr>
        <w:tc>
          <w:tcPr>
            <w:tcW w:w="20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rPr>
                <w:rFonts w:ascii="Times New Roman" w:hAnsi="Times New Roman"/>
                <w:b/>
                <w:bCs/>
                <w:sz w:val="14"/>
                <w:szCs w:val="14"/>
                <w:lang w:eastAsia="sk-SK"/>
              </w:rPr>
            </w:pPr>
            <w:r w:rsidRPr="00461390">
              <w:rPr>
                <w:rFonts w:ascii="Times New Roman" w:hAnsi="Times New Roman"/>
                <w:b/>
                <w:bCs/>
                <w:sz w:val="14"/>
                <w:szCs w:val="14"/>
                <w:lang w:eastAsia="sk-SK"/>
              </w:rPr>
              <w:t>v</w:t>
            </w:r>
            <w:r>
              <w:rPr>
                <w:rFonts w:ascii="Times New Roman" w:hAnsi="Times New Roman"/>
                <w:b/>
                <w:bCs/>
                <w:sz w:val="14"/>
                <w:szCs w:val="14"/>
                <w:lang w:eastAsia="sk-SK"/>
              </w:rPr>
              <w:t> </w:t>
            </w:r>
            <w:r w:rsidRPr="00461390">
              <w:rPr>
                <w:rFonts w:ascii="Times New Roman" w:hAnsi="Times New Roman"/>
                <w:b/>
                <w:bCs/>
                <w:sz w:val="14"/>
                <w:szCs w:val="14"/>
                <w:lang w:eastAsia="sk-SK"/>
              </w:rPr>
              <w:t>eurách</w:t>
            </w:r>
          </w:p>
        </w:tc>
        <w:tc>
          <w:tcPr>
            <w:tcW w:w="101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 xml:space="preserve">2010 S </w:t>
            </w:r>
          </w:p>
        </w:tc>
        <w:tc>
          <w:tcPr>
            <w:tcW w:w="101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1</w:t>
            </w:r>
            <w:r w:rsidRPr="00461390">
              <w:rPr>
                <w:rFonts w:ascii="Times New Roman" w:hAnsi="Times New Roman"/>
                <w:b/>
                <w:sz w:val="14"/>
                <w:szCs w:val="14"/>
                <w:lang w:eastAsia="sk-SK"/>
              </w:rPr>
              <w:t xml:space="preserve"> S</w:t>
            </w:r>
          </w:p>
        </w:tc>
        <w:tc>
          <w:tcPr>
            <w:tcW w:w="1013"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R</w:t>
            </w:r>
          </w:p>
        </w:tc>
        <w:tc>
          <w:tcPr>
            <w:tcW w:w="101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OS</w:t>
            </w:r>
          </w:p>
        </w:tc>
        <w:tc>
          <w:tcPr>
            <w:tcW w:w="101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w:t>
            </w:r>
            <w:r>
              <w:rPr>
                <w:rFonts w:ascii="Times New Roman" w:hAnsi="Times New Roman"/>
                <w:b/>
                <w:sz w:val="14"/>
                <w:szCs w:val="14"/>
                <w:lang w:eastAsia="sk-SK"/>
              </w:rPr>
              <w:t>N</w:t>
            </w:r>
          </w:p>
        </w:tc>
        <w:tc>
          <w:tcPr>
            <w:tcW w:w="101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4</w:t>
            </w:r>
            <w:r w:rsidRPr="00461390">
              <w:rPr>
                <w:rFonts w:ascii="Times New Roman" w:hAnsi="Times New Roman"/>
                <w:b/>
                <w:sz w:val="14"/>
                <w:szCs w:val="14"/>
                <w:lang w:eastAsia="sk-SK"/>
              </w:rPr>
              <w:t xml:space="preserve"> N</w:t>
            </w:r>
          </w:p>
        </w:tc>
        <w:tc>
          <w:tcPr>
            <w:tcW w:w="1013"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5</w:t>
            </w:r>
            <w:r w:rsidRPr="00461390">
              <w:rPr>
                <w:rFonts w:ascii="Times New Roman" w:hAnsi="Times New Roman"/>
                <w:b/>
                <w:sz w:val="14"/>
                <w:szCs w:val="14"/>
                <w:lang w:eastAsia="sk-SK"/>
              </w:rPr>
              <w:t xml:space="preserve"> N</w:t>
            </w:r>
          </w:p>
        </w:tc>
      </w:tr>
      <w:tr>
        <w:tblPrEx>
          <w:tblW w:w="9087" w:type="dxa"/>
          <w:tblInd w:w="55" w:type="dxa"/>
          <w:tblLayout w:type="fixed"/>
          <w:tblCellMar>
            <w:left w:w="70" w:type="dxa"/>
            <w:right w:w="70" w:type="dxa"/>
          </w:tblCellMar>
          <w:tblLook w:val="04A0"/>
        </w:tblPrEx>
        <w:trPr>
          <w:trHeight w:val="260"/>
        </w:trPr>
        <w:tc>
          <w:tcPr>
            <w:tcW w:w="2000" w:type="dxa"/>
            <w:tcBorders>
              <w:top w:val="nil"/>
              <w:left w:val="single" w:sz="4" w:space="0" w:color="auto"/>
              <w:bottom w:val="single" w:sz="4" w:space="0" w:color="auto"/>
              <w:right w:val="single" w:sz="4" w:space="0" w:color="auto"/>
            </w:tcBorders>
            <w:shd w:val="clear" w:color="auto" w:fill="BFBFBF"/>
            <w:noWrap/>
            <w:textDirection w:val="lrTb"/>
            <w:vAlign w:val="bottom"/>
          </w:tcPr>
          <w:p w:rsidR="00064239" w:rsidRPr="00461390" w:rsidP="00C450B8">
            <w:pPr>
              <w:bidi w:val="0"/>
              <w:rPr>
                <w:rFonts w:ascii="Times New Roman" w:hAnsi="Times New Roman"/>
                <w:b/>
                <w:bCs/>
                <w:sz w:val="14"/>
                <w:szCs w:val="14"/>
                <w:lang w:eastAsia="sk-SK"/>
              </w:rPr>
            </w:pPr>
            <w:r w:rsidRPr="00461390">
              <w:rPr>
                <w:rFonts w:ascii="Times New Roman" w:hAnsi="Times New Roman"/>
                <w:b/>
                <w:bCs/>
                <w:sz w:val="14"/>
                <w:szCs w:val="14"/>
                <w:lang w:eastAsia="sk-SK"/>
              </w:rPr>
              <w:t>Rezervy</w:t>
            </w:r>
          </w:p>
        </w:tc>
        <w:tc>
          <w:tcPr>
            <w:tcW w:w="1012" w:type="dxa"/>
            <w:tcBorders>
              <w:top w:val="nil"/>
              <w:left w:val="nil"/>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7 889 307</w:t>
            </w:r>
          </w:p>
        </w:tc>
        <w:tc>
          <w:tcPr>
            <w:tcW w:w="1012" w:type="dxa"/>
            <w:tcBorders>
              <w:top w:val="nil"/>
              <w:left w:val="nil"/>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212</w:t>
            </w:r>
          </w:p>
        </w:tc>
        <w:tc>
          <w:tcPr>
            <w:tcW w:w="1013" w:type="dxa"/>
            <w:tcBorders>
              <w:top w:val="nil"/>
              <w:left w:val="nil"/>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bCs/>
                <w:sz w:val="14"/>
                <w:szCs w:val="14"/>
                <w:lang w:eastAsia="sk-SK"/>
              </w:rPr>
            </w:pPr>
            <w:r w:rsidRPr="00B12D25">
              <w:rPr>
                <w:rFonts w:ascii="Times New Roman" w:hAnsi="Times New Roman"/>
                <w:b/>
                <w:bCs/>
                <w:sz w:val="14"/>
                <w:szCs w:val="14"/>
                <w:lang w:eastAsia="sk-SK"/>
              </w:rPr>
              <w:t>73 417 161</w:t>
            </w:r>
          </w:p>
        </w:tc>
        <w:tc>
          <w:tcPr>
            <w:tcW w:w="1012" w:type="dxa"/>
            <w:tcBorders>
              <w:top w:val="single" w:sz="4" w:space="0" w:color="auto"/>
              <w:left w:val="nil"/>
              <w:bottom w:val="single" w:sz="4" w:space="0" w:color="auto"/>
              <w:right w:val="single" w:sz="4" w:space="0" w:color="auto"/>
            </w:tcBorders>
            <w:shd w:val="clear" w:color="auto" w:fill="BFBFBF"/>
            <w:textDirection w:val="lrTb"/>
            <w:vAlign w:val="bottom"/>
          </w:tcPr>
          <w:p w:rsidR="00064239" w:rsidRPr="00CA083C" w:rsidP="00C450B8">
            <w:pPr>
              <w:bidi w:val="0"/>
              <w:jc w:val="right"/>
              <w:rPr>
                <w:rFonts w:ascii="Times New Roman" w:hAnsi="Times New Roman"/>
                <w:b/>
                <w:bCs/>
                <w:sz w:val="14"/>
                <w:szCs w:val="14"/>
                <w:lang w:eastAsia="sk-SK"/>
              </w:rPr>
            </w:pPr>
            <w:r w:rsidRPr="00CA083C">
              <w:rPr>
                <w:rFonts w:ascii="Times New Roman" w:hAnsi="Times New Roman"/>
                <w:b/>
                <w:sz w:val="14"/>
                <w:szCs w:val="14"/>
                <w:lang w:eastAsia="sk-SK"/>
              </w:rPr>
              <w:t>3 0</w:t>
            </w:r>
            <w:r>
              <w:rPr>
                <w:rFonts w:ascii="Times New Roman" w:hAnsi="Times New Roman"/>
                <w:b/>
                <w:sz w:val="14"/>
                <w:szCs w:val="14"/>
                <w:lang w:eastAsia="sk-SK"/>
              </w:rPr>
              <w:t>31</w:t>
            </w:r>
            <w:r w:rsidRPr="00CA083C">
              <w:rPr>
                <w:rFonts w:ascii="Times New Roman" w:hAnsi="Times New Roman"/>
                <w:b/>
                <w:sz w:val="14"/>
                <w:szCs w:val="14"/>
                <w:lang w:eastAsia="sk-SK"/>
              </w:rPr>
              <w:t xml:space="preserve"> </w:t>
            </w:r>
            <w:r>
              <w:rPr>
                <w:rFonts w:ascii="Times New Roman" w:hAnsi="Times New Roman"/>
                <w:b/>
                <w:sz w:val="14"/>
                <w:szCs w:val="14"/>
                <w:lang w:eastAsia="sk-SK"/>
              </w:rPr>
              <w:t>196</w:t>
            </w:r>
          </w:p>
        </w:tc>
        <w:tc>
          <w:tcPr>
            <w:tcW w:w="1013" w:type="dxa"/>
            <w:tcBorders>
              <w:top w:val="nil"/>
              <w:left w:val="single" w:sz="4" w:space="0" w:color="auto"/>
              <w:bottom w:val="single" w:sz="4" w:space="0" w:color="auto"/>
              <w:right w:val="single" w:sz="4" w:space="0" w:color="auto"/>
            </w:tcBorders>
            <w:shd w:val="clear" w:color="auto" w:fill="BFBFBF"/>
            <w:noWrap/>
            <w:textDirection w:val="lrTb"/>
            <w:vAlign w:val="bottom"/>
          </w:tcPr>
          <w:p w:rsidR="00064239" w:rsidRPr="00B12D25"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374 529 936</w:t>
            </w:r>
          </w:p>
        </w:tc>
        <w:tc>
          <w:tcPr>
            <w:tcW w:w="1012" w:type="dxa"/>
            <w:tcBorders>
              <w:top w:val="nil"/>
              <w:left w:val="nil"/>
              <w:bottom w:val="single" w:sz="4" w:space="0" w:color="auto"/>
              <w:right w:val="single" w:sz="4" w:space="0" w:color="auto"/>
            </w:tcBorders>
            <w:shd w:val="clear" w:color="auto" w:fill="BFBFBF"/>
            <w:noWrap/>
            <w:textDirection w:val="lrTb"/>
            <w:vAlign w:val="bottom"/>
          </w:tcPr>
          <w:p w:rsidR="00064239" w:rsidRPr="00B12D25"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335 472 902</w:t>
            </w:r>
          </w:p>
        </w:tc>
        <w:tc>
          <w:tcPr>
            <w:tcW w:w="1013" w:type="dxa"/>
            <w:tcBorders>
              <w:top w:val="nil"/>
              <w:left w:val="nil"/>
              <w:bottom w:val="single" w:sz="4" w:space="0" w:color="auto"/>
              <w:right w:val="single" w:sz="4" w:space="0" w:color="auto"/>
            </w:tcBorders>
            <w:shd w:val="clear" w:color="auto" w:fill="BFBFBF"/>
            <w:noWrap/>
            <w:textDirection w:val="lrTb"/>
            <w:vAlign w:val="bottom"/>
          </w:tcPr>
          <w:p w:rsidR="00064239" w:rsidRPr="00B12D25"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434 609 869</w:t>
            </w:r>
          </w:p>
        </w:tc>
      </w:tr>
      <w:tr>
        <w:tblPrEx>
          <w:tblW w:w="9087" w:type="dxa"/>
          <w:tblInd w:w="55" w:type="dxa"/>
          <w:tblLayout w:type="fixed"/>
          <w:tblCellMar>
            <w:left w:w="70" w:type="dxa"/>
            <w:right w:w="70" w:type="dxa"/>
          </w:tblCellMar>
          <w:tblLook w:val="04A0"/>
        </w:tblPrEx>
        <w:trPr>
          <w:trHeight w:val="255"/>
        </w:trPr>
        <w:tc>
          <w:tcPr>
            <w:tcW w:w="2000"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Rezerva vlády</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7 889 000</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5 000 000</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3 000 000</w:t>
            </w:r>
          </w:p>
        </w:tc>
        <w:tc>
          <w:tcPr>
            <w:tcW w:w="1013"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5 000 000</w:t>
            </w:r>
          </w:p>
        </w:tc>
        <w:tc>
          <w:tcPr>
            <w:tcW w:w="101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5 000 000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5 000 000</w:t>
            </w:r>
          </w:p>
        </w:tc>
      </w:tr>
      <w:tr>
        <w:tblPrEx>
          <w:tblW w:w="9087" w:type="dxa"/>
          <w:tblInd w:w="55" w:type="dxa"/>
          <w:tblLayout w:type="fixed"/>
          <w:tblCellMar>
            <w:left w:w="70" w:type="dxa"/>
            <w:right w:w="70" w:type="dxa"/>
          </w:tblCellMar>
          <w:tblLook w:val="04A0"/>
        </w:tblPrEx>
        <w:trPr>
          <w:trHeight w:val="622"/>
        </w:trPr>
        <w:tc>
          <w:tcPr>
            <w:tcW w:w="2000"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Rezerva na realizáciu súdnych a exekučných rozhodnutí  a na výdavky  súvisiace s vrátenými príjmami z minulých rokov</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307</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212</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10 000 000</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10 000 000</w:t>
            </w:r>
          </w:p>
        </w:tc>
        <w:tc>
          <w:tcPr>
            <w:tcW w:w="101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10 000 000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10 000 000</w:t>
            </w:r>
          </w:p>
        </w:tc>
      </w:tr>
      <w:tr>
        <w:tblPrEx>
          <w:tblW w:w="9087" w:type="dxa"/>
          <w:tblInd w:w="55" w:type="dxa"/>
          <w:tblLayout w:type="fixed"/>
          <w:tblCellMar>
            <w:left w:w="70" w:type="dxa"/>
            <w:right w:w="70" w:type="dxa"/>
          </w:tblCellMar>
          <w:tblLook w:val="04A0"/>
        </w:tblPrEx>
        <w:trPr>
          <w:trHeight w:val="435"/>
        </w:trPr>
        <w:tc>
          <w:tcPr>
            <w:tcW w:w="2000"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 xml:space="preserve">Rezerva na riešenie </w:t>
            </w:r>
            <w:r>
              <w:rPr>
                <w:rFonts w:ascii="Times New Roman" w:hAnsi="Times New Roman"/>
                <w:sz w:val="14"/>
                <w:szCs w:val="14"/>
                <w:lang w:eastAsia="sk-SK"/>
              </w:rPr>
              <w:t>vplyvov nových zákonných úprav a iných vplyvov</w:t>
            </w:r>
            <w:r w:rsidRPr="00461390">
              <w:rPr>
                <w:rFonts w:ascii="Times New Roman" w:hAnsi="Times New Roman"/>
                <w:sz w:val="14"/>
                <w:szCs w:val="14"/>
                <w:lang w:eastAsia="sk-SK"/>
              </w:rPr>
              <w:t xml:space="preserve"> </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6 557 171</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435"/>
        </w:trPr>
        <w:tc>
          <w:tcPr>
            <w:tcW w:w="2000"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 xml:space="preserve">Rezerva na riešenie krízových situácií </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11 000 000</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11 000 000</w:t>
            </w:r>
          </w:p>
        </w:tc>
        <w:tc>
          <w:tcPr>
            <w:tcW w:w="101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11 000 000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11 000 000</w:t>
            </w:r>
          </w:p>
        </w:tc>
      </w:tr>
      <w:tr>
        <w:tblPrEx>
          <w:tblW w:w="9087" w:type="dxa"/>
          <w:tblInd w:w="55" w:type="dxa"/>
          <w:tblLayout w:type="fixed"/>
          <w:tblCellMar>
            <w:left w:w="70" w:type="dxa"/>
            <w:right w:w="70" w:type="dxa"/>
          </w:tblCellMar>
          <w:tblLook w:val="04A0"/>
        </w:tblPrEx>
        <w:trPr>
          <w:trHeight w:val="255"/>
        </w:trPr>
        <w:tc>
          <w:tcPr>
            <w:tcW w:w="2000"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Rezerva na  mzdy a poistné</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18 159 990</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CA083C">
              <w:rPr>
                <w:rFonts w:ascii="Times New Roman" w:hAnsi="Times New Roman"/>
                <w:sz w:val="14"/>
                <w:szCs w:val="14"/>
                <w:lang w:eastAsia="sk-SK"/>
              </w:rPr>
              <w:t>31 196</w:t>
            </w:r>
          </w:p>
        </w:tc>
        <w:tc>
          <w:tcPr>
            <w:tcW w:w="1013"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5 031 589</w:t>
            </w:r>
          </w:p>
        </w:tc>
        <w:tc>
          <w:tcPr>
            <w:tcW w:w="101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1 945 149</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1 778 306</w:t>
            </w:r>
          </w:p>
        </w:tc>
      </w:tr>
      <w:tr>
        <w:tblPrEx>
          <w:tblW w:w="9087" w:type="dxa"/>
          <w:tblInd w:w="55" w:type="dxa"/>
          <w:tblLayout w:type="fixed"/>
          <w:tblCellMar>
            <w:left w:w="70" w:type="dxa"/>
            <w:right w:w="70" w:type="dxa"/>
          </w:tblCellMar>
          <w:tblLook w:val="04A0"/>
        </w:tblPrEx>
        <w:trPr>
          <w:trHeight w:val="437"/>
        </w:trPr>
        <w:tc>
          <w:tcPr>
            <w:tcW w:w="2000"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rPr>
            </w:pPr>
            <w:r w:rsidRPr="00461390">
              <w:rPr>
                <w:rFonts w:ascii="Times New Roman" w:hAnsi="Times New Roman"/>
                <w:sz w:val="14"/>
                <w:szCs w:val="14"/>
                <w:lang w:eastAsia="sk-SK"/>
              </w:rPr>
              <w:t>Rezerva na výdavky spojené s nepoistením majetku štátu</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2 000 000</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2 000 000</w:t>
            </w:r>
          </w:p>
        </w:tc>
        <w:tc>
          <w:tcPr>
            <w:tcW w:w="101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2 000 000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2 000 000</w:t>
            </w:r>
          </w:p>
        </w:tc>
      </w:tr>
      <w:tr>
        <w:tblPrEx>
          <w:tblW w:w="9087" w:type="dxa"/>
          <w:tblInd w:w="55" w:type="dxa"/>
          <w:tblLayout w:type="fixed"/>
          <w:tblCellMar>
            <w:left w:w="70" w:type="dxa"/>
            <w:right w:w="70" w:type="dxa"/>
          </w:tblCellMar>
          <w:tblLook w:val="04A0"/>
        </w:tblPrEx>
        <w:trPr>
          <w:trHeight w:val="255"/>
        </w:trPr>
        <w:tc>
          <w:tcPr>
            <w:tcW w:w="2000"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rPr>
            </w:pPr>
            <w:r w:rsidRPr="00461390">
              <w:rPr>
                <w:rFonts w:ascii="Times New Roman" w:hAnsi="Times New Roman"/>
                <w:sz w:val="14"/>
                <w:szCs w:val="14"/>
                <w:lang w:eastAsia="sk-SK"/>
              </w:rPr>
              <w:t>Rezerva na sociálne služby</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20 000 000</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25 494 200</w:t>
            </w:r>
          </w:p>
        </w:tc>
        <w:tc>
          <w:tcPr>
            <w:tcW w:w="101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437"/>
        </w:trPr>
        <w:tc>
          <w:tcPr>
            <w:tcW w:w="2000"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Rezerva na nové úlohy v oblasti jadrovej bezpečnosti</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 700 000</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1 000 000</w:t>
            </w:r>
          </w:p>
        </w:tc>
        <w:tc>
          <w:tcPr>
            <w:tcW w:w="101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1 000 000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1 000 000</w:t>
            </w:r>
          </w:p>
        </w:tc>
      </w:tr>
      <w:tr>
        <w:tblPrEx>
          <w:tblW w:w="9087" w:type="dxa"/>
          <w:tblInd w:w="55" w:type="dxa"/>
          <w:tblLayout w:type="fixed"/>
          <w:tblCellMar>
            <w:left w:w="70" w:type="dxa"/>
            <w:right w:w="70" w:type="dxa"/>
          </w:tblCellMar>
          <w:tblLook w:val="04A0"/>
        </w:tblPrEx>
        <w:trPr>
          <w:trHeight w:val="437"/>
        </w:trPr>
        <w:tc>
          <w:tcPr>
            <w:tcW w:w="2000"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Rezerva na prípravu predsedníctva SR v Rade EÚ</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2 000 000</w:t>
            </w:r>
          </w:p>
        </w:tc>
        <w:tc>
          <w:tcPr>
            <w:tcW w:w="101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3 000 000</w:t>
            </w:r>
          </w:p>
        </w:tc>
        <w:tc>
          <w:tcPr>
            <w:tcW w:w="101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3 000 000</w:t>
            </w:r>
          </w:p>
        </w:tc>
      </w:tr>
      <w:tr>
        <w:tblPrEx>
          <w:tblW w:w="9087" w:type="dxa"/>
          <w:tblInd w:w="55" w:type="dxa"/>
          <w:tblLayout w:type="fixed"/>
          <w:tblCellMar>
            <w:left w:w="70" w:type="dxa"/>
            <w:right w:w="70" w:type="dxa"/>
          </w:tblCellMar>
          <w:tblLook w:val="04A0"/>
        </w:tblPrEx>
        <w:trPr>
          <w:trHeight w:val="437"/>
        </w:trPr>
        <w:tc>
          <w:tcPr>
            <w:tcW w:w="2000" w:type="dxa"/>
            <w:tcBorders>
              <w:top w:val="single" w:sz="4" w:space="0" w:color="auto"/>
              <w:left w:val="single" w:sz="4" w:space="0" w:color="auto"/>
              <w:bottom w:val="single" w:sz="4" w:space="0" w:color="auto"/>
              <w:right w:val="single" w:sz="4" w:space="0" w:color="auto"/>
            </w:tcBorders>
            <w:textDirection w:val="lrTb"/>
            <w:vAlign w:val="bottom"/>
          </w:tcPr>
          <w:p w:rsidR="00064239" w:rsidP="00C450B8">
            <w:pPr>
              <w:bidi w:val="0"/>
              <w:rPr>
                <w:rFonts w:ascii="Times New Roman" w:hAnsi="Times New Roman"/>
                <w:sz w:val="14"/>
                <w:szCs w:val="14"/>
                <w:lang w:eastAsia="sk-SK"/>
              </w:rPr>
            </w:pPr>
            <w:r>
              <w:rPr>
                <w:rFonts w:ascii="Times New Roman" w:hAnsi="Times New Roman"/>
                <w:sz w:val="14"/>
                <w:szCs w:val="14"/>
                <w:lang w:eastAsia="sk-SK"/>
              </w:rPr>
              <w:t>Rezerva na možný zhoršený vývoj ekonomiky</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3" w:type="dxa"/>
            <w:tcBorders>
              <w:top w:val="single" w:sz="4" w:space="0" w:color="auto"/>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101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1013" w:type="dxa"/>
            <w:tcBorders>
              <w:top w:val="single" w:sz="4" w:space="0" w:color="auto"/>
              <w:left w:val="single" w:sz="4" w:space="0" w:color="auto"/>
              <w:bottom w:val="single" w:sz="4" w:space="0" w:color="auto"/>
              <w:right w:val="single" w:sz="4" w:space="0" w:color="auto"/>
            </w:tcBorders>
            <w:noWrap/>
            <w:textDirection w:val="lrTb"/>
            <w:vAlign w:val="bottom"/>
          </w:tcPr>
          <w:p w:rsidR="00064239" w:rsidP="00C450B8">
            <w:pPr>
              <w:bidi w:val="0"/>
              <w:jc w:val="right"/>
              <w:rPr>
                <w:rFonts w:ascii="Times New Roman" w:hAnsi="Times New Roman"/>
                <w:sz w:val="14"/>
                <w:szCs w:val="14"/>
                <w:lang w:eastAsia="sk-SK"/>
              </w:rPr>
            </w:pPr>
            <w:r>
              <w:rPr>
                <w:rFonts w:ascii="Times New Roman" w:hAnsi="Times New Roman"/>
                <w:sz w:val="14"/>
                <w:szCs w:val="14"/>
                <w:lang w:eastAsia="sk-SK"/>
              </w:rPr>
              <w:t>313 004 147</w:t>
            </w:r>
          </w:p>
        </w:tc>
        <w:tc>
          <w:tcPr>
            <w:tcW w:w="1012" w:type="dxa"/>
            <w:tcBorders>
              <w:top w:val="single" w:sz="4" w:space="0" w:color="auto"/>
              <w:left w:val="nil"/>
              <w:bottom w:val="single" w:sz="4" w:space="0" w:color="auto"/>
              <w:right w:val="single" w:sz="4" w:space="0" w:color="auto"/>
            </w:tcBorders>
            <w:noWrap/>
            <w:textDirection w:val="lrTb"/>
            <w:vAlign w:val="bottom"/>
          </w:tcPr>
          <w:p w:rsidR="00064239" w:rsidP="00C450B8">
            <w:pPr>
              <w:bidi w:val="0"/>
              <w:jc w:val="right"/>
              <w:rPr>
                <w:rFonts w:ascii="Times New Roman" w:hAnsi="Times New Roman"/>
                <w:sz w:val="14"/>
                <w:szCs w:val="14"/>
                <w:lang w:eastAsia="sk-SK"/>
              </w:rPr>
            </w:pPr>
            <w:r>
              <w:rPr>
                <w:rFonts w:ascii="Times New Roman" w:hAnsi="Times New Roman"/>
                <w:sz w:val="14"/>
                <w:szCs w:val="14"/>
                <w:lang w:eastAsia="sk-SK"/>
              </w:rPr>
              <w:t>301 527 753</w:t>
            </w:r>
          </w:p>
        </w:tc>
        <w:tc>
          <w:tcPr>
            <w:tcW w:w="1013" w:type="dxa"/>
            <w:tcBorders>
              <w:top w:val="single" w:sz="4" w:space="0" w:color="auto"/>
              <w:left w:val="nil"/>
              <w:bottom w:val="single" w:sz="4" w:space="0" w:color="auto"/>
              <w:right w:val="single" w:sz="4" w:space="0" w:color="auto"/>
            </w:tcBorders>
            <w:noWrap/>
            <w:textDirection w:val="lrTb"/>
            <w:vAlign w:val="bottom"/>
          </w:tcPr>
          <w:p w:rsidR="00064239" w:rsidP="00C450B8">
            <w:pPr>
              <w:bidi w:val="0"/>
              <w:jc w:val="right"/>
              <w:rPr>
                <w:rFonts w:ascii="Times New Roman" w:hAnsi="Times New Roman"/>
                <w:sz w:val="14"/>
                <w:szCs w:val="14"/>
                <w:lang w:eastAsia="sk-SK"/>
              </w:rPr>
            </w:pPr>
            <w:r>
              <w:rPr>
                <w:rFonts w:ascii="Times New Roman" w:hAnsi="Times New Roman"/>
                <w:sz w:val="14"/>
                <w:szCs w:val="14"/>
                <w:lang w:eastAsia="sk-SK"/>
              </w:rPr>
              <w:t>400 831 563</w:t>
            </w:r>
          </w:p>
        </w:tc>
      </w:tr>
    </w:tbl>
    <w:p w:rsidR="00064239" w:rsidRPr="00461390" w:rsidP="00064239">
      <w:pPr>
        <w:bidi w:val="0"/>
        <w:ind w:firstLine="709"/>
        <w:jc w:val="both"/>
        <w:rPr>
          <w:rFonts w:ascii="Times New Roman" w:hAnsi="Times New Roman"/>
        </w:rPr>
      </w:pPr>
    </w:p>
    <w:p w:rsidR="00064239" w:rsidRPr="00461390" w:rsidP="00064239">
      <w:pPr>
        <w:bidi w:val="0"/>
        <w:ind w:firstLine="709"/>
        <w:jc w:val="both"/>
        <w:rPr>
          <w:rFonts w:ascii="Times New Roman" w:hAnsi="Times New Roman"/>
        </w:rPr>
      </w:pPr>
      <w:r w:rsidRPr="00461390">
        <w:rPr>
          <w:rFonts w:ascii="Times New Roman" w:hAnsi="Times New Roman"/>
        </w:rPr>
        <w:t xml:space="preserve"> Na krytie nepredvídaných a mimoriadnych potrieb súvisiacich so zabezpečením plnenia vnútorných a zahraničných úloh Slovenskej republiky je rozpočtovaná rezerva vlády. </w:t>
      </w:r>
    </w:p>
    <w:p w:rsidR="00064239" w:rsidRPr="00461390" w:rsidP="00064239">
      <w:pPr>
        <w:bidi w:val="0"/>
        <w:jc w:val="both"/>
        <w:rPr>
          <w:rFonts w:ascii="Times New Roman" w:hAnsi="Times New Roman"/>
        </w:rPr>
      </w:pPr>
    </w:p>
    <w:p w:rsidR="00064239" w:rsidRPr="00461390" w:rsidP="00064239">
      <w:pPr>
        <w:bidi w:val="0"/>
        <w:ind w:firstLine="709"/>
        <w:jc w:val="both"/>
        <w:rPr>
          <w:rFonts w:ascii="Times New Roman" w:hAnsi="Times New Roman"/>
        </w:rPr>
      </w:pPr>
      <w:r w:rsidRPr="00461390">
        <w:rPr>
          <w:rFonts w:ascii="Times New Roman" w:hAnsi="Times New Roman"/>
        </w:rPr>
        <w:t>Rozpočet  rezervy na riešenie krízových situácií zahŕňa rezervu,  ktorej tvorba vyplýva zo zákona č. 387/2002 Z. z. o riadení štátu v krízových situáciách mimo času vojny a vojnového stavu. Časť rezervy tvoria výdavky, ktoré budú slúžiť na krytie výdavkov v prípade povodní, živelných pohrôm, resp. riešenie odškodňovania pri mimoriadnych udalostiach a krízových situáciách.</w:t>
      </w:r>
      <w:r>
        <w:rPr>
          <w:rFonts w:ascii="Times New Roman" w:hAnsi="Times New Roman"/>
        </w:rPr>
        <w:t xml:space="preserve"> </w:t>
      </w:r>
    </w:p>
    <w:p w:rsidR="00064239" w:rsidP="00064239">
      <w:pPr>
        <w:bidi w:val="0"/>
        <w:ind w:firstLine="709"/>
        <w:jc w:val="both"/>
        <w:rPr>
          <w:rFonts w:ascii="Times New Roman" w:hAnsi="Times New Roman"/>
        </w:rPr>
      </w:pPr>
    </w:p>
    <w:p w:rsidR="00D83F50" w:rsidP="00064239">
      <w:pPr>
        <w:bidi w:val="0"/>
        <w:ind w:firstLine="709"/>
        <w:jc w:val="both"/>
        <w:rPr>
          <w:rFonts w:ascii="Times New Roman" w:hAnsi="Times New Roman"/>
        </w:rPr>
      </w:pPr>
    </w:p>
    <w:p w:rsidR="00D83F50" w:rsidP="00064239">
      <w:pPr>
        <w:bidi w:val="0"/>
        <w:ind w:firstLine="709"/>
        <w:jc w:val="both"/>
        <w:rPr>
          <w:rFonts w:ascii="Times New Roman" w:hAnsi="Times New Roman"/>
        </w:rPr>
      </w:pPr>
    </w:p>
    <w:p w:rsidR="00D83F50" w:rsidP="00064239">
      <w:pPr>
        <w:bidi w:val="0"/>
        <w:ind w:firstLine="709"/>
        <w:jc w:val="both"/>
        <w:rPr>
          <w:rFonts w:ascii="Times New Roman" w:hAnsi="Times New Roman"/>
        </w:rPr>
      </w:pPr>
    </w:p>
    <w:p w:rsidR="00D83F50" w:rsidP="00064239">
      <w:pPr>
        <w:bidi w:val="0"/>
        <w:ind w:firstLine="709"/>
        <w:jc w:val="both"/>
        <w:rPr>
          <w:rFonts w:ascii="Times New Roman" w:hAnsi="Times New Roman"/>
        </w:rPr>
      </w:pPr>
    </w:p>
    <w:p w:rsidR="00D83F50" w:rsidP="00064239">
      <w:pPr>
        <w:bidi w:val="0"/>
        <w:ind w:firstLine="709"/>
        <w:jc w:val="both"/>
        <w:rPr>
          <w:rFonts w:ascii="Times New Roman" w:hAnsi="Times New Roman"/>
        </w:rPr>
      </w:pPr>
    </w:p>
    <w:p w:rsidR="00D83F50" w:rsidP="00064239">
      <w:pPr>
        <w:bidi w:val="0"/>
        <w:ind w:firstLine="709"/>
        <w:jc w:val="both"/>
        <w:rPr>
          <w:rFonts w:ascii="Times New Roman" w:hAnsi="Times New Roman"/>
        </w:rPr>
      </w:pPr>
    </w:p>
    <w:p w:rsidR="00D83F50" w:rsidRPr="00461390" w:rsidP="00064239">
      <w:pPr>
        <w:bidi w:val="0"/>
        <w:ind w:firstLine="709"/>
        <w:jc w:val="both"/>
        <w:rPr>
          <w:rFonts w:ascii="Times New Roman" w:hAnsi="Times New Roman"/>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rPr>
                <w:rFonts w:ascii="Times New Roman" w:hAnsi="Times New Roman"/>
                <w:b/>
                <w:bCs/>
                <w:sz w:val="14"/>
                <w:szCs w:val="14"/>
                <w:lang w:eastAsia="sk-SK"/>
              </w:rPr>
            </w:pPr>
            <w:r w:rsidRPr="00461390">
              <w:rPr>
                <w:rFonts w:ascii="Times New Roman" w:hAnsi="Times New Roman"/>
                <w:b/>
                <w:bCs/>
                <w:sz w:val="14"/>
                <w:szCs w:val="14"/>
                <w:lang w:eastAsia="sk-SK"/>
              </w:rPr>
              <w:t>v</w:t>
            </w:r>
            <w:r>
              <w:rPr>
                <w:rFonts w:ascii="Times New Roman" w:hAnsi="Times New Roman"/>
                <w:b/>
                <w:bCs/>
                <w:sz w:val="14"/>
                <w:szCs w:val="14"/>
                <w:lang w:eastAsia="sk-SK"/>
              </w:rPr>
              <w:t> </w:t>
            </w:r>
            <w:r w:rsidRPr="00461390">
              <w:rPr>
                <w:rFonts w:ascii="Times New Roman" w:hAnsi="Times New Roman"/>
                <w:b/>
                <w:bCs/>
                <w:sz w:val="14"/>
                <w:szCs w:val="14"/>
                <w:lang w:eastAsia="sk-SK"/>
              </w:rPr>
              <w:t>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 xml:space="preserve">2010 S </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1</w:t>
            </w:r>
            <w:r w:rsidRPr="00461390">
              <w:rPr>
                <w:rFonts w:ascii="Times New Roman" w:hAnsi="Times New Roman"/>
                <w:b/>
                <w:sz w:val="14"/>
                <w:szCs w:val="14"/>
                <w:lang w:eastAsia="sk-SK"/>
              </w:rPr>
              <w:t xml:space="preserve">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OS</w:t>
            </w:r>
          </w:p>
        </w:tc>
        <w:tc>
          <w:tcPr>
            <w:tcW w:w="9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w:t>
            </w:r>
            <w:r>
              <w:rPr>
                <w:rFonts w:ascii="Times New Roman" w:hAnsi="Times New Roman"/>
                <w:b/>
                <w:sz w:val="14"/>
                <w:szCs w:val="14"/>
                <w:lang w:eastAsia="sk-SK"/>
              </w:rPr>
              <w:t>N</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4</w:t>
            </w:r>
            <w:r w:rsidRPr="00461390">
              <w:rPr>
                <w:rFonts w:ascii="Times New Roman" w:hAnsi="Times New Roman"/>
                <w:b/>
                <w:sz w:val="14"/>
                <w:szCs w:val="14"/>
                <w:lang w:eastAsia="sk-SK"/>
              </w:rPr>
              <w:t xml:space="preserve">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5</w:t>
            </w:r>
            <w:r w:rsidRPr="00461390">
              <w:rPr>
                <w:rFonts w:ascii="Times New Roman" w:hAnsi="Times New Roman"/>
                <w:b/>
                <w:sz w:val="14"/>
                <w:szCs w:val="14"/>
                <w:lang w:eastAsia="sk-SK"/>
              </w:rPr>
              <w:t xml:space="preserve"> N</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shd w:val="clear" w:color="auto" w:fill="BFBFBF"/>
            <w:noWrap/>
            <w:textDirection w:val="lrTb"/>
            <w:vAlign w:val="bottom"/>
          </w:tcPr>
          <w:p w:rsidR="00064239" w:rsidRPr="00461390" w:rsidP="00C450B8">
            <w:pPr>
              <w:bidi w:val="0"/>
              <w:rPr>
                <w:rFonts w:ascii="Times New Roman" w:hAnsi="Times New Roman"/>
                <w:b/>
                <w:sz w:val="14"/>
                <w:szCs w:val="14"/>
                <w:lang w:eastAsia="sk-SK"/>
              </w:rPr>
            </w:pPr>
            <w:r w:rsidRPr="00461390">
              <w:rPr>
                <w:rFonts w:ascii="Times New Roman" w:hAnsi="Times New Roman"/>
                <w:b/>
                <w:sz w:val="14"/>
                <w:szCs w:val="14"/>
                <w:lang w:eastAsia="sk-SK"/>
              </w:rPr>
              <w:t>Rezerva na  mzdy a poistné</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sz w:val="14"/>
                <w:szCs w:val="14"/>
                <w:lang w:eastAsia="sk-SK"/>
              </w:rPr>
            </w:pPr>
            <w:r w:rsidRPr="00461390">
              <w:rPr>
                <w:rFonts w:ascii="Times New Roman" w:hAnsi="Times New Roman"/>
                <w:b/>
                <w:sz w:val="14"/>
                <w:szCs w:val="14"/>
                <w:lang w:eastAsia="sk-SK"/>
              </w:rPr>
              <w:t>0</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sz w:val="14"/>
                <w:szCs w:val="14"/>
                <w:lang w:eastAsia="sk-SK"/>
              </w:rPr>
            </w:pPr>
            <w:r w:rsidRPr="00461390">
              <w:rPr>
                <w:rFonts w:ascii="Times New Roman" w:hAnsi="Times New Roman"/>
                <w:b/>
                <w:sz w:val="14"/>
                <w:szCs w:val="14"/>
                <w:lang w:eastAsia="sk-SK"/>
              </w:rPr>
              <w:t>0</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064239" w:rsidRPr="005512E7" w:rsidP="00C450B8">
            <w:pPr>
              <w:bidi w:val="0"/>
              <w:jc w:val="right"/>
              <w:rPr>
                <w:rFonts w:ascii="Times New Roman" w:hAnsi="Times New Roman"/>
                <w:b/>
                <w:sz w:val="14"/>
                <w:szCs w:val="14"/>
                <w:lang w:eastAsia="sk-SK"/>
              </w:rPr>
            </w:pPr>
            <w:r w:rsidRPr="005512E7">
              <w:rPr>
                <w:rFonts w:ascii="Times New Roman" w:hAnsi="Times New Roman"/>
                <w:b/>
                <w:sz w:val="14"/>
                <w:szCs w:val="14"/>
                <w:lang w:eastAsia="sk-SK"/>
              </w:rPr>
              <w:t>18 159 990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064239" w:rsidRPr="00461390" w:rsidP="00C450B8">
            <w:pPr>
              <w:bidi w:val="0"/>
              <w:jc w:val="right"/>
              <w:rPr>
                <w:rFonts w:ascii="Times New Roman" w:hAnsi="Times New Roman"/>
                <w:b/>
                <w:sz w:val="14"/>
                <w:szCs w:val="14"/>
                <w:lang w:eastAsia="sk-SK"/>
              </w:rPr>
            </w:pPr>
            <w:r w:rsidRPr="00CA083C">
              <w:rPr>
                <w:rFonts w:ascii="Times New Roman" w:hAnsi="Times New Roman"/>
                <w:b/>
                <w:sz w:val="14"/>
                <w:szCs w:val="14"/>
                <w:lang w:eastAsia="sk-SK"/>
              </w:rPr>
              <w:t>31 196</w:t>
            </w:r>
          </w:p>
        </w:tc>
        <w:tc>
          <w:tcPr>
            <w:tcW w:w="992" w:type="dxa"/>
            <w:tcBorders>
              <w:top w:val="nil"/>
              <w:left w:val="single" w:sz="4" w:space="0" w:color="auto"/>
              <w:bottom w:val="single" w:sz="4" w:space="0" w:color="auto"/>
              <w:right w:val="single" w:sz="4" w:space="0" w:color="auto"/>
            </w:tcBorders>
            <w:shd w:val="clear" w:color="auto" w:fill="BFBFBF"/>
            <w:noWrap/>
            <w:textDirection w:val="lrTb"/>
            <w:vAlign w:val="bottom"/>
          </w:tcPr>
          <w:p w:rsidR="00064239" w:rsidRPr="005512E7" w:rsidP="00C450B8">
            <w:pPr>
              <w:bidi w:val="0"/>
              <w:jc w:val="right"/>
              <w:rPr>
                <w:rFonts w:ascii="Times New Roman" w:hAnsi="Times New Roman"/>
                <w:b/>
                <w:sz w:val="14"/>
                <w:szCs w:val="14"/>
                <w:lang w:eastAsia="sk-SK"/>
              </w:rPr>
            </w:pPr>
            <w:r>
              <w:rPr>
                <w:rFonts w:ascii="Times New Roman" w:hAnsi="Times New Roman"/>
                <w:b/>
                <w:sz w:val="14"/>
                <w:szCs w:val="14"/>
                <w:lang w:eastAsia="sk-SK"/>
              </w:rPr>
              <w:t>5 031 589</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064239" w:rsidRPr="005512E7" w:rsidP="00C450B8">
            <w:pPr>
              <w:bidi w:val="0"/>
              <w:jc w:val="right"/>
              <w:rPr>
                <w:rFonts w:ascii="Times New Roman" w:hAnsi="Times New Roman"/>
                <w:b/>
                <w:sz w:val="14"/>
                <w:szCs w:val="14"/>
                <w:lang w:eastAsia="sk-SK"/>
              </w:rPr>
            </w:pPr>
            <w:r>
              <w:rPr>
                <w:rFonts w:ascii="Times New Roman" w:hAnsi="Times New Roman"/>
                <w:b/>
                <w:sz w:val="14"/>
                <w:szCs w:val="14"/>
                <w:lang w:eastAsia="sk-SK"/>
              </w:rPr>
              <w:t>1 945 149</w:t>
            </w:r>
          </w:p>
        </w:tc>
        <w:tc>
          <w:tcPr>
            <w:tcW w:w="993" w:type="dxa"/>
            <w:tcBorders>
              <w:top w:val="nil"/>
              <w:left w:val="nil"/>
              <w:bottom w:val="single" w:sz="4" w:space="0" w:color="auto"/>
              <w:right w:val="single" w:sz="4" w:space="0" w:color="auto"/>
            </w:tcBorders>
            <w:shd w:val="clear" w:color="auto" w:fill="BFBFBF"/>
            <w:noWrap/>
            <w:textDirection w:val="lrTb"/>
            <w:vAlign w:val="bottom"/>
          </w:tcPr>
          <w:p w:rsidR="00064239" w:rsidRPr="005512E7" w:rsidP="00C450B8">
            <w:pPr>
              <w:bidi w:val="0"/>
              <w:jc w:val="right"/>
              <w:rPr>
                <w:rFonts w:ascii="Times New Roman" w:hAnsi="Times New Roman"/>
                <w:b/>
                <w:sz w:val="14"/>
                <w:szCs w:val="14"/>
                <w:lang w:eastAsia="sk-SK"/>
              </w:rPr>
            </w:pPr>
            <w:r>
              <w:rPr>
                <w:rFonts w:ascii="Times New Roman" w:hAnsi="Times New Roman"/>
                <w:b/>
                <w:sz w:val="14"/>
                <w:szCs w:val="14"/>
                <w:lang w:eastAsia="sk-SK"/>
              </w:rPr>
              <w:t>1 778 306</w:t>
            </w:r>
          </w:p>
        </w:tc>
      </w:tr>
      <w:tr>
        <w:tblPrEx>
          <w:tblW w:w="9087" w:type="dxa"/>
          <w:tblInd w:w="55" w:type="dxa"/>
          <w:tblLayout w:type="fixed"/>
          <w:tblCellMar>
            <w:left w:w="70" w:type="dxa"/>
            <w:right w:w="70" w:type="dxa"/>
          </w:tblCellMar>
          <w:tblLook w:val="04A0"/>
        </w:tblPrEx>
        <w:trPr>
          <w:trHeight w:val="283"/>
        </w:trPr>
        <w:tc>
          <w:tcPr>
            <w:tcW w:w="2142"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 xml:space="preserve">Rezerva na  </w:t>
            </w:r>
            <w:r>
              <w:rPr>
                <w:rFonts w:ascii="Times New Roman" w:hAnsi="Times New Roman"/>
                <w:sz w:val="14"/>
                <w:szCs w:val="14"/>
                <w:lang w:eastAsia="sk-SK"/>
              </w:rPr>
              <w:t xml:space="preserve">krytie </w:t>
            </w:r>
            <w:r w:rsidRPr="00461390">
              <w:rPr>
                <w:rFonts w:ascii="Times New Roman" w:hAnsi="Times New Roman"/>
                <w:sz w:val="14"/>
                <w:szCs w:val="14"/>
                <w:lang w:eastAsia="sk-SK"/>
              </w:rPr>
              <w:t>zákon</w:t>
            </w:r>
            <w:r>
              <w:rPr>
                <w:rFonts w:ascii="Times New Roman" w:hAnsi="Times New Roman"/>
                <w:sz w:val="14"/>
                <w:szCs w:val="14"/>
                <w:lang w:eastAsia="sk-SK"/>
              </w:rPr>
              <w:t xml:space="preserve">a č. 120/1993  Z. </w:t>
            </w:r>
            <w:r w:rsidRPr="00461390">
              <w:rPr>
                <w:rFonts w:ascii="Times New Roman" w:hAnsi="Times New Roman"/>
                <w:sz w:val="14"/>
                <w:szCs w:val="14"/>
                <w:lang w:eastAsia="sk-SK"/>
              </w:rPr>
              <w:t>z. o platových pomeroch ústavných činiteľov</w:t>
            </w:r>
            <w:r>
              <w:rPr>
                <w:rFonts w:ascii="Times New Roman" w:hAnsi="Times New Roman"/>
                <w:sz w:val="14"/>
                <w:szCs w:val="14"/>
                <w:lang w:eastAsia="sk-SK"/>
              </w:rPr>
              <w:t xml:space="preserve"> </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16 494 661</w:t>
            </w:r>
          </w:p>
        </w:tc>
        <w:tc>
          <w:tcPr>
            <w:tcW w:w="992" w:type="dxa"/>
            <w:tcBorders>
              <w:top w:val="single" w:sz="4" w:space="0" w:color="auto"/>
              <w:left w:val="nil"/>
              <w:bottom w:val="single" w:sz="4" w:space="0" w:color="auto"/>
              <w:right w:val="single" w:sz="4" w:space="0" w:color="auto"/>
            </w:tcBorders>
            <w:textDirection w:val="lrTb"/>
            <w:vAlign w:val="bottom"/>
          </w:tcPr>
          <w:p w:rsidR="00064239"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4 846 253</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1 757 501</w:t>
            </w:r>
          </w:p>
        </w:tc>
        <w:tc>
          <w:tcPr>
            <w:tcW w:w="99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1 589 502</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Rezerva na zvýšenie osobných výdavkov pedagogických zamestnancov o 3 % (bez RŠ a VVŠ)</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 xml:space="preserve">1 449 106 </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rPr>
            </w:pPr>
            <w:r w:rsidRPr="00461390">
              <w:rPr>
                <w:rFonts w:ascii="Times New Roman" w:hAnsi="Times New Roman"/>
                <w:sz w:val="14"/>
                <w:szCs w:val="14"/>
              </w:rPr>
              <w:t>Rezerva na osobné výdavky pre náhradné obsadenie miest uvoľnených vyslaním národného experta do cudziny</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185 027</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177 533</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177 533</w:t>
            </w:r>
          </w:p>
        </w:tc>
        <w:tc>
          <w:tcPr>
            <w:tcW w:w="99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177 533</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 xml:space="preserve">Rezerva na zvýšenie odmien členov RVR </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31 196</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31 196</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 xml:space="preserve"> 7 803</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10 115</w:t>
            </w:r>
          </w:p>
        </w:tc>
        <w:tc>
          <w:tcPr>
            <w:tcW w:w="99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11 271</w:t>
            </w:r>
          </w:p>
        </w:tc>
      </w:tr>
    </w:tbl>
    <w:p w:rsidR="00064239" w:rsidRPr="00461390" w:rsidP="00064239">
      <w:pPr>
        <w:bidi w:val="0"/>
        <w:jc w:val="both"/>
        <w:rPr>
          <w:rFonts w:ascii="Times New Roman" w:hAnsi="Times New Roman"/>
        </w:rPr>
      </w:pPr>
    </w:p>
    <w:p w:rsidR="00064239" w:rsidRPr="00461390" w:rsidP="00064239">
      <w:pPr>
        <w:bidi w:val="0"/>
        <w:ind w:firstLine="709"/>
        <w:jc w:val="both"/>
        <w:rPr>
          <w:rFonts w:ascii="Times New Roman" w:hAnsi="Times New Roman"/>
        </w:rPr>
      </w:pPr>
      <w:r w:rsidRPr="00B86B09">
        <w:rPr>
          <w:rFonts w:ascii="Times New Roman" w:hAnsi="Times New Roman"/>
        </w:rPr>
        <w:t>Rezerva na mzdy a poistné sa rozpočtuje na krytie zákona č. 120/1993 Z.</w:t>
      </w:r>
      <w:r>
        <w:rPr>
          <w:rFonts w:ascii="Times New Roman" w:hAnsi="Times New Roman"/>
        </w:rPr>
        <w:t xml:space="preserve"> </w:t>
      </w:r>
      <w:r w:rsidRPr="00B86B09">
        <w:rPr>
          <w:rFonts w:ascii="Times New Roman" w:hAnsi="Times New Roman"/>
        </w:rPr>
        <w:t>z. o platoch ústavných činiteľov v súvislosti s prognózou rastu priemernej mzdy v hospodárstve SR. Zároveň sa tu rozpočtujú aj osobné výdavky pre náhradné obsadenie miest za vyslaných národných expertov podľa uznesenia vlády</w:t>
      </w:r>
      <w:r>
        <w:rPr>
          <w:rFonts w:ascii="Times New Roman" w:hAnsi="Times New Roman"/>
        </w:rPr>
        <w:t xml:space="preserve"> SR</w:t>
      </w:r>
      <w:r w:rsidRPr="00B86B09">
        <w:rPr>
          <w:rFonts w:ascii="Times New Roman" w:hAnsi="Times New Roman"/>
        </w:rPr>
        <w:t xml:space="preserve"> č. 723/2004 k návrhu postupu vysielania národných expertov Slovenskej republiky do inštitúcií Európskej únie.</w:t>
      </w:r>
      <w:r w:rsidRPr="00461390">
        <w:rPr>
          <w:rFonts w:ascii="Times New Roman" w:hAnsi="Times New Roman"/>
        </w:rPr>
        <w:t xml:space="preserve">  </w:t>
      </w:r>
    </w:p>
    <w:p w:rsidR="00064239" w:rsidRPr="00461390" w:rsidP="00064239">
      <w:pPr>
        <w:bidi w:val="0"/>
        <w:jc w:val="both"/>
        <w:rPr>
          <w:rFonts w:ascii="Times New Roman" w:hAnsi="Times New Roman"/>
        </w:rPr>
      </w:pPr>
    </w:p>
    <w:p w:rsidR="00064239" w:rsidRPr="00461390" w:rsidP="00064239">
      <w:pPr>
        <w:bidi w:val="0"/>
        <w:ind w:firstLine="709"/>
        <w:jc w:val="both"/>
        <w:rPr>
          <w:rFonts w:ascii="Times New Roman" w:hAnsi="Times New Roman"/>
        </w:rPr>
      </w:pPr>
      <w:r>
        <w:rPr>
          <w:rFonts w:ascii="Times New Roman" w:hAnsi="Times New Roman"/>
        </w:rPr>
        <w:t>R</w:t>
      </w:r>
      <w:r w:rsidRPr="00461390">
        <w:rPr>
          <w:rFonts w:ascii="Times New Roman" w:hAnsi="Times New Roman"/>
        </w:rPr>
        <w:t xml:space="preserve">ezerva na výdavky spojené s nepoistením majetku štátu sa </w:t>
      </w:r>
      <w:r>
        <w:rPr>
          <w:rFonts w:ascii="Times New Roman" w:hAnsi="Times New Roman"/>
        </w:rPr>
        <w:t>rozpočtuje</w:t>
      </w:r>
      <w:r w:rsidRPr="00461390">
        <w:rPr>
          <w:rFonts w:ascii="Times New Roman" w:hAnsi="Times New Roman"/>
        </w:rPr>
        <w:t xml:space="preserve"> </w:t>
      </w:r>
      <w:r>
        <w:rPr>
          <w:rFonts w:ascii="Times New Roman" w:hAnsi="Times New Roman"/>
        </w:rPr>
        <w:t>v</w:t>
      </w:r>
      <w:r w:rsidRPr="00461390">
        <w:rPr>
          <w:rFonts w:ascii="Times New Roman" w:hAnsi="Times New Roman"/>
        </w:rPr>
        <w:t xml:space="preserve"> nadväznosti na uzneseni</w:t>
      </w:r>
      <w:r>
        <w:rPr>
          <w:rFonts w:ascii="Times New Roman" w:hAnsi="Times New Roman"/>
        </w:rPr>
        <w:t>e vlády SR č. 171/2011</w:t>
      </w:r>
      <w:r w:rsidRPr="00461390">
        <w:rPr>
          <w:rFonts w:ascii="Times New Roman" w:hAnsi="Times New Roman"/>
        </w:rPr>
        <w:t xml:space="preserve">.  </w:t>
      </w:r>
    </w:p>
    <w:p w:rsidR="00064239" w:rsidRPr="00461390" w:rsidP="00064239">
      <w:pPr>
        <w:bidi w:val="0"/>
        <w:ind w:firstLine="709"/>
        <w:jc w:val="both"/>
        <w:rPr>
          <w:rFonts w:ascii="Times New Roman" w:hAnsi="Times New Roman"/>
        </w:rPr>
      </w:pPr>
    </w:p>
    <w:p w:rsidR="00064239" w:rsidRPr="00461390" w:rsidP="00064239">
      <w:pPr>
        <w:bidi w:val="0"/>
        <w:ind w:firstLine="709"/>
        <w:jc w:val="both"/>
        <w:rPr>
          <w:rFonts w:ascii="Times New Roman" w:hAnsi="Times New Roman"/>
        </w:rPr>
      </w:pPr>
      <w:r>
        <w:rPr>
          <w:rFonts w:ascii="Times New Roman" w:hAnsi="Times New Roman"/>
        </w:rPr>
        <w:t>R</w:t>
      </w:r>
      <w:r w:rsidRPr="00461390">
        <w:rPr>
          <w:rFonts w:ascii="Times New Roman" w:hAnsi="Times New Roman"/>
        </w:rPr>
        <w:t xml:space="preserve">ezerva na nové úlohy v oblasti jadrovej bezpečnosti sa rozpočtuje </w:t>
      </w:r>
      <w:r>
        <w:rPr>
          <w:rFonts w:ascii="Times New Roman" w:hAnsi="Times New Roman"/>
        </w:rPr>
        <w:t>n</w:t>
      </w:r>
      <w:r w:rsidRPr="00461390">
        <w:rPr>
          <w:rFonts w:ascii="Times New Roman" w:hAnsi="Times New Roman"/>
        </w:rPr>
        <w:t>a plnenie nových úloh v oblasti výkonu štátneho dozoru najmä v súvislosti s procesom dokončovania stavby jadrovej elektrárne Mochovce 3 a 4 a vzhľadom na potrebu zvýšenia</w:t>
      </w:r>
      <w:r>
        <w:rPr>
          <w:rFonts w:ascii="Times New Roman" w:hAnsi="Times New Roman"/>
        </w:rPr>
        <w:t xml:space="preserve"> kontroly</w:t>
      </w:r>
      <w:r w:rsidRPr="00461390">
        <w:rPr>
          <w:rFonts w:ascii="Times New Roman" w:hAnsi="Times New Roman"/>
        </w:rPr>
        <w:t xml:space="preserve"> jadrovej bezpečnosti po udalostiach v jadrovej elektrárni Fukušima.</w:t>
      </w:r>
    </w:p>
    <w:p w:rsidR="00064239" w:rsidRPr="00461390" w:rsidP="00064239">
      <w:pPr>
        <w:bidi w:val="0"/>
        <w:ind w:firstLine="709"/>
        <w:jc w:val="both"/>
        <w:rPr>
          <w:rFonts w:ascii="Times New Roman" w:hAnsi="Times New Roman"/>
        </w:rPr>
      </w:pPr>
    </w:p>
    <w:p w:rsidR="00064239" w:rsidP="00064239">
      <w:pPr>
        <w:bidi w:val="0"/>
        <w:ind w:firstLine="709"/>
        <w:jc w:val="both"/>
        <w:rPr>
          <w:rFonts w:ascii="Times New Roman" w:hAnsi="Times New Roman"/>
        </w:rPr>
      </w:pPr>
      <w:r>
        <w:rPr>
          <w:rFonts w:ascii="Times New Roman" w:hAnsi="Times New Roman"/>
        </w:rPr>
        <w:t>R</w:t>
      </w:r>
      <w:r w:rsidRPr="00461390">
        <w:rPr>
          <w:rFonts w:ascii="Times New Roman" w:hAnsi="Times New Roman"/>
        </w:rPr>
        <w:t>ezerva na prípravu predsedníctva Slovenskej republiky v Rade Európskej únie</w:t>
      </w:r>
      <w:r>
        <w:rPr>
          <w:rFonts w:ascii="Times New Roman" w:hAnsi="Times New Roman"/>
        </w:rPr>
        <w:t>,</w:t>
      </w:r>
      <w:r w:rsidRPr="00461390">
        <w:rPr>
          <w:rFonts w:ascii="Times New Roman" w:hAnsi="Times New Roman"/>
        </w:rPr>
        <w:t xml:space="preserve">  </w:t>
      </w:r>
      <w:r>
        <w:rPr>
          <w:rFonts w:ascii="Times New Roman" w:hAnsi="Times New Roman"/>
        </w:rPr>
        <w:t xml:space="preserve">ktoré bude </w:t>
      </w:r>
      <w:r w:rsidRPr="00461390">
        <w:rPr>
          <w:rFonts w:ascii="Times New Roman" w:hAnsi="Times New Roman"/>
        </w:rPr>
        <w:t>v druhom polroku 2016</w:t>
      </w:r>
      <w:r>
        <w:rPr>
          <w:rFonts w:ascii="Times New Roman" w:hAnsi="Times New Roman"/>
        </w:rPr>
        <w:t xml:space="preserve">, sa rozpočtuje so zámerom priebežne vytvárať  podmienky pre zabezpečenie predsedníctva. </w:t>
      </w:r>
    </w:p>
    <w:p w:rsidR="00064239" w:rsidP="00064239">
      <w:pPr>
        <w:bidi w:val="0"/>
        <w:jc w:val="both"/>
        <w:rPr>
          <w:rFonts w:ascii="Times New Roman" w:hAnsi="Times New Roman"/>
        </w:rPr>
      </w:pPr>
    </w:p>
    <w:p w:rsidR="00064239" w:rsidP="00064239">
      <w:pPr>
        <w:bidi w:val="0"/>
        <w:jc w:val="both"/>
        <w:rPr>
          <w:rFonts w:ascii="Times New Roman" w:hAnsi="Times New Roman"/>
        </w:rPr>
      </w:pPr>
      <w:r>
        <w:rPr>
          <w:rFonts w:ascii="Times New Roman" w:hAnsi="Times New Roman"/>
        </w:rPr>
        <w:tab/>
        <w:t>Na zabezpečenie vplyvu zákona o sociálnych službách sa v kapitole vytvára rezerva na sociálne služby.</w:t>
        <w:tab/>
        <w:t xml:space="preserve"> </w:t>
      </w:r>
    </w:p>
    <w:p w:rsidR="00064239" w:rsidP="00064239">
      <w:pPr>
        <w:bidi w:val="0"/>
        <w:jc w:val="both"/>
        <w:rPr>
          <w:rFonts w:ascii="Times New Roman" w:hAnsi="Times New Roman"/>
        </w:rPr>
      </w:pPr>
    </w:p>
    <w:p w:rsidR="00064239" w:rsidP="00064239">
      <w:pPr>
        <w:bidi w:val="0"/>
        <w:ind w:firstLine="709"/>
        <w:jc w:val="both"/>
        <w:rPr>
          <w:rFonts w:ascii="Times New Roman" w:hAnsi="Times New Roman"/>
        </w:rPr>
      </w:pPr>
      <w:r w:rsidRPr="00B86B09">
        <w:rPr>
          <w:rFonts w:ascii="Times New Roman" w:hAnsi="Times New Roman"/>
        </w:rPr>
        <w:t xml:space="preserve">V kapitole sa rozpočtuje </w:t>
      </w:r>
      <w:r>
        <w:rPr>
          <w:rFonts w:ascii="Times New Roman" w:hAnsi="Times New Roman"/>
        </w:rPr>
        <w:t xml:space="preserve">aj </w:t>
      </w:r>
      <w:r w:rsidRPr="00B86B09">
        <w:rPr>
          <w:rFonts w:ascii="Times New Roman" w:hAnsi="Times New Roman"/>
        </w:rPr>
        <w:t xml:space="preserve">rezerva </w:t>
      </w:r>
      <w:r>
        <w:rPr>
          <w:rFonts w:ascii="Times New Roman" w:hAnsi="Times New Roman"/>
        </w:rPr>
        <w:t>na možný zhoršený vývoj ekonomiky v nasledujúcich rokoch. Týmto vláda SR získava nástroj na dosiahnutie základného fiškálneho cieľa, ktorým je dodržanie plánovaných schodkov rozpočtu verejnej správy.</w:t>
      </w:r>
    </w:p>
    <w:p w:rsidR="00064239" w:rsidRPr="00461390" w:rsidP="00064239">
      <w:pPr>
        <w:bidi w:val="0"/>
        <w:ind w:firstLine="709"/>
        <w:jc w:val="both"/>
        <w:rPr>
          <w:rFonts w:ascii="Times New Roman" w:hAnsi="Times New Roman"/>
        </w:rPr>
      </w:pPr>
    </w:p>
    <w:p w:rsidR="00064239" w:rsidRPr="00461390" w:rsidP="00064239">
      <w:pPr>
        <w:bidi w:val="0"/>
        <w:jc w:val="both"/>
        <w:rPr>
          <w:rFonts w:ascii="Times New Roman" w:hAnsi="Times New Roman"/>
          <w:iCs/>
        </w:rPr>
      </w:pPr>
      <w:r w:rsidRPr="00461390">
        <w:rPr>
          <w:rFonts w:ascii="Times New Roman" w:hAnsi="Times New Roman"/>
          <w:b/>
          <w:bCs/>
          <w:iCs/>
        </w:rPr>
        <w:t>Finančné vzťahy súvisiace s rozpočtom EÚ</w:t>
      </w:r>
    </w:p>
    <w:p w:rsidR="00064239" w:rsidRPr="00461390" w:rsidP="00064239">
      <w:pPr>
        <w:bidi w:val="0"/>
        <w:jc w:val="both"/>
        <w:rPr>
          <w:rFonts w:ascii="Times New Roman" w:hAnsi="Times New Roman"/>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rPr>
                <w:rFonts w:ascii="Times New Roman" w:hAnsi="Times New Roman"/>
                <w:b/>
                <w:bCs/>
                <w:sz w:val="14"/>
                <w:szCs w:val="14"/>
                <w:lang w:eastAsia="sk-SK"/>
              </w:rPr>
            </w:pPr>
            <w:r w:rsidRPr="00461390">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 xml:space="preserve">2010 S </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1</w:t>
            </w:r>
            <w:r w:rsidRPr="00461390">
              <w:rPr>
                <w:rFonts w:ascii="Times New Roman" w:hAnsi="Times New Roman"/>
                <w:b/>
                <w:sz w:val="14"/>
                <w:szCs w:val="14"/>
                <w:lang w:eastAsia="sk-SK"/>
              </w:rPr>
              <w:t xml:space="preserve">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OS</w:t>
            </w:r>
          </w:p>
        </w:tc>
        <w:tc>
          <w:tcPr>
            <w:tcW w:w="9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w:t>
            </w:r>
            <w:r>
              <w:rPr>
                <w:rFonts w:ascii="Times New Roman" w:hAnsi="Times New Roman"/>
                <w:b/>
                <w:sz w:val="14"/>
                <w:szCs w:val="14"/>
                <w:lang w:eastAsia="sk-SK"/>
              </w:rPr>
              <w:t>N</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4</w:t>
            </w:r>
            <w:r w:rsidRPr="00461390">
              <w:rPr>
                <w:rFonts w:ascii="Times New Roman" w:hAnsi="Times New Roman"/>
                <w:b/>
                <w:sz w:val="14"/>
                <w:szCs w:val="14"/>
                <w:lang w:eastAsia="sk-SK"/>
              </w:rPr>
              <w:t xml:space="preserve">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5</w:t>
            </w:r>
            <w:r w:rsidRPr="00461390">
              <w:rPr>
                <w:rFonts w:ascii="Times New Roman" w:hAnsi="Times New Roman"/>
                <w:b/>
                <w:sz w:val="14"/>
                <w:szCs w:val="14"/>
                <w:lang w:eastAsia="sk-SK"/>
              </w:rPr>
              <w:t xml:space="preserve"> N</w:t>
            </w:r>
          </w:p>
        </w:tc>
      </w:tr>
      <w:tr>
        <w:tblPrEx>
          <w:tblW w:w="9087" w:type="dxa"/>
          <w:tblInd w:w="55" w:type="dxa"/>
          <w:tblLayout w:type="fixed"/>
          <w:tblCellMar>
            <w:left w:w="70" w:type="dxa"/>
            <w:right w:w="70" w:type="dxa"/>
          </w:tblCellMar>
          <w:tblLook w:val="04A0"/>
        </w:tblPrEx>
        <w:trPr>
          <w:trHeight w:val="316"/>
        </w:trPr>
        <w:tc>
          <w:tcPr>
            <w:tcW w:w="2142" w:type="dxa"/>
            <w:tcBorders>
              <w:top w:val="nil"/>
              <w:left w:val="single" w:sz="4" w:space="0" w:color="auto"/>
              <w:bottom w:val="single" w:sz="4" w:space="0" w:color="auto"/>
              <w:right w:val="single" w:sz="4" w:space="0" w:color="auto"/>
            </w:tcBorders>
            <w:shd w:val="clear" w:color="auto" w:fill="BFBFBF"/>
            <w:textDirection w:val="lrTb"/>
            <w:vAlign w:val="center"/>
          </w:tcPr>
          <w:p w:rsidR="00064239" w:rsidRPr="00461390" w:rsidP="00C450B8">
            <w:pPr>
              <w:bidi w:val="0"/>
              <w:rPr>
                <w:rFonts w:ascii="Times New Roman" w:hAnsi="Times New Roman"/>
                <w:b/>
                <w:bCs/>
                <w:sz w:val="14"/>
                <w:szCs w:val="14"/>
                <w:lang w:eastAsia="sk-SK"/>
              </w:rPr>
            </w:pPr>
            <w:r w:rsidRPr="00461390">
              <w:rPr>
                <w:rFonts w:ascii="Times New Roman" w:hAnsi="Times New Roman"/>
                <w:b/>
                <w:bCs/>
                <w:sz w:val="14"/>
                <w:szCs w:val="14"/>
                <w:lang w:eastAsia="sk-SK"/>
              </w:rPr>
              <w:t>Finančné vzťahy súvisiace s rozpočtom EÚ</w:t>
            </w:r>
          </w:p>
        </w:tc>
        <w:tc>
          <w:tcPr>
            <w:tcW w:w="992" w:type="dxa"/>
            <w:tcBorders>
              <w:top w:val="nil"/>
              <w:left w:val="nil"/>
              <w:bottom w:val="single" w:sz="4" w:space="0" w:color="auto"/>
              <w:right w:val="single" w:sz="4" w:space="0" w:color="auto"/>
            </w:tcBorders>
            <w:shd w:val="clear" w:color="auto" w:fill="BFBFBF"/>
            <w:textDirection w:val="lrTb"/>
            <w:vAlign w:val="bottom"/>
          </w:tcPr>
          <w:p w:rsidR="00064239" w:rsidRPr="00461390" w:rsidP="00C450B8">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574 565 740</w:t>
            </w:r>
          </w:p>
        </w:tc>
        <w:tc>
          <w:tcPr>
            <w:tcW w:w="992" w:type="dxa"/>
            <w:tcBorders>
              <w:top w:val="nil"/>
              <w:left w:val="nil"/>
              <w:bottom w:val="single" w:sz="4" w:space="0" w:color="auto"/>
              <w:right w:val="single" w:sz="4" w:space="0" w:color="auto"/>
            </w:tcBorders>
            <w:shd w:val="clear" w:color="auto" w:fill="BFBFBF"/>
            <w:textDirection w:val="lrTb"/>
            <w:vAlign w:val="bottom"/>
          </w:tcPr>
          <w:p w:rsidR="00064239" w:rsidRPr="00461390"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596 498 107</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bCs/>
                <w:sz w:val="14"/>
                <w:szCs w:val="14"/>
                <w:lang w:eastAsia="sk-SK"/>
              </w:rPr>
            </w:pPr>
            <w:r w:rsidRPr="00461390">
              <w:rPr>
                <w:rFonts w:ascii="Times New Roman" w:hAnsi="Times New Roman"/>
                <w:b/>
                <w:bCs/>
                <w:sz w:val="14"/>
                <w:szCs w:val="14"/>
                <w:lang w:eastAsia="sk-SK"/>
              </w:rPr>
              <w:t>720 771 260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064239" w:rsidRPr="00461390"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652 337 641</w:t>
            </w:r>
          </w:p>
        </w:tc>
        <w:tc>
          <w:tcPr>
            <w:tcW w:w="992" w:type="dxa"/>
            <w:tcBorders>
              <w:top w:val="nil"/>
              <w:left w:val="single" w:sz="4" w:space="0" w:color="auto"/>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749 034 111</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723 661 834</w:t>
            </w:r>
          </w:p>
        </w:tc>
        <w:tc>
          <w:tcPr>
            <w:tcW w:w="993" w:type="dxa"/>
            <w:tcBorders>
              <w:top w:val="nil"/>
              <w:left w:val="nil"/>
              <w:bottom w:val="single" w:sz="4" w:space="0" w:color="auto"/>
              <w:right w:val="single" w:sz="4" w:space="0" w:color="auto"/>
            </w:tcBorders>
            <w:shd w:val="clear" w:color="auto" w:fill="BFBFBF"/>
            <w:noWrap/>
            <w:textDirection w:val="lrTb"/>
            <w:vAlign w:val="bottom"/>
          </w:tcPr>
          <w:p w:rsidR="00064239" w:rsidRPr="00461390"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780 610 826</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 xml:space="preserve">Výdavky na financovanie finančných mechanizmov </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6 633 307</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4 238 200</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4 414 141</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7347A0">
              <w:rPr>
                <w:rFonts w:ascii="Times New Roman" w:hAnsi="Times New Roman"/>
                <w:sz w:val="14"/>
                <w:szCs w:val="14"/>
                <w:lang w:eastAsia="sk-SK"/>
              </w:rPr>
              <w:t>4 414 141</w:t>
            </w:r>
          </w:p>
        </w:tc>
        <w:tc>
          <w:tcPr>
            <w:tcW w:w="99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8 659 140</w:t>
            </w:r>
          </w:p>
        </w:tc>
        <w:tc>
          <w:tcPr>
            <w:tcW w:w="992" w:type="dxa"/>
            <w:tcBorders>
              <w:top w:val="single" w:sz="4" w:space="0" w:color="auto"/>
              <w:left w:val="nil"/>
              <w:bottom w:val="single" w:sz="4" w:space="0" w:color="auto"/>
              <w:right w:val="single" w:sz="4" w:space="0" w:color="auto"/>
            </w:tcBorders>
            <w:shd w:val="clear" w:color="auto" w:fill="FFFFFF"/>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6 415 711</w:t>
            </w:r>
          </w:p>
        </w:tc>
        <w:tc>
          <w:tcPr>
            <w:tcW w:w="993" w:type="dxa"/>
            <w:tcBorders>
              <w:top w:val="single" w:sz="4" w:space="0" w:color="auto"/>
              <w:left w:val="nil"/>
              <w:bottom w:val="single" w:sz="4" w:space="0" w:color="auto"/>
              <w:right w:val="single" w:sz="4" w:space="0" w:color="auto"/>
            </w:tcBorders>
            <w:shd w:val="clear" w:color="auto" w:fill="FFFFFF"/>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5 292 826</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Odvody do všeobecného rozpočtu EÚ,  príspevky SR do  EÚ fondov</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520 270 273</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587 262 923</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672 856 519</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633 830 265</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689 874 371</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684 745 523</w:t>
            </w:r>
          </w:p>
        </w:tc>
        <w:tc>
          <w:tcPr>
            <w:tcW w:w="993"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7</w:t>
            </w:r>
            <w:r>
              <w:rPr>
                <w:rFonts w:ascii="Times New Roman" w:hAnsi="Times New Roman"/>
                <w:sz w:val="14"/>
                <w:szCs w:val="14"/>
                <w:lang w:eastAsia="sk-SK"/>
              </w:rPr>
              <w:t>42 817 400</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Rezerva na prostriedky Európskej únie a odvody Európskej únii</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150 691</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43 500 600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14 093 235</w:t>
            </w:r>
          </w:p>
        </w:tc>
        <w:tc>
          <w:tcPr>
            <w:tcW w:w="992"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50 500 600</w:t>
            </w:r>
          </w:p>
        </w:tc>
        <w:tc>
          <w:tcPr>
            <w:tcW w:w="992" w:type="dxa"/>
            <w:tcBorders>
              <w:top w:val="single" w:sz="4" w:space="0" w:color="auto"/>
              <w:left w:val="nil"/>
              <w:bottom w:val="single" w:sz="4" w:space="0" w:color="auto"/>
              <w:right w:val="single" w:sz="4" w:space="0" w:color="auto"/>
            </w:tcBorders>
            <w:shd w:val="clear" w:color="auto" w:fill="FFFFFF"/>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2 500 600</w:t>
            </w:r>
          </w:p>
        </w:tc>
        <w:tc>
          <w:tcPr>
            <w:tcW w:w="993" w:type="dxa"/>
            <w:tcBorders>
              <w:top w:val="single" w:sz="4" w:space="0" w:color="auto"/>
              <w:left w:val="nil"/>
              <w:bottom w:val="single" w:sz="4" w:space="0" w:color="auto"/>
              <w:right w:val="single" w:sz="4" w:space="0" w:color="auto"/>
            </w:tcBorders>
            <w:shd w:val="clear" w:color="auto" w:fill="FFFFFF"/>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2 500 600</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064239" w:rsidRPr="00461390" w:rsidP="00C450B8">
            <w:pPr>
              <w:bidi w:val="0"/>
              <w:rPr>
                <w:rFonts w:ascii="Times New Roman" w:hAnsi="Times New Roman"/>
                <w:sz w:val="14"/>
                <w:szCs w:val="14"/>
                <w:lang w:eastAsia="sk-SK"/>
              </w:rPr>
            </w:pPr>
            <w:r w:rsidRPr="00461390">
              <w:rPr>
                <w:rFonts w:ascii="Times New Roman" w:hAnsi="Times New Roman"/>
                <w:sz w:val="14"/>
                <w:szCs w:val="14"/>
                <w:lang w:eastAsia="sk-SK"/>
              </w:rPr>
              <w:t>Výdavky na financovanie spoločných programov a finančnej obálky</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47 662 160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4 846 293</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Pr>
                <w:rFonts w:ascii="Times New Roman" w:hAnsi="Times New Roman"/>
                <w:sz w:val="14"/>
                <w:szCs w:val="14"/>
                <w:lang w:eastAsia="sk-SK"/>
              </w:rPr>
              <w:t>30 000 000</w:t>
            </w:r>
          </w:p>
        </w:tc>
        <w:tc>
          <w:tcPr>
            <w:tcW w:w="993" w:type="dxa"/>
            <w:tcBorders>
              <w:top w:val="single" w:sz="4" w:space="0" w:color="auto"/>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sz w:val="14"/>
                <w:szCs w:val="14"/>
                <w:lang w:eastAsia="sk-SK"/>
              </w:rPr>
            </w:pPr>
            <w:r w:rsidRPr="00461390">
              <w:rPr>
                <w:rFonts w:ascii="Times New Roman" w:hAnsi="Times New Roman"/>
                <w:sz w:val="14"/>
                <w:szCs w:val="14"/>
                <w:lang w:eastAsia="sk-SK"/>
              </w:rPr>
              <w:t>3</w:t>
            </w:r>
            <w:r>
              <w:rPr>
                <w:rFonts w:ascii="Times New Roman" w:hAnsi="Times New Roman"/>
                <w:sz w:val="14"/>
                <w:szCs w:val="14"/>
                <w:lang w:eastAsia="sk-SK"/>
              </w:rPr>
              <w:t>0 00</w:t>
            </w:r>
            <w:r w:rsidRPr="00461390">
              <w:rPr>
                <w:rFonts w:ascii="Times New Roman" w:hAnsi="Times New Roman"/>
                <w:sz w:val="14"/>
                <w:szCs w:val="14"/>
                <w:lang w:eastAsia="sk-SK"/>
              </w:rPr>
              <w:t>0 000</w:t>
            </w:r>
          </w:p>
        </w:tc>
      </w:tr>
    </w:tbl>
    <w:p w:rsidR="00064239" w:rsidRPr="00461390" w:rsidP="00064239">
      <w:pPr>
        <w:bidi w:val="0"/>
        <w:jc w:val="both"/>
        <w:rPr>
          <w:rFonts w:ascii="Times New Roman" w:hAnsi="Times New Roman"/>
        </w:rPr>
      </w:pPr>
    </w:p>
    <w:p w:rsidR="00064239" w:rsidRPr="00461390" w:rsidP="00064239">
      <w:pPr>
        <w:bidi w:val="0"/>
        <w:ind w:firstLine="709"/>
        <w:jc w:val="both"/>
        <w:rPr>
          <w:rFonts w:ascii="Times New Roman" w:hAnsi="Times New Roman"/>
        </w:rPr>
      </w:pPr>
      <w:r w:rsidRPr="00461390">
        <w:rPr>
          <w:rFonts w:ascii="Times New Roman" w:hAnsi="Times New Roman"/>
        </w:rPr>
        <w:t>Výdavky na roky 201</w:t>
      </w:r>
      <w:r>
        <w:rPr>
          <w:rFonts w:ascii="Times New Roman" w:hAnsi="Times New Roman"/>
        </w:rPr>
        <w:t>3</w:t>
      </w:r>
      <w:r w:rsidRPr="00461390">
        <w:rPr>
          <w:rFonts w:ascii="Times New Roman" w:hAnsi="Times New Roman"/>
        </w:rPr>
        <w:t xml:space="preserve"> až 201</w:t>
      </w:r>
      <w:r>
        <w:rPr>
          <w:rFonts w:ascii="Times New Roman" w:hAnsi="Times New Roman"/>
        </w:rPr>
        <w:t>5</w:t>
      </w:r>
      <w:r w:rsidRPr="00461390">
        <w:rPr>
          <w:rFonts w:ascii="Times New Roman" w:hAnsi="Times New Roman"/>
        </w:rPr>
        <w:t xml:space="preserve"> zaradené v tejto skupine predstavujú zdroje určené na financovanie finančného mechanizmu EHP, Nórskeho finančného mechanizmu a Švajčiarskeho finančného mechanizmu.  Výdavky na spolufinancovanie týchto nástrojov sa rozpočtujú na rok 201</w:t>
      </w:r>
      <w:r>
        <w:rPr>
          <w:rFonts w:ascii="Times New Roman" w:hAnsi="Times New Roman"/>
        </w:rPr>
        <w:t>3</w:t>
      </w:r>
      <w:r w:rsidRPr="00461390">
        <w:rPr>
          <w:rFonts w:ascii="Times New Roman" w:hAnsi="Times New Roman"/>
        </w:rPr>
        <w:t xml:space="preserve"> v sume </w:t>
      </w:r>
      <w:r>
        <w:rPr>
          <w:rFonts w:ascii="Times New Roman" w:hAnsi="Times New Roman"/>
        </w:rPr>
        <w:t>5,</w:t>
      </w:r>
      <w:r w:rsidRPr="00612F33">
        <w:rPr>
          <w:rFonts w:ascii="Times New Roman" w:hAnsi="Times New Roman"/>
        </w:rPr>
        <w:t>02 mil. eur.</w:t>
      </w:r>
      <w:r w:rsidRPr="00461390">
        <w:rPr>
          <w:rFonts w:ascii="Times New Roman" w:hAnsi="Times New Roman"/>
        </w:rPr>
        <w:t xml:space="preserve">  </w:t>
      </w:r>
    </w:p>
    <w:p w:rsidR="00064239" w:rsidRPr="00461390" w:rsidP="00064239">
      <w:pPr>
        <w:bidi w:val="0"/>
        <w:ind w:firstLine="709"/>
        <w:jc w:val="both"/>
        <w:rPr>
          <w:rFonts w:ascii="Times New Roman" w:hAnsi="Times New Roman"/>
        </w:rPr>
      </w:pPr>
    </w:p>
    <w:p w:rsidR="00064239" w:rsidRPr="00461390" w:rsidP="00064239">
      <w:pPr>
        <w:pStyle w:val="Title"/>
        <w:bidi w:val="0"/>
        <w:ind w:firstLine="709"/>
        <w:jc w:val="both"/>
        <w:rPr>
          <w:rFonts w:ascii="Times New Roman" w:hAnsi="Times New Roman"/>
          <w:b w:val="0"/>
        </w:rPr>
      </w:pPr>
      <w:r w:rsidRPr="00461390">
        <w:rPr>
          <w:rFonts w:ascii="Times New Roman" w:hAnsi="Times New Roman"/>
          <w:b w:val="0"/>
        </w:rPr>
        <w:t>Rozpočtované sú tu aj prostriedky, ktoré bude SR odvádzať do všeobecného rozpočtu Európskej únie a  príspevky SR do Európskeho rozvojového fondu.</w:t>
      </w:r>
    </w:p>
    <w:p w:rsidR="00064239" w:rsidRPr="00461390" w:rsidP="00064239">
      <w:pPr>
        <w:pStyle w:val="Title"/>
        <w:bidi w:val="0"/>
        <w:ind w:firstLine="709"/>
        <w:jc w:val="both"/>
        <w:rPr>
          <w:rFonts w:ascii="Times New Roman" w:hAnsi="Times New Roman"/>
          <w:b w:val="0"/>
        </w:rPr>
      </w:pPr>
    </w:p>
    <w:p w:rsidR="00064239" w:rsidP="00064239">
      <w:pPr>
        <w:pStyle w:val="Title"/>
        <w:bidi w:val="0"/>
        <w:ind w:firstLine="709"/>
        <w:jc w:val="both"/>
        <w:rPr>
          <w:rFonts w:ascii="Times New Roman" w:hAnsi="Times New Roman"/>
          <w:b w:val="0"/>
          <w:bCs w:val="0"/>
        </w:rPr>
      </w:pPr>
      <w:r w:rsidRPr="00461390">
        <w:rPr>
          <w:rFonts w:ascii="Times New Roman" w:hAnsi="Times New Roman"/>
          <w:b w:val="0"/>
          <w:bCs w:val="0"/>
        </w:rPr>
        <w:t>V tomto okruhu výdavkov je zahrnutá aj rezerva na prostriedky Európskej únie a odvody Európskej únii. Využíva sa na administrovanie prostriedkov štrukturálnych fondov, Kohézneho fondu, príjmov z poľnohospodárskych fondov, odvodov Európskej únii, na prípadné korekcie za poskytnuté prostriedky EÚ, na rýchlejšiu realizáciu a väčší počet projektov,  na výdavky na zefektívnenie systému finančného riadenia EÚ fondov a iných finančných nástrojov. Slúži na krytie nevyhnutých  a nepredvídaných výdavkov, ktoré vznikli v tejto oblasti v priebehu roka.</w:t>
      </w:r>
      <w:r>
        <w:rPr>
          <w:rFonts w:ascii="Times New Roman" w:hAnsi="Times New Roman"/>
          <w:b w:val="0"/>
          <w:bCs w:val="0"/>
        </w:rPr>
        <w:t xml:space="preserve"> </w:t>
      </w:r>
    </w:p>
    <w:p w:rsidR="00064239" w:rsidP="00064239">
      <w:pPr>
        <w:pStyle w:val="Title"/>
        <w:bidi w:val="0"/>
        <w:ind w:firstLine="709"/>
        <w:jc w:val="both"/>
        <w:rPr>
          <w:rFonts w:ascii="Times New Roman" w:hAnsi="Times New Roman"/>
          <w:b w:val="0"/>
          <w:bCs w:val="0"/>
        </w:rPr>
      </w:pPr>
    </w:p>
    <w:p w:rsidR="00064239" w:rsidP="00064239">
      <w:pPr>
        <w:pStyle w:val="Title"/>
        <w:bidi w:val="0"/>
        <w:ind w:firstLine="709"/>
        <w:jc w:val="both"/>
        <w:rPr>
          <w:rFonts w:ascii="Times New Roman" w:hAnsi="Times New Roman"/>
          <w:b w:val="0"/>
          <w:bCs w:val="0"/>
        </w:rPr>
      </w:pPr>
      <w:r>
        <w:rPr>
          <w:rFonts w:ascii="Times New Roman" w:hAnsi="Times New Roman"/>
          <w:b w:val="0"/>
          <w:bCs w:val="0"/>
        </w:rPr>
        <w:t>Vzhľadom na súčasný stav prípravy legislatívy, strategických a programových dokumentov na programové obdobie 2014 až 2020 je v  rámci výdavkov na financovanie spoločných programov v návrhu rozpočtu na roky 2014 a 2015 zapracovaná aj časť výdavkov viažúca sa k príjmom z EÚ z tretieho programového obdobia a výdavky na spolufinancovanie k týmto príjmom.  K ich rozdeleniu a zapracovaniu do programových štruktúr kapitol dôjde  po schválení základných dokumentov týkajúcich sa daného obdobia.</w:t>
      </w:r>
    </w:p>
    <w:p w:rsidR="00064239" w:rsidP="00064239">
      <w:pPr>
        <w:pStyle w:val="Title"/>
        <w:bidi w:val="0"/>
        <w:ind w:firstLine="709"/>
        <w:jc w:val="both"/>
        <w:rPr>
          <w:rFonts w:ascii="Times New Roman" w:hAnsi="Times New Roman"/>
          <w:b w:val="0"/>
          <w:bCs w:val="0"/>
        </w:rPr>
      </w:pPr>
    </w:p>
    <w:p w:rsidR="00064239" w:rsidRPr="00461390" w:rsidP="00064239">
      <w:pPr>
        <w:bidi w:val="0"/>
        <w:jc w:val="both"/>
        <w:rPr>
          <w:rFonts w:ascii="Times New Roman" w:hAnsi="Times New Roman"/>
          <w:b/>
          <w:bCs/>
          <w:iCs/>
        </w:rPr>
      </w:pPr>
      <w:r w:rsidRPr="00461390">
        <w:rPr>
          <w:rFonts w:ascii="Times New Roman" w:hAnsi="Times New Roman"/>
          <w:b/>
          <w:bCs/>
          <w:iCs/>
        </w:rPr>
        <w:t>Výdavky spojené so správou štátneho dlhu</w:t>
      </w:r>
    </w:p>
    <w:p w:rsidR="00064239" w:rsidRPr="00461390" w:rsidP="00064239">
      <w:pPr>
        <w:bidi w:val="0"/>
        <w:ind w:firstLine="708"/>
        <w:jc w:val="both"/>
        <w:rPr>
          <w:rFonts w:ascii="Times New Roman" w:hAnsi="Times New Roman"/>
          <w:b/>
          <w:bCs/>
          <w:i/>
          <w:iCs/>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rPr>
                <w:rFonts w:ascii="Times New Roman" w:hAnsi="Times New Roman"/>
                <w:b/>
                <w:bCs/>
                <w:sz w:val="14"/>
                <w:szCs w:val="14"/>
                <w:lang w:eastAsia="sk-SK"/>
              </w:rPr>
            </w:pPr>
            <w:r w:rsidRPr="00461390">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 xml:space="preserve">2010 S </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1</w:t>
            </w:r>
            <w:r w:rsidRPr="00461390">
              <w:rPr>
                <w:rFonts w:ascii="Times New Roman" w:hAnsi="Times New Roman"/>
                <w:b/>
                <w:sz w:val="14"/>
                <w:szCs w:val="14"/>
                <w:lang w:eastAsia="sk-SK"/>
              </w:rPr>
              <w:t xml:space="preserve">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OS</w:t>
            </w:r>
          </w:p>
        </w:tc>
        <w:tc>
          <w:tcPr>
            <w:tcW w:w="9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w:t>
            </w:r>
            <w:r>
              <w:rPr>
                <w:rFonts w:ascii="Times New Roman" w:hAnsi="Times New Roman"/>
                <w:b/>
                <w:sz w:val="14"/>
                <w:szCs w:val="14"/>
                <w:lang w:eastAsia="sk-SK"/>
              </w:rPr>
              <w:t>N</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4</w:t>
            </w:r>
            <w:r w:rsidRPr="00461390">
              <w:rPr>
                <w:rFonts w:ascii="Times New Roman" w:hAnsi="Times New Roman"/>
                <w:b/>
                <w:sz w:val="14"/>
                <w:szCs w:val="14"/>
                <w:lang w:eastAsia="sk-SK"/>
              </w:rPr>
              <w:t xml:space="preserve">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5</w:t>
            </w:r>
            <w:r w:rsidRPr="00461390">
              <w:rPr>
                <w:rFonts w:ascii="Times New Roman" w:hAnsi="Times New Roman"/>
                <w:b/>
                <w:sz w:val="14"/>
                <w:szCs w:val="14"/>
                <w:lang w:eastAsia="sk-SK"/>
              </w:rPr>
              <w:t xml:space="preserve"> N</w:t>
            </w:r>
          </w:p>
        </w:tc>
      </w:tr>
      <w:tr>
        <w:tblPrEx>
          <w:tblW w:w="9087" w:type="dxa"/>
          <w:tblInd w:w="55" w:type="dxa"/>
          <w:tblLayout w:type="fixed"/>
          <w:tblCellMar>
            <w:left w:w="70" w:type="dxa"/>
            <w:right w:w="70" w:type="dxa"/>
          </w:tblCellMar>
          <w:tblLook w:val="04A0"/>
        </w:tblPrEx>
        <w:trPr>
          <w:trHeight w:val="349"/>
        </w:trPr>
        <w:tc>
          <w:tcPr>
            <w:tcW w:w="2142" w:type="dxa"/>
            <w:tcBorders>
              <w:top w:val="nil"/>
              <w:left w:val="single" w:sz="4" w:space="0" w:color="auto"/>
              <w:bottom w:val="single" w:sz="4" w:space="0" w:color="auto"/>
              <w:right w:val="single" w:sz="4" w:space="0" w:color="auto"/>
            </w:tcBorders>
            <w:textDirection w:val="lrTb"/>
            <w:vAlign w:val="center"/>
          </w:tcPr>
          <w:p w:rsidR="00064239" w:rsidRPr="00461390" w:rsidP="00C450B8">
            <w:pPr>
              <w:bidi w:val="0"/>
              <w:rPr>
                <w:rFonts w:ascii="Times New Roman" w:hAnsi="Times New Roman"/>
                <w:bCs/>
                <w:sz w:val="14"/>
                <w:szCs w:val="14"/>
                <w:lang w:eastAsia="sk-SK"/>
              </w:rPr>
            </w:pPr>
            <w:r w:rsidRPr="00461390">
              <w:rPr>
                <w:rFonts w:ascii="Times New Roman" w:hAnsi="Times New Roman"/>
                <w:bCs/>
                <w:sz w:val="14"/>
                <w:szCs w:val="14"/>
                <w:lang w:eastAsia="sk-SK"/>
              </w:rPr>
              <w:t>Výdavky spojené so správou štátneho dlhu</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bCs/>
                <w:sz w:val="14"/>
                <w:szCs w:val="14"/>
                <w:lang w:eastAsia="sk-SK"/>
              </w:rPr>
            </w:pPr>
            <w:r w:rsidRPr="00461390">
              <w:rPr>
                <w:rFonts w:ascii="Times New Roman" w:hAnsi="Times New Roman"/>
                <w:bCs/>
                <w:sz w:val="14"/>
                <w:szCs w:val="14"/>
                <w:lang w:eastAsia="sk-SK"/>
              </w:rPr>
              <w:t xml:space="preserve">864 075 225 </w:t>
            </w:r>
          </w:p>
        </w:tc>
        <w:tc>
          <w:tcPr>
            <w:tcW w:w="992" w:type="dxa"/>
            <w:tcBorders>
              <w:top w:val="nil"/>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1 006 647 067</w:t>
            </w:r>
          </w:p>
        </w:tc>
        <w:tc>
          <w:tcPr>
            <w:tcW w:w="992" w:type="dxa"/>
            <w:tcBorders>
              <w:top w:val="nil"/>
              <w:left w:val="nil"/>
              <w:bottom w:val="single" w:sz="4" w:space="0" w:color="auto"/>
              <w:right w:val="single" w:sz="4" w:space="0" w:color="auto"/>
            </w:tcBorders>
            <w:noWrap/>
            <w:textDirection w:val="lrTb"/>
            <w:vAlign w:val="bottom"/>
          </w:tcPr>
          <w:p w:rsidR="00064239" w:rsidRPr="00461390"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1 386 678 600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461390"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1 349 888 108</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575F10" w:rsidP="00C450B8">
            <w:pPr>
              <w:bidi w:val="0"/>
              <w:jc w:val="right"/>
              <w:rPr>
                <w:rFonts w:ascii="Times New Roman" w:hAnsi="Times New Roman"/>
                <w:bCs/>
                <w:sz w:val="14"/>
                <w:szCs w:val="14"/>
                <w:lang w:eastAsia="sk-SK"/>
              </w:rPr>
            </w:pPr>
            <w:r w:rsidRPr="00575F10">
              <w:rPr>
                <w:rFonts w:ascii="Times New Roman" w:hAnsi="Times New Roman"/>
                <w:bCs/>
                <w:sz w:val="14"/>
                <w:szCs w:val="14"/>
                <w:lang w:eastAsia="sk-SK"/>
              </w:rPr>
              <w:t>1</w:t>
            </w:r>
            <w:r>
              <w:rPr>
                <w:rFonts w:ascii="Times New Roman" w:hAnsi="Times New Roman"/>
                <w:bCs/>
                <w:sz w:val="14"/>
                <w:szCs w:val="14"/>
                <w:lang w:eastAsia="sk-SK"/>
              </w:rPr>
              <w:t> </w:t>
            </w:r>
            <w:r w:rsidRPr="00575F10">
              <w:rPr>
                <w:rFonts w:ascii="Times New Roman" w:hAnsi="Times New Roman"/>
                <w:bCs/>
                <w:sz w:val="14"/>
                <w:szCs w:val="14"/>
                <w:lang w:eastAsia="sk-SK"/>
              </w:rPr>
              <w:t>32</w:t>
            </w:r>
            <w:r>
              <w:rPr>
                <w:rFonts w:ascii="Times New Roman" w:hAnsi="Times New Roman"/>
                <w:bCs/>
                <w:sz w:val="14"/>
                <w:szCs w:val="14"/>
                <w:lang w:eastAsia="sk-SK"/>
              </w:rPr>
              <w:t>6 365 603</w:t>
            </w:r>
          </w:p>
        </w:tc>
        <w:tc>
          <w:tcPr>
            <w:tcW w:w="992" w:type="dxa"/>
            <w:tcBorders>
              <w:top w:val="nil"/>
              <w:left w:val="nil"/>
              <w:bottom w:val="single" w:sz="4" w:space="0" w:color="auto"/>
              <w:right w:val="single" w:sz="4" w:space="0" w:color="auto"/>
            </w:tcBorders>
            <w:noWrap/>
            <w:textDirection w:val="lrTb"/>
            <w:vAlign w:val="bottom"/>
          </w:tcPr>
          <w:p w:rsidR="00064239" w:rsidRPr="00575F10" w:rsidP="00C450B8">
            <w:pPr>
              <w:bidi w:val="0"/>
              <w:jc w:val="right"/>
              <w:rPr>
                <w:rFonts w:ascii="Times New Roman" w:hAnsi="Times New Roman"/>
                <w:bCs/>
                <w:sz w:val="14"/>
                <w:szCs w:val="14"/>
                <w:lang w:eastAsia="sk-SK"/>
              </w:rPr>
            </w:pPr>
            <w:r w:rsidRPr="00575F10">
              <w:rPr>
                <w:rFonts w:ascii="Times New Roman" w:hAnsi="Times New Roman"/>
                <w:bCs/>
                <w:sz w:val="14"/>
                <w:szCs w:val="14"/>
                <w:lang w:eastAsia="sk-SK"/>
              </w:rPr>
              <w:t>1</w:t>
            </w:r>
            <w:r>
              <w:rPr>
                <w:rFonts w:ascii="Times New Roman" w:hAnsi="Times New Roman"/>
                <w:bCs/>
                <w:sz w:val="14"/>
                <w:szCs w:val="14"/>
                <w:lang w:eastAsia="sk-SK"/>
              </w:rPr>
              <w:t> </w:t>
            </w:r>
            <w:r w:rsidRPr="00575F10">
              <w:rPr>
                <w:rFonts w:ascii="Times New Roman" w:hAnsi="Times New Roman"/>
                <w:bCs/>
                <w:sz w:val="14"/>
                <w:szCs w:val="14"/>
                <w:lang w:eastAsia="sk-SK"/>
              </w:rPr>
              <w:t>51</w:t>
            </w:r>
            <w:r>
              <w:rPr>
                <w:rFonts w:ascii="Times New Roman" w:hAnsi="Times New Roman"/>
                <w:bCs/>
                <w:sz w:val="14"/>
                <w:szCs w:val="14"/>
                <w:lang w:eastAsia="sk-SK"/>
              </w:rPr>
              <w:t>7 326 476</w:t>
            </w:r>
          </w:p>
        </w:tc>
        <w:tc>
          <w:tcPr>
            <w:tcW w:w="993" w:type="dxa"/>
            <w:tcBorders>
              <w:top w:val="nil"/>
              <w:left w:val="nil"/>
              <w:bottom w:val="single" w:sz="4" w:space="0" w:color="auto"/>
              <w:right w:val="single" w:sz="4" w:space="0" w:color="auto"/>
            </w:tcBorders>
            <w:noWrap/>
            <w:textDirection w:val="lrTb"/>
            <w:vAlign w:val="bottom"/>
          </w:tcPr>
          <w:p w:rsidR="00064239" w:rsidRPr="00575F10" w:rsidP="00C450B8">
            <w:pPr>
              <w:bidi w:val="0"/>
              <w:jc w:val="right"/>
              <w:rPr>
                <w:rFonts w:ascii="Times New Roman" w:hAnsi="Times New Roman"/>
                <w:bCs/>
                <w:sz w:val="14"/>
                <w:szCs w:val="14"/>
                <w:lang w:eastAsia="sk-SK"/>
              </w:rPr>
            </w:pPr>
            <w:r w:rsidRPr="00575F10">
              <w:rPr>
                <w:rFonts w:ascii="Times New Roman" w:hAnsi="Times New Roman"/>
                <w:bCs/>
                <w:sz w:val="14"/>
                <w:szCs w:val="14"/>
                <w:lang w:eastAsia="sk-SK"/>
              </w:rPr>
              <w:t>1</w:t>
            </w:r>
            <w:r>
              <w:rPr>
                <w:rFonts w:ascii="Times New Roman" w:hAnsi="Times New Roman"/>
                <w:bCs/>
                <w:sz w:val="14"/>
                <w:szCs w:val="14"/>
                <w:lang w:eastAsia="sk-SK"/>
              </w:rPr>
              <w:t> </w:t>
            </w:r>
            <w:r w:rsidRPr="00575F10">
              <w:rPr>
                <w:rFonts w:ascii="Times New Roman" w:hAnsi="Times New Roman"/>
                <w:bCs/>
                <w:sz w:val="14"/>
                <w:szCs w:val="14"/>
                <w:lang w:eastAsia="sk-SK"/>
              </w:rPr>
              <w:t>6</w:t>
            </w:r>
            <w:r>
              <w:rPr>
                <w:rFonts w:ascii="Times New Roman" w:hAnsi="Times New Roman"/>
                <w:bCs/>
                <w:sz w:val="14"/>
                <w:szCs w:val="14"/>
                <w:lang w:eastAsia="sk-SK"/>
              </w:rPr>
              <w:t>78 101 594</w:t>
            </w:r>
          </w:p>
        </w:tc>
      </w:tr>
    </w:tbl>
    <w:p w:rsidR="00064239" w:rsidP="00064239">
      <w:pPr>
        <w:pStyle w:val="ListParagraph"/>
        <w:bidi w:val="0"/>
        <w:ind w:left="0"/>
        <w:contextualSpacing w:val="0"/>
        <w:jc w:val="both"/>
      </w:pPr>
    </w:p>
    <w:p w:rsidR="00064239" w:rsidRPr="00461390" w:rsidP="00064239">
      <w:pPr>
        <w:bidi w:val="0"/>
        <w:rPr>
          <w:rFonts w:ascii="Times New Roman" w:hAnsi="Times New Roman"/>
          <w:bCs/>
          <w:i/>
          <w:iCs/>
          <w:u w:val="single"/>
        </w:rPr>
      </w:pPr>
      <w:r w:rsidRPr="00461390">
        <w:rPr>
          <w:rFonts w:ascii="Times New Roman" w:hAnsi="Times New Roman"/>
          <w:bCs/>
          <w:i/>
          <w:iCs/>
          <w:u w:val="single"/>
        </w:rPr>
        <w:t xml:space="preserve">Náklady na financovanie štátneho dlhu </w:t>
      </w:r>
    </w:p>
    <w:p w:rsidR="00064239" w:rsidRPr="00461390" w:rsidP="00064239">
      <w:pPr>
        <w:bidi w:val="0"/>
        <w:jc w:val="both"/>
        <w:rPr>
          <w:rFonts w:ascii="Times New Roman" w:hAnsi="Times New Roman"/>
          <w:iCs/>
        </w:rPr>
      </w:pPr>
    </w:p>
    <w:p w:rsidR="00064239" w:rsidP="00064239">
      <w:pPr>
        <w:bidi w:val="0"/>
        <w:ind w:firstLine="708"/>
        <w:jc w:val="both"/>
        <w:rPr>
          <w:rFonts w:ascii="Times New Roman" w:hAnsi="Times New Roman" w:cs="Times New Roman"/>
          <w:iCs/>
        </w:rPr>
      </w:pPr>
      <w:r w:rsidRPr="006F0860">
        <w:rPr>
          <w:rFonts w:ascii="Times New Roman" w:hAnsi="Times New Roman" w:cs="Times New Roman"/>
          <w:iCs/>
        </w:rPr>
        <w:t>Zväčšujúci sa štátny dlh prostredníctvom deficitov štátneho rozpočtu a</w:t>
      </w:r>
      <w:r>
        <w:rPr>
          <w:rFonts w:ascii="Times New Roman" w:hAnsi="Times New Roman" w:cs="Times New Roman"/>
          <w:iCs/>
        </w:rPr>
        <w:t xml:space="preserve"> v prípade prehlbovania dlhovej krízy </w:t>
      </w:r>
      <w:r w:rsidRPr="006F0860">
        <w:rPr>
          <w:rFonts w:ascii="Times New Roman" w:hAnsi="Times New Roman" w:cs="Times New Roman"/>
          <w:iCs/>
        </w:rPr>
        <w:t xml:space="preserve">rastúce </w:t>
      </w:r>
      <w:r>
        <w:rPr>
          <w:rFonts w:ascii="Times New Roman" w:hAnsi="Times New Roman" w:cs="Times New Roman"/>
          <w:iCs/>
        </w:rPr>
        <w:t>výnosy štátnych dlhopisov</w:t>
      </w:r>
      <w:r w:rsidRPr="006F0860">
        <w:rPr>
          <w:rFonts w:ascii="Times New Roman" w:hAnsi="Times New Roman" w:cs="Times New Roman"/>
          <w:iCs/>
        </w:rPr>
        <w:t xml:space="preserve"> budú v najbližších rokoch predstavovať veľký tlak na výdavky verejných financií a zmenšovať tak priestor pre ostatné verejné výdavky.</w:t>
      </w:r>
    </w:p>
    <w:p w:rsidR="00D83F50" w:rsidP="00064239">
      <w:pPr>
        <w:bidi w:val="0"/>
        <w:ind w:firstLine="708"/>
        <w:jc w:val="both"/>
        <w:rPr>
          <w:rFonts w:ascii="Times New Roman" w:hAnsi="Times New Roman" w:cs="Times New Roman"/>
          <w:iCs/>
        </w:rPr>
      </w:pPr>
    </w:p>
    <w:p w:rsidR="00064239" w:rsidRPr="004861AC" w:rsidP="00D83F50">
      <w:pPr>
        <w:pStyle w:val="NormalWeb"/>
        <w:bidi w:val="0"/>
        <w:spacing w:before="0" w:beforeAutospacing="0" w:after="0" w:afterAutospacing="0"/>
        <w:ind w:firstLine="709"/>
        <w:jc w:val="both"/>
        <w:rPr>
          <w:rFonts w:ascii="Times New Roman" w:hAnsi="Times New Roman"/>
          <w:iCs/>
          <w:lang w:eastAsia="cs-CZ"/>
        </w:rPr>
      </w:pPr>
      <w:r w:rsidRPr="00407CD1">
        <w:rPr>
          <w:rFonts w:ascii="Times New Roman" w:hAnsi="Times New Roman"/>
          <w:iCs/>
          <w:lang w:eastAsia="cs-CZ"/>
        </w:rPr>
        <w:t>Vo výdavkoch spojených so správou štátneho dlhu sú zahrnuté aj náklady na úhradu úrokového diferenciálu pre Národnú banku Slovenska v súvislosti s operáciami s Medzinárodným menovým fondom.</w:t>
      </w:r>
      <w:r w:rsidRPr="004861AC">
        <w:rPr>
          <w:rFonts w:ascii="Times New Roman" w:hAnsi="Times New Roman"/>
          <w:iCs/>
          <w:lang w:eastAsia="cs-CZ"/>
        </w:rPr>
        <w:t xml:space="preserve"> </w:t>
      </w:r>
    </w:p>
    <w:p w:rsidR="00064239" w:rsidRPr="006F0860" w:rsidP="00064239">
      <w:pPr>
        <w:bidi w:val="0"/>
        <w:jc w:val="both"/>
        <w:rPr>
          <w:rFonts w:ascii="Times New Roman" w:hAnsi="Times New Roman" w:cs="Times New Roman"/>
          <w:iCs/>
        </w:rPr>
      </w:pPr>
    </w:p>
    <w:p w:rsidR="00064239" w:rsidRPr="006F0860" w:rsidP="00064239">
      <w:pPr>
        <w:bidi w:val="0"/>
        <w:rPr>
          <w:rFonts w:ascii="Times New Roman" w:hAnsi="Times New Roman" w:cs="Times New Roman"/>
          <w:i/>
          <w:iCs/>
          <w:u w:val="single"/>
        </w:rPr>
      </w:pPr>
      <w:r w:rsidRPr="006F0860">
        <w:rPr>
          <w:rFonts w:ascii="Times New Roman" w:hAnsi="Times New Roman" w:cs="Times New Roman"/>
          <w:i/>
          <w:iCs/>
          <w:u w:val="single"/>
        </w:rPr>
        <w:t>Základné predpoklady pri rozpočtovaní nákladov na financovanie štátneho dlhu</w:t>
      </w:r>
    </w:p>
    <w:p w:rsidR="00064239" w:rsidRPr="006F0860" w:rsidP="00064239">
      <w:pPr>
        <w:bidi w:val="0"/>
        <w:rPr>
          <w:rFonts w:ascii="Times New Roman" w:hAnsi="Times New Roman" w:cs="Times New Roman"/>
          <w:b/>
          <w:i/>
          <w:iCs/>
          <w:u w:val="single"/>
        </w:rPr>
      </w:pPr>
    </w:p>
    <w:p w:rsidR="00064239" w:rsidRPr="006F0860" w:rsidP="00064239">
      <w:pPr>
        <w:pStyle w:val="ListParagraph"/>
        <w:bidi w:val="0"/>
        <w:ind w:left="0"/>
        <w:contextualSpacing w:val="0"/>
        <w:rPr>
          <w:rFonts w:ascii="Times New Roman" w:hAnsi="Times New Roman" w:cs="Times New Roman"/>
          <w:i/>
        </w:rPr>
      </w:pPr>
      <w:r w:rsidRPr="006F0860">
        <w:rPr>
          <w:rFonts w:ascii="Times New Roman" w:hAnsi="Times New Roman" w:cs="Times New Roman"/>
          <w:i/>
        </w:rPr>
        <w:t>A. Celková hodnota štátneho dlhu</w:t>
      </w:r>
    </w:p>
    <w:p w:rsidR="00064239" w:rsidRPr="006F0860" w:rsidP="00064239">
      <w:pPr>
        <w:bidi w:val="0"/>
        <w:jc w:val="both"/>
        <w:rPr>
          <w:rFonts w:ascii="Times New Roman" w:hAnsi="Times New Roman" w:cs="Times New Roman"/>
        </w:rPr>
      </w:pPr>
    </w:p>
    <w:p w:rsidR="00064239" w:rsidRPr="006F0860" w:rsidP="00064239">
      <w:pPr>
        <w:bidi w:val="0"/>
        <w:ind w:firstLine="708"/>
        <w:jc w:val="both"/>
        <w:rPr>
          <w:rFonts w:ascii="Times New Roman" w:hAnsi="Times New Roman" w:cs="Times New Roman"/>
        </w:rPr>
      </w:pPr>
      <w:r w:rsidRPr="006F0860">
        <w:rPr>
          <w:rFonts w:ascii="Times New Roman" w:hAnsi="Times New Roman" w:cs="Times New Roman"/>
        </w:rPr>
        <w:t>V priebehu rokov 201</w:t>
      </w:r>
      <w:r>
        <w:rPr>
          <w:rFonts w:ascii="Times New Roman" w:hAnsi="Times New Roman" w:cs="Times New Roman"/>
        </w:rPr>
        <w:t>2</w:t>
      </w:r>
      <w:r w:rsidRPr="006F0860">
        <w:rPr>
          <w:rFonts w:ascii="Times New Roman" w:hAnsi="Times New Roman" w:cs="Times New Roman"/>
        </w:rPr>
        <w:t xml:space="preserve"> až 201</w:t>
      </w:r>
      <w:r>
        <w:rPr>
          <w:rFonts w:ascii="Times New Roman" w:hAnsi="Times New Roman" w:cs="Times New Roman"/>
        </w:rPr>
        <w:t>5</w:t>
      </w:r>
      <w:r w:rsidRPr="006F0860">
        <w:rPr>
          <w:rFonts w:ascii="Times New Roman" w:hAnsi="Times New Roman" w:cs="Times New Roman"/>
        </w:rPr>
        <w:t xml:space="preserve"> sa štátny dlh bude postupne zväčšovať predovšetkým z dôvodu deficitov štátneho rozpočtu. Veľkosť štátneho dlhu bude ovplyvňovať aj hodnota pôžičiek zo Systému štátnej pokladnice, pretože časť zdrojov, potrebných na krytie finančných potrieb štátu, získava Ministerstvo financií SR z tohto zdroja. Vplyv na veľkosť štátneho dlhu bude mať aj hodnota finančných zdrojov, ktoré bude MF SR ukladať krátkodobo </w:t>
      </w:r>
      <w:r>
        <w:rPr>
          <w:rFonts w:ascii="Times New Roman" w:hAnsi="Times New Roman" w:cs="Times New Roman"/>
        </w:rPr>
        <w:t>na finančnom trhu</w:t>
      </w:r>
      <w:r w:rsidRPr="006F0860">
        <w:rPr>
          <w:rFonts w:ascii="Times New Roman" w:hAnsi="Times New Roman" w:cs="Times New Roman"/>
        </w:rPr>
        <w:t xml:space="preserve"> s cieľom mať k dispozícii </w:t>
      </w:r>
      <w:r>
        <w:rPr>
          <w:rFonts w:ascii="Times New Roman" w:hAnsi="Times New Roman" w:cs="Times New Roman"/>
        </w:rPr>
        <w:t xml:space="preserve">okamžitú </w:t>
      </w:r>
      <w:r w:rsidRPr="006F0860">
        <w:rPr>
          <w:rFonts w:ascii="Times New Roman" w:hAnsi="Times New Roman" w:cs="Times New Roman"/>
        </w:rPr>
        <w:t xml:space="preserve">rezervu na krytie neočakávaných </w:t>
      </w:r>
      <w:r>
        <w:rPr>
          <w:rFonts w:ascii="Times New Roman" w:hAnsi="Times New Roman" w:cs="Times New Roman"/>
        </w:rPr>
        <w:t>výkyvov cash flow štátu</w:t>
      </w:r>
      <w:r w:rsidRPr="006F0860">
        <w:rPr>
          <w:rFonts w:ascii="Times New Roman" w:hAnsi="Times New Roman" w:cs="Times New Roman"/>
        </w:rPr>
        <w:t>.</w:t>
      </w:r>
    </w:p>
    <w:p w:rsidR="00064239" w:rsidRPr="006F0860" w:rsidP="00064239">
      <w:pPr>
        <w:bidi w:val="0"/>
        <w:jc w:val="both"/>
        <w:rPr>
          <w:rFonts w:ascii="Times New Roman" w:hAnsi="Times New Roman" w:cs="Times New Roman"/>
        </w:rPr>
      </w:pPr>
    </w:p>
    <w:p w:rsidR="00D83F50" w:rsidP="00064239">
      <w:pPr>
        <w:bidi w:val="0"/>
        <w:ind w:firstLine="708"/>
        <w:jc w:val="both"/>
        <w:rPr>
          <w:rFonts w:ascii="Times New Roman" w:hAnsi="Times New Roman" w:cs="Times New Roman"/>
        </w:rPr>
      </w:pPr>
    </w:p>
    <w:p w:rsidR="00064239" w:rsidP="00064239">
      <w:pPr>
        <w:bidi w:val="0"/>
        <w:ind w:firstLine="708"/>
        <w:jc w:val="both"/>
        <w:rPr>
          <w:rFonts w:ascii="Times New Roman" w:hAnsi="Times New Roman" w:cs="Times New Roman"/>
        </w:rPr>
      </w:pPr>
      <w:r w:rsidRPr="006F0860">
        <w:rPr>
          <w:rFonts w:ascii="Times New Roman" w:hAnsi="Times New Roman" w:cs="Times New Roman"/>
        </w:rPr>
        <w:t>Predpokladaný vývoj deficitu štátneho rozpočtu bude nasledovný.</w:t>
      </w:r>
    </w:p>
    <w:p w:rsidR="00064239" w:rsidRPr="006F0860" w:rsidP="00064239">
      <w:pPr>
        <w:bidi w:val="0"/>
        <w:ind w:firstLine="708"/>
        <w:jc w:val="both"/>
        <w:rPr>
          <w:rFonts w:ascii="Times New Roman" w:hAnsi="Times New Roman" w:cs="Times New Roman"/>
        </w:rPr>
      </w:pPr>
    </w:p>
    <w:tbl>
      <w:tblPr>
        <w:tblStyle w:val="TableNormal"/>
        <w:tblW w:w="9005" w:type="dxa"/>
        <w:jc w:val="center"/>
        <w:tblInd w:w="-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647"/>
        <w:gridCol w:w="1050"/>
        <w:gridCol w:w="1077"/>
        <w:gridCol w:w="1077"/>
        <w:gridCol w:w="1077"/>
        <w:gridCol w:w="1077"/>
      </w:tblGrid>
      <w:tr>
        <w:tblPrEx>
          <w:tblW w:w="9005" w:type="dxa"/>
          <w:jc w:val="center"/>
          <w:tblInd w:w="-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jc w:val="center"/>
        </w:trPr>
        <w:tc>
          <w:tcPr>
            <w:tcW w:w="364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rPr>
                <w:rFonts w:ascii="Times New Roman" w:hAnsi="Times New Roman" w:cs="Times New Roman"/>
                <w:b/>
                <w:bCs/>
                <w:color w:val="000000"/>
                <w:sz w:val="14"/>
                <w:szCs w:val="18"/>
                <w:lang w:eastAsia="sk-SK"/>
              </w:rPr>
            </w:pPr>
            <w:r w:rsidRPr="00D83F50">
              <w:rPr>
                <w:rFonts w:ascii="Times New Roman" w:hAnsi="Times New Roman" w:cs="Times New Roman"/>
                <w:b/>
                <w:bCs/>
                <w:color w:val="000000"/>
                <w:sz w:val="14"/>
                <w:szCs w:val="18"/>
                <w:lang w:eastAsia="sk-SK"/>
              </w:rPr>
              <w:t>v mld. eur</w:t>
            </w:r>
          </w:p>
        </w:tc>
        <w:tc>
          <w:tcPr>
            <w:tcW w:w="105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8"/>
                <w:lang w:eastAsia="sk-SK"/>
              </w:rPr>
            </w:pPr>
            <w:r w:rsidRPr="00D83F50">
              <w:rPr>
                <w:rFonts w:ascii="Times New Roman" w:hAnsi="Times New Roman" w:cs="Times New Roman"/>
                <w:b/>
                <w:bCs/>
                <w:color w:val="000000"/>
                <w:sz w:val="14"/>
                <w:szCs w:val="18"/>
                <w:lang w:eastAsia="sk-SK"/>
              </w:rPr>
              <w:t>2011 S</w:t>
            </w:r>
          </w:p>
        </w:tc>
        <w:tc>
          <w:tcPr>
            <w:tcW w:w="107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8"/>
                <w:lang w:eastAsia="sk-SK"/>
              </w:rPr>
            </w:pPr>
            <w:r w:rsidRPr="00D83F50">
              <w:rPr>
                <w:rFonts w:ascii="Times New Roman" w:hAnsi="Times New Roman" w:cs="Times New Roman"/>
                <w:b/>
                <w:bCs/>
                <w:color w:val="000000"/>
                <w:sz w:val="14"/>
                <w:szCs w:val="18"/>
                <w:lang w:eastAsia="sk-SK"/>
              </w:rPr>
              <w:t>2012 R</w:t>
            </w:r>
          </w:p>
        </w:tc>
        <w:tc>
          <w:tcPr>
            <w:tcW w:w="107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8"/>
                <w:lang w:eastAsia="sk-SK"/>
              </w:rPr>
            </w:pPr>
            <w:r w:rsidRPr="00D83F50">
              <w:rPr>
                <w:rFonts w:ascii="Times New Roman" w:hAnsi="Times New Roman" w:cs="Times New Roman"/>
                <w:b/>
                <w:bCs/>
                <w:color w:val="000000"/>
                <w:sz w:val="14"/>
                <w:szCs w:val="18"/>
                <w:lang w:eastAsia="sk-SK"/>
              </w:rPr>
              <w:t>2013 P</w:t>
            </w:r>
          </w:p>
        </w:tc>
        <w:tc>
          <w:tcPr>
            <w:tcW w:w="107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8"/>
                <w:lang w:eastAsia="sk-SK"/>
              </w:rPr>
            </w:pPr>
            <w:r w:rsidRPr="00D83F50">
              <w:rPr>
                <w:rFonts w:ascii="Times New Roman" w:hAnsi="Times New Roman" w:cs="Times New Roman"/>
                <w:b/>
                <w:bCs/>
                <w:color w:val="000000"/>
                <w:sz w:val="14"/>
                <w:szCs w:val="18"/>
                <w:lang w:eastAsia="sk-SK"/>
              </w:rPr>
              <w:t>2014 P</w:t>
            </w:r>
          </w:p>
        </w:tc>
        <w:tc>
          <w:tcPr>
            <w:tcW w:w="107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8"/>
                <w:lang w:eastAsia="sk-SK"/>
              </w:rPr>
            </w:pPr>
            <w:r w:rsidRPr="00D83F50">
              <w:rPr>
                <w:rFonts w:ascii="Times New Roman" w:hAnsi="Times New Roman" w:cs="Times New Roman"/>
                <w:b/>
                <w:bCs/>
                <w:color w:val="000000"/>
                <w:sz w:val="14"/>
                <w:szCs w:val="18"/>
                <w:lang w:eastAsia="sk-SK"/>
              </w:rPr>
              <w:t>2015 P</w:t>
            </w:r>
          </w:p>
        </w:tc>
      </w:tr>
      <w:tr>
        <w:tblPrEx>
          <w:tblW w:w="9005" w:type="dxa"/>
          <w:jc w:val="center"/>
          <w:tblInd w:w="-2024" w:type="dxa"/>
          <w:tblCellMar>
            <w:left w:w="70" w:type="dxa"/>
            <w:right w:w="70" w:type="dxa"/>
          </w:tblCellMar>
          <w:tblLook w:val="04A0"/>
        </w:tblPrEx>
        <w:trPr>
          <w:trHeight w:val="315"/>
          <w:jc w:val="center"/>
        </w:trPr>
        <w:tc>
          <w:tcPr>
            <w:tcW w:w="3647"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rPr>
                <w:rFonts w:ascii="Times New Roman" w:hAnsi="Times New Roman" w:cs="Times New Roman"/>
                <w:color w:val="000000"/>
                <w:sz w:val="14"/>
                <w:szCs w:val="18"/>
                <w:lang w:eastAsia="sk-SK"/>
              </w:rPr>
            </w:pPr>
            <w:r w:rsidRPr="00D83F50">
              <w:rPr>
                <w:rFonts w:ascii="Times New Roman" w:hAnsi="Times New Roman" w:cs="Times New Roman"/>
                <w:color w:val="000000"/>
                <w:sz w:val="14"/>
                <w:szCs w:val="18"/>
                <w:lang w:eastAsia="sk-SK"/>
              </w:rPr>
              <w:t xml:space="preserve">Deficit ŠR </w:t>
            </w:r>
          </w:p>
        </w:tc>
        <w:tc>
          <w:tcPr>
            <w:tcW w:w="105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8"/>
                <w:lang w:eastAsia="sk-SK"/>
              </w:rPr>
            </w:pPr>
            <w:r w:rsidRPr="00D83F50">
              <w:rPr>
                <w:rFonts w:ascii="Times New Roman" w:hAnsi="Times New Roman" w:cs="Times New Roman"/>
                <w:color w:val="000000"/>
                <w:sz w:val="14"/>
                <w:szCs w:val="18"/>
                <w:lang w:eastAsia="sk-SK"/>
              </w:rPr>
              <w:t>3,276</w:t>
            </w:r>
          </w:p>
        </w:tc>
        <w:tc>
          <w:tcPr>
            <w:tcW w:w="1077"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8"/>
                <w:lang w:eastAsia="sk-SK"/>
              </w:rPr>
            </w:pPr>
            <w:r w:rsidRPr="00D83F50">
              <w:rPr>
                <w:rFonts w:ascii="Times New Roman" w:hAnsi="Times New Roman" w:cs="Times New Roman"/>
                <w:color w:val="000000"/>
                <w:sz w:val="14"/>
                <w:szCs w:val="18"/>
                <w:lang w:eastAsia="sk-SK"/>
              </w:rPr>
              <w:t>3,675</w:t>
            </w:r>
          </w:p>
        </w:tc>
        <w:tc>
          <w:tcPr>
            <w:tcW w:w="1077"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4871E1">
            <w:pPr>
              <w:bidi w:val="0"/>
              <w:jc w:val="right"/>
              <w:rPr>
                <w:rFonts w:ascii="Times New Roman" w:hAnsi="Times New Roman" w:cs="Times New Roman"/>
                <w:sz w:val="14"/>
                <w:szCs w:val="18"/>
                <w:lang w:eastAsia="sk-SK"/>
              </w:rPr>
            </w:pPr>
            <w:r w:rsidRPr="00D83F50">
              <w:rPr>
                <w:rFonts w:ascii="Times New Roman" w:hAnsi="Times New Roman" w:cs="Times New Roman"/>
                <w:sz w:val="14"/>
                <w:szCs w:val="18"/>
                <w:lang w:eastAsia="sk-SK"/>
              </w:rPr>
              <w:t>3,05</w:t>
            </w:r>
            <w:r w:rsidR="004871E1">
              <w:rPr>
                <w:rFonts w:ascii="Times New Roman" w:hAnsi="Times New Roman" w:cs="Times New Roman"/>
                <w:sz w:val="14"/>
                <w:szCs w:val="18"/>
                <w:lang w:eastAsia="sk-SK"/>
              </w:rPr>
              <w:t>9</w:t>
            </w:r>
          </w:p>
        </w:tc>
        <w:tc>
          <w:tcPr>
            <w:tcW w:w="1077"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4871E1">
            <w:pPr>
              <w:bidi w:val="0"/>
              <w:jc w:val="right"/>
              <w:rPr>
                <w:rFonts w:ascii="Times New Roman" w:hAnsi="Times New Roman" w:cs="Times New Roman"/>
                <w:sz w:val="14"/>
                <w:szCs w:val="18"/>
                <w:lang w:eastAsia="sk-SK"/>
              </w:rPr>
            </w:pPr>
            <w:r w:rsidRPr="00D83F50">
              <w:rPr>
                <w:rFonts w:ascii="Times New Roman" w:hAnsi="Times New Roman" w:cs="Times New Roman"/>
                <w:sz w:val="14"/>
                <w:szCs w:val="18"/>
                <w:lang w:eastAsia="sk-SK"/>
              </w:rPr>
              <w:t>2,78</w:t>
            </w:r>
            <w:r w:rsidR="004871E1">
              <w:rPr>
                <w:rFonts w:ascii="Times New Roman" w:hAnsi="Times New Roman" w:cs="Times New Roman"/>
                <w:sz w:val="14"/>
                <w:szCs w:val="18"/>
                <w:lang w:eastAsia="sk-SK"/>
              </w:rPr>
              <w:t>6</w:t>
            </w:r>
          </w:p>
        </w:tc>
        <w:tc>
          <w:tcPr>
            <w:tcW w:w="1077"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4871E1">
            <w:pPr>
              <w:bidi w:val="0"/>
              <w:jc w:val="right"/>
              <w:rPr>
                <w:rFonts w:ascii="Times New Roman" w:hAnsi="Times New Roman" w:cs="Times New Roman"/>
                <w:sz w:val="14"/>
                <w:szCs w:val="18"/>
                <w:lang w:eastAsia="sk-SK"/>
              </w:rPr>
            </w:pPr>
            <w:r w:rsidRPr="00D83F50">
              <w:rPr>
                <w:rFonts w:ascii="Times New Roman" w:hAnsi="Times New Roman" w:cs="Times New Roman"/>
                <w:sz w:val="14"/>
                <w:szCs w:val="18"/>
                <w:lang w:eastAsia="sk-SK"/>
              </w:rPr>
              <w:t>2,61</w:t>
            </w:r>
            <w:r w:rsidR="004871E1">
              <w:rPr>
                <w:rFonts w:ascii="Times New Roman" w:hAnsi="Times New Roman" w:cs="Times New Roman"/>
                <w:sz w:val="14"/>
                <w:szCs w:val="18"/>
                <w:lang w:eastAsia="sk-SK"/>
              </w:rPr>
              <w:t>5</w:t>
            </w:r>
          </w:p>
        </w:tc>
      </w:tr>
    </w:tbl>
    <w:p w:rsidR="00064239" w:rsidP="00064239">
      <w:pPr>
        <w:bidi w:val="0"/>
        <w:jc w:val="both"/>
        <w:rPr>
          <w:rFonts w:ascii="Times New Roman" w:hAnsi="Times New Roman"/>
          <w:highlight w:val="yellow"/>
        </w:rPr>
      </w:pPr>
    </w:p>
    <w:p w:rsidR="00064239" w:rsidP="00064239">
      <w:pPr>
        <w:bidi w:val="0"/>
        <w:ind w:firstLine="708"/>
        <w:jc w:val="both"/>
        <w:rPr>
          <w:rFonts w:ascii="Times New Roman" w:hAnsi="Times New Roman"/>
        </w:rPr>
      </w:pPr>
      <w:r w:rsidRPr="00FC4B6C">
        <w:rPr>
          <w:rFonts w:ascii="Times New Roman" w:hAnsi="Times New Roman"/>
        </w:rPr>
        <w:t xml:space="preserve">Štátny dlh je hodnota emitovaných štátnych dlhopisov, štátnych pokladničných poukážok a vládnych úverov. Štátny dlh sa bude </w:t>
      </w:r>
      <w:r>
        <w:rPr>
          <w:rFonts w:ascii="Times New Roman" w:hAnsi="Times New Roman"/>
        </w:rPr>
        <w:t xml:space="preserve">pravdepodobne </w:t>
      </w:r>
      <w:r w:rsidRPr="00FC4B6C">
        <w:rPr>
          <w:rFonts w:ascii="Times New Roman" w:hAnsi="Times New Roman"/>
        </w:rPr>
        <w:t>v nasledujúcich roko</w:t>
      </w:r>
      <w:r>
        <w:rPr>
          <w:rFonts w:ascii="Times New Roman" w:hAnsi="Times New Roman"/>
        </w:rPr>
        <w:t>ch k 31.12. vyvíjať nasledovne.</w:t>
      </w:r>
    </w:p>
    <w:p w:rsidR="00064239" w:rsidRPr="00FC4B6C" w:rsidP="00064239">
      <w:pPr>
        <w:bidi w:val="0"/>
        <w:jc w:val="both"/>
        <w:rPr>
          <w:rFonts w:ascii="Times New Roman" w:hAnsi="Times New Roman"/>
        </w:rPr>
      </w:pPr>
    </w:p>
    <w:tbl>
      <w:tblPr>
        <w:tblStyle w:val="TableNormal"/>
        <w:tblW w:w="8919" w:type="dxa"/>
        <w:jc w:val="center"/>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59"/>
        <w:gridCol w:w="960"/>
        <w:gridCol w:w="960"/>
        <w:gridCol w:w="960"/>
        <w:gridCol w:w="960"/>
        <w:gridCol w:w="960"/>
        <w:gridCol w:w="960"/>
      </w:tblGrid>
      <w:tr>
        <w:tblPrEx>
          <w:tblW w:w="8919" w:type="dxa"/>
          <w:jc w:val="center"/>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jc w:val="center"/>
        </w:trPr>
        <w:tc>
          <w:tcPr>
            <w:tcW w:w="3159"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v mld. eur</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2010 S</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2011 S</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2012 P</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2013 P</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2014 P</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2015 P</w:t>
            </w:r>
          </w:p>
        </w:tc>
      </w:tr>
      <w:tr>
        <w:tblPrEx>
          <w:tblW w:w="8919" w:type="dxa"/>
          <w:jc w:val="center"/>
          <w:tblInd w:w="-1044" w:type="dxa"/>
          <w:tblCellMar>
            <w:left w:w="70" w:type="dxa"/>
            <w:right w:w="70" w:type="dxa"/>
          </w:tblCellMar>
          <w:tblLook w:val="04A0"/>
        </w:tblPrEx>
        <w:trPr>
          <w:trHeight w:val="315"/>
          <w:jc w:val="center"/>
        </w:trPr>
        <w:tc>
          <w:tcPr>
            <w:tcW w:w="3159"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Štátny dlh </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25,754</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28,598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33,398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37,188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40,324</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43,343</w:t>
            </w:r>
          </w:p>
        </w:tc>
      </w:tr>
      <w:tr>
        <w:tblPrEx>
          <w:tblW w:w="8919" w:type="dxa"/>
          <w:jc w:val="center"/>
          <w:tblInd w:w="-1044" w:type="dxa"/>
          <w:tblCellMar>
            <w:left w:w="70" w:type="dxa"/>
            <w:right w:w="70" w:type="dxa"/>
          </w:tblCellMar>
          <w:tblLook w:val="04A0"/>
        </w:tblPrEx>
        <w:trPr>
          <w:trHeight w:val="315"/>
          <w:jc w:val="center"/>
        </w:trPr>
        <w:tc>
          <w:tcPr>
            <w:tcW w:w="3159"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Štátna pokladnica</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3,1</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3,57</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3,976</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4,175</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4,363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4,518</w:t>
            </w:r>
          </w:p>
        </w:tc>
      </w:tr>
      <w:tr>
        <w:tblPrEx>
          <w:tblW w:w="8919" w:type="dxa"/>
          <w:jc w:val="center"/>
          <w:tblInd w:w="-1044" w:type="dxa"/>
          <w:tblCellMar>
            <w:left w:w="70" w:type="dxa"/>
            <w:right w:w="70" w:type="dxa"/>
          </w:tblCellMar>
          <w:tblLook w:val="04A0"/>
        </w:tblPrEx>
        <w:trPr>
          <w:trHeight w:val="315"/>
          <w:jc w:val="center"/>
        </w:trPr>
        <w:tc>
          <w:tcPr>
            <w:tcW w:w="3159"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Vklady v bankách</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-1,586</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-0,673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-2,19</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-2,56</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-2,682</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sz w:val="14"/>
                <w:szCs w:val="14"/>
                <w:lang w:eastAsia="sk-SK"/>
              </w:rPr>
            </w:pPr>
            <w:r w:rsidRPr="00D83F50">
              <w:rPr>
                <w:rFonts w:ascii="Times New Roman" w:hAnsi="Times New Roman" w:cs="Times New Roman"/>
                <w:sz w:val="14"/>
                <w:szCs w:val="14"/>
                <w:lang w:eastAsia="sk-SK"/>
              </w:rPr>
              <w:t>-2,922</w:t>
            </w:r>
          </w:p>
        </w:tc>
      </w:tr>
      <w:tr>
        <w:tblPrEx>
          <w:tblW w:w="8919" w:type="dxa"/>
          <w:jc w:val="center"/>
          <w:tblInd w:w="-1044" w:type="dxa"/>
          <w:tblCellMar>
            <w:left w:w="70" w:type="dxa"/>
            <w:right w:w="70" w:type="dxa"/>
          </w:tblCellMar>
          <w:tblLook w:val="04A0"/>
        </w:tblPrEx>
        <w:trPr>
          <w:trHeight w:val="315"/>
          <w:jc w:val="center"/>
        </w:trPr>
        <w:tc>
          <w:tcPr>
            <w:tcW w:w="3159"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Čisté štátne záväzky</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28,854</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32,168</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37,374</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41,363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44,687</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47,861</w:t>
            </w:r>
          </w:p>
        </w:tc>
      </w:tr>
    </w:tbl>
    <w:p w:rsidR="00064239" w:rsidRPr="001768B3" w:rsidP="00064239">
      <w:pPr>
        <w:pStyle w:val="ListParagraph"/>
        <w:bidi w:val="0"/>
        <w:ind w:left="0"/>
        <w:contextualSpacing w:val="0"/>
        <w:rPr>
          <w:rFonts w:ascii="Times New Roman" w:hAnsi="Times New Roman" w:cs="Times New Roman"/>
        </w:rPr>
      </w:pPr>
    </w:p>
    <w:p w:rsidR="00064239" w:rsidRPr="006F0860" w:rsidP="00064239">
      <w:pPr>
        <w:pStyle w:val="ListParagraph"/>
        <w:bidi w:val="0"/>
        <w:ind w:left="0"/>
        <w:contextualSpacing w:val="0"/>
        <w:rPr>
          <w:rFonts w:ascii="Times New Roman" w:hAnsi="Times New Roman" w:cs="Times New Roman"/>
          <w:i/>
        </w:rPr>
      </w:pPr>
      <w:r w:rsidRPr="006F0860">
        <w:rPr>
          <w:rFonts w:ascii="Times New Roman" w:hAnsi="Times New Roman" w:cs="Times New Roman"/>
          <w:i/>
        </w:rPr>
        <w:t>B. Úročenie štátneho dlhu</w:t>
      </w:r>
    </w:p>
    <w:p w:rsidR="00064239" w:rsidRPr="006F0860" w:rsidP="00064239">
      <w:pPr>
        <w:pStyle w:val="ListParagraph"/>
        <w:bidi w:val="0"/>
        <w:ind w:left="0"/>
        <w:contextualSpacing w:val="0"/>
        <w:jc w:val="both"/>
        <w:rPr>
          <w:rFonts w:ascii="Times New Roman" w:hAnsi="Times New Roman" w:cs="Times New Roman"/>
        </w:rPr>
      </w:pPr>
    </w:p>
    <w:p w:rsidR="00064239" w:rsidRPr="006F0860" w:rsidP="00064239">
      <w:pPr>
        <w:pStyle w:val="ListParagraph"/>
        <w:bidi w:val="0"/>
        <w:ind w:left="0" w:firstLine="708"/>
        <w:contextualSpacing w:val="0"/>
        <w:jc w:val="both"/>
        <w:rPr>
          <w:rFonts w:ascii="Times New Roman" w:hAnsi="Times New Roman" w:cs="Times New Roman"/>
        </w:rPr>
      </w:pPr>
      <w:r w:rsidRPr="006F0860">
        <w:rPr>
          <w:rFonts w:ascii="Times New Roman" w:hAnsi="Times New Roman" w:cs="Times New Roman"/>
        </w:rPr>
        <w:t xml:space="preserve">Rozhodujúca časť štátneho dlhu </w:t>
      </w:r>
      <w:r>
        <w:rPr>
          <w:rFonts w:ascii="Times New Roman" w:hAnsi="Times New Roman" w:cs="Times New Roman"/>
        </w:rPr>
        <w:t>–</w:t>
      </w:r>
      <w:r w:rsidRPr="006F0860">
        <w:rPr>
          <w:rFonts w:ascii="Times New Roman" w:hAnsi="Times New Roman" w:cs="Times New Roman"/>
        </w:rPr>
        <w:t xml:space="preserve"> </w:t>
      </w:r>
      <w:r>
        <w:rPr>
          <w:rFonts w:ascii="Times New Roman" w:hAnsi="Times New Roman" w:cs="Times New Roman"/>
        </w:rPr>
        <w:t>viac ako 87 %</w:t>
      </w:r>
      <w:r w:rsidRPr="006F0860">
        <w:rPr>
          <w:rFonts w:ascii="Times New Roman" w:hAnsi="Times New Roman" w:cs="Times New Roman"/>
        </w:rPr>
        <w:t xml:space="preserve"> - má zafixované úročenie na niekoľko rokov dopredu. </w:t>
      </w:r>
      <w:r>
        <w:rPr>
          <w:rFonts w:ascii="Times New Roman" w:hAnsi="Times New Roman" w:cs="Times New Roman"/>
        </w:rPr>
        <w:t>Zmena</w:t>
      </w:r>
      <w:r w:rsidRPr="006F0860">
        <w:rPr>
          <w:rFonts w:ascii="Times New Roman" w:hAnsi="Times New Roman" w:cs="Times New Roman"/>
        </w:rPr>
        <w:t xml:space="preserve"> úrokových sadzieb na finančnom trhu sa v úrokových nákladoch na štátny dlh preto prejaví len postupne. Nové dlhopisy, ktoré sú vydávané na krytie nových deficitov štátneho rozpočtu a ako náhrada splatných štátnych dlhopisov, budú vydávané pravdepodobne s väčšími, v danom roku aktuálnymi trhovými úrokovými sadzbami. Okrem toho sa v každom roku precení časť portfólia, ktorá je úročená pohyblivou úrokovou sad</w:t>
      </w:r>
      <w:r>
        <w:rPr>
          <w:rFonts w:ascii="Times New Roman" w:hAnsi="Times New Roman" w:cs="Times New Roman"/>
        </w:rPr>
        <w:t>zbou, v roku 2012</w:t>
      </w:r>
      <w:r w:rsidRPr="006F0860">
        <w:rPr>
          <w:rFonts w:ascii="Times New Roman" w:hAnsi="Times New Roman" w:cs="Times New Roman"/>
        </w:rPr>
        <w:t xml:space="preserve"> táto časť dosahovala približne </w:t>
      </w:r>
      <w:r>
        <w:rPr>
          <w:rFonts w:ascii="Times New Roman" w:hAnsi="Times New Roman" w:cs="Times New Roman"/>
        </w:rPr>
        <w:t xml:space="preserve">9,5 </w:t>
      </w:r>
      <w:r w:rsidRPr="006F0860">
        <w:rPr>
          <w:rFonts w:ascii="Times New Roman" w:hAnsi="Times New Roman" w:cs="Times New Roman"/>
        </w:rPr>
        <w:t>% celého portfólia. Dlhopisy s pohyblivou úrokovou sadzbou sa vydávajú na základe Stratégie riadenia štátneho dlhu s cieľom pokrytia investorského dopytu, ktorý je zameraný prevažne na aktíva s pohyblivou úrokovou sadzbou.</w:t>
      </w:r>
    </w:p>
    <w:p w:rsidR="00064239" w:rsidRPr="006F0860" w:rsidP="00064239">
      <w:pPr>
        <w:pStyle w:val="ListParagraph"/>
        <w:bidi w:val="0"/>
        <w:ind w:left="0"/>
        <w:contextualSpacing w:val="0"/>
        <w:jc w:val="both"/>
        <w:rPr>
          <w:rFonts w:ascii="Times New Roman" w:hAnsi="Times New Roman" w:cs="Times New Roman"/>
        </w:rPr>
      </w:pPr>
    </w:p>
    <w:p w:rsidR="00064239" w:rsidRPr="006F0860" w:rsidP="00064239">
      <w:pPr>
        <w:pStyle w:val="ListParagraph"/>
        <w:bidi w:val="0"/>
        <w:ind w:left="0" w:firstLine="708"/>
        <w:contextualSpacing w:val="0"/>
        <w:jc w:val="both"/>
        <w:rPr>
          <w:rFonts w:ascii="Times New Roman" w:hAnsi="Times New Roman" w:cs="Times New Roman"/>
        </w:rPr>
      </w:pPr>
      <w:r w:rsidRPr="006F0860">
        <w:rPr>
          <w:rFonts w:ascii="Times New Roman" w:hAnsi="Times New Roman" w:cs="Times New Roman"/>
        </w:rPr>
        <w:t>Záväzky s pohyblivou úrokovou sadzbou.</w:t>
      </w:r>
    </w:p>
    <w:p w:rsidR="00064239" w:rsidRPr="006F0860" w:rsidP="00064239">
      <w:pPr>
        <w:pStyle w:val="ListParagraph"/>
        <w:bidi w:val="0"/>
        <w:ind w:left="0"/>
        <w:contextualSpacing w:val="0"/>
        <w:jc w:val="both"/>
        <w:rPr>
          <w:rFonts w:ascii="Times New Roman" w:hAnsi="Times New Roman" w:cs="Times New Roman"/>
        </w:rPr>
      </w:pPr>
    </w:p>
    <w:tbl>
      <w:tblPr>
        <w:tblStyle w:val="TableNormal"/>
        <w:tblW w:w="9012" w:type="dxa"/>
        <w:jc w:val="center"/>
        <w:tblInd w:w="-1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76"/>
        <w:gridCol w:w="1134"/>
        <w:gridCol w:w="1134"/>
        <w:gridCol w:w="1134"/>
        <w:gridCol w:w="1134"/>
      </w:tblGrid>
      <w:tr>
        <w:tblPrEx>
          <w:tblW w:w="9012" w:type="dxa"/>
          <w:jc w:val="center"/>
          <w:tblInd w:w="-1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jc w:val="center"/>
        </w:trPr>
        <w:tc>
          <w:tcPr>
            <w:tcW w:w="4476"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v mld. eur</w:t>
            </w:r>
          </w:p>
        </w:tc>
        <w:tc>
          <w:tcPr>
            <w:tcW w:w="1134"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2012 R</w:t>
            </w:r>
          </w:p>
        </w:tc>
        <w:tc>
          <w:tcPr>
            <w:tcW w:w="1134"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2013 P</w:t>
            </w:r>
          </w:p>
        </w:tc>
        <w:tc>
          <w:tcPr>
            <w:tcW w:w="1134"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2014 P</w:t>
            </w:r>
          </w:p>
        </w:tc>
        <w:tc>
          <w:tcPr>
            <w:tcW w:w="1134"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2015 P</w:t>
            </w:r>
          </w:p>
        </w:tc>
      </w:tr>
      <w:tr>
        <w:tblPrEx>
          <w:tblW w:w="9012" w:type="dxa"/>
          <w:jc w:val="center"/>
          <w:tblInd w:w="-1571" w:type="dxa"/>
          <w:tblCellMar>
            <w:left w:w="70" w:type="dxa"/>
            <w:right w:w="70" w:type="dxa"/>
          </w:tblCellMar>
          <w:tblLook w:val="04A0"/>
        </w:tblPrEx>
        <w:trPr>
          <w:trHeight w:val="315"/>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Nové záväzky</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3,675</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6A668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3,05</w:t>
            </w:r>
            <w:r w:rsidR="006A6688">
              <w:rPr>
                <w:rFonts w:ascii="Times New Roman" w:hAnsi="Times New Roman" w:cs="Times New Roman"/>
                <w:color w:val="000000"/>
                <w:sz w:val="14"/>
                <w:szCs w:val="14"/>
                <w:lang w:eastAsia="sk-SK"/>
              </w:rPr>
              <w:t>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6A668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2,78</w:t>
            </w:r>
            <w:r w:rsidR="006A6688">
              <w:rPr>
                <w:rFonts w:ascii="Times New Roman" w:hAnsi="Times New Roman" w:cs="Times New Roman"/>
                <w:color w:val="000000"/>
                <w:sz w:val="14"/>
                <w:szCs w:val="14"/>
                <w:lang w:eastAsia="sk-SK"/>
              </w:rPr>
              <w:t>6</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6A668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2,61</w:t>
            </w:r>
            <w:r w:rsidR="006A6688">
              <w:rPr>
                <w:rFonts w:ascii="Times New Roman" w:hAnsi="Times New Roman" w:cs="Times New Roman"/>
                <w:color w:val="000000"/>
                <w:sz w:val="14"/>
                <w:szCs w:val="14"/>
                <w:lang w:eastAsia="sk-SK"/>
              </w:rPr>
              <w:t>5</w:t>
            </w:r>
          </w:p>
        </w:tc>
      </w:tr>
      <w:tr>
        <w:tblPrEx>
          <w:tblW w:w="9012" w:type="dxa"/>
          <w:jc w:val="center"/>
          <w:tblInd w:w="-1571" w:type="dxa"/>
          <w:tblCellMar>
            <w:left w:w="70" w:type="dxa"/>
            <w:right w:w="70" w:type="dxa"/>
          </w:tblCellMar>
          <w:tblLook w:val="04A0"/>
        </w:tblPrEx>
        <w:trPr>
          <w:trHeight w:val="315"/>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Precenenie portfólia a splatný dlh</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8,5</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8,3</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8,4</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6,4</w:t>
            </w:r>
          </w:p>
        </w:tc>
      </w:tr>
      <w:tr>
        <w:tblPrEx>
          <w:tblW w:w="9012" w:type="dxa"/>
          <w:jc w:val="center"/>
          <w:tblInd w:w="-1571" w:type="dxa"/>
          <w:tblCellMar>
            <w:left w:w="70" w:type="dxa"/>
            <w:right w:w="70" w:type="dxa"/>
          </w:tblCellMar>
          <w:tblLook w:val="04A0"/>
        </w:tblPrEx>
        <w:trPr>
          <w:trHeight w:val="315"/>
          <w:jc w:val="center"/>
        </w:trPr>
        <w:tc>
          <w:tcPr>
            <w:tcW w:w="4476"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Precenenie všetkých záväzkov</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12,175</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354C79">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11,35</w:t>
            </w:r>
            <w:r w:rsidR="00354C79">
              <w:rPr>
                <w:rFonts w:ascii="Times New Roman" w:hAnsi="Times New Roman" w:cs="Times New Roman"/>
                <w:color w:val="000000"/>
                <w:sz w:val="14"/>
                <w:szCs w:val="14"/>
                <w:lang w:eastAsia="sk-SK"/>
              </w:rPr>
              <w:t>9</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00354C79">
              <w:rPr>
                <w:rFonts w:ascii="Times New Roman" w:hAnsi="Times New Roman" w:cs="Times New Roman"/>
                <w:color w:val="000000"/>
                <w:sz w:val="14"/>
                <w:szCs w:val="14"/>
                <w:lang w:eastAsia="sk-SK"/>
              </w:rPr>
              <w:t>11,186</w:t>
            </w:r>
          </w:p>
        </w:tc>
        <w:tc>
          <w:tcPr>
            <w:tcW w:w="1134"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354C79">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9,01</w:t>
            </w:r>
            <w:r w:rsidR="00354C79">
              <w:rPr>
                <w:rFonts w:ascii="Times New Roman" w:hAnsi="Times New Roman" w:cs="Times New Roman"/>
                <w:color w:val="000000"/>
                <w:sz w:val="14"/>
                <w:szCs w:val="14"/>
                <w:lang w:eastAsia="sk-SK"/>
              </w:rPr>
              <w:t>5</w:t>
            </w:r>
          </w:p>
        </w:tc>
      </w:tr>
    </w:tbl>
    <w:p w:rsidR="00064239" w:rsidP="00064239">
      <w:pPr>
        <w:pStyle w:val="ListParagraph"/>
        <w:bidi w:val="0"/>
        <w:ind w:left="0" w:firstLine="708"/>
        <w:contextualSpacing w:val="0"/>
        <w:jc w:val="both"/>
        <w:rPr>
          <w:rFonts w:ascii="Times New Roman" w:hAnsi="Times New Roman" w:cs="Times New Roman"/>
        </w:rPr>
      </w:pPr>
    </w:p>
    <w:p w:rsidR="00064239" w:rsidRPr="006F0860" w:rsidP="00064239">
      <w:pPr>
        <w:pStyle w:val="ListParagraph"/>
        <w:bidi w:val="0"/>
        <w:ind w:left="0" w:firstLine="708"/>
        <w:contextualSpacing w:val="0"/>
        <w:jc w:val="both"/>
        <w:rPr>
          <w:rFonts w:ascii="Times New Roman" w:hAnsi="Times New Roman" w:cs="Times New Roman"/>
        </w:rPr>
      </w:pPr>
      <w:r>
        <w:rPr>
          <w:rFonts w:ascii="Times New Roman" w:hAnsi="Times New Roman" w:cs="Times New Roman"/>
        </w:rPr>
        <w:t>V rokoch 2013 až 2015</w:t>
      </w:r>
      <w:r w:rsidRPr="006F0860">
        <w:rPr>
          <w:rFonts w:ascii="Times New Roman" w:hAnsi="Times New Roman" w:cs="Times New Roman"/>
        </w:rPr>
        <w:t xml:space="preserve"> sa postupne precení </w:t>
      </w:r>
      <w:r>
        <w:rPr>
          <w:rFonts w:ascii="Times New Roman" w:hAnsi="Times New Roman" w:cs="Times New Roman"/>
        </w:rPr>
        <w:t xml:space="preserve">(ocení v prípade nových záväzkov) </w:t>
      </w:r>
      <w:r w:rsidRPr="006F0860">
        <w:rPr>
          <w:rFonts w:ascii="Times New Roman" w:hAnsi="Times New Roman" w:cs="Times New Roman"/>
        </w:rPr>
        <w:t xml:space="preserve">novými trhovými úrokovými sadzbami spolu </w:t>
      </w:r>
      <w:r>
        <w:rPr>
          <w:rFonts w:ascii="Times New Roman" w:hAnsi="Times New Roman" w:cs="Times New Roman"/>
        </w:rPr>
        <w:t>32,44</w:t>
      </w:r>
      <w:r w:rsidRPr="006F0860">
        <w:rPr>
          <w:rFonts w:ascii="Times New Roman" w:hAnsi="Times New Roman" w:cs="Times New Roman"/>
        </w:rPr>
        <w:t xml:space="preserve"> mld. </w:t>
      </w:r>
      <w:r>
        <w:rPr>
          <w:rFonts w:ascii="Times New Roman" w:hAnsi="Times New Roman" w:cs="Times New Roman"/>
        </w:rPr>
        <w:t>eur</w:t>
      </w:r>
      <w:r w:rsidRPr="006F0860">
        <w:rPr>
          <w:rFonts w:ascii="Times New Roman" w:hAnsi="Times New Roman" w:cs="Times New Roman"/>
        </w:rPr>
        <w:t>. Ak sa táto hodnota precení väčšími úrokovými sadzbami ako sú súčasné, prece</w:t>
      </w:r>
      <w:r>
        <w:rPr>
          <w:rFonts w:ascii="Times New Roman" w:hAnsi="Times New Roman" w:cs="Times New Roman"/>
        </w:rPr>
        <w:t>nenie prinesie ďalšie</w:t>
      </w:r>
      <w:r w:rsidRPr="006F0860">
        <w:rPr>
          <w:rFonts w:ascii="Times New Roman" w:hAnsi="Times New Roman" w:cs="Times New Roman"/>
        </w:rPr>
        <w:t xml:space="preserve"> </w:t>
      </w:r>
      <w:r>
        <w:rPr>
          <w:rFonts w:ascii="Times New Roman" w:hAnsi="Times New Roman" w:cs="Times New Roman"/>
        </w:rPr>
        <w:t>dodatočné</w:t>
      </w:r>
      <w:r w:rsidRPr="006F0860">
        <w:rPr>
          <w:rFonts w:ascii="Times New Roman" w:hAnsi="Times New Roman" w:cs="Times New Roman"/>
        </w:rPr>
        <w:t xml:space="preserve"> výdavky štátneho rozpočtu v jednotlivých rokoch. </w:t>
      </w:r>
    </w:p>
    <w:p w:rsidR="00064239" w:rsidRPr="006F0860" w:rsidP="00064239">
      <w:pPr>
        <w:pStyle w:val="ListParagraph"/>
        <w:bidi w:val="0"/>
        <w:ind w:left="0"/>
        <w:contextualSpacing w:val="0"/>
        <w:jc w:val="both"/>
        <w:rPr>
          <w:rFonts w:ascii="Times New Roman" w:hAnsi="Times New Roman" w:cs="Times New Roman"/>
        </w:rPr>
      </w:pPr>
    </w:p>
    <w:p w:rsidR="00064239" w:rsidP="00064239">
      <w:pPr>
        <w:pStyle w:val="ListParagraph"/>
        <w:bidi w:val="0"/>
        <w:ind w:left="0" w:firstLine="708"/>
        <w:contextualSpacing w:val="0"/>
        <w:jc w:val="both"/>
        <w:rPr>
          <w:rFonts w:ascii="Times New Roman" w:hAnsi="Times New Roman" w:cs="Times New Roman"/>
        </w:rPr>
      </w:pPr>
      <w:r w:rsidRPr="006F0860">
        <w:rPr>
          <w:rFonts w:ascii="Times New Roman" w:hAnsi="Times New Roman" w:cs="Times New Roman"/>
        </w:rPr>
        <w:t>V nasledujúcich rokoch si bude MF SR musieť na finančných t</w:t>
      </w:r>
      <w:r>
        <w:rPr>
          <w:rFonts w:ascii="Times New Roman" w:hAnsi="Times New Roman" w:cs="Times New Roman"/>
        </w:rPr>
        <w:t>rhoch požičať nasledovné sumy:</w:t>
      </w:r>
    </w:p>
    <w:p w:rsidR="00064239" w:rsidRPr="006F0860" w:rsidP="00064239">
      <w:pPr>
        <w:pStyle w:val="ListParagraph"/>
        <w:bidi w:val="0"/>
        <w:ind w:left="0" w:firstLine="708"/>
        <w:contextualSpacing w:val="0"/>
        <w:jc w:val="both"/>
        <w:rPr>
          <w:rFonts w:ascii="Times New Roman" w:hAnsi="Times New Roman" w:cs="Times New Roman"/>
        </w:rPr>
      </w:pPr>
    </w:p>
    <w:tbl>
      <w:tblPr>
        <w:tblStyle w:val="TableNormal"/>
        <w:tblW w:w="8972" w:type="dxa"/>
        <w:jc w:val="center"/>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72"/>
        <w:gridCol w:w="960"/>
        <w:gridCol w:w="960"/>
        <w:gridCol w:w="960"/>
        <w:gridCol w:w="960"/>
        <w:gridCol w:w="960"/>
      </w:tblGrid>
      <w:tr>
        <w:tblPrEx>
          <w:tblW w:w="8972" w:type="dxa"/>
          <w:jc w:val="center"/>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15"/>
          <w:jc w:val="center"/>
        </w:trPr>
        <w:tc>
          <w:tcPr>
            <w:tcW w:w="4172"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v mld. eur</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2011 S</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2012 R</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2013 P</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2014 P</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2015 P</w:t>
            </w:r>
          </w:p>
        </w:tc>
      </w:tr>
      <w:tr>
        <w:tblPrEx>
          <w:tblW w:w="8972" w:type="dxa"/>
          <w:jc w:val="center"/>
          <w:tblInd w:w="-1467" w:type="dxa"/>
          <w:tblCellMar>
            <w:left w:w="70" w:type="dxa"/>
            <w:right w:w="70" w:type="dxa"/>
          </w:tblCellMar>
          <w:tblLook w:val="04A0"/>
        </w:tblPrEx>
        <w:trPr>
          <w:trHeight w:val="315"/>
          <w:jc w:val="center"/>
        </w:trPr>
        <w:tc>
          <w:tcPr>
            <w:tcW w:w="4172"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Deficit ŠR </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3,276</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3,675</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4871E1">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3,05</w:t>
            </w:r>
            <w:r w:rsidR="004871E1">
              <w:rPr>
                <w:rFonts w:ascii="Times New Roman" w:hAnsi="Times New Roman" w:cs="Times New Roman"/>
                <w:color w:val="000000"/>
                <w:sz w:val="14"/>
                <w:szCs w:val="14"/>
                <w:lang w:eastAsia="sk-SK"/>
              </w:rPr>
              <w:t>9</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4871E1">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2,78</w:t>
            </w:r>
            <w:r w:rsidR="004871E1">
              <w:rPr>
                <w:rFonts w:ascii="Times New Roman" w:hAnsi="Times New Roman" w:cs="Times New Roman"/>
                <w:color w:val="000000"/>
                <w:sz w:val="14"/>
                <w:szCs w:val="14"/>
                <w:lang w:eastAsia="sk-SK"/>
              </w:rPr>
              <w:t>6</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4871E1">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2,61</w:t>
            </w:r>
            <w:r w:rsidR="004871E1">
              <w:rPr>
                <w:rFonts w:ascii="Times New Roman" w:hAnsi="Times New Roman" w:cs="Times New Roman"/>
                <w:color w:val="000000"/>
                <w:sz w:val="14"/>
                <w:szCs w:val="14"/>
                <w:lang w:eastAsia="sk-SK"/>
              </w:rPr>
              <w:t>5</w:t>
            </w:r>
          </w:p>
        </w:tc>
      </w:tr>
      <w:tr>
        <w:tblPrEx>
          <w:tblW w:w="8972" w:type="dxa"/>
          <w:jc w:val="center"/>
          <w:tblInd w:w="-1467" w:type="dxa"/>
          <w:tblCellMar>
            <w:left w:w="70" w:type="dxa"/>
            <w:right w:w="70" w:type="dxa"/>
          </w:tblCellMar>
          <w:tblLook w:val="04A0"/>
        </w:tblPrEx>
        <w:trPr>
          <w:trHeight w:val="315"/>
          <w:jc w:val="center"/>
        </w:trPr>
        <w:tc>
          <w:tcPr>
            <w:tcW w:w="4172"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Splatný štátny dlh </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4,3</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4,047</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5,286</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6,215</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6,359</w:t>
            </w:r>
          </w:p>
        </w:tc>
      </w:tr>
      <w:tr>
        <w:tblPrEx>
          <w:tblW w:w="8972" w:type="dxa"/>
          <w:jc w:val="center"/>
          <w:tblInd w:w="-1467" w:type="dxa"/>
          <w:tblCellMar>
            <w:left w:w="70" w:type="dxa"/>
            <w:right w:w="70" w:type="dxa"/>
          </w:tblCellMar>
          <w:tblLook w:val="04A0"/>
        </w:tblPrEx>
        <w:trPr>
          <w:trHeight w:val="315"/>
          <w:jc w:val="center"/>
        </w:trPr>
        <w:tc>
          <w:tcPr>
            <w:tcW w:w="4172"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Celková finančná potreba MF SR</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7,576</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C450B8">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7,722</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2917DE">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8,3</w:t>
            </w:r>
            <w:r w:rsidR="002917DE">
              <w:rPr>
                <w:rFonts w:ascii="Times New Roman" w:hAnsi="Times New Roman" w:cs="Times New Roman"/>
                <w:color w:val="000000"/>
                <w:sz w:val="14"/>
                <w:szCs w:val="14"/>
                <w:lang w:eastAsia="sk-SK"/>
              </w:rPr>
              <w:t>45</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2917DE">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9,00</w:t>
            </w:r>
            <w:r w:rsidR="002917DE">
              <w:rPr>
                <w:rFonts w:ascii="Times New Roman" w:hAnsi="Times New Roman" w:cs="Times New Roman"/>
                <w:color w:val="000000"/>
                <w:sz w:val="14"/>
                <w:szCs w:val="14"/>
                <w:lang w:eastAsia="sk-SK"/>
              </w:rPr>
              <w:t>1</w:t>
            </w:r>
          </w:p>
        </w:tc>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064239" w:rsidRPr="00D83F50" w:rsidP="002917DE">
            <w:pPr>
              <w:bidi w:val="0"/>
              <w:jc w:val="right"/>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8,97</w:t>
            </w:r>
            <w:r w:rsidR="002917DE">
              <w:rPr>
                <w:rFonts w:ascii="Times New Roman" w:hAnsi="Times New Roman" w:cs="Times New Roman"/>
                <w:color w:val="000000"/>
                <w:sz w:val="14"/>
                <w:szCs w:val="14"/>
                <w:lang w:eastAsia="sk-SK"/>
              </w:rPr>
              <w:t>4</w:t>
            </w:r>
          </w:p>
        </w:tc>
      </w:tr>
    </w:tbl>
    <w:p w:rsidR="00064239" w:rsidP="00064239">
      <w:pPr>
        <w:bidi w:val="0"/>
        <w:ind w:firstLine="708"/>
        <w:jc w:val="both"/>
        <w:rPr>
          <w:rFonts w:ascii="Times New Roman" w:hAnsi="Times New Roman"/>
        </w:rPr>
      </w:pPr>
      <w:r w:rsidRPr="00FC4B6C">
        <w:rPr>
          <w:rFonts w:ascii="Times New Roman" w:hAnsi="Times New Roman"/>
        </w:rPr>
        <w:t xml:space="preserve">Kľúčovým predpokladom pri tvorbe rozpočtu nákladov štátneho dlhu sú očakávané úrokové sadzby na finančnom trhu. Tie sú jedným z parametrov makroekonomického vývoja, o ktorých diskutuje Výbor pre makroekonomické prognózy v gescii MF SR. </w:t>
      </w:r>
    </w:p>
    <w:p w:rsidR="00064239" w:rsidP="00064239">
      <w:pPr>
        <w:bidi w:val="0"/>
        <w:ind w:firstLine="708"/>
        <w:jc w:val="both"/>
        <w:rPr>
          <w:rFonts w:ascii="Times New Roman" w:hAnsi="Times New Roman"/>
        </w:rPr>
      </w:pPr>
    </w:p>
    <w:tbl>
      <w:tblPr>
        <w:tblStyle w:val="TableNormal"/>
        <w:tblW w:w="90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000"/>
        <w:gridCol w:w="1009"/>
        <w:gridCol w:w="1009"/>
        <w:gridCol w:w="1009"/>
        <w:gridCol w:w="1009"/>
      </w:tblGrid>
      <w:tr>
        <w:tblPrEx>
          <w:tblW w:w="90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064239" w:rsidRPr="00D83F50" w:rsidP="00C450B8">
            <w:pPr>
              <w:bidi w:val="0"/>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 </w:t>
            </w:r>
          </w:p>
        </w:tc>
        <w:tc>
          <w:tcPr>
            <w:tcW w:w="1009"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2012 P</w:t>
            </w:r>
          </w:p>
        </w:tc>
        <w:tc>
          <w:tcPr>
            <w:tcW w:w="1009"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2013 P</w:t>
            </w:r>
          </w:p>
        </w:tc>
        <w:tc>
          <w:tcPr>
            <w:tcW w:w="1009"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2014 P</w:t>
            </w:r>
          </w:p>
        </w:tc>
        <w:tc>
          <w:tcPr>
            <w:tcW w:w="1009"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064239" w:rsidRPr="00D83F50" w:rsidP="00C450B8">
            <w:pPr>
              <w:bidi w:val="0"/>
              <w:jc w:val="center"/>
              <w:rPr>
                <w:rFonts w:ascii="Times New Roman" w:hAnsi="Times New Roman" w:cs="Times New Roman"/>
                <w:b/>
                <w:bCs/>
                <w:color w:val="000000"/>
                <w:sz w:val="14"/>
                <w:szCs w:val="14"/>
                <w:lang w:eastAsia="sk-SK"/>
              </w:rPr>
            </w:pPr>
            <w:r w:rsidRPr="00D83F50">
              <w:rPr>
                <w:rFonts w:ascii="Times New Roman" w:hAnsi="Times New Roman" w:cs="Times New Roman"/>
                <w:b/>
                <w:bCs/>
                <w:color w:val="000000"/>
                <w:sz w:val="14"/>
                <w:szCs w:val="14"/>
                <w:lang w:eastAsia="sk-SK"/>
              </w:rPr>
              <w:t>2015 P</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ECB KEY RATE </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0,792%</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0,573%</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1,021%</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1,552%</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EONIA</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0,251%</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0,298%</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0,808%</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1,410%</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3M EURIBOR</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0,604%</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0,548%</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1,171%</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1,698%</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6M EURIBOR </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0,842%</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0,755%</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1,329%</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1,827%</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6M EUR LIBOR </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0,842%</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0,755%</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1,329%</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1,827%</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1Y </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1,128%</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1,168%</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1,644%</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2,084%</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5Y </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2,710%</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2,992%</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3,360%</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3,717%</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10Y </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3,789%</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4,052%</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4,317%</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4,633%</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15Y </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3,964%</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4,227%</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4,492%</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4,808%</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20Y </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4,139%</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4,402%</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4,667%</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4,983%</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5Y Eurobonds </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2,810%</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3,092%</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3,460%</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3,817%</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10Y Eurobonds </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3,889%</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4,152%</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4,417%</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4,733%</w:t>
            </w:r>
          </w:p>
        </w:tc>
      </w:tr>
      <w:tr>
        <w:tblPrEx>
          <w:tblW w:w="9036" w:type="dxa"/>
          <w:tblInd w:w="57" w:type="dxa"/>
          <w:tblCellMar>
            <w:left w:w="70" w:type="dxa"/>
            <w:right w:w="70" w:type="dxa"/>
          </w:tblCellMar>
          <w:tblLook w:val="04A0"/>
        </w:tblPrEx>
        <w:trPr>
          <w:trHeight w:val="330"/>
        </w:trPr>
        <w:tc>
          <w:tcPr>
            <w:tcW w:w="5000"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 xml:space="preserve">15Y Eurobonds </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4,064%</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4,327%</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4,592%</w:t>
            </w:r>
          </w:p>
        </w:tc>
        <w:tc>
          <w:tcPr>
            <w:tcW w:w="100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D83F50" w:rsidP="00C450B8">
            <w:pPr>
              <w:bidi w:val="0"/>
              <w:jc w:val="center"/>
              <w:rPr>
                <w:rFonts w:ascii="Times New Roman" w:hAnsi="Times New Roman" w:cs="Times New Roman"/>
                <w:color w:val="000000"/>
                <w:sz w:val="14"/>
                <w:szCs w:val="14"/>
                <w:lang w:eastAsia="sk-SK"/>
              </w:rPr>
            </w:pPr>
            <w:r w:rsidRPr="00D83F50">
              <w:rPr>
                <w:rFonts w:ascii="Times New Roman" w:hAnsi="Times New Roman" w:cs="Times New Roman"/>
                <w:color w:val="000000"/>
                <w:sz w:val="14"/>
                <w:szCs w:val="14"/>
                <w:lang w:eastAsia="sk-SK"/>
              </w:rPr>
              <w:t>4,908%</w:t>
            </w:r>
          </w:p>
        </w:tc>
      </w:tr>
    </w:tbl>
    <w:p w:rsidR="00064239" w:rsidP="00064239">
      <w:pPr>
        <w:pStyle w:val="ListParagraph"/>
        <w:bidi w:val="0"/>
        <w:ind w:left="0"/>
        <w:contextualSpacing w:val="0"/>
        <w:rPr>
          <w:rFonts w:ascii="Times New Roman" w:hAnsi="Times New Roman" w:cs="Times New Roman"/>
          <w:i/>
        </w:rPr>
      </w:pPr>
    </w:p>
    <w:p w:rsidR="00064239" w:rsidRPr="006F0860" w:rsidP="00064239">
      <w:pPr>
        <w:pStyle w:val="ListParagraph"/>
        <w:bidi w:val="0"/>
        <w:ind w:left="0"/>
        <w:contextualSpacing w:val="0"/>
        <w:rPr>
          <w:rFonts w:ascii="Times New Roman" w:hAnsi="Times New Roman" w:cs="Times New Roman"/>
          <w:i/>
        </w:rPr>
      </w:pPr>
      <w:r w:rsidRPr="006F0860">
        <w:rPr>
          <w:rFonts w:ascii="Times New Roman" w:hAnsi="Times New Roman" w:cs="Times New Roman"/>
          <w:i/>
        </w:rPr>
        <w:t>C. Iné predpoklady</w:t>
      </w:r>
    </w:p>
    <w:p w:rsidR="00064239" w:rsidRPr="006F0860" w:rsidP="00064239">
      <w:pPr>
        <w:bidi w:val="0"/>
        <w:jc w:val="both"/>
        <w:rPr>
          <w:rFonts w:ascii="Times New Roman" w:hAnsi="Times New Roman" w:cs="Times New Roman"/>
        </w:rPr>
      </w:pPr>
    </w:p>
    <w:p w:rsidR="00064239" w:rsidRPr="006F0860" w:rsidP="00064239">
      <w:pPr>
        <w:bidi w:val="0"/>
        <w:ind w:firstLine="360"/>
        <w:jc w:val="both"/>
        <w:rPr>
          <w:rFonts w:ascii="Times New Roman" w:hAnsi="Times New Roman" w:cs="Times New Roman"/>
        </w:rPr>
      </w:pPr>
      <w:r w:rsidRPr="006F0860">
        <w:rPr>
          <w:rFonts w:ascii="Times New Roman" w:hAnsi="Times New Roman" w:cs="Times New Roman"/>
        </w:rPr>
        <w:t>Celkové náklady na štátny dlh môžu v menšej miere ovplyvniť aj niektoré iné vplyvy, medzi ktoré napríklad patria:</w:t>
      </w:r>
    </w:p>
    <w:p w:rsidR="00064239" w:rsidRPr="006F0860" w:rsidP="00064239">
      <w:pPr>
        <w:pStyle w:val="ListParagraph"/>
        <w:bidi w:val="0"/>
        <w:contextualSpacing w:val="0"/>
        <w:jc w:val="both"/>
        <w:rPr>
          <w:rFonts w:ascii="Times New Roman" w:hAnsi="Times New Roman" w:cs="Times New Roman"/>
        </w:rPr>
      </w:pPr>
    </w:p>
    <w:p w:rsidR="00064239" w:rsidRPr="006F0860" w:rsidP="00782B39">
      <w:pPr>
        <w:pStyle w:val="ListParagraph"/>
        <w:numPr>
          <w:numId w:val="17"/>
        </w:numPr>
        <w:bidi w:val="0"/>
        <w:contextualSpacing w:val="0"/>
        <w:jc w:val="both"/>
        <w:rPr>
          <w:rFonts w:ascii="Times New Roman" w:hAnsi="Times New Roman" w:cs="Times New Roman"/>
        </w:rPr>
      </w:pPr>
      <w:r w:rsidRPr="006F0860">
        <w:rPr>
          <w:rFonts w:ascii="Times New Roman" w:hAnsi="Times New Roman" w:cs="Times New Roman"/>
        </w:rPr>
        <w:t xml:space="preserve">Rýchlosť – dynamika rastu deficitu štátneho rozpočtu v priebehu roka. Ak deficit rastie rýchlejšie už v prvom polroku, výsledkom sú väčšie úrokové náklady v porovnaní so situáciou, keď deficit významne rastie až v závere roka. </w:t>
      </w:r>
    </w:p>
    <w:p w:rsidR="00064239" w:rsidRPr="006F0860" w:rsidP="00064239">
      <w:pPr>
        <w:pStyle w:val="ListParagraph"/>
        <w:bidi w:val="0"/>
        <w:ind w:left="0"/>
        <w:contextualSpacing w:val="0"/>
        <w:jc w:val="both"/>
        <w:rPr>
          <w:rFonts w:ascii="Times New Roman" w:hAnsi="Times New Roman" w:cs="Times New Roman"/>
        </w:rPr>
      </w:pPr>
    </w:p>
    <w:p w:rsidR="00064239" w:rsidRPr="006F0860" w:rsidP="00782B39">
      <w:pPr>
        <w:pStyle w:val="ListParagraph"/>
        <w:numPr>
          <w:numId w:val="17"/>
        </w:numPr>
        <w:bidi w:val="0"/>
        <w:contextualSpacing w:val="0"/>
        <w:jc w:val="both"/>
        <w:rPr>
          <w:rFonts w:ascii="Times New Roman" w:hAnsi="Times New Roman" w:cs="Times New Roman"/>
        </w:rPr>
      </w:pPr>
      <w:r w:rsidRPr="006F0860">
        <w:rPr>
          <w:rFonts w:ascii="Times New Roman" w:hAnsi="Times New Roman" w:cs="Times New Roman"/>
        </w:rPr>
        <w:t>Štruktúra emitovaných štátnych dlhopisov a emisná politika v priebehu bežného roka. Ak MF SR emituje dlhopisy s kratšou dobou splatnosti, ú</w:t>
      </w:r>
      <w:r>
        <w:rPr>
          <w:rFonts w:ascii="Times New Roman" w:hAnsi="Times New Roman" w:cs="Times New Roman"/>
        </w:rPr>
        <w:t>rokové sadzby sú zvyčajne menšie</w:t>
      </w:r>
      <w:r w:rsidRPr="006F0860">
        <w:rPr>
          <w:rFonts w:ascii="Times New Roman" w:hAnsi="Times New Roman" w:cs="Times New Roman"/>
        </w:rPr>
        <w:t xml:space="preserve">. Nevýhodou je však väčšie refinančné </w:t>
      </w:r>
      <w:r>
        <w:rPr>
          <w:rFonts w:ascii="Times New Roman" w:hAnsi="Times New Roman" w:cs="Times New Roman"/>
        </w:rPr>
        <w:t xml:space="preserve">riziko </w:t>
      </w:r>
      <w:r w:rsidRPr="006F0860">
        <w:rPr>
          <w:rFonts w:ascii="Times New Roman" w:hAnsi="Times New Roman" w:cs="Times New Roman"/>
        </w:rPr>
        <w:t>a úrokové riziko. A naopak, pri dlhších sp</w:t>
      </w:r>
      <w:r>
        <w:rPr>
          <w:rFonts w:ascii="Times New Roman" w:hAnsi="Times New Roman" w:cs="Times New Roman"/>
        </w:rPr>
        <w:t>latnostiach sú síce úroky väčšie</w:t>
      </w:r>
      <w:r w:rsidRPr="006F0860">
        <w:rPr>
          <w:rFonts w:ascii="Times New Roman" w:hAnsi="Times New Roman" w:cs="Times New Roman"/>
        </w:rPr>
        <w:t>, ale štát má väčšiu istotu stability pri financovaní štátneho dlhu.</w:t>
      </w:r>
    </w:p>
    <w:p w:rsidR="00064239" w:rsidRPr="006F0860" w:rsidP="00064239">
      <w:pPr>
        <w:bidi w:val="0"/>
        <w:rPr>
          <w:rFonts w:ascii="Times New Roman" w:hAnsi="Times New Roman" w:cs="Times New Roman"/>
          <w:b/>
        </w:rPr>
      </w:pPr>
    </w:p>
    <w:p w:rsidR="00064239" w:rsidRPr="006F0860" w:rsidP="00064239">
      <w:pPr>
        <w:bidi w:val="0"/>
        <w:rPr>
          <w:rFonts w:ascii="Times New Roman" w:hAnsi="Times New Roman" w:cs="Times New Roman"/>
          <w:i/>
          <w:iCs/>
          <w:u w:val="single"/>
        </w:rPr>
      </w:pPr>
      <w:r w:rsidRPr="006F0860">
        <w:rPr>
          <w:rFonts w:ascii="Times New Roman" w:hAnsi="Times New Roman" w:cs="Times New Roman"/>
          <w:i/>
          <w:u w:val="single"/>
        </w:rPr>
        <w:t xml:space="preserve">Náklady </w:t>
      </w:r>
      <w:r w:rsidRPr="006F0860">
        <w:rPr>
          <w:rFonts w:ascii="Times New Roman" w:hAnsi="Times New Roman" w:cs="Times New Roman"/>
          <w:i/>
          <w:iCs/>
          <w:u w:val="single"/>
        </w:rPr>
        <w:t>na financovanie štátneho dlhu</w:t>
      </w:r>
      <w:r>
        <w:rPr>
          <w:rFonts w:ascii="Times New Roman" w:hAnsi="Times New Roman" w:cs="Times New Roman"/>
          <w:i/>
          <w:iCs/>
          <w:u w:val="single"/>
        </w:rPr>
        <w:t xml:space="preserve"> (len čisté výdavky tzv. saldo)</w:t>
      </w:r>
    </w:p>
    <w:p w:rsidR="00064239" w:rsidRPr="00193117" w:rsidP="00064239">
      <w:pPr>
        <w:bidi w:val="0"/>
        <w:jc w:val="both"/>
        <w:rPr>
          <w:rFonts w:ascii="Times New Roman" w:hAnsi="Times New Roman"/>
        </w:rPr>
      </w:pPr>
    </w:p>
    <w:p w:rsidR="00064239" w:rsidP="00064239">
      <w:pPr>
        <w:bidi w:val="0"/>
        <w:ind w:firstLine="708"/>
        <w:jc w:val="both"/>
        <w:rPr>
          <w:rFonts w:ascii="Times New Roman" w:hAnsi="Times New Roman"/>
        </w:rPr>
      </w:pPr>
      <w:r w:rsidRPr="00193117">
        <w:rPr>
          <w:rFonts w:ascii="Times New Roman" w:hAnsi="Times New Roman"/>
        </w:rPr>
        <w:t>Zmeny úrokových sadzieb a zmeny deficitov štátneho rozpočtu sa prejavia v zmene nákladov na štátny dlh. Celkové zaťaženie verejných financií úrokovými nákladmi sa sleduje dvoma spôsobmi. Akruálne náklady (časovo rozlíšené) zodpovedajú nákladom na daný kalendárny rok, a to bez ohľadu na to, či sa úroky vyplatia v danom roku alebo až ďalších rokoch. Akruálne sledovanie a vykazovanie nákladov presnejšie odzrkadľuje reálne náklady štátu na dlhovú službu v jednotlivých rokoch.</w:t>
      </w:r>
    </w:p>
    <w:p w:rsidR="00D83F50" w:rsidP="00064239">
      <w:pPr>
        <w:bidi w:val="0"/>
        <w:ind w:firstLine="708"/>
        <w:jc w:val="both"/>
        <w:rPr>
          <w:rFonts w:ascii="Times New Roman" w:hAnsi="Times New Roman"/>
        </w:rPr>
      </w:pPr>
    </w:p>
    <w:p w:rsidR="00D83F50" w:rsidP="00064239">
      <w:pPr>
        <w:bidi w:val="0"/>
        <w:ind w:firstLine="708"/>
        <w:jc w:val="both"/>
        <w:rPr>
          <w:rFonts w:ascii="Times New Roman" w:hAnsi="Times New Roman"/>
        </w:rPr>
      </w:pPr>
    </w:p>
    <w:p w:rsidR="00D83F50" w:rsidP="00064239">
      <w:pPr>
        <w:bidi w:val="0"/>
        <w:ind w:firstLine="708"/>
        <w:jc w:val="both"/>
        <w:rPr>
          <w:rFonts w:ascii="Times New Roman" w:hAnsi="Times New Roman"/>
        </w:rPr>
      </w:pPr>
    </w:p>
    <w:p w:rsidR="00064239" w:rsidP="00064239">
      <w:pPr>
        <w:bidi w:val="0"/>
        <w:ind w:firstLine="708"/>
        <w:jc w:val="both"/>
        <w:rPr>
          <w:rFonts w:ascii="Times New Roman" w:hAnsi="Times New Roman"/>
        </w:rPr>
      </w:pPr>
    </w:p>
    <w:p w:rsidR="00064239" w:rsidP="00064239">
      <w:pPr>
        <w:bidi w:val="0"/>
        <w:ind w:firstLine="708"/>
        <w:jc w:val="both"/>
        <w:rPr>
          <w:rFonts w:ascii="Times New Roman" w:hAnsi="Times New Roman"/>
        </w:rPr>
      </w:pP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399"/>
        <w:gridCol w:w="945"/>
        <w:gridCol w:w="946"/>
        <w:gridCol w:w="945"/>
        <w:gridCol w:w="946"/>
        <w:gridCol w:w="945"/>
        <w:gridCol w:w="946"/>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61"/>
        </w:trPr>
        <w:tc>
          <w:tcPr>
            <w:tcW w:w="3399"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64239" w:rsidRPr="00193117" w:rsidP="00C450B8">
            <w:pPr>
              <w:bidi w:val="0"/>
              <w:rPr>
                <w:rFonts w:ascii="Times New Roman" w:hAnsi="Times New Roman"/>
                <w:b/>
                <w:sz w:val="14"/>
                <w:szCs w:val="14"/>
              </w:rPr>
            </w:pPr>
            <w:r w:rsidRPr="00193117">
              <w:rPr>
                <w:rFonts w:ascii="Times New Roman" w:hAnsi="Times New Roman"/>
                <w:b/>
                <w:sz w:val="14"/>
                <w:szCs w:val="14"/>
              </w:rPr>
              <w:t>Akruálne (časovo rozlíšené) náklady</w:t>
            </w:r>
            <w:r>
              <w:rPr>
                <w:rFonts w:ascii="Times New Roman" w:hAnsi="Times New Roman"/>
                <w:b/>
                <w:sz w:val="14"/>
                <w:szCs w:val="14"/>
              </w:rPr>
              <w:t xml:space="preserve"> </w:t>
            </w:r>
            <w:r w:rsidRPr="00193117">
              <w:rPr>
                <w:rFonts w:ascii="Times New Roman" w:hAnsi="Times New Roman"/>
                <w:b/>
                <w:sz w:val="14"/>
                <w:szCs w:val="14"/>
              </w:rPr>
              <w:t>[</w:t>
            </w:r>
            <w:r>
              <w:rPr>
                <w:rFonts w:ascii="Times New Roman" w:hAnsi="Times New Roman"/>
                <w:b/>
                <w:sz w:val="14"/>
                <w:szCs w:val="14"/>
              </w:rPr>
              <w:t xml:space="preserve">v </w:t>
            </w:r>
            <w:r w:rsidRPr="00193117">
              <w:rPr>
                <w:rFonts w:ascii="Times New Roman" w:hAnsi="Times New Roman"/>
                <w:b/>
                <w:sz w:val="14"/>
                <w:szCs w:val="14"/>
              </w:rPr>
              <w:t xml:space="preserve">mil. </w:t>
            </w:r>
            <w:r>
              <w:rPr>
                <w:rFonts w:ascii="Times New Roman" w:hAnsi="Times New Roman"/>
                <w:b/>
                <w:sz w:val="14"/>
                <w:szCs w:val="14"/>
              </w:rPr>
              <w:t>eur</w:t>
            </w:r>
            <w:r w:rsidRPr="00193117">
              <w:rPr>
                <w:rFonts w:ascii="Times New Roman" w:hAnsi="Times New Roman"/>
                <w:b/>
                <w:sz w:val="14"/>
                <w:szCs w:val="14"/>
              </w:rPr>
              <w:t>]</w:t>
            </w:r>
          </w:p>
        </w:tc>
        <w:tc>
          <w:tcPr>
            <w:tcW w:w="94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w:t>
            </w:r>
            <w:r>
              <w:rPr>
                <w:rFonts w:ascii="Times New Roman" w:hAnsi="Times New Roman"/>
                <w:b/>
                <w:sz w:val="14"/>
                <w:szCs w:val="14"/>
              </w:rPr>
              <w:t>10 S</w:t>
            </w:r>
          </w:p>
        </w:tc>
        <w:tc>
          <w:tcPr>
            <w:tcW w:w="946"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201</w:t>
            </w:r>
            <w:r>
              <w:rPr>
                <w:rFonts w:ascii="Times New Roman" w:hAnsi="Times New Roman"/>
                <w:b/>
                <w:sz w:val="14"/>
                <w:szCs w:val="14"/>
              </w:rPr>
              <w:t>1 S</w:t>
            </w:r>
          </w:p>
        </w:tc>
        <w:tc>
          <w:tcPr>
            <w:tcW w:w="94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201</w:t>
            </w:r>
            <w:r>
              <w:rPr>
                <w:rFonts w:ascii="Times New Roman" w:hAnsi="Times New Roman"/>
                <w:b/>
                <w:sz w:val="14"/>
                <w:szCs w:val="14"/>
              </w:rPr>
              <w:t>2 R</w:t>
            </w:r>
          </w:p>
        </w:tc>
        <w:tc>
          <w:tcPr>
            <w:tcW w:w="946"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201</w:t>
            </w:r>
            <w:r>
              <w:rPr>
                <w:rFonts w:ascii="Times New Roman" w:hAnsi="Times New Roman"/>
                <w:b/>
                <w:sz w:val="14"/>
                <w:szCs w:val="14"/>
              </w:rPr>
              <w:t>3 N</w:t>
            </w:r>
          </w:p>
        </w:tc>
        <w:tc>
          <w:tcPr>
            <w:tcW w:w="945"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201</w:t>
            </w:r>
            <w:r>
              <w:rPr>
                <w:rFonts w:ascii="Times New Roman" w:hAnsi="Times New Roman"/>
                <w:b/>
                <w:sz w:val="14"/>
                <w:szCs w:val="14"/>
              </w:rPr>
              <w:t>4 N</w:t>
            </w:r>
          </w:p>
        </w:tc>
        <w:tc>
          <w:tcPr>
            <w:tcW w:w="94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201</w:t>
            </w:r>
            <w:r>
              <w:rPr>
                <w:rFonts w:ascii="Times New Roman" w:hAnsi="Times New Roman"/>
                <w:b/>
                <w:sz w:val="14"/>
                <w:szCs w:val="14"/>
              </w:rPr>
              <w:t>5 N</w:t>
            </w:r>
          </w:p>
        </w:tc>
      </w:tr>
      <w:tr>
        <w:tblPrEx>
          <w:tblW w:w="9072" w:type="dxa"/>
          <w:tblInd w:w="70" w:type="dxa"/>
          <w:tblLayout w:type="fixed"/>
          <w:tblCellMar>
            <w:left w:w="70" w:type="dxa"/>
            <w:right w:w="70" w:type="dxa"/>
          </w:tblCellMar>
          <w:tblLook w:val="04A0"/>
        </w:tblPrEx>
        <w:trPr>
          <w:trHeight w:val="255"/>
        </w:trPr>
        <w:tc>
          <w:tcPr>
            <w:tcW w:w="339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193117" w:rsidP="00C450B8">
            <w:pPr>
              <w:bidi w:val="0"/>
              <w:rPr>
                <w:rFonts w:ascii="Times New Roman" w:hAnsi="Times New Roman"/>
                <w:sz w:val="14"/>
                <w:szCs w:val="14"/>
              </w:rPr>
            </w:pPr>
            <w:r w:rsidRPr="00193117">
              <w:rPr>
                <w:rFonts w:ascii="Times New Roman" w:hAnsi="Times New Roman"/>
                <w:sz w:val="14"/>
                <w:szCs w:val="14"/>
              </w:rPr>
              <w:t>1.Úroky a diskont št</w:t>
            </w:r>
            <w:r>
              <w:rPr>
                <w:rFonts w:ascii="Times New Roman" w:hAnsi="Times New Roman"/>
                <w:sz w:val="14"/>
                <w:szCs w:val="14"/>
              </w:rPr>
              <w:t xml:space="preserve">átnych cenných papierov vrátane </w:t>
            </w:r>
            <w:r w:rsidRPr="00193117">
              <w:rPr>
                <w:rFonts w:ascii="Times New Roman" w:hAnsi="Times New Roman"/>
                <w:sz w:val="14"/>
                <w:szCs w:val="14"/>
              </w:rPr>
              <w:t>nákladov na fin. operácie ŠD</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871,7</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1 030,19</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1 128,93</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1 297,75</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1</w:t>
            </w:r>
            <w:r>
              <w:rPr>
                <w:rFonts w:ascii="Times New Roman" w:hAnsi="Times New Roman"/>
                <w:sz w:val="14"/>
                <w:szCs w:val="14"/>
              </w:rPr>
              <w:t> 408,72</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1</w:t>
            </w:r>
            <w:r>
              <w:rPr>
                <w:rFonts w:ascii="Times New Roman" w:hAnsi="Times New Roman"/>
                <w:sz w:val="14"/>
                <w:szCs w:val="14"/>
              </w:rPr>
              <w:t> 552,80</w:t>
            </w:r>
          </w:p>
        </w:tc>
      </w:tr>
      <w:tr>
        <w:tblPrEx>
          <w:tblW w:w="9072" w:type="dxa"/>
          <w:tblInd w:w="70" w:type="dxa"/>
          <w:tblLayout w:type="fixed"/>
          <w:tblCellMar>
            <w:left w:w="70" w:type="dxa"/>
            <w:right w:w="70" w:type="dxa"/>
          </w:tblCellMar>
          <w:tblLook w:val="04A0"/>
        </w:tblPrEx>
        <w:trPr>
          <w:trHeight w:val="239"/>
        </w:trPr>
        <w:tc>
          <w:tcPr>
            <w:tcW w:w="339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193117" w:rsidP="00C450B8">
            <w:pPr>
              <w:bidi w:val="0"/>
              <w:rPr>
                <w:rFonts w:ascii="Times New Roman" w:hAnsi="Times New Roman"/>
                <w:sz w:val="14"/>
                <w:szCs w:val="14"/>
              </w:rPr>
            </w:pPr>
            <w:r w:rsidRPr="00193117">
              <w:rPr>
                <w:rFonts w:ascii="Times New Roman" w:hAnsi="Times New Roman"/>
                <w:sz w:val="14"/>
                <w:szCs w:val="14"/>
              </w:rPr>
              <w:t>2. Úroky z prijatých vládnych úverov</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30,6</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42,15</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75,34</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7</w:t>
            </w:r>
            <w:r>
              <w:rPr>
                <w:rFonts w:ascii="Times New Roman" w:hAnsi="Times New Roman"/>
                <w:sz w:val="14"/>
                <w:szCs w:val="14"/>
              </w:rPr>
              <w:t>1,97</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65,83</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60,05</w:t>
            </w:r>
          </w:p>
        </w:tc>
      </w:tr>
      <w:tr>
        <w:tblPrEx>
          <w:tblW w:w="9072" w:type="dxa"/>
          <w:tblInd w:w="70" w:type="dxa"/>
          <w:tblLayout w:type="fixed"/>
          <w:tblCellMar>
            <w:left w:w="70" w:type="dxa"/>
            <w:right w:w="70" w:type="dxa"/>
          </w:tblCellMar>
          <w:tblLook w:val="04A0"/>
        </w:tblPrEx>
        <w:trPr>
          <w:trHeight w:val="239"/>
        </w:trPr>
        <w:tc>
          <w:tcPr>
            <w:tcW w:w="339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193117" w:rsidP="00C450B8">
            <w:pPr>
              <w:bidi w:val="0"/>
              <w:rPr>
                <w:rFonts w:ascii="Times New Roman" w:hAnsi="Times New Roman"/>
                <w:sz w:val="14"/>
                <w:szCs w:val="14"/>
              </w:rPr>
            </w:pPr>
            <w:r w:rsidRPr="00193117">
              <w:rPr>
                <w:rFonts w:ascii="Times New Roman" w:hAnsi="Times New Roman"/>
                <w:sz w:val="14"/>
                <w:szCs w:val="14"/>
              </w:rPr>
              <w:t>3. Poplatky</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10,7</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5,34</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16,63</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22,50</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36,50</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36,50</w:t>
            </w:r>
          </w:p>
        </w:tc>
      </w:tr>
      <w:tr>
        <w:tblPrEx>
          <w:tblW w:w="9072" w:type="dxa"/>
          <w:tblInd w:w="70" w:type="dxa"/>
          <w:tblLayout w:type="fixed"/>
          <w:tblCellMar>
            <w:left w:w="70" w:type="dxa"/>
            <w:right w:w="70" w:type="dxa"/>
          </w:tblCellMar>
          <w:tblLook w:val="04A0"/>
        </w:tblPrEx>
        <w:trPr>
          <w:trHeight w:val="239"/>
        </w:trPr>
        <w:tc>
          <w:tcPr>
            <w:tcW w:w="3399"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193117" w:rsidP="00C450B8">
            <w:pPr>
              <w:bidi w:val="0"/>
              <w:ind w:left="224" w:hanging="224"/>
              <w:rPr>
                <w:rFonts w:ascii="Times New Roman" w:hAnsi="Times New Roman"/>
                <w:sz w:val="14"/>
                <w:szCs w:val="14"/>
              </w:rPr>
            </w:pPr>
            <w:r w:rsidRPr="00193117">
              <w:rPr>
                <w:rFonts w:ascii="Times New Roman" w:hAnsi="Times New Roman"/>
                <w:sz w:val="14"/>
                <w:szCs w:val="14"/>
              </w:rPr>
              <w:t>4. Úroky platené ŠP (refinančný systém)</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18,6</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53</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46,10</w:t>
            </w:r>
          </w:p>
        </w:tc>
        <w:tc>
          <w:tcPr>
            <w:tcW w:w="946"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33,63</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40,83</w:t>
            </w:r>
          </w:p>
        </w:tc>
        <w:tc>
          <w:tcPr>
            <w:tcW w:w="946"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48,42</w:t>
            </w:r>
          </w:p>
        </w:tc>
      </w:tr>
      <w:tr>
        <w:tblPrEx>
          <w:tblW w:w="9072" w:type="dxa"/>
          <w:tblInd w:w="70" w:type="dxa"/>
          <w:tblLayout w:type="fixed"/>
          <w:tblCellMar>
            <w:left w:w="70" w:type="dxa"/>
            <w:right w:w="70" w:type="dxa"/>
          </w:tblCellMar>
          <w:tblLook w:val="04A0"/>
        </w:tblPrEx>
        <w:trPr>
          <w:trHeight w:val="239"/>
        </w:trPr>
        <w:tc>
          <w:tcPr>
            <w:tcW w:w="3399"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64239" w:rsidRPr="00193117" w:rsidP="00C450B8">
            <w:pPr>
              <w:bidi w:val="0"/>
              <w:ind w:left="224"/>
              <w:rPr>
                <w:rFonts w:ascii="Times New Roman" w:hAnsi="Times New Roman"/>
                <w:b/>
                <w:sz w:val="14"/>
                <w:szCs w:val="14"/>
              </w:rPr>
            </w:pPr>
            <w:r w:rsidRPr="00193117">
              <w:rPr>
                <w:rFonts w:ascii="Times New Roman" w:hAnsi="Times New Roman"/>
                <w:b/>
                <w:sz w:val="14"/>
                <w:szCs w:val="14"/>
              </w:rPr>
              <w:t>Spolu</w:t>
            </w:r>
          </w:p>
        </w:tc>
        <w:tc>
          <w:tcPr>
            <w:tcW w:w="9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193117" w:rsidP="00C450B8">
            <w:pPr>
              <w:bidi w:val="0"/>
              <w:jc w:val="right"/>
              <w:rPr>
                <w:rFonts w:ascii="Times New Roman" w:hAnsi="Times New Roman"/>
                <w:b/>
                <w:sz w:val="14"/>
                <w:szCs w:val="14"/>
              </w:rPr>
            </w:pPr>
            <w:r w:rsidRPr="00193117">
              <w:rPr>
                <w:rFonts w:ascii="Times New Roman" w:hAnsi="Times New Roman"/>
                <w:b/>
                <w:sz w:val="14"/>
                <w:szCs w:val="14"/>
              </w:rPr>
              <w:t>931,6</w:t>
            </w:r>
          </w:p>
        </w:tc>
        <w:tc>
          <w:tcPr>
            <w:tcW w:w="946"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64239" w:rsidRPr="00193117" w:rsidP="00C450B8">
            <w:pPr>
              <w:bidi w:val="0"/>
              <w:jc w:val="right"/>
              <w:rPr>
                <w:rFonts w:ascii="Times New Roman" w:hAnsi="Times New Roman"/>
                <w:b/>
                <w:sz w:val="14"/>
                <w:szCs w:val="14"/>
              </w:rPr>
            </w:pPr>
            <w:r>
              <w:rPr>
                <w:rFonts w:ascii="Times New Roman" w:hAnsi="Times New Roman"/>
                <w:b/>
                <w:sz w:val="14"/>
                <w:szCs w:val="14"/>
              </w:rPr>
              <w:t>1 130,68</w:t>
            </w:r>
          </w:p>
        </w:tc>
        <w:tc>
          <w:tcPr>
            <w:tcW w:w="9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193117" w:rsidP="00C450B8">
            <w:pPr>
              <w:bidi w:val="0"/>
              <w:jc w:val="right"/>
              <w:rPr>
                <w:rFonts w:ascii="Times New Roman" w:hAnsi="Times New Roman"/>
                <w:b/>
                <w:sz w:val="14"/>
                <w:szCs w:val="14"/>
              </w:rPr>
            </w:pPr>
            <w:r w:rsidRPr="00193117">
              <w:rPr>
                <w:rFonts w:ascii="Times New Roman" w:hAnsi="Times New Roman"/>
                <w:b/>
                <w:sz w:val="14"/>
                <w:szCs w:val="14"/>
              </w:rPr>
              <w:t>1</w:t>
            </w:r>
            <w:r>
              <w:rPr>
                <w:rFonts w:ascii="Times New Roman" w:hAnsi="Times New Roman"/>
                <w:b/>
                <w:sz w:val="14"/>
                <w:szCs w:val="14"/>
              </w:rPr>
              <w:t> </w:t>
            </w:r>
            <w:r w:rsidRPr="00193117">
              <w:rPr>
                <w:rFonts w:ascii="Times New Roman" w:hAnsi="Times New Roman"/>
                <w:b/>
                <w:sz w:val="14"/>
                <w:szCs w:val="14"/>
              </w:rPr>
              <w:t>2</w:t>
            </w:r>
            <w:r>
              <w:rPr>
                <w:rFonts w:ascii="Times New Roman" w:hAnsi="Times New Roman"/>
                <w:b/>
                <w:sz w:val="14"/>
                <w:szCs w:val="14"/>
              </w:rPr>
              <w:t>67,00</w:t>
            </w:r>
          </w:p>
        </w:tc>
        <w:tc>
          <w:tcPr>
            <w:tcW w:w="946"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64239" w:rsidRPr="00C42AD1" w:rsidP="00C450B8">
            <w:pPr>
              <w:bidi w:val="0"/>
              <w:jc w:val="right"/>
              <w:rPr>
                <w:rFonts w:ascii="Times New Roman" w:hAnsi="Times New Roman"/>
                <w:b/>
                <w:sz w:val="14"/>
                <w:szCs w:val="14"/>
              </w:rPr>
            </w:pPr>
            <w:r>
              <w:rPr>
                <w:rFonts w:ascii="Times New Roman" w:hAnsi="Times New Roman"/>
                <w:b/>
                <w:sz w:val="14"/>
                <w:szCs w:val="14"/>
              </w:rPr>
              <w:t>1 425,85</w:t>
            </w:r>
          </w:p>
        </w:tc>
        <w:tc>
          <w:tcPr>
            <w:tcW w:w="94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64239" w:rsidRPr="00C42AD1" w:rsidP="00C450B8">
            <w:pPr>
              <w:bidi w:val="0"/>
              <w:jc w:val="right"/>
              <w:rPr>
                <w:rFonts w:ascii="Times New Roman" w:hAnsi="Times New Roman"/>
                <w:b/>
                <w:sz w:val="14"/>
                <w:szCs w:val="14"/>
              </w:rPr>
            </w:pPr>
            <w:r w:rsidRPr="00C42AD1">
              <w:rPr>
                <w:rFonts w:ascii="Times New Roman" w:hAnsi="Times New Roman"/>
                <w:b/>
                <w:sz w:val="14"/>
                <w:szCs w:val="14"/>
              </w:rPr>
              <w:t>1</w:t>
            </w:r>
            <w:r>
              <w:rPr>
                <w:rFonts w:ascii="Times New Roman" w:hAnsi="Times New Roman"/>
                <w:b/>
                <w:sz w:val="14"/>
                <w:szCs w:val="14"/>
              </w:rPr>
              <w:t> 551,88</w:t>
            </w:r>
          </w:p>
        </w:tc>
        <w:tc>
          <w:tcPr>
            <w:tcW w:w="94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C42AD1" w:rsidP="00C450B8">
            <w:pPr>
              <w:bidi w:val="0"/>
              <w:jc w:val="right"/>
              <w:rPr>
                <w:rFonts w:ascii="Times New Roman" w:hAnsi="Times New Roman"/>
                <w:b/>
                <w:sz w:val="14"/>
                <w:szCs w:val="14"/>
              </w:rPr>
            </w:pPr>
            <w:r w:rsidRPr="00C42AD1">
              <w:rPr>
                <w:rFonts w:ascii="Times New Roman" w:hAnsi="Times New Roman"/>
                <w:b/>
                <w:sz w:val="14"/>
                <w:szCs w:val="14"/>
              </w:rPr>
              <w:t>1</w:t>
            </w:r>
            <w:r>
              <w:rPr>
                <w:rFonts w:ascii="Times New Roman" w:hAnsi="Times New Roman"/>
                <w:b/>
                <w:sz w:val="14"/>
                <w:szCs w:val="14"/>
              </w:rPr>
              <w:t> 697,77</w:t>
            </w:r>
          </w:p>
        </w:tc>
      </w:tr>
    </w:tbl>
    <w:p w:rsidR="00064239" w:rsidP="00064239">
      <w:pPr>
        <w:bidi w:val="0"/>
        <w:jc w:val="both"/>
        <w:rPr>
          <w:rFonts w:ascii="Times New Roman" w:hAnsi="Times New Roman"/>
        </w:rPr>
      </w:pPr>
    </w:p>
    <w:p w:rsidR="00064239" w:rsidP="00064239">
      <w:pPr>
        <w:bidi w:val="0"/>
        <w:ind w:firstLine="708"/>
        <w:jc w:val="both"/>
        <w:rPr>
          <w:rFonts w:ascii="Times New Roman" w:hAnsi="Times New Roman"/>
        </w:rPr>
      </w:pPr>
      <w:r w:rsidRPr="00193117">
        <w:rPr>
          <w:rFonts w:ascii="Times New Roman" w:hAnsi="Times New Roman"/>
        </w:rPr>
        <w:t>Druhý spôsob, tzv. hotovostné výdavky na štátny dlh sú dané hodnotou výdavkov, ktoré sa v danom roku vyplatia.</w:t>
      </w:r>
    </w:p>
    <w:p w:rsidR="00064239" w:rsidRPr="00193117" w:rsidP="00064239">
      <w:pPr>
        <w:bidi w:val="0"/>
        <w:jc w:val="both"/>
        <w:rPr>
          <w:rFonts w:ascii="Times New Roman" w:hAnsi="Times New Roman"/>
        </w:rPr>
      </w:pP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02"/>
        <w:gridCol w:w="945"/>
        <w:gridCol w:w="945"/>
        <w:gridCol w:w="945"/>
        <w:gridCol w:w="945"/>
        <w:gridCol w:w="945"/>
        <w:gridCol w:w="945"/>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225"/>
        </w:trPr>
        <w:tc>
          <w:tcPr>
            <w:tcW w:w="340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64239" w:rsidRPr="00193117" w:rsidP="00C450B8">
            <w:pPr>
              <w:bidi w:val="0"/>
              <w:rPr>
                <w:rFonts w:ascii="Times New Roman" w:hAnsi="Times New Roman"/>
                <w:b/>
                <w:sz w:val="14"/>
                <w:szCs w:val="14"/>
              </w:rPr>
            </w:pPr>
            <w:r w:rsidRPr="00193117">
              <w:rPr>
                <w:rFonts w:ascii="Times New Roman" w:hAnsi="Times New Roman"/>
                <w:b/>
                <w:sz w:val="14"/>
                <w:szCs w:val="14"/>
              </w:rPr>
              <w:t>Hotovostné náklady</w:t>
            </w:r>
            <w:r>
              <w:rPr>
                <w:rFonts w:ascii="Times New Roman" w:hAnsi="Times New Roman"/>
                <w:b/>
                <w:sz w:val="14"/>
                <w:szCs w:val="14"/>
              </w:rPr>
              <w:t xml:space="preserve"> </w:t>
            </w:r>
            <w:r w:rsidRPr="00193117">
              <w:rPr>
                <w:rFonts w:ascii="Times New Roman" w:hAnsi="Times New Roman"/>
                <w:b/>
                <w:sz w:val="14"/>
                <w:szCs w:val="14"/>
              </w:rPr>
              <w:t>[</w:t>
            </w:r>
            <w:r>
              <w:rPr>
                <w:rFonts w:ascii="Times New Roman" w:hAnsi="Times New Roman"/>
                <w:b/>
                <w:sz w:val="14"/>
                <w:szCs w:val="14"/>
              </w:rPr>
              <w:t xml:space="preserve">v </w:t>
            </w:r>
            <w:r w:rsidRPr="00193117">
              <w:rPr>
                <w:rFonts w:ascii="Times New Roman" w:hAnsi="Times New Roman"/>
                <w:b/>
                <w:sz w:val="14"/>
                <w:szCs w:val="14"/>
              </w:rPr>
              <w:t xml:space="preserve">mil. </w:t>
            </w:r>
            <w:r>
              <w:rPr>
                <w:rFonts w:ascii="Times New Roman" w:hAnsi="Times New Roman"/>
                <w:b/>
                <w:sz w:val="14"/>
                <w:szCs w:val="14"/>
              </w:rPr>
              <w:t>eur</w:t>
            </w:r>
            <w:r w:rsidRPr="00193117">
              <w:rPr>
                <w:rFonts w:ascii="Times New Roman" w:hAnsi="Times New Roman"/>
                <w:b/>
                <w:sz w:val="14"/>
                <w:szCs w:val="14"/>
              </w:rPr>
              <w:t>]</w:t>
            </w:r>
          </w:p>
        </w:tc>
        <w:tc>
          <w:tcPr>
            <w:tcW w:w="94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w:t>
            </w:r>
            <w:r>
              <w:rPr>
                <w:rFonts w:ascii="Times New Roman" w:hAnsi="Times New Roman"/>
                <w:b/>
                <w:sz w:val="14"/>
                <w:szCs w:val="14"/>
              </w:rPr>
              <w:t>10 S</w:t>
            </w:r>
          </w:p>
        </w:tc>
        <w:tc>
          <w:tcPr>
            <w:tcW w:w="945"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201</w:t>
            </w:r>
            <w:r>
              <w:rPr>
                <w:rFonts w:ascii="Times New Roman" w:hAnsi="Times New Roman"/>
                <w:b/>
                <w:sz w:val="14"/>
                <w:szCs w:val="14"/>
              </w:rPr>
              <w:t>1 S</w:t>
            </w:r>
          </w:p>
        </w:tc>
        <w:tc>
          <w:tcPr>
            <w:tcW w:w="94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201</w:t>
            </w:r>
            <w:r>
              <w:rPr>
                <w:rFonts w:ascii="Times New Roman" w:hAnsi="Times New Roman"/>
                <w:b/>
                <w:sz w:val="14"/>
                <w:szCs w:val="14"/>
              </w:rPr>
              <w:t>2 R</w:t>
            </w:r>
          </w:p>
        </w:tc>
        <w:tc>
          <w:tcPr>
            <w:tcW w:w="945"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201</w:t>
            </w:r>
            <w:r>
              <w:rPr>
                <w:rFonts w:ascii="Times New Roman" w:hAnsi="Times New Roman"/>
                <w:b/>
                <w:sz w:val="14"/>
                <w:szCs w:val="14"/>
              </w:rPr>
              <w:t>3 N</w:t>
            </w:r>
          </w:p>
        </w:tc>
        <w:tc>
          <w:tcPr>
            <w:tcW w:w="945"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201</w:t>
            </w:r>
            <w:r>
              <w:rPr>
                <w:rFonts w:ascii="Times New Roman" w:hAnsi="Times New Roman"/>
                <w:b/>
                <w:sz w:val="14"/>
                <w:szCs w:val="14"/>
              </w:rPr>
              <w:t>4 N</w:t>
            </w:r>
          </w:p>
        </w:tc>
        <w:tc>
          <w:tcPr>
            <w:tcW w:w="94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064239" w:rsidRPr="00193117" w:rsidP="00C450B8">
            <w:pPr>
              <w:bidi w:val="0"/>
              <w:jc w:val="center"/>
              <w:rPr>
                <w:rFonts w:ascii="Times New Roman" w:hAnsi="Times New Roman"/>
                <w:b/>
                <w:sz w:val="14"/>
                <w:szCs w:val="14"/>
              </w:rPr>
            </w:pPr>
            <w:r w:rsidRPr="00193117">
              <w:rPr>
                <w:rFonts w:ascii="Times New Roman" w:hAnsi="Times New Roman"/>
                <w:b/>
                <w:sz w:val="14"/>
                <w:szCs w:val="14"/>
              </w:rPr>
              <w:t>201</w:t>
            </w:r>
            <w:r>
              <w:rPr>
                <w:rFonts w:ascii="Times New Roman" w:hAnsi="Times New Roman"/>
                <w:b/>
                <w:sz w:val="14"/>
                <w:szCs w:val="14"/>
              </w:rPr>
              <w:t>5 N</w:t>
            </w:r>
          </w:p>
        </w:tc>
      </w:tr>
      <w:tr>
        <w:tblPrEx>
          <w:tblW w:w="9072" w:type="dxa"/>
          <w:tblInd w:w="70" w:type="dxa"/>
          <w:tblLayout w:type="fixed"/>
          <w:tblCellMar>
            <w:left w:w="70" w:type="dxa"/>
            <w:right w:w="70" w:type="dxa"/>
          </w:tblCellMar>
          <w:tblLook w:val="04A0"/>
        </w:tblPrEx>
        <w:trPr>
          <w:trHeight w:val="255"/>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193117" w:rsidP="00C450B8">
            <w:pPr>
              <w:bidi w:val="0"/>
              <w:rPr>
                <w:rFonts w:ascii="Times New Roman" w:hAnsi="Times New Roman"/>
                <w:sz w:val="14"/>
                <w:szCs w:val="14"/>
              </w:rPr>
            </w:pPr>
            <w:r w:rsidRPr="00193117">
              <w:rPr>
                <w:rFonts w:ascii="Times New Roman" w:hAnsi="Times New Roman"/>
                <w:sz w:val="14"/>
                <w:szCs w:val="14"/>
              </w:rPr>
              <w:t>1. Úroky a diskont štátnych cenných papierov vrátane nákladov na fin. operácie ŠD</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808,5</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920,59</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1 284,60</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1 212,00</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1 369,81</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1</w:t>
            </w:r>
            <w:r>
              <w:rPr>
                <w:rFonts w:ascii="Times New Roman" w:hAnsi="Times New Roman"/>
                <w:sz w:val="14"/>
                <w:szCs w:val="14"/>
              </w:rPr>
              <w:t> 532,52</w:t>
            </w:r>
          </w:p>
        </w:tc>
      </w:tr>
      <w:tr>
        <w:tblPrEx>
          <w:tblW w:w="9072" w:type="dxa"/>
          <w:tblInd w:w="70" w:type="dxa"/>
          <w:tblLayout w:type="fixed"/>
          <w:tblCellMar>
            <w:left w:w="70" w:type="dxa"/>
            <w:right w:w="70" w:type="dxa"/>
          </w:tblCellMar>
          <w:tblLook w:val="04A0"/>
        </w:tblPrEx>
        <w:trPr>
          <w:trHeight w:val="239"/>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193117" w:rsidP="00C450B8">
            <w:pPr>
              <w:bidi w:val="0"/>
              <w:rPr>
                <w:rFonts w:ascii="Times New Roman" w:hAnsi="Times New Roman"/>
                <w:sz w:val="14"/>
                <w:szCs w:val="14"/>
              </w:rPr>
            </w:pPr>
            <w:r w:rsidRPr="00193117">
              <w:rPr>
                <w:rFonts w:ascii="Times New Roman" w:hAnsi="Times New Roman"/>
                <w:sz w:val="14"/>
                <w:szCs w:val="14"/>
              </w:rPr>
              <w:t>2. Úroky z prijatých vládnych úverov</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30,1</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28,2</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38,98</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57,88</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69,83</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60,31</w:t>
            </w:r>
          </w:p>
        </w:tc>
      </w:tr>
      <w:tr>
        <w:tblPrEx>
          <w:tblW w:w="9072" w:type="dxa"/>
          <w:tblInd w:w="70" w:type="dxa"/>
          <w:tblLayout w:type="fixed"/>
          <w:tblCellMar>
            <w:left w:w="70" w:type="dxa"/>
            <w:right w:w="70" w:type="dxa"/>
          </w:tblCellMar>
          <w:tblLook w:val="04A0"/>
        </w:tblPrEx>
        <w:trPr>
          <w:trHeight w:val="239"/>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193117" w:rsidP="00C450B8">
            <w:pPr>
              <w:bidi w:val="0"/>
              <w:rPr>
                <w:rFonts w:ascii="Times New Roman" w:hAnsi="Times New Roman"/>
                <w:sz w:val="14"/>
                <w:szCs w:val="14"/>
              </w:rPr>
            </w:pPr>
            <w:r w:rsidRPr="00193117">
              <w:rPr>
                <w:rFonts w:ascii="Times New Roman" w:hAnsi="Times New Roman"/>
                <w:sz w:val="14"/>
                <w:szCs w:val="14"/>
              </w:rPr>
              <w:t>3. Poplatky</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10,7</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5,34</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16,63</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22,50</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36,50</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36,50</w:t>
            </w:r>
          </w:p>
        </w:tc>
      </w:tr>
      <w:tr>
        <w:tblPrEx>
          <w:tblW w:w="9072" w:type="dxa"/>
          <w:tblInd w:w="70" w:type="dxa"/>
          <w:tblLayout w:type="fixed"/>
          <w:tblCellMar>
            <w:left w:w="70" w:type="dxa"/>
            <w:right w:w="70" w:type="dxa"/>
          </w:tblCellMar>
          <w:tblLook w:val="04A0"/>
        </w:tblPrEx>
        <w:trPr>
          <w:trHeight w:val="239"/>
        </w:trPr>
        <w:tc>
          <w:tcPr>
            <w:tcW w:w="3402" w:type="dxa"/>
            <w:tcBorders>
              <w:top w:val="single" w:sz="4" w:space="0" w:color="auto"/>
              <w:left w:val="single" w:sz="4" w:space="0" w:color="auto"/>
              <w:bottom w:val="single" w:sz="4" w:space="0" w:color="auto"/>
              <w:right w:val="single" w:sz="4" w:space="0" w:color="auto"/>
            </w:tcBorders>
            <w:noWrap/>
            <w:textDirection w:val="lrTb"/>
            <w:vAlign w:val="bottom"/>
            <w:hideMark/>
          </w:tcPr>
          <w:p w:rsidR="00064239" w:rsidRPr="00193117" w:rsidP="00C450B8">
            <w:pPr>
              <w:bidi w:val="0"/>
              <w:ind w:left="224" w:hanging="224"/>
              <w:rPr>
                <w:rFonts w:ascii="Times New Roman" w:hAnsi="Times New Roman"/>
                <w:sz w:val="14"/>
                <w:szCs w:val="14"/>
              </w:rPr>
            </w:pPr>
            <w:r w:rsidRPr="00193117">
              <w:rPr>
                <w:rFonts w:ascii="Times New Roman" w:hAnsi="Times New Roman"/>
                <w:sz w:val="14"/>
                <w:szCs w:val="14"/>
              </w:rPr>
              <w:t>4. Úroky platené ŠP (refinančný systém)</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sidRPr="00193117">
              <w:rPr>
                <w:rFonts w:ascii="Times New Roman" w:hAnsi="Times New Roman"/>
                <w:sz w:val="14"/>
                <w:szCs w:val="14"/>
              </w:rPr>
              <w:t>14,7</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52,51</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46,10</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33,63</w:t>
            </w:r>
          </w:p>
        </w:tc>
        <w:tc>
          <w:tcPr>
            <w:tcW w:w="945"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40,83</w:t>
            </w:r>
          </w:p>
        </w:tc>
        <w:tc>
          <w:tcPr>
            <w:tcW w:w="945"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rPr>
            </w:pPr>
            <w:r>
              <w:rPr>
                <w:rFonts w:ascii="Times New Roman" w:hAnsi="Times New Roman"/>
                <w:sz w:val="14"/>
                <w:szCs w:val="14"/>
              </w:rPr>
              <w:t>48,42</w:t>
            </w:r>
          </w:p>
        </w:tc>
      </w:tr>
      <w:tr>
        <w:tblPrEx>
          <w:tblW w:w="9072" w:type="dxa"/>
          <w:tblInd w:w="70" w:type="dxa"/>
          <w:tblLayout w:type="fixed"/>
          <w:tblCellMar>
            <w:left w:w="70" w:type="dxa"/>
            <w:right w:w="70" w:type="dxa"/>
          </w:tblCellMar>
          <w:tblLook w:val="04A0"/>
        </w:tblPrEx>
        <w:trPr>
          <w:trHeight w:val="239"/>
        </w:trPr>
        <w:tc>
          <w:tcPr>
            <w:tcW w:w="340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064239" w:rsidRPr="00193117" w:rsidP="00C450B8">
            <w:pPr>
              <w:bidi w:val="0"/>
              <w:ind w:left="224"/>
              <w:rPr>
                <w:rFonts w:ascii="Times New Roman" w:hAnsi="Times New Roman"/>
                <w:b/>
                <w:sz w:val="14"/>
                <w:szCs w:val="14"/>
              </w:rPr>
            </w:pPr>
            <w:r w:rsidRPr="00193117">
              <w:rPr>
                <w:rFonts w:ascii="Times New Roman" w:hAnsi="Times New Roman"/>
                <w:b/>
                <w:sz w:val="14"/>
                <w:szCs w:val="14"/>
              </w:rPr>
              <w:t>Spolu</w:t>
            </w:r>
          </w:p>
        </w:tc>
        <w:tc>
          <w:tcPr>
            <w:tcW w:w="9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193117" w:rsidP="00C450B8">
            <w:pPr>
              <w:bidi w:val="0"/>
              <w:jc w:val="right"/>
              <w:rPr>
                <w:rFonts w:ascii="Times New Roman" w:hAnsi="Times New Roman"/>
                <w:b/>
                <w:sz w:val="14"/>
                <w:szCs w:val="14"/>
              </w:rPr>
            </w:pPr>
            <w:r w:rsidRPr="00193117">
              <w:rPr>
                <w:rFonts w:ascii="Times New Roman" w:hAnsi="Times New Roman"/>
                <w:b/>
                <w:sz w:val="14"/>
                <w:szCs w:val="14"/>
              </w:rPr>
              <w:t>864,0</w:t>
            </w:r>
          </w:p>
        </w:tc>
        <w:tc>
          <w:tcPr>
            <w:tcW w:w="94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64239" w:rsidRPr="00193117" w:rsidP="00C450B8">
            <w:pPr>
              <w:bidi w:val="0"/>
              <w:jc w:val="right"/>
              <w:rPr>
                <w:rFonts w:ascii="Times New Roman" w:hAnsi="Times New Roman"/>
                <w:b/>
                <w:sz w:val="14"/>
                <w:szCs w:val="14"/>
              </w:rPr>
            </w:pPr>
            <w:r>
              <w:rPr>
                <w:rFonts w:ascii="Times New Roman" w:hAnsi="Times New Roman"/>
                <w:b/>
                <w:sz w:val="14"/>
                <w:szCs w:val="14"/>
              </w:rPr>
              <w:t>1 006,64</w:t>
            </w:r>
          </w:p>
        </w:tc>
        <w:tc>
          <w:tcPr>
            <w:tcW w:w="9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193117" w:rsidP="00C450B8">
            <w:pPr>
              <w:bidi w:val="0"/>
              <w:jc w:val="right"/>
              <w:rPr>
                <w:rFonts w:ascii="Times New Roman" w:hAnsi="Times New Roman"/>
                <w:b/>
                <w:sz w:val="14"/>
                <w:szCs w:val="14"/>
              </w:rPr>
            </w:pPr>
            <w:r w:rsidRPr="00193117">
              <w:rPr>
                <w:rFonts w:ascii="Times New Roman" w:hAnsi="Times New Roman"/>
                <w:b/>
                <w:sz w:val="14"/>
                <w:szCs w:val="14"/>
              </w:rPr>
              <w:t>1</w:t>
            </w:r>
            <w:r>
              <w:rPr>
                <w:rFonts w:ascii="Times New Roman" w:hAnsi="Times New Roman"/>
                <w:b/>
                <w:sz w:val="14"/>
                <w:szCs w:val="14"/>
              </w:rPr>
              <w:t> 386,31</w:t>
            </w:r>
          </w:p>
        </w:tc>
        <w:tc>
          <w:tcPr>
            <w:tcW w:w="94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64239" w:rsidRPr="00524B22" w:rsidP="00C450B8">
            <w:pPr>
              <w:bidi w:val="0"/>
              <w:jc w:val="right"/>
              <w:rPr>
                <w:rFonts w:ascii="Times New Roman" w:hAnsi="Times New Roman"/>
                <w:b/>
                <w:sz w:val="14"/>
                <w:szCs w:val="14"/>
              </w:rPr>
            </w:pPr>
            <w:r w:rsidRPr="00524B22">
              <w:rPr>
                <w:rFonts w:ascii="Times New Roman" w:hAnsi="Times New Roman"/>
                <w:b/>
                <w:sz w:val="14"/>
                <w:szCs w:val="14"/>
              </w:rPr>
              <w:t>1</w:t>
            </w:r>
            <w:r>
              <w:rPr>
                <w:rFonts w:ascii="Times New Roman" w:hAnsi="Times New Roman"/>
                <w:b/>
                <w:sz w:val="14"/>
                <w:szCs w:val="14"/>
              </w:rPr>
              <w:t> 326,01</w:t>
            </w:r>
          </w:p>
        </w:tc>
        <w:tc>
          <w:tcPr>
            <w:tcW w:w="945"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64239" w:rsidRPr="00524B22" w:rsidP="00C450B8">
            <w:pPr>
              <w:bidi w:val="0"/>
              <w:jc w:val="right"/>
              <w:rPr>
                <w:rFonts w:ascii="Times New Roman" w:hAnsi="Times New Roman"/>
                <w:b/>
                <w:sz w:val="14"/>
                <w:szCs w:val="14"/>
              </w:rPr>
            </w:pPr>
            <w:r w:rsidRPr="00524B22">
              <w:rPr>
                <w:rFonts w:ascii="Times New Roman" w:hAnsi="Times New Roman"/>
                <w:b/>
                <w:sz w:val="14"/>
                <w:szCs w:val="14"/>
              </w:rPr>
              <w:t>1</w:t>
            </w:r>
            <w:r>
              <w:rPr>
                <w:rFonts w:ascii="Times New Roman" w:hAnsi="Times New Roman"/>
                <w:b/>
                <w:sz w:val="14"/>
                <w:szCs w:val="14"/>
              </w:rPr>
              <w:t> 516,97</w:t>
            </w:r>
          </w:p>
        </w:tc>
        <w:tc>
          <w:tcPr>
            <w:tcW w:w="94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064239" w:rsidRPr="00524B22" w:rsidP="00C450B8">
            <w:pPr>
              <w:bidi w:val="0"/>
              <w:jc w:val="right"/>
              <w:rPr>
                <w:rFonts w:ascii="Times New Roman" w:hAnsi="Times New Roman"/>
                <w:b/>
                <w:sz w:val="14"/>
                <w:szCs w:val="14"/>
              </w:rPr>
            </w:pPr>
            <w:r w:rsidRPr="00524B22">
              <w:rPr>
                <w:rFonts w:ascii="Times New Roman" w:hAnsi="Times New Roman"/>
                <w:b/>
                <w:sz w:val="14"/>
                <w:szCs w:val="14"/>
              </w:rPr>
              <w:t>1</w:t>
            </w:r>
            <w:r>
              <w:rPr>
                <w:rFonts w:ascii="Times New Roman" w:hAnsi="Times New Roman"/>
                <w:b/>
                <w:sz w:val="14"/>
                <w:szCs w:val="14"/>
              </w:rPr>
              <w:t> 677,75</w:t>
            </w:r>
          </w:p>
        </w:tc>
      </w:tr>
    </w:tbl>
    <w:p w:rsidR="00064239" w:rsidP="00064239">
      <w:pPr>
        <w:bidi w:val="0"/>
        <w:jc w:val="both"/>
        <w:rPr>
          <w:rFonts w:ascii="Times New Roman" w:hAnsi="Times New Roman"/>
        </w:rPr>
      </w:pPr>
    </w:p>
    <w:p w:rsidR="00064239" w:rsidP="00064239">
      <w:pPr>
        <w:bidi w:val="0"/>
        <w:ind w:firstLine="708"/>
        <w:jc w:val="both"/>
        <w:rPr>
          <w:rFonts w:ascii="Times New Roman" w:hAnsi="Times New Roman"/>
        </w:rPr>
      </w:pPr>
      <w:r>
        <w:rPr>
          <w:rFonts w:ascii="Times New Roman" w:hAnsi="Times New Roman"/>
        </w:rPr>
        <w:t>Údaje výdavkov na roky 2010 a</w:t>
      </w:r>
      <w:r w:rsidRPr="00193117">
        <w:rPr>
          <w:rFonts w:ascii="Times New Roman" w:hAnsi="Times New Roman"/>
        </w:rPr>
        <w:t xml:space="preserve"> 2011 sú uvádzané bez zahrnutia </w:t>
      </w:r>
      <w:r>
        <w:rPr>
          <w:rFonts w:ascii="Times New Roman" w:hAnsi="Times New Roman"/>
        </w:rPr>
        <w:t>príjmov. Na roky 2012 až 2015</w:t>
      </w:r>
      <w:r w:rsidRPr="00193117">
        <w:rPr>
          <w:rFonts w:ascii="Times New Roman" w:hAnsi="Times New Roman"/>
        </w:rPr>
        <w:t xml:space="preserve"> sú rozpočtované výdavky zmenšené o príjmy, uvádzajú sa len čisté výdavky (saldo účet). Uvedené platí pre všetky jednotlivé položky tabuliek.</w:t>
      </w:r>
    </w:p>
    <w:tbl>
      <w:tblPr>
        <w:tblStyle w:val="TableNormal"/>
        <w:tblW w:w="9142" w:type="dxa"/>
        <w:tblInd w:w="57" w:type="dxa"/>
        <w:tblCellMar>
          <w:left w:w="70" w:type="dxa"/>
          <w:right w:w="70" w:type="dxa"/>
        </w:tblCellMar>
        <w:tblLook w:val="04A0"/>
      </w:tblPr>
      <w:tblGrid>
        <w:gridCol w:w="1260"/>
        <w:gridCol w:w="1730"/>
        <w:gridCol w:w="794"/>
        <w:gridCol w:w="794"/>
        <w:gridCol w:w="680"/>
        <w:gridCol w:w="114"/>
        <w:gridCol w:w="794"/>
        <w:gridCol w:w="992"/>
        <w:gridCol w:w="992"/>
        <w:gridCol w:w="992"/>
      </w:tblGrid>
      <w:tr>
        <w:tblPrEx>
          <w:tblW w:w="9142" w:type="dxa"/>
          <w:tblInd w:w="57" w:type="dxa"/>
          <w:tblCellMar>
            <w:left w:w="70" w:type="dxa"/>
            <w:right w:w="70" w:type="dxa"/>
          </w:tblCellMar>
          <w:tblLook w:val="04A0"/>
        </w:tblPrEx>
        <w:trPr>
          <w:trHeight w:val="345"/>
        </w:trPr>
        <w:tc>
          <w:tcPr>
            <w:tcW w:w="1260" w:type="dxa"/>
            <w:tcBorders>
              <w:top w:val="nil"/>
              <w:left w:val="nil"/>
              <w:bottom w:val="nil"/>
              <w:right w:val="nil"/>
            </w:tcBorders>
            <w:noWrap/>
            <w:textDirection w:val="lrTb"/>
            <w:vAlign w:val="bottom"/>
            <w:hideMark/>
          </w:tcPr>
          <w:p w:rsidR="00064239" w:rsidRPr="009942BF" w:rsidP="00C450B8">
            <w:pPr>
              <w:bidi w:val="0"/>
              <w:rPr>
                <w:rFonts w:ascii="Calibri" w:hAnsi="Calibri" w:cs="Times New Roman"/>
                <w:color w:val="000000"/>
                <w:sz w:val="22"/>
                <w:szCs w:val="22"/>
                <w:lang w:eastAsia="sk-SK"/>
              </w:rPr>
            </w:pPr>
          </w:p>
        </w:tc>
        <w:tc>
          <w:tcPr>
            <w:tcW w:w="1730" w:type="dxa"/>
            <w:tcBorders>
              <w:top w:val="nil"/>
              <w:left w:val="nil"/>
              <w:bottom w:val="nil"/>
              <w:right w:val="nil"/>
            </w:tcBorders>
            <w:noWrap/>
            <w:textDirection w:val="lrTb"/>
            <w:vAlign w:val="bottom"/>
            <w:hideMark/>
          </w:tcPr>
          <w:p w:rsidR="00064239" w:rsidRPr="009942BF" w:rsidP="00C450B8">
            <w:pPr>
              <w:bidi w:val="0"/>
              <w:rPr>
                <w:rFonts w:ascii="Calibri" w:hAnsi="Calibri" w:cs="Times New Roman"/>
                <w:color w:val="000000"/>
                <w:sz w:val="22"/>
                <w:szCs w:val="22"/>
                <w:lang w:eastAsia="sk-SK"/>
              </w:rPr>
            </w:pPr>
          </w:p>
        </w:tc>
        <w:tc>
          <w:tcPr>
            <w:tcW w:w="794" w:type="dxa"/>
            <w:tcBorders>
              <w:top w:val="nil"/>
              <w:left w:val="nil"/>
              <w:bottom w:val="nil"/>
              <w:right w:val="nil"/>
            </w:tcBorders>
            <w:noWrap/>
            <w:textDirection w:val="lrTb"/>
            <w:vAlign w:val="bottom"/>
            <w:hideMark/>
          </w:tcPr>
          <w:p w:rsidR="00064239" w:rsidRPr="009942BF" w:rsidP="00C450B8">
            <w:pPr>
              <w:bidi w:val="0"/>
              <w:rPr>
                <w:rFonts w:ascii="Calibri" w:hAnsi="Calibri" w:cs="Times New Roman"/>
                <w:color w:val="000000"/>
                <w:sz w:val="22"/>
                <w:szCs w:val="22"/>
                <w:lang w:eastAsia="sk-SK"/>
              </w:rPr>
            </w:pPr>
          </w:p>
        </w:tc>
        <w:tc>
          <w:tcPr>
            <w:tcW w:w="794" w:type="dxa"/>
            <w:tcBorders>
              <w:top w:val="nil"/>
              <w:left w:val="nil"/>
              <w:bottom w:val="nil"/>
              <w:right w:val="nil"/>
            </w:tcBorders>
            <w:noWrap/>
            <w:textDirection w:val="lrTb"/>
            <w:vAlign w:val="bottom"/>
            <w:hideMark/>
          </w:tcPr>
          <w:p w:rsidR="00064239" w:rsidRPr="009942BF" w:rsidP="00C450B8">
            <w:pPr>
              <w:bidi w:val="0"/>
              <w:rPr>
                <w:rFonts w:ascii="Calibri" w:hAnsi="Calibri" w:cs="Times New Roman"/>
                <w:color w:val="000000"/>
                <w:sz w:val="22"/>
                <w:szCs w:val="22"/>
                <w:lang w:eastAsia="sk-SK"/>
              </w:rPr>
            </w:pPr>
          </w:p>
        </w:tc>
        <w:tc>
          <w:tcPr>
            <w:tcW w:w="680" w:type="dxa"/>
            <w:tcBorders>
              <w:top w:val="nil"/>
              <w:left w:val="nil"/>
              <w:bottom w:val="nil"/>
              <w:right w:val="nil"/>
            </w:tcBorders>
            <w:noWrap/>
            <w:textDirection w:val="lrTb"/>
            <w:vAlign w:val="bottom"/>
            <w:hideMark/>
          </w:tcPr>
          <w:p w:rsidR="00064239" w:rsidRPr="009942BF" w:rsidP="00C450B8">
            <w:pPr>
              <w:bidi w:val="0"/>
              <w:rPr>
                <w:rFonts w:ascii="Calibri" w:hAnsi="Calibri" w:cs="Times New Roman"/>
                <w:color w:val="000000"/>
                <w:sz w:val="22"/>
                <w:szCs w:val="22"/>
                <w:lang w:eastAsia="sk-SK"/>
              </w:rPr>
            </w:pPr>
          </w:p>
        </w:tc>
        <w:tc>
          <w:tcPr>
            <w:tcW w:w="908" w:type="dxa"/>
            <w:gridSpan w:val="2"/>
            <w:tcBorders>
              <w:top w:val="nil"/>
              <w:left w:val="nil"/>
              <w:bottom w:val="nil"/>
              <w:right w:val="nil"/>
            </w:tcBorders>
            <w:noWrap/>
            <w:textDirection w:val="lrTb"/>
            <w:vAlign w:val="bottom"/>
            <w:hideMark/>
          </w:tcPr>
          <w:p w:rsidR="00064239" w:rsidRPr="009942BF" w:rsidP="00923CBB">
            <w:pPr>
              <w:bidi w:val="0"/>
              <w:rPr>
                <w:rFonts w:ascii="Times New Roman" w:hAnsi="Times New Roman" w:cs="Times New Roman"/>
                <w:color w:val="000000"/>
                <w:sz w:val="16"/>
                <w:szCs w:val="16"/>
                <w:lang w:eastAsia="sk-SK"/>
              </w:rPr>
            </w:pPr>
            <w:r w:rsidR="00923CBB">
              <w:rPr>
                <w:rFonts w:ascii="Times New Roman" w:hAnsi="Times New Roman" w:cs="Times New Roman"/>
                <w:color w:val="000000"/>
                <w:sz w:val="16"/>
                <w:szCs w:val="16"/>
                <w:lang w:eastAsia="sk-SK"/>
              </w:rPr>
              <w:t xml:space="preserve">  </w:t>
            </w:r>
            <w:r w:rsidRPr="009942BF">
              <w:rPr>
                <w:rFonts w:ascii="Times New Roman" w:hAnsi="Times New Roman" w:cs="Times New Roman"/>
                <w:color w:val="000000"/>
                <w:sz w:val="16"/>
                <w:szCs w:val="16"/>
                <w:lang w:eastAsia="sk-SK"/>
              </w:rPr>
              <w:t xml:space="preserve">(v tis. </w:t>
            </w:r>
            <w:r w:rsidR="00923CBB">
              <w:rPr>
                <w:rFonts w:ascii="Times New Roman" w:hAnsi="Times New Roman" w:cs="Times New Roman"/>
                <w:color w:val="000000"/>
                <w:sz w:val="16"/>
                <w:szCs w:val="16"/>
                <w:lang w:eastAsia="sk-SK"/>
              </w:rPr>
              <w:t>eur</w:t>
            </w:r>
            <w:r w:rsidRPr="009942BF">
              <w:rPr>
                <w:rFonts w:ascii="Times New Roman" w:hAnsi="Times New Roman" w:cs="Times New Roman"/>
                <w:color w:val="000000"/>
                <w:sz w:val="16"/>
                <w:szCs w:val="16"/>
                <w:lang w:eastAsia="sk-SK"/>
              </w:rPr>
              <w:t>)</w:t>
            </w:r>
          </w:p>
        </w:tc>
        <w:tc>
          <w:tcPr>
            <w:tcW w:w="992" w:type="dxa"/>
            <w:tcBorders>
              <w:top w:val="nil"/>
              <w:left w:val="nil"/>
              <w:bottom w:val="nil"/>
              <w:right w:val="nil"/>
            </w:tcBorders>
            <w:noWrap/>
            <w:textDirection w:val="lrTb"/>
            <w:vAlign w:val="bottom"/>
            <w:hideMark/>
          </w:tcPr>
          <w:p w:rsidR="00064239" w:rsidRPr="009942BF" w:rsidP="00C450B8">
            <w:pPr>
              <w:bidi w:val="0"/>
              <w:rPr>
                <w:rFonts w:ascii="Calibri" w:hAnsi="Calibri" w:cs="Times New Roman"/>
                <w:color w:val="000000"/>
                <w:sz w:val="22"/>
                <w:szCs w:val="22"/>
                <w:lang w:eastAsia="sk-SK"/>
              </w:rPr>
            </w:pPr>
          </w:p>
        </w:tc>
        <w:tc>
          <w:tcPr>
            <w:tcW w:w="992" w:type="dxa"/>
            <w:tcBorders>
              <w:top w:val="nil"/>
              <w:left w:val="nil"/>
              <w:bottom w:val="nil"/>
              <w:right w:val="nil"/>
            </w:tcBorders>
            <w:noWrap/>
            <w:textDirection w:val="lrTb"/>
            <w:vAlign w:val="bottom"/>
            <w:hideMark/>
          </w:tcPr>
          <w:p w:rsidR="00064239" w:rsidRPr="009942BF" w:rsidP="00C450B8">
            <w:pPr>
              <w:bidi w:val="0"/>
              <w:rPr>
                <w:rFonts w:ascii="Calibri" w:hAnsi="Calibri" w:cs="Times New Roman"/>
                <w:color w:val="000000"/>
                <w:sz w:val="22"/>
                <w:szCs w:val="22"/>
                <w:lang w:eastAsia="sk-SK"/>
              </w:rPr>
            </w:pPr>
          </w:p>
        </w:tc>
        <w:tc>
          <w:tcPr>
            <w:tcW w:w="992" w:type="dxa"/>
            <w:tcBorders>
              <w:top w:val="nil"/>
              <w:left w:val="nil"/>
              <w:bottom w:val="nil"/>
              <w:right w:val="nil"/>
            </w:tcBorders>
            <w:noWrap/>
            <w:textDirection w:val="lrTb"/>
            <w:vAlign w:val="bottom"/>
            <w:hideMark/>
          </w:tcPr>
          <w:p w:rsidR="00064239" w:rsidRPr="009942BF" w:rsidP="00C450B8">
            <w:pPr>
              <w:bidi w:val="0"/>
              <w:rPr>
                <w:rFonts w:ascii="Times New Roman" w:hAnsi="Times New Roman" w:cs="Times New Roman"/>
                <w:color w:val="000000"/>
                <w:sz w:val="16"/>
                <w:szCs w:val="16"/>
                <w:lang w:eastAsia="sk-SK"/>
              </w:rPr>
            </w:pPr>
            <w:r w:rsidR="00923CBB">
              <w:rPr>
                <w:rFonts w:ascii="Times New Roman" w:hAnsi="Times New Roman" w:cs="Times New Roman"/>
                <w:color w:val="000000"/>
                <w:sz w:val="16"/>
                <w:szCs w:val="16"/>
                <w:lang w:eastAsia="sk-SK"/>
              </w:rPr>
              <w:t xml:space="preserve">  </w:t>
            </w:r>
            <w:r w:rsidRPr="009942BF">
              <w:rPr>
                <w:rFonts w:ascii="Times New Roman" w:hAnsi="Times New Roman" w:cs="Times New Roman"/>
                <w:color w:val="000000"/>
                <w:sz w:val="16"/>
                <w:szCs w:val="16"/>
                <w:lang w:eastAsia="sk-SK"/>
              </w:rPr>
              <w:t>(v eurách)</w:t>
            </w:r>
          </w:p>
        </w:tc>
      </w:tr>
      <w:tr>
        <w:tblPrEx>
          <w:tblW w:w="9142" w:type="dxa"/>
          <w:tblInd w:w="57" w:type="dxa"/>
          <w:tblCellMar>
            <w:left w:w="70" w:type="dxa"/>
            <w:right w:w="70" w:type="dxa"/>
          </w:tblCellMar>
          <w:tblLook w:val="04A0"/>
        </w:tblPrEx>
        <w:trPr>
          <w:trHeight w:val="330"/>
        </w:trPr>
        <w:tc>
          <w:tcPr>
            <w:tcW w:w="2990" w:type="dxa"/>
            <w:gridSpan w:val="2"/>
            <w:tcBorders>
              <w:top w:val="single" w:sz="8" w:space="0" w:color="auto"/>
              <w:left w:val="single" w:sz="8" w:space="0" w:color="auto"/>
              <w:bottom w:val="single" w:sz="4" w:space="0" w:color="auto"/>
              <w:right w:val="single" w:sz="4" w:space="0" w:color="auto"/>
            </w:tcBorders>
            <w:shd w:val="clear" w:color="000000" w:fill="A5A5A5"/>
            <w:textDirection w:val="lrTb"/>
            <w:vAlign w:val="center"/>
            <w:hideMark/>
          </w:tcPr>
          <w:p w:rsidR="00064239" w:rsidRPr="009942BF" w:rsidP="00C450B8">
            <w:pPr>
              <w:bidi w:val="0"/>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Štátny dlh (úroky)</w:t>
            </w:r>
          </w:p>
        </w:tc>
        <w:tc>
          <w:tcPr>
            <w:tcW w:w="794" w:type="dxa"/>
            <w:tcBorders>
              <w:top w:val="single" w:sz="8" w:space="0" w:color="auto"/>
              <w:left w:val="nil"/>
              <w:bottom w:val="single" w:sz="4" w:space="0" w:color="auto"/>
              <w:right w:val="single" w:sz="4" w:space="0" w:color="auto"/>
            </w:tcBorders>
            <w:shd w:val="clear" w:color="000000" w:fill="A5A5A5"/>
            <w:noWrap/>
            <w:textDirection w:val="lrTb"/>
            <w:vAlign w:val="center"/>
            <w:hideMark/>
          </w:tcPr>
          <w:p w:rsidR="00064239" w:rsidRPr="009942BF" w:rsidP="00C450B8">
            <w:pPr>
              <w:bidi w:val="0"/>
              <w:jc w:val="center"/>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2010 S</w:t>
            </w:r>
          </w:p>
        </w:tc>
        <w:tc>
          <w:tcPr>
            <w:tcW w:w="794" w:type="dxa"/>
            <w:tcBorders>
              <w:top w:val="single" w:sz="8" w:space="0" w:color="auto"/>
              <w:left w:val="nil"/>
              <w:bottom w:val="single" w:sz="4" w:space="0" w:color="auto"/>
              <w:right w:val="single" w:sz="4" w:space="0" w:color="auto"/>
            </w:tcBorders>
            <w:shd w:val="clear" w:color="000000" w:fill="A5A5A5"/>
            <w:noWrap/>
            <w:textDirection w:val="lrTb"/>
            <w:vAlign w:val="center"/>
            <w:hideMark/>
          </w:tcPr>
          <w:p w:rsidR="00064239" w:rsidRPr="009942BF" w:rsidP="00C450B8">
            <w:pPr>
              <w:bidi w:val="0"/>
              <w:jc w:val="center"/>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2011 S</w:t>
            </w:r>
          </w:p>
        </w:tc>
        <w:tc>
          <w:tcPr>
            <w:tcW w:w="794" w:type="dxa"/>
            <w:gridSpan w:val="2"/>
            <w:tcBorders>
              <w:top w:val="single" w:sz="8" w:space="0" w:color="auto"/>
              <w:left w:val="nil"/>
              <w:bottom w:val="single" w:sz="4" w:space="0" w:color="auto"/>
              <w:right w:val="single" w:sz="4" w:space="0" w:color="auto"/>
            </w:tcBorders>
            <w:shd w:val="clear" w:color="000000" w:fill="A5A5A5"/>
            <w:noWrap/>
            <w:textDirection w:val="lrTb"/>
            <w:vAlign w:val="center"/>
            <w:hideMark/>
          </w:tcPr>
          <w:p w:rsidR="00064239" w:rsidRPr="009942BF" w:rsidP="00C450B8">
            <w:pPr>
              <w:bidi w:val="0"/>
              <w:jc w:val="center"/>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2012 R</w:t>
            </w:r>
          </w:p>
        </w:tc>
        <w:tc>
          <w:tcPr>
            <w:tcW w:w="794" w:type="dxa"/>
            <w:tcBorders>
              <w:top w:val="single" w:sz="8" w:space="0" w:color="auto"/>
              <w:left w:val="nil"/>
              <w:bottom w:val="single" w:sz="4" w:space="0" w:color="auto"/>
              <w:right w:val="double" w:sz="6" w:space="0" w:color="auto"/>
            </w:tcBorders>
            <w:shd w:val="clear" w:color="000000" w:fill="A5A5A5"/>
            <w:noWrap/>
            <w:textDirection w:val="lrTb"/>
            <w:vAlign w:val="center"/>
            <w:hideMark/>
          </w:tcPr>
          <w:p w:rsidR="00064239" w:rsidRPr="009942BF" w:rsidP="00C450B8">
            <w:pPr>
              <w:bidi w:val="0"/>
              <w:jc w:val="center"/>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2012 OS</w:t>
            </w:r>
          </w:p>
        </w:tc>
        <w:tc>
          <w:tcPr>
            <w:tcW w:w="992" w:type="dxa"/>
            <w:tcBorders>
              <w:top w:val="single" w:sz="8" w:space="0" w:color="auto"/>
              <w:left w:val="nil"/>
              <w:bottom w:val="single" w:sz="4" w:space="0" w:color="auto"/>
              <w:right w:val="single" w:sz="4" w:space="0" w:color="auto"/>
            </w:tcBorders>
            <w:shd w:val="clear" w:color="000000" w:fill="A5A5A5"/>
            <w:noWrap/>
            <w:textDirection w:val="lrTb"/>
            <w:vAlign w:val="center"/>
            <w:hideMark/>
          </w:tcPr>
          <w:p w:rsidR="00064239" w:rsidRPr="009942BF" w:rsidP="00C450B8">
            <w:pPr>
              <w:bidi w:val="0"/>
              <w:jc w:val="center"/>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2013 N</w:t>
            </w:r>
          </w:p>
        </w:tc>
        <w:tc>
          <w:tcPr>
            <w:tcW w:w="992" w:type="dxa"/>
            <w:tcBorders>
              <w:top w:val="single" w:sz="8" w:space="0" w:color="auto"/>
              <w:left w:val="nil"/>
              <w:bottom w:val="single" w:sz="4" w:space="0" w:color="auto"/>
              <w:right w:val="single" w:sz="4" w:space="0" w:color="auto"/>
            </w:tcBorders>
            <w:shd w:val="clear" w:color="000000" w:fill="A5A5A5"/>
            <w:noWrap/>
            <w:textDirection w:val="lrTb"/>
            <w:vAlign w:val="center"/>
            <w:hideMark/>
          </w:tcPr>
          <w:p w:rsidR="00064239" w:rsidRPr="009942BF" w:rsidP="00C450B8">
            <w:pPr>
              <w:bidi w:val="0"/>
              <w:jc w:val="center"/>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2014 N</w:t>
            </w:r>
          </w:p>
        </w:tc>
        <w:tc>
          <w:tcPr>
            <w:tcW w:w="992" w:type="dxa"/>
            <w:tcBorders>
              <w:top w:val="single" w:sz="8" w:space="0" w:color="auto"/>
              <w:left w:val="nil"/>
              <w:bottom w:val="single" w:sz="4" w:space="0" w:color="auto"/>
              <w:right w:val="single" w:sz="8" w:space="0" w:color="auto"/>
            </w:tcBorders>
            <w:shd w:val="clear" w:color="000000" w:fill="A5A5A5"/>
            <w:noWrap/>
            <w:textDirection w:val="lrTb"/>
            <w:vAlign w:val="center"/>
            <w:hideMark/>
          </w:tcPr>
          <w:p w:rsidR="00064239" w:rsidRPr="009942BF" w:rsidP="00C450B8">
            <w:pPr>
              <w:bidi w:val="0"/>
              <w:jc w:val="center"/>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2015 N</w:t>
            </w:r>
          </w:p>
        </w:tc>
      </w:tr>
      <w:tr>
        <w:tblPrEx>
          <w:tblW w:w="9142" w:type="dxa"/>
          <w:tblInd w:w="57" w:type="dxa"/>
          <w:tblCellMar>
            <w:left w:w="70" w:type="dxa"/>
            <w:right w:w="70" w:type="dxa"/>
          </w:tblCellMar>
          <w:tblLook w:val="04A0"/>
        </w:tblPrEx>
        <w:trPr>
          <w:trHeight w:val="330"/>
        </w:trPr>
        <w:tc>
          <w:tcPr>
            <w:tcW w:w="1260" w:type="dxa"/>
            <w:vMerge w:val="restart"/>
            <w:tcBorders>
              <w:top w:val="nil"/>
              <w:left w:val="single" w:sz="8" w:space="0" w:color="auto"/>
              <w:bottom w:val="single" w:sz="4" w:space="0" w:color="000000"/>
              <w:right w:val="single" w:sz="4" w:space="0" w:color="auto"/>
            </w:tcBorders>
            <w:noWrap/>
            <w:textDirection w:val="lrTb"/>
            <w:vAlign w:val="center"/>
            <w:hideMark/>
          </w:tcPr>
          <w:p w:rsidR="00064239" w:rsidRPr="009942BF" w:rsidP="00C450B8">
            <w:pPr>
              <w:bidi w:val="0"/>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Hotovostný princíp</w:t>
            </w:r>
          </w:p>
        </w:tc>
        <w:tc>
          <w:tcPr>
            <w:tcW w:w="1730" w:type="dxa"/>
            <w:tcBorders>
              <w:top w:val="nil"/>
              <w:left w:val="nil"/>
              <w:bottom w:val="single" w:sz="4" w:space="0" w:color="auto"/>
              <w:right w:val="single" w:sz="4" w:space="0" w:color="auto"/>
            </w:tcBorders>
            <w:noWrap/>
            <w:textDirection w:val="lrTb"/>
            <w:vAlign w:val="center"/>
            <w:hideMark/>
          </w:tcPr>
          <w:p w:rsidR="00064239" w:rsidRPr="009942BF" w:rsidP="00C450B8">
            <w:pPr>
              <w:bidi w:val="0"/>
              <w:rPr>
                <w:rFonts w:ascii="Times New Roman" w:hAnsi="Times New Roman" w:cs="Times New Roman"/>
                <w:sz w:val="14"/>
                <w:szCs w:val="14"/>
                <w:lang w:eastAsia="sk-SK"/>
              </w:rPr>
            </w:pPr>
            <w:r w:rsidRPr="009942BF">
              <w:rPr>
                <w:rFonts w:ascii="Times New Roman" w:hAnsi="Times New Roman" w:cs="Times New Roman"/>
                <w:sz w:val="14"/>
                <w:szCs w:val="14"/>
                <w:lang w:eastAsia="sk-SK"/>
              </w:rPr>
              <w:t>Štátny rozpočet -transfer na saldo účet</w:t>
            </w:r>
          </w:p>
        </w:tc>
        <w:tc>
          <w:tcPr>
            <w:tcW w:w="794"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864 075</w:t>
            </w:r>
          </w:p>
        </w:tc>
        <w:tc>
          <w:tcPr>
            <w:tcW w:w="794"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1 006 647</w:t>
            </w:r>
          </w:p>
        </w:tc>
        <w:tc>
          <w:tcPr>
            <w:tcW w:w="794" w:type="dxa"/>
            <w:gridSpan w:val="2"/>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1 386 679</w:t>
            </w:r>
          </w:p>
        </w:tc>
        <w:tc>
          <w:tcPr>
            <w:tcW w:w="794" w:type="dxa"/>
            <w:tcBorders>
              <w:top w:val="nil"/>
              <w:left w:val="nil"/>
              <w:bottom w:val="single" w:sz="4" w:space="0" w:color="auto"/>
              <w:right w:val="double" w:sz="6"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1 349 888</w:t>
            </w:r>
          </w:p>
        </w:tc>
        <w:tc>
          <w:tcPr>
            <w:tcW w:w="992"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1 326 010 603</w:t>
            </w:r>
          </w:p>
        </w:tc>
        <w:tc>
          <w:tcPr>
            <w:tcW w:w="992"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1 516 971 476</w:t>
            </w:r>
          </w:p>
        </w:tc>
        <w:tc>
          <w:tcPr>
            <w:tcW w:w="992" w:type="dxa"/>
            <w:tcBorders>
              <w:top w:val="nil"/>
              <w:left w:val="nil"/>
              <w:bottom w:val="single" w:sz="4" w:space="0" w:color="auto"/>
              <w:right w:val="single" w:sz="8"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1 677 746 594</w:t>
            </w:r>
          </w:p>
        </w:tc>
      </w:tr>
      <w:tr>
        <w:tblPrEx>
          <w:tblW w:w="9142" w:type="dxa"/>
          <w:tblInd w:w="57" w:type="dxa"/>
          <w:tblCellMar>
            <w:left w:w="70" w:type="dxa"/>
            <w:right w:w="70" w:type="dxa"/>
          </w:tblCellMar>
          <w:tblLook w:val="04A0"/>
        </w:tblPrEx>
        <w:trPr>
          <w:trHeight w:val="330"/>
        </w:trPr>
        <w:tc>
          <w:tcPr>
            <w:tcW w:w="1260" w:type="dxa"/>
            <w:vMerge/>
            <w:tcBorders>
              <w:top w:val="nil"/>
              <w:left w:val="single" w:sz="8" w:space="0" w:color="auto"/>
              <w:bottom w:val="single" w:sz="4" w:space="0" w:color="000000"/>
              <w:right w:val="single" w:sz="4" w:space="0" w:color="auto"/>
            </w:tcBorders>
            <w:textDirection w:val="lrTb"/>
            <w:vAlign w:val="center"/>
            <w:hideMark/>
          </w:tcPr>
          <w:p w:rsidR="00064239" w:rsidRPr="009942BF" w:rsidP="00C450B8">
            <w:pPr>
              <w:bidi w:val="0"/>
              <w:rPr>
                <w:rFonts w:ascii="Times New Roman" w:hAnsi="Times New Roman" w:cs="Times New Roman"/>
                <w:b/>
                <w:bCs/>
                <w:sz w:val="14"/>
                <w:szCs w:val="14"/>
                <w:lang w:eastAsia="sk-SK"/>
              </w:rPr>
            </w:pPr>
          </w:p>
        </w:tc>
        <w:tc>
          <w:tcPr>
            <w:tcW w:w="1730" w:type="dxa"/>
            <w:tcBorders>
              <w:top w:val="nil"/>
              <w:left w:val="nil"/>
              <w:bottom w:val="single" w:sz="4" w:space="0" w:color="auto"/>
              <w:right w:val="single" w:sz="4" w:space="0" w:color="auto"/>
            </w:tcBorders>
            <w:noWrap/>
            <w:textDirection w:val="lrTb"/>
            <w:vAlign w:val="center"/>
            <w:hideMark/>
          </w:tcPr>
          <w:p w:rsidR="00064239" w:rsidRPr="009942BF" w:rsidP="00C450B8">
            <w:pPr>
              <w:bidi w:val="0"/>
              <w:rPr>
                <w:rFonts w:ascii="Times New Roman" w:hAnsi="Times New Roman" w:cs="Times New Roman"/>
                <w:sz w:val="14"/>
                <w:szCs w:val="14"/>
                <w:lang w:eastAsia="sk-SK"/>
              </w:rPr>
            </w:pPr>
            <w:r w:rsidRPr="009942BF">
              <w:rPr>
                <w:rFonts w:ascii="Times New Roman" w:hAnsi="Times New Roman" w:cs="Times New Roman"/>
                <w:sz w:val="14"/>
                <w:szCs w:val="14"/>
                <w:lang w:eastAsia="sk-SK"/>
              </w:rPr>
              <w:t>Štátny rozpočet -poplatky</w:t>
            </w:r>
          </w:p>
        </w:tc>
        <w:tc>
          <w:tcPr>
            <w:tcW w:w="794"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0</w:t>
            </w:r>
          </w:p>
        </w:tc>
        <w:tc>
          <w:tcPr>
            <w:tcW w:w="794"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0</w:t>
            </w:r>
          </w:p>
        </w:tc>
        <w:tc>
          <w:tcPr>
            <w:tcW w:w="794" w:type="dxa"/>
            <w:gridSpan w:val="2"/>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0</w:t>
            </w:r>
          </w:p>
        </w:tc>
        <w:tc>
          <w:tcPr>
            <w:tcW w:w="794" w:type="dxa"/>
            <w:tcBorders>
              <w:top w:val="nil"/>
              <w:left w:val="nil"/>
              <w:bottom w:val="single" w:sz="4" w:space="0" w:color="auto"/>
              <w:right w:val="double" w:sz="6"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355 000</w:t>
            </w:r>
          </w:p>
        </w:tc>
        <w:tc>
          <w:tcPr>
            <w:tcW w:w="992"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355 000</w:t>
            </w:r>
          </w:p>
        </w:tc>
        <w:tc>
          <w:tcPr>
            <w:tcW w:w="992" w:type="dxa"/>
            <w:tcBorders>
              <w:top w:val="nil"/>
              <w:left w:val="nil"/>
              <w:bottom w:val="single" w:sz="4" w:space="0" w:color="auto"/>
              <w:right w:val="single" w:sz="8"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355 000</w:t>
            </w:r>
          </w:p>
        </w:tc>
      </w:tr>
      <w:tr>
        <w:tblPrEx>
          <w:tblW w:w="9142" w:type="dxa"/>
          <w:tblInd w:w="57" w:type="dxa"/>
          <w:tblCellMar>
            <w:left w:w="70" w:type="dxa"/>
            <w:right w:w="70" w:type="dxa"/>
          </w:tblCellMar>
          <w:tblLook w:val="04A0"/>
        </w:tblPrEx>
        <w:trPr>
          <w:trHeight w:val="330"/>
        </w:trPr>
        <w:tc>
          <w:tcPr>
            <w:tcW w:w="1260" w:type="dxa"/>
            <w:vMerge/>
            <w:tcBorders>
              <w:top w:val="nil"/>
              <w:left w:val="single" w:sz="8" w:space="0" w:color="auto"/>
              <w:bottom w:val="single" w:sz="4" w:space="0" w:color="000000"/>
              <w:right w:val="single" w:sz="4" w:space="0" w:color="auto"/>
            </w:tcBorders>
            <w:textDirection w:val="lrTb"/>
            <w:vAlign w:val="center"/>
            <w:hideMark/>
          </w:tcPr>
          <w:p w:rsidR="00064239" w:rsidRPr="009942BF" w:rsidP="00C450B8">
            <w:pPr>
              <w:bidi w:val="0"/>
              <w:rPr>
                <w:rFonts w:ascii="Times New Roman" w:hAnsi="Times New Roman" w:cs="Times New Roman"/>
                <w:b/>
                <w:bCs/>
                <w:sz w:val="14"/>
                <w:szCs w:val="14"/>
                <w:lang w:eastAsia="sk-SK"/>
              </w:rPr>
            </w:pPr>
          </w:p>
        </w:tc>
        <w:tc>
          <w:tcPr>
            <w:tcW w:w="1730" w:type="dxa"/>
            <w:tcBorders>
              <w:top w:val="nil"/>
              <w:left w:val="nil"/>
              <w:bottom w:val="single" w:sz="4" w:space="0" w:color="auto"/>
              <w:right w:val="single" w:sz="4" w:space="0" w:color="auto"/>
            </w:tcBorders>
            <w:noWrap/>
            <w:textDirection w:val="lrTb"/>
            <w:vAlign w:val="center"/>
            <w:hideMark/>
          </w:tcPr>
          <w:p w:rsidR="00064239" w:rsidRPr="009942BF" w:rsidP="00C450B8">
            <w:pPr>
              <w:bidi w:val="0"/>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 xml:space="preserve">Spolu v rozpočte VPS: </w:t>
            </w:r>
          </w:p>
        </w:tc>
        <w:tc>
          <w:tcPr>
            <w:tcW w:w="794"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0</w:t>
            </w:r>
          </w:p>
        </w:tc>
        <w:tc>
          <w:tcPr>
            <w:tcW w:w="794"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0</w:t>
            </w:r>
          </w:p>
        </w:tc>
        <w:tc>
          <w:tcPr>
            <w:tcW w:w="794" w:type="dxa"/>
            <w:gridSpan w:val="2"/>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0</w:t>
            </w:r>
          </w:p>
        </w:tc>
        <w:tc>
          <w:tcPr>
            <w:tcW w:w="794" w:type="dxa"/>
            <w:tcBorders>
              <w:top w:val="nil"/>
              <w:left w:val="nil"/>
              <w:bottom w:val="single" w:sz="4" w:space="0" w:color="auto"/>
              <w:right w:val="double" w:sz="6" w:space="0" w:color="auto"/>
            </w:tcBorders>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0</w:t>
            </w:r>
          </w:p>
        </w:tc>
        <w:tc>
          <w:tcPr>
            <w:tcW w:w="992"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1 326 365 603</w:t>
            </w:r>
          </w:p>
        </w:tc>
        <w:tc>
          <w:tcPr>
            <w:tcW w:w="992"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1 517 326 476</w:t>
            </w:r>
          </w:p>
        </w:tc>
        <w:tc>
          <w:tcPr>
            <w:tcW w:w="992" w:type="dxa"/>
            <w:tcBorders>
              <w:top w:val="nil"/>
              <w:left w:val="nil"/>
              <w:bottom w:val="single" w:sz="4" w:space="0" w:color="auto"/>
              <w:right w:val="single" w:sz="8" w:space="0" w:color="auto"/>
            </w:tcBorders>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1 678 101 594</w:t>
            </w:r>
          </w:p>
        </w:tc>
      </w:tr>
      <w:tr>
        <w:tblPrEx>
          <w:tblW w:w="9142" w:type="dxa"/>
          <w:tblInd w:w="57" w:type="dxa"/>
          <w:tblCellMar>
            <w:left w:w="70" w:type="dxa"/>
            <w:right w:w="70" w:type="dxa"/>
          </w:tblCellMar>
          <w:tblLook w:val="04A0"/>
        </w:tblPrEx>
        <w:trPr>
          <w:trHeight w:val="330"/>
        </w:trPr>
        <w:tc>
          <w:tcPr>
            <w:tcW w:w="1260" w:type="dxa"/>
            <w:tcBorders>
              <w:top w:val="nil"/>
              <w:left w:val="single" w:sz="8" w:space="0" w:color="auto"/>
              <w:bottom w:val="single" w:sz="4" w:space="0" w:color="auto"/>
              <w:right w:val="single" w:sz="4" w:space="0" w:color="auto"/>
            </w:tcBorders>
            <w:noWrap/>
            <w:textDirection w:val="lrTb"/>
            <w:vAlign w:val="center"/>
            <w:hideMark/>
          </w:tcPr>
          <w:p w:rsidR="00064239" w:rsidRPr="009942BF" w:rsidP="00C450B8">
            <w:pPr>
              <w:bidi w:val="0"/>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Saldo účet</w:t>
            </w:r>
            <w:r>
              <w:rPr>
                <w:rFonts w:ascii="Times New Roman" w:hAnsi="Times New Roman" w:cs="Times New Roman"/>
                <w:b/>
                <w:bCs/>
                <w:sz w:val="14"/>
                <w:szCs w:val="14"/>
                <w:lang w:eastAsia="sk-SK"/>
              </w:rPr>
              <w:t>*</w:t>
            </w:r>
          </w:p>
        </w:tc>
        <w:tc>
          <w:tcPr>
            <w:tcW w:w="1730" w:type="dxa"/>
            <w:tcBorders>
              <w:top w:val="nil"/>
              <w:left w:val="nil"/>
              <w:bottom w:val="single" w:sz="4" w:space="0" w:color="auto"/>
              <w:right w:val="single" w:sz="4" w:space="0" w:color="auto"/>
            </w:tcBorders>
            <w:noWrap/>
            <w:textDirection w:val="lrTb"/>
            <w:vAlign w:val="center"/>
            <w:hideMark/>
          </w:tcPr>
          <w:p w:rsidR="00064239" w:rsidRPr="009942BF" w:rsidP="00C450B8">
            <w:pPr>
              <w:bidi w:val="0"/>
              <w:rPr>
                <w:rFonts w:ascii="Times New Roman" w:hAnsi="Times New Roman" w:cs="Times New Roman"/>
                <w:sz w:val="14"/>
                <w:szCs w:val="14"/>
                <w:lang w:eastAsia="sk-SK"/>
              </w:rPr>
            </w:pPr>
            <w:r w:rsidRPr="009942BF">
              <w:rPr>
                <w:rFonts w:ascii="Times New Roman" w:hAnsi="Times New Roman" w:cs="Times New Roman"/>
                <w:sz w:val="14"/>
                <w:szCs w:val="14"/>
                <w:lang w:eastAsia="sk-SK"/>
              </w:rPr>
              <w:t>Prostriedky z finanč</w:t>
            </w:r>
            <w:r>
              <w:rPr>
                <w:rFonts w:ascii="Times New Roman" w:hAnsi="Times New Roman" w:cs="Times New Roman"/>
                <w:sz w:val="14"/>
                <w:szCs w:val="14"/>
                <w:lang w:eastAsia="sk-SK"/>
              </w:rPr>
              <w:t>ných</w:t>
            </w:r>
            <w:r w:rsidRPr="009942BF">
              <w:rPr>
                <w:rFonts w:ascii="Times New Roman" w:hAnsi="Times New Roman" w:cs="Times New Roman"/>
                <w:sz w:val="14"/>
                <w:szCs w:val="14"/>
                <w:lang w:eastAsia="sk-SK"/>
              </w:rPr>
              <w:t xml:space="preserve"> operácií ARDAL(príjmy)</w:t>
            </w:r>
          </w:p>
        </w:tc>
        <w:tc>
          <w:tcPr>
            <w:tcW w:w="794"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0</w:t>
            </w:r>
          </w:p>
        </w:tc>
        <w:tc>
          <w:tcPr>
            <w:tcW w:w="794"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0</w:t>
            </w:r>
          </w:p>
        </w:tc>
        <w:tc>
          <w:tcPr>
            <w:tcW w:w="794" w:type="dxa"/>
            <w:gridSpan w:val="2"/>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0</w:t>
            </w:r>
          </w:p>
        </w:tc>
        <w:tc>
          <w:tcPr>
            <w:tcW w:w="794" w:type="dxa"/>
            <w:tcBorders>
              <w:top w:val="nil"/>
              <w:left w:val="nil"/>
              <w:bottom w:val="single" w:sz="4" w:space="0" w:color="auto"/>
              <w:right w:val="double" w:sz="6"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sidRPr="009942BF">
              <w:rPr>
                <w:rFonts w:ascii="Times New Roman" w:hAnsi="Times New Roman" w:cs="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8 460 200</w:t>
            </w:r>
          </w:p>
        </w:tc>
        <w:tc>
          <w:tcPr>
            <w:tcW w:w="992" w:type="dxa"/>
            <w:tcBorders>
              <w:top w:val="nil"/>
              <w:left w:val="nil"/>
              <w:bottom w:val="single" w:sz="4"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14 404 646</w:t>
            </w:r>
          </w:p>
        </w:tc>
        <w:tc>
          <w:tcPr>
            <w:tcW w:w="992" w:type="dxa"/>
            <w:tcBorders>
              <w:top w:val="nil"/>
              <w:left w:val="nil"/>
              <w:bottom w:val="single" w:sz="4" w:space="0" w:color="auto"/>
              <w:right w:val="single" w:sz="8" w:space="0" w:color="auto"/>
            </w:tcBorders>
            <w:noWrap/>
            <w:textDirection w:val="lrTb"/>
            <w:vAlign w:val="center"/>
            <w:hideMark/>
          </w:tcPr>
          <w:p w:rsidR="00064239" w:rsidRPr="009942BF" w:rsidP="00C450B8">
            <w:pPr>
              <w:bidi w:val="0"/>
              <w:jc w:val="right"/>
              <w:rPr>
                <w:rFonts w:ascii="Times New Roman" w:hAnsi="Times New Roman" w:cs="Times New Roman"/>
                <w:sz w:val="14"/>
                <w:szCs w:val="14"/>
                <w:lang w:eastAsia="sk-SK"/>
              </w:rPr>
            </w:pPr>
            <w:r>
              <w:rPr>
                <w:rFonts w:ascii="Times New Roman" w:hAnsi="Times New Roman" w:cs="Times New Roman"/>
                <w:sz w:val="14"/>
                <w:szCs w:val="14"/>
                <w:lang w:eastAsia="sk-SK"/>
              </w:rPr>
              <w:t>28 662 305</w:t>
            </w:r>
          </w:p>
        </w:tc>
      </w:tr>
      <w:tr>
        <w:tblPrEx>
          <w:tblW w:w="9142" w:type="dxa"/>
          <w:tblInd w:w="57" w:type="dxa"/>
          <w:tblCellMar>
            <w:left w:w="70" w:type="dxa"/>
            <w:right w:w="70" w:type="dxa"/>
          </w:tblCellMar>
          <w:tblLook w:val="04A0"/>
        </w:tblPrEx>
        <w:trPr>
          <w:trHeight w:val="345"/>
        </w:trPr>
        <w:tc>
          <w:tcPr>
            <w:tcW w:w="2990" w:type="dxa"/>
            <w:gridSpan w:val="2"/>
            <w:tcBorders>
              <w:top w:val="single" w:sz="4" w:space="0" w:color="auto"/>
              <w:left w:val="single" w:sz="8" w:space="0" w:color="auto"/>
              <w:bottom w:val="single" w:sz="8" w:space="0" w:color="auto"/>
              <w:right w:val="single" w:sz="4" w:space="0" w:color="000000"/>
            </w:tcBorders>
            <w:textDirection w:val="lrTb"/>
            <w:vAlign w:val="center"/>
            <w:hideMark/>
          </w:tcPr>
          <w:p w:rsidR="00064239" w:rsidRPr="009942BF" w:rsidP="00C450B8">
            <w:pPr>
              <w:bidi w:val="0"/>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 xml:space="preserve">SPOLU Štátny dlh: </w:t>
            </w:r>
          </w:p>
        </w:tc>
        <w:tc>
          <w:tcPr>
            <w:tcW w:w="794" w:type="dxa"/>
            <w:tcBorders>
              <w:top w:val="nil"/>
              <w:left w:val="nil"/>
              <w:bottom w:val="single" w:sz="8"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864 075</w:t>
            </w:r>
          </w:p>
        </w:tc>
        <w:tc>
          <w:tcPr>
            <w:tcW w:w="794" w:type="dxa"/>
            <w:tcBorders>
              <w:top w:val="nil"/>
              <w:left w:val="nil"/>
              <w:bottom w:val="single" w:sz="8"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1 006 647</w:t>
            </w:r>
          </w:p>
        </w:tc>
        <w:tc>
          <w:tcPr>
            <w:tcW w:w="794" w:type="dxa"/>
            <w:gridSpan w:val="2"/>
            <w:tcBorders>
              <w:top w:val="nil"/>
              <w:left w:val="nil"/>
              <w:bottom w:val="single" w:sz="8" w:space="0" w:color="auto"/>
              <w:right w:val="single" w:sz="4" w:space="0" w:color="auto"/>
            </w:tcBorders>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1 386 679</w:t>
            </w:r>
          </w:p>
        </w:tc>
        <w:tc>
          <w:tcPr>
            <w:tcW w:w="794" w:type="dxa"/>
            <w:tcBorders>
              <w:top w:val="nil"/>
              <w:left w:val="nil"/>
              <w:bottom w:val="single" w:sz="8" w:space="0" w:color="auto"/>
              <w:right w:val="double" w:sz="6" w:space="0" w:color="auto"/>
            </w:tcBorders>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sidRPr="009942BF">
              <w:rPr>
                <w:rFonts w:ascii="Times New Roman" w:hAnsi="Times New Roman" w:cs="Times New Roman"/>
                <w:b/>
                <w:bCs/>
                <w:sz w:val="14"/>
                <w:szCs w:val="14"/>
                <w:lang w:eastAsia="sk-SK"/>
              </w:rPr>
              <w:t>1 349 888</w:t>
            </w:r>
          </w:p>
        </w:tc>
        <w:tc>
          <w:tcPr>
            <w:tcW w:w="992" w:type="dxa"/>
            <w:tcBorders>
              <w:top w:val="single" w:sz="4" w:space="0" w:color="auto"/>
              <w:left w:val="nil"/>
              <w:bottom w:val="single" w:sz="8" w:space="0" w:color="auto"/>
              <w:right w:val="single" w:sz="4" w:space="0" w:color="auto"/>
            </w:tcBorders>
            <w:shd w:val="clear" w:color="000000" w:fill="auto"/>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1 334 825 803</w:t>
            </w:r>
          </w:p>
        </w:tc>
        <w:tc>
          <w:tcPr>
            <w:tcW w:w="992" w:type="dxa"/>
            <w:tcBorders>
              <w:top w:val="single" w:sz="4" w:space="0" w:color="auto"/>
              <w:left w:val="nil"/>
              <w:bottom w:val="single" w:sz="8" w:space="0" w:color="auto"/>
              <w:right w:val="single" w:sz="4" w:space="0" w:color="auto"/>
            </w:tcBorders>
            <w:shd w:val="clear" w:color="000000" w:fill="auto"/>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1 531 731 122</w:t>
            </w:r>
          </w:p>
        </w:tc>
        <w:tc>
          <w:tcPr>
            <w:tcW w:w="992" w:type="dxa"/>
            <w:tcBorders>
              <w:top w:val="single" w:sz="4" w:space="0" w:color="auto"/>
              <w:left w:val="nil"/>
              <w:bottom w:val="single" w:sz="8" w:space="0" w:color="auto"/>
              <w:right w:val="single" w:sz="8" w:space="0" w:color="auto"/>
            </w:tcBorders>
            <w:shd w:val="clear" w:color="000000" w:fill="auto"/>
            <w:noWrap/>
            <w:textDirection w:val="lrTb"/>
            <w:vAlign w:val="center"/>
            <w:hideMark/>
          </w:tcPr>
          <w:p w:rsidR="00064239" w:rsidRPr="009942BF" w:rsidP="00C450B8">
            <w:pPr>
              <w:bidi w:val="0"/>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1 706 763 899</w:t>
            </w:r>
          </w:p>
        </w:tc>
      </w:tr>
    </w:tbl>
    <w:p w:rsidR="00064239" w:rsidRPr="00E22B6E" w:rsidP="00064239">
      <w:pPr>
        <w:pStyle w:val="ListParagraph"/>
        <w:bidi w:val="0"/>
        <w:ind w:left="0"/>
        <w:jc w:val="both"/>
        <w:rPr>
          <w:rFonts w:ascii="Times New Roman" w:hAnsi="Times New Roman"/>
          <w:color w:val="000000"/>
          <w:sz w:val="14"/>
          <w:szCs w:val="14"/>
        </w:rPr>
      </w:pPr>
      <w:r w:rsidRPr="00E22B6E">
        <w:rPr>
          <w:rFonts w:ascii="Times New Roman" w:hAnsi="Times New Roman"/>
          <w:color w:val="000000"/>
          <w:sz w:val="14"/>
          <w:szCs w:val="14"/>
        </w:rPr>
        <w:t xml:space="preserve">* V roku 2012 sa v zmysle zákona č. 291/2002 Z. z. o Štátnej pokladnici a o zmene a doplnení v znení neskorších predpisov pre efektívne fungovanie obsluhy Štátneho dlhu zriadil samostatný mimorozpočtový účet  (tzv. saldo účet Štátneho dlhu). Uvedený mimorozpočtový účet slúži pre príjmové aj výdavkové transakcie vykonávané ARDALom v mene MF SR. Stav mimorozpočtového účtu sa vyrovnáva transferom z výdavkového rozpočtového účtu Štátneho dlhu mesačne  a ku koncu roka na nulový zostatok.  </w:t>
      </w:r>
    </w:p>
    <w:p w:rsidR="00064239" w:rsidRPr="00D83F50" w:rsidP="00064239">
      <w:pPr>
        <w:bidi w:val="0"/>
        <w:jc w:val="both"/>
        <w:rPr>
          <w:rFonts w:ascii="Times New Roman" w:hAnsi="Times New Roman"/>
          <w:iCs/>
        </w:rPr>
      </w:pPr>
    </w:p>
    <w:p w:rsidR="00064239" w:rsidRPr="00193117" w:rsidP="00064239">
      <w:pPr>
        <w:bidi w:val="0"/>
        <w:jc w:val="both"/>
        <w:rPr>
          <w:rFonts w:ascii="Times New Roman" w:hAnsi="Times New Roman"/>
          <w:b/>
          <w:bCs/>
          <w:iCs/>
        </w:rPr>
      </w:pPr>
      <w:r>
        <w:rPr>
          <w:rFonts w:ascii="Times New Roman" w:hAnsi="Times New Roman"/>
          <w:b/>
          <w:bCs/>
          <w:iCs/>
        </w:rPr>
        <w:t xml:space="preserve">Finančné vzťahy k </w:t>
      </w:r>
      <w:r w:rsidRPr="00193117">
        <w:rPr>
          <w:rFonts w:ascii="Times New Roman" w:hAnsi="Times New Roman"/>
          <w:b/>
          <w:bCs/>
          <w:iCs/>
        </w:rPr>
        <w:t>Sociálnej poisťovni</w:t>
      </w:r>
    </w:p>
    <w:p w:rsidR="00064239" w:rsidRPr="00193117" w:rsidP="00064239">
      <w:pPr>
        <w:bidi w:val="0"/>
        <w:jc w:val="both"/>
        <w:rPr>
          <w:rFonts w:ascii="Times New Roman" w:hAnsi="Times New Roman"/>
          <w:b/>
          <w:bCs/>
          <w:iCs/>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49"/>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rPr>
                <w:rFonts w:ascii="Times New Roman" w:hAnsi="Times New Roman"/>
                <w:b/>
                <w:bCs/>
                <w:sz w:val="14"/>
                <w:szCs w:val="14"/>
                <w:lang w:eastAsia="sk-SK"/>
              </w:rPr>
            </w:pPr>
            <w:r w:rsidRPr="00461390">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 xml:space="preserve">2010 S </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1</w:t>
            </w:r>
            <w:r w:rsidRPr="00461390">
              <w:rPr>
                <w:rFonts w:ascii="Times New Roman" w:hAnsi="Times New Roman"/>
                <w:b/>
                <w:sz w:val="14"/>
                <w:szCs w:val="14"/>
                <w:lang w:eastAsia="sk-SK"/>
              </w:rPr>
              <w:t xml:space="preserve"> S</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OS</w:t>
            </w:r>
          </w:p>
        </w:tc>
        <w:tc>
          <w:tcPr>
            <w:tcW w:w="9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w:t>
            </w:r>
            <w:r>
              <w:rPr>
                <w:rFonts w:ascii="Times New Roman" w:hAnsi="Times New Roman"/>
                <w:b/>
                <w:sz w:val="14"/>
                <w:szCs w:val="14"/>
                <w:lang w:eastAsia="sk-SK"/>
              </w:rPr>
              <w:t>N</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4</w:t>
            </w:r>
            <w:r w:rsidRPr="00461390">
              <w:rPr>
                <w:rFonts w:ascii="Times New Roman" w:hAnsi="Times New Roman"/>
                <w:b/>
                <w:sz w:val="14"/>
                <w:szCs w:val="14"/>
                <w:lang w:eastAsia="sk-SK"/>
              </w:rPr>
              <w:t xml:space="preserve">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5</w:t>
            </w:r>
            <w:r w:rsidRPr="00461390">
              <w:rPr>
                <w:rFonts w:ascii="Times New Roman" w:hAnsi="Times New Roman"/>
                <w:b/>
                <w:sz w:val="14"/>
                <w:szCs w:val="14"/>
                <w:lang w:eastAsia="sk-SK"/>
              </w:rPr>
              <w:t xml:space="preserve"> N</w:t>
            </w:r>
          </w:p>
        </w:tc>
      </w:tr>
      <w:tr>
        <w:tblPrEx>
          <w:tblW w:w="9087" w:type="dxa"/>
          <w:tblInd w:w="55" w:type="dxa"/>
          <w:tblLayout w:type="fixed"/>
          <w:tblCellMar>
            <w:left w:w="70" w:type="dxa"/>
            <w:right w:w="70" w:type="dxa"/>
          </w:tblCellMar>
          <w:tblLook w:val="04A0"/>
        </w:tblPrEx>
        <w:trPr>
          <w:trHeight w:val="249"/>
        </w:trPr>
        <w:tc>
          <w:tcPr>
            <w:tcW w:w="214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064239" w:rsidRPr="00F014C4" w:rsidP="00C450B8">
            <w:pPr>
              <w:bidi w:val="0"/>
              <w:rPr>
                <w:rFonts w:ascii="Times New Roman" w:hAnsi="Times New Roman"/>
                <w:b/>
                <w:bCs/>
                <w:sz w:val="14"/>
                <w:szCs w:val="14"/>
                <w:lang w:eastAsia="sk-SK"/>
              </w:rPr>
            </w:pPr>
            <w:r>
              <w:rPr>
                <w:rFonts w:ascii="Times New Roman" w:hAnsi="Times New Roman"/>
                <w:b/>
                <w:bCs/>
                <w:sz w:val="14"/>
                <w:szCs w:val="14"/>
                <w:lang w:eastAsia="sk-SK"/>
              </w:rPr>
              <w:t>Finančné vzťahy k Sociálnej poisťovni</w:t>
            </w:r>
          </w:p>
        </w:tc>
        <w:tc>
          <w:tcPr>
            <w:tcW w:w="992" w:type="dxa"/>
            <w:tcBorders>
              <w:top w:val="nil"/>
              <w:left w:val="nil"/>
              <w:bottom w:val="single" w:sz="4" w:space="0" w:color="auto"/>
              <w:right w:val="single" w:sz="4" w:space="0" w:color="auto"/>
            </w:tcBorders>
            <w:shd w:val="clear" w:color="auto" w:fill="BFBFBF"/>
            <w:textDirection w:val="lrTb"/>
            <w:vAlign w:val="bottom"/>
          </w:tcPr>
          <w:p w:rsidR="00064239" w:rsidRPr="00F014C4"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1 441 708 625</w:t>
            </w:r>
          </w:p>
        </w:tc>
        <w:tc>
          <w:tcPr>
            <w:tcW w:w="992" w:type="dxa"/>
            <w:tcBorders>
              <w:top w:val="nil"/>
              <w:left w:val="nil"/>
              <w:bottom w:val="single" w:sz="4" w:space="0" w:color="auto"/>
              <w:right w:val="single" w:sz="4" w:space="0" w:color="auto"/>
            </w:tcBorders>
            <w:shd w:val="clear" w:color="auto" w:fill="BFBFBF"/>
            <w:textDirection w:val="lrTb"/>
            <w:vAlign w:val="bottom"/>
          </w:tcPr>
          <w:p w:rsidR="00064239" w:rsidRPr="00F014C4"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1 44</w:t>
            </w:r>
            <w:r w:rsidRPr="00F014C4">
              <w:rPr>
                <w:rFonts w:ascii="Times New Roman" w:hAnsi="Times New Roman"/>
                <w:b/>
                <w:bCs/>
                <w:sz w:val="14"/>
                <w:szCs w:val="14"/>
                <w:lang w:eastAsia="sk-SK"/>
              </w:rPr>
              <w:t>6</w:t>
            </w:r>
            <w:r>
              <w:rPr>
                <w:rFonts w:ascii="Times New Roman" w:hAnsi="Times New Roman"/>
                <w:b/>
                <w:bCs/>
                <w:sz w:val="14"/>
                <w:szCs w:val="14"/>
                <w:lang w:eastAsia="sk-SK"/>
              </w:rPr>
              <w:t> 193 405</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064239" w:rsidRPr="00F014C4"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1 780 000 000</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064239" w:rsidRPr="00F014C4"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1 564 592 500</w:t>
            </w:r>
          </w:p>
        </w:tc>
        <w:tc>
          <w:tcPr>
            <w:tcW w:w="992" w:type="dxa"/>
            <w:tcBorders>
              <w:top w:val="nil"/>
              <w:left w:val="single" w:sz="4" w:space="0" w:color="auto"/>
              <w:bottom w:val="single" w:sz="4" w:space="0" w:color="auto"/>
              <w:right w:val="single" w:sz="4" w:space="0" w:color="auto"/>
            </w:tcBorders>
            <w:shd w:val="clear" w:color="auto" w:fill="BFBFBF"/>
            <w:noWrap/>
            <w:textDirection w:val="lrTb"/>
            <w:vAlign w:val="bottom"/>
          </w:tcPr>
          <w:p w:rsidR="00064239" w:rsidRPr="00F014C4"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918 237 452</w:t>
            </w:r>
          </w:p>
        </w:tc>
        <w:tc>
          <w:tcPr>
            <w:tcW w:w="992" w:type="dxa"/>
            <w:tcBorders>
              <w:top w:val="nil"/>
              <w:left w:val="nil"/>
              <w:bottom w:val="single" w:sz="4" w:space="0" w:color="auto"/>
              <w:right w:val="single" w:sz="4" w:space="0" w:color="auto"/>
            </w:tcBorders>
            <w:shd w:val="clear" w:color="auto" w:fill="BFBFBF"/>
            <w:noWrap/>
            <w:textDirection w:val="lrTb"/>
            <w:vAlign w:val="bottom"/>
          </w:tcPr>
          <w:p w:rsidR="00064239" w:rsidRPr="00F014C4"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940 012 232</w:t>
            </w:r>
          </w:p>
        </w:tc>
        <w:tc>
          <w:tcPr>
            <w:tcW w:w="993" w:type="dxa"/>
            <w:tcBorders>
              <w:top w:val="nil"/>
              <w:left w:val="nil"/>
              <w:bottom w:val="single" w:sz="4" w:space="0" w:color="auto"/>
              <w:right w:val="single" w:sz="4" w:space="0" w:color="auto"/>
            </w:tcBorders>
            <w:shd w:val="clear" w:color="auto" w:fill="BFBFBF"/>
            <w:noWrap/>
            <w:textDirection w:val="lrTb"/>
            <w:vAlign w:val="bottom"/>
          </w:tcPr>
          <w:p w:rsidR="00064239" w:rsidRPr="00F014C4"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927 213 858</w:t>
            </w:r>
          </w:p>
        </w:tc>
      </w:tr>
      <w:tr>
        <w:tblPrEx>
          <w:tblW w:w="9087" w:type="dxa"/>
          <w:tblInd w:w="55" w:type="dxa"/>
          <w:tblLayout w:type="fixed"/>
          <w:tblCellMar>
            <w:left w:w="70" w:type="dxa"/>
            <w:right w:w="70" w:type="dxa"/>
          </w:tblCellMar>
          <w:tblLook w:val="04A0"/>
        </w:tblPrEx>
        <w:trPr>
          <w:trHeight w:val="249"/>
        </w:trPr>
        <w:tc>
          <w:tcPr>
            <w:tcW w:w="2142" w:type="dxa"/>
            <w:tcBorders>
              <w:top w:val="nil"/>
              <w:left w:val="single" w:sz="4" w:space="0" w:color="auto"/>
              <w:bottom w:val="single" w:sz="4" w:space="0" w:color="auto"/>
              <w:right w:val="single" w:sz="4" w:space="0" w:color="auto"/>
            </w:tcBorders>
            <w:textDirection w:val="lrTb"/>
            <w:vAlign w:val="bottom"/>
          </w:tcPr>
          <w:p w:rsidR="00064239" w:rsidRPr="00193117" w:rsidP="00C450B8">
            <w:pPr>
              <w:bidi w:val="0"/>
              <w:rPr>
                <w:rFonts w:ascii="Times New Roman" w:hAnsi="Times New Roman"/>
                <w:bCs/>
                <w:sz w:val="14"/>
                <w:szCs w:val="14"/>
                <w:lang w:eastAsia="sk-SK"/>
              </w:rPr>
            </w:pPr>
            <w:r w:rsidRPr="00193117">
              <w:rPr>
                <w:rFonts w:ascii="Times New Roman" w:hAnsi="Times New Roman"/>
                <w:bCs/>
                <w:sz w:val="14"/>
                <w:szCs w:val="14"/>
                <w:lang w:eastAsia="sk-SK"/>
              </w:rPr>
              <w:t>Transfer Sociálnej poisťovni</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bCs/>
                <w:sz w:val="14"/>
                <w:szCs w:val="14"/>
                <w:lang w:eastAsia="sk-SK"/>
              </w:rPr>
            </w:pPr>
            <w:r w:rsidRPr="00193117">
              <w:rPr>
                <w:rFonts w:ascii="Times New Roman" w:hAnsi="Times New Roman"/>
                <w:bCs/>
                <w:sz w:val="14"/>
                <w:szCs w:val="14"/>
                <w:lang w:eastAsia="sk-SK"/>
              </w:rPr>
              <w:t>1 441 708 625</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1 446 193 405</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1 780 000 000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1 564 592 500</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bCs/>
                <w:sz w:val="14"/>
                <w:szCs w:val="14"/>
                <w:lang w:eastAsia="sk-SK"/>
              </w:rPr>
            </w:pPr>
            <w:r>
              <w:rPr>
                <w:rFonts w:ascii="Times New Roman" w:hAnsi="Times New Roman"/>
                <w:bCs/>
                <w:sz w:val="14"/>
                <w:szCs w:val="14"/>
                <w:lang w:eastAsia="sk-SK"/>
              </w:rPr>
              <w:t xml:space="preserve">689 099 049 </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bCs/>
                <w:sz w:val="14"/>
                <w:szCs w:val="14"/>
                <w:lang w:eastAsia="sk-SK"/>
              </w:rPr>
            </w:pPr>
            <w:r>
              <w:rPr>
                <w:rFonts w:ascii="Times New Roman" w:hAnsi="Times New Roman"/>
                <w:bCs/>
                <w:sz w:val="14"/>
                <w:szCs w:val="14"/>
                <w:lang w:eastAsia="sk-SK"/>
              </w:rPr>
              <w:t>922 445 268</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bCs/>
                <w:sz w:val="14"/>
                <w:szCs w:val="14"/>
                <w:lang w:eastAsia="sk-SK"/>
              </w:rPr>
            </w:pPr>
            <w:r>
              <w:rPr>
                <w:rFonts w:ascii="Times New Roman" w:hAnsi="Times New Roman"/>
                <w:bCs/>
                <w:sz w:val="14"/>
                <w:szCs w:val="14"/>
                <w:lang w:eastAsia="sk-SK"/>
              </w:rPr>
              <w:t>908 729 663</w:t>
            </w:r>
          </w:p>
        </w:tc>
      </w:tr>
      <w:tr>
        <w:tblPrEx>
          <w:tblW w:w="9087" w:type="dxa"/>
          <w:tblInd w:w="55" w:type="dxa"/>
          <w:tblLayout w:type="fixed"/>
          <w:tblCellMar>
            <w:left w:w="70" w:type="dxa"/>
            <w:right w:w="70" w:type="dxa"/>
          </w:tblCellMar>
          <w:tblLook w:val="04A0"/>
        </w:tblPrEx>
        <w:trPr>
          <w:trHeight w:val="249"/>
        </w:trPr>
        <w:tc>
          <w:tcPr>
            <w:tcW w:w="2142" w:type="dxa"/>
            <w:tcBorders>
              <w:top w:val="single" w:sz="4" w:space="0" w:color="auto"/>
              <w:left w:val="single" w:sz="4" w:space="0" w:color="auto"/>
              <w:bottom w:val="single" w:sz="4" w:space="0" w:color="auto"/>
              <w:right w:val="single" w:sz="4" w:space="0" w:color="auto"/>
            </w:tcBorders>
            <w:textDirection w:val="lrTb"/>
            <w:vAlign w:val="bottom"/>
          </w:tcPr>
          <w:p w:rsidR="00064239" w:rsidRPr="00193117" w:rsidP="00C450B8">
            <w:pPr>
              <w:bidi w:val="0"/>
              <w:rPr>
                <w:rFonts w:ascii="Times New Roman" w:hAnsi="Times New Roman"/>
                <w:bCs/>
                <w:sz w:val="14"/>
                <w:szCs w:val="14"/>
                <w:lang w:eastAsia="sk-SK"/>
              </w:rPr>
            </w:pPr>
            <w:r>
              <w:rPr>
                <w:rFonts w:ascii="Times New Roman" w:hAnsi="Times New Roman"/>
                <w:bCs/>
                <w:sz w:val="14"/>
                <w:szCs w:val="14"/>
                <w:lang w:eastAsia="sk-SK"/>
              </w:rPr>
              <w:t>Rezerva na otvorenie II. piliera v zmysle zákona č. 461/2004 Z. z.</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064239" w:rsidP="00C450B8">
            <w:pPr>
              <w:bidi w:val="0"/>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P="00C450B8">
            <w:pPr>
              <w:bidi w:val="0"/>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064239" w:rsidP="00C450B8">
            <w:pPr>
              <w:bidi w:val="0"/>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064239" w:rsidP="00C450B8">
            <w:pPr>
              <w:bidi w:val="0"/>
              <w:jc w:val="right"/>
              <w:rPr>
                <w:rFonts w:ascii="Times New Roman" w:hAnsi="Times New Roman"/>
                <w:bCs/>
                <w:sz w:val="14"/>
                <w:szCs w:val="14"/>
                <w:lang w:eastAsia="sk-SK"/>
              </w:rPr>
            </w:pPr>
            <w:r>
              <w:rPr>
                <w:rFonts w:ascii="Times New Roman" w:hAnsi="Times New Roman"/>
                <w:bCs/>
                <w:sz w:val="14"/>
                <w:szCs w:val="14"/>
                <w:lang w:eastAsia="sk-SK"/>
              </w:rPr>
              <w:t>229 138 403</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17 566 964</w:t>
            </w:r>
          </w:p>
        </w:tc>
        <w:tc>
          <w:tcPr>
            <w:tcW w:w="993" w:type="dxa"/>
            <w:tcBorders>
              <w:top w:val="single" w:sz="4" w:space="0" w:color="auto"/>
              <w:left w:val="nil"/>
              <w:bottom w:val="single" w:sz="4" w:space="0" w:color="auto"/>
              <w:right w:val="single" w:sz="4" w:space="0" w:color="auto"/>
            </w:tcBorders>
            <w:noWrap/>
            <w:textDirection w:val="lrTb"/>
            <w:vAlign w:val="bottom"/>
          </w:tcPr>
          <w:p w:rsidR="00064239" w:rsidP="00C450B8">
            <w:pPr>
              <w:bidi w:val="0"/>
              <w:jc w:val="right"/>
              <w:rPr>
                <w:rFonts w:ascii="Times New Roman" w:hAnsi="Times New Roman"/>
                <w:bCs/>
                <w:sz w:val="14"/>
                <w:szCs w:val="14"/>
                <w:lang w:eastAsia="sk-SK"/>
              </w:rPr>
            </w:pPr>
            <w:r>
              <w:rPr>
                <w:rFonts w:ascii="Times New Roman" w:hAnsi="Times New Roman"/>
                <w:bCs/>
                <w:sz w:val="14"/>
                <w:szCs w:val="14"/>
                <w:lang w:eastAsia="sk-SK"/>
              </w:rPr>
              <w:t>18 484 195</w:t>
            </w:r>
          </w:p>
        </w:tc>
      </w:tr>
    </w:tbl>
    <w:p w:rsidR="00064239" w:rsidRPr="00193117" w:rsidP="00064239">
      <w:pPr>
        <w:pStyle w:val="NormalWeb"/>
        <w:bidi w:val="0"/>
        <w:spacing w:before="0" w:beforeAutospacing="0" w:after="0" w:afterAutospacing="0"/>
        <w:jc w:val="both"/>
        <w:rPr>
          <w:rFonts w:ascii="Times New Roman" w:hAnsi="Times New Roman"/>
        </w:rPr>
      </w:pPr>
    </w:p>
    <w:p w:rsidR="00064239" w:rsidP="00064239">
      <w:pPr>
        <w:bidi w:val="0"/>
        <w:ind w:firstLine="708"/>
        <w:jc w:val="both"/>
        <w:rPr>
          <w:rFonts w:ascii="Times New Roman" w:hAnsi="Times New Roman" w:cs="Times New Roman"/>
        </w:rPr>
      </w:pPr>
      <w:r w:rsidRPr="00753747">
        <w:rPr>
          <w:rFonts w:ascii="Times New Roman" w:hAnsi="Times New Roman" w:cs="Times New Roman"/>
        </w:rPr>
        <w:t xml:space="preserve">V kapitole je rozpočtovaný transfer Sociálnej poisťovni na krytie deficitov základného fondu starobného poistenia v sume </w:t>
      </w:r>
      <w:r>
        <w:rPr>
          <w:rFonts w:ascii="Times New Roman" w:hAnsi="Times New Roman" w:cs="Times New Roman"/>
        </w:rPr>
        <w:t xml:space="preserve">689,1 </w:t>
      </w:r>
      <w:r w:rsidRPr="00753747">
        <w:rPr>
          <w:rFonts w:ascii="Times New Roman" w:hAnsi="Times New Roman" w:cs="Times New Roman"/>
        </w:rPr>
        <w:t>mil. eur v roku 2013. Pokles oproti roku schválenému rozpočtu 2012 o</w:t>
      </w:r>
      <w:r>
        <w:rPr>
          <w:rFonts w:ascii="Times New Roman" w:hAnsi="Times New Roman" w:cs="Times New Roman"/>
        </w:rPr>
        <w:t> 1 090,9</w:t>
      </w:r>
      <w:r w:rsidRPr="00753747">
        <w:rPr>
          <w:rFonts w:ascii="Times New Roman" w:hAnsi="Times New Roman" w:cs="Times New Roman"/>
        </w:rPr>
        <w:t xml:space="preserve"> mil. eur vyplýva z</w:t>
      </w:r>
      <w:r>
        <w:rPr>
          <w:rFonts w:ascii="Times New Roman" w:hAnsi="Times New Roman" w:cs="Times New Roman"/>
        </w:rPr>
        <w:t>o</w:t>
      </w:r>
      <w:r w:rsidRPr="00753747">
        <w:rPr>
          <w:rFonts w:ascii="Times New Roman" w:hAnsi="Times New Roman" w:cs="Times New Roman"/>
        </w:rPr>
        <w:t xml:space="preserve"> zmien v oblasti sociálneho poistenia a dočasného otvoren</w:t>
      </w:r>
      <w:r>
        <w:rPr>
          <w:rFonts w:ascii="Times New Roman" w:hAnsi="Times New Roman" w:cs="Times New Roman"/>
        </w:rPr>
        <w:t>ia druhého dôchodkového piliera.</w:t>
      </w:r>
    </w:p>
    <w:p w:rsidR="00064239" w:rsidRPr="00753747" w:rsidP="00064239">
      <w:pPr>
        <w:bidi w:val="0"/>
        <w:ind w:firstLine="708"/>
        <w:jc w:val="both"/>
        <w:rPr>
          <w:rFonts w:ascii="Times New Roman" w:hAnsi="Times New Roman" w:cs="Times New Roman"/>
        </w:rPr>
      </w:pPr>
    </w:p>
    <w:p w:rsidR="00064239" w:rsidRPr="00753747" w:rsidP="00064239">
      <w:pPr>
        <w:bidi w:val="0"/>
        <w:ind w:firstLine="708"/>
        <w:jc w:val="both"/>
        <w:rPr>
          <w:rFonts w:ascii="Times New Roman" w:hAnsi="Times New Roman" w:cs="Times New Roman"/>
        </w:rPr>
      </w:pPr>
      <w:r w:rsidRPr="007448A9">
        <w:rPr>
          <w:rFonts w:ascii="Times New Roman" w:hAnsi="Times New Roman" w:cs="Times New Roman"/>
        </w:rPr>
        <w:t>V nadväznosti na pripravované opatrenia v oblasti starobného dôchodkového sporenia sa vytvára rezerva na otvorenie druhého dôchodkového piliera  vo výške indikatívnej alokácie prostriedkov v sume 229 mil. eur v roku 2013,  17,6 mil. eur v roku 2014 a 18,5 mil. eur v roku 2015</w:t>
      </w:r>
      <w:r>
        <w:rPr>
          <w:rFonts w:ascii="Times New Roman" w:hAnsi="Times New Roman" w:cs="Times New Roman"/>
        </w:rPr>
        <w:t>.</w:t>
      </w:r>
    </w:p>
    <w:p w:rsidR="00064239" w:rsidP="00064239">
      <w:pPr>
        <w:pStyle w:val="NormalWeb"/>
        <w:bidi w:val="0"/>
        <w:spacing w:before="0" w:beforeAutospacing="0" w:after="0" w:afterAutospacing="0"/>
        <w:jc w:val="both"/>
        <w:rPr>
          <w:rFonts w:ascii="Times New Roman" w:hAnsi="Times New Roman"/>
        </w:rPr>
      </w:pPr>
    </w:p>
    <w:p w:rsidR="00064239" w:rsidRPr="00193117" w:rsidP="00064239">
      <w:pPr>
        <w:pStyle w:val="NormalWeb"/>
        <w:bidi w:val="0"/>
        <w:spacing w:before="0" w:beforeAutospacing="0" w:after="0" w:afterAutospacing="0"/>
        <w:jc w:val="both"/>
        <w:rPr>
          <w:rFonts w:ascii="Times New Roman" w:hAnsi="Times New Roman"/>
        </w:rPr>
      </w:pPr>
    </w:p>
    <w:p w:rsidR="00064239" w:rsidP="00064239">
      <w:pPr>
        <w:bidi w:val="0"/>
        <w:jc w:val="both"/>
        <w:rPr>
          <w:rFonts w:ascii="Times New Roman" w:hAnsi="Times New Roman"/>
          <w:b/>
          <w:iCs/>
        </w:rPr>
      </w:pPr>
      <w:r w:rsidRPr="00193117">
        <w:rPr>
          <w:rFonts w:ascii="Times New Roman" w:hAnsi="Times New Roman"/>
          <w:b/>
          <w:iCs/>
        </w:rPr>
        <w:t>Ostatné výdavky</w:t>
      </w:r>
    </w:p>
    <w:p w:rsidR="00064239" w:rsidP="00064239">
      <w:pPr>
        <w:bidi w:val="0"/>
        <w:jc w:val="both"/>
        <w:rPr>
          <w:rFonts w:ascii="Times New Roman" w:hAnsi="Times New Roman"/>
          <w:b/>
          <w:iCs/>
        </w:rPr>
      </w:pPr>
    </w:p>
    <w:tbl>
      <w:tblPr>
        <w:tblStyle w:val="TableNormal"/>
        <w:tblW w:w="9087" w:type="dxa"/>
        <w:tblInd w:w="55" w:type="dxa"/>
        <w:tblLayout w:type="fixed"/>
        <w:tblCellMar>
          <w:left w:w="70" w:type="dxa"/>
          <w:right w:w="70" w:type="dxa"/>
        </w:tblCellMar>
        <w:tblLook w:val="04A0"/>
      </w:tblPr>
      <w:tblGrid>
        <w:gridCol w:w="2142"/>
        <w:gridCol w:w="992"/>
        <w:gridCol w:w="992"/>
        <w:gridCol w:w="992"/>
        <w:gridCol w:w="992"/>
        <w:gridCol w:w="992"/>
        <w:gridCol w:w="992"/>
        <w:gridCol w:w="993"/>
      </w:tblGrid>
      <w:tr>
        <w:tblPrEx>
          <w:tblW w:w="9087" w:type="dxa"/>
          <w:tblInd w:w="55" w:type="dxa"/>
          <w:tblLayout w:type="fixed"/>
          <w:tblCellMar>
            <w:left w:w="70" w:type="dxa"/>
            <w:right w:w="70" w:type="dxa"/>
          </w:tblCellMar>
          <w:tblLook w:val="04A0"/>
        </w:tblPrEx>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rPr>
                <w:rFonts w:ascii="Times New Roman" w:hAnsi="Times New Roman"/>
                <w:b/>
                <w:bCs/>
                <w:sz w:val="14"/>
                <w:szCs w:val="14"/>
                <w:lang w:eastAsia="sk-SK"/>
              </w:rPr>
            </w:pPr>
            <w:r w:rsidRPr="00461390">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2010 S</w:t>
            </w:r>
            <w:r>
              <w:rPr>
                <w:rFonts w:ascii="Times New Roman" w:hAnsi="Times New Roman"/>
                <w:b/>
                <w:sz w:val="14"/>
                <w:szCs w:val="14"/>
                <w:lang w:eastAsia="sk-SK"/>
              </w:rPr>
              <w:t>*</w:t>
            </w:r>
            <w:r w:rsidRPr="00461390">
              <w:rPr>
                <w:rFonts w:ascii="Times New Roman" w:hAnsi="Times New Roman"/>
                <w:b/>
                <w:sz w:val="14"/>
                <w:szCs w:val="14"/>
                <w:lang w:eastAsia="sk-SK"/>
              </w:rPr>
              <w:t xml:space="preserve"> </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1</w:t>
            </w:r>
            <w:r w:rsidRPr="00461390">
              <w:rPr>
                <w:rFonts w:ascii="Times New Roman" w:hAnsi="Times New Roman"/>
                <w:b/>
                <w:sz w:val="14"/>
                <w:szCs w:val="14"/>
                <w:lang w:eastAsia="sk-SK"/>
              </w:rPr>
              <w:t xml:space="preserve"> S</w:t>
            </w:r>
            <w:r>
              <w:rPr>
                <w:rFonts w:ascii="Times New Roman" w:hAnsi="Times New Roman"/>
                <w:b/>
                <w:sz w:val="14"/>
                <w:szCs w:val="14"/>
                <w:lang w:eastAsia="sk-SK"/>
              </w:rPr>
              <w:t>*</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R</w:t>
            </w:r>
          </w:p>
        </w:tc>
        <w:tc>
          <w:tcPr>
            <w:tcW w:w="992" w:type="dxa"/>
            <w:tcBorders>
              <w:top w:val="single" w:sz="4" w:space="0" w:color="auto"/>
              <w:left w:val="nil"/>
              <w:bottom w:val="single" w:sz="4" w:space="0" w:color="auto"/>
              <w:right w:val="single" w:sz="4" w:space="0" w:color="auto"/>
            </w:tcBorders>
            <w:shd w:val="clear" w:color="auto" w:fill="A6A6A6"/>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2</w:t>
            </w:r>
            <w:r w:rsidRPr="00461390">
              <w:rPr>
                <w:rFonts w:ascii="Times New Roman" w:hAnsi="Times New Roman"/>
                <w:b/>
                <w:sz w:val="14"/>
                <w:szCs w:val="14"/>
                <w:lang w:eastAsia="sk-SK"/>
              </w:rPr>
              <w:t xml:space="preserve"> OS</w:t>
            </w:r>
            <w:r>
              <w:rPr>
                <w:rFonts w:ascii="Times New Roman" w:hAnsi="Times New Roman"/>
                <w:b/>
                <w:sz w:val="14"/>
                <w:szCs w:val="14"/>
                <w:lang w:eastAsia="sk-SK"/>
              </w:rPr>
              <w:t>*</w:t>
            </w:r>
          </w:p>
        </w:tc>
        <w:tc>
          <w:tcPr>
            <w:tcW w:w="9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3</w:t>
            </w:r>
            <w:r w:rsidRPr="00461390">
              <w:rPr>
                <w:rFonts w:ascii="Times New Roman" w:hAnsi="Times New Roman"/>
                <w:b/>
                <w:sz w:val="14"/>
                <w:szCs w:val="14"/>
                <w:lang w:eastAsia="sk-SK"/>
              </w:rPr>
              <w:t xml:space="preserve"> </w:t>
            </w:r>
            <w:r>
              <w:rPr>
                <w:rFonts w:ascii="Times New Roman" w:hAnsi="Times New Roman"/>
                <w:b/>
                <w:sz w:val="14"/>
                <w:szCs w:val="14"/>
                <w:lang w:eastAsia="sk-SK"/>
              </w:rPr>
              <w:t>N</w:t>
            </w:r>
          </w:p>
        </w:tc>
        <w:tc>
          <w:tcPr>
            <w:tcW w:w="992"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4</w:t>
            </w:r>
            <w:r w:rsidRPr="00461390">
              <w:rPr>
                <w:rFonts w:ascii="Times New Roman" w:hAnsi="Times New Roman"/>
                <w:b/>
                <w:sz w:val="14"/>
                <w:szCs w:val="14"/>
                <w:lang w:eastAsia="sk-SK"/>
              </w:rPr>
              <w:t xml:space="preserve"> N</w:t>
            </w:r>
          </w:p>
        </w:tc>
        <w:tc>
          <w:tcPr>
            <w:tcW w:w="993" w:type="dxa"/>
            <w:tcBorders>
              <w:top w:val="single" w:sz="4" w:space="0" w:color="auto"/>
              <w:left w:val="nil"/>
              <w:bottom w:val="single" w:sz="4" w:space="0" w:color="auto"/>
              <w:right w:val="single" w:sz="4" w:space="0" w:color="auto"/>
            </w:tcBorders>
            <w:shd w:val="clear" w:color="auto" w:fill="A6A6A6"/>
            <w:noWrap/>
            <w:textDirection w:val="lrTb"/>
            <w:vAlign w:val="bottom"/>
          </w:tcPr>
          <w:p w:rsidR="00064239" w:rsidRPr="00461390" w:rsidP="00C450B8">
            <w:pPr>
              <w:bidi w:val="0"/>
              <w:jc w:val="center"/>
              <w:rPr>
                <w:rFonts w:ascii="Times New Roman" w:hAnsi="Times New Roman"/>
                <w:b/>
                <w:sz w:val="14"/>
                <w:szCs w:val="14"/>
                <w:lang w:eastAsia="sk-SK"/>
              </w:rPr>
            </w:pPr>
            <w:r w:rsidRPr="00461390">
              <w:rPr>
                <w:rFonts w:ascii="Times New Roman" w:hAnsi="Times New Roman"/>
                <w:b/>
                <w:sz w:val="14"/>
                <w:szCs w:val="14"/>
                <w:lang w:eastAsia="sk-SK"/>
              </w:rPr>
              <w:t>201</w:t>
            </w:r>
            <w:r>
              <w:rPr>
                <w:rFonts w:ascii="Times New Roman" w:hAnsi="Times New Roman"/>
                <w:b/>
                <w:sz w:val="14"/>
                <w:szCs w:val="14"/>
                <w:lang w:eastAsia="sk-SK"/>
              </w:rPr>
              <w:t>5</w:t>
            </w:r>
            <w:r w:rsidRPr="00461390">
              <w:rPr>
                <w:rFonts w:ascii="Times New Roman" w:hAnsi="Times New Roman"/>
                <w:b/>
                <w:sz w:val="14"/>
                <w:szCs w:val="14"/>
                <w:lang w:eastAsia="sk-SK"/>
              </w:rPr>
              <w:t xml:space="preserve"> N</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shd w:val="clear" w:color="auto" w:fill="BFBFBF"/>
            <w:textDirection w:val="lrTb"/>
            <w:vAlign w:val="bottom"/>
          </w:tcPr>
          <w:p w:rsidR="00064239" w:rsidRPr="00193117" w:rsidP="00C450B8">
            <w:pPr>
              <w:bidi w:val="0"/>
              <w:rPr>
                <w:rFonts w:ascii="Times New Roman" w:hAnsi="Times New Roman"/>
                <w:b/>
                <w:bCs/>
                <w:sz w:val="14"/>
                <w:szCs w:val="14"/>
                <w:lang w:eastAsia="sk-SK"/>
              </w:rPr>
            </w:pPr>
            <w:r w:rsidRPr="00193117">
              <w:rPr>
                <w:rFonts w:ascii="Times New Roman" w:hAnsi="Times New Roman"/>
                <w:b/>
                <w:bCs/>
                <w:sz w:val="14"/>
                <w:szCs w:val="14"/>
                <w:lang w:eastAsia="sk-SK"/>
              </w:rPr>
              <w:t>Ostatné</w:t>
            </w:r>
          </w:p>
        </w:tc>
        <w:tc>
          <w:tcPr>
            <w:tcW w:w="992" w:type="dxa"/>
            <w:tcBorders>
              <w:top w:val="nil"/>
              <w:left w:val="nil"/>
              <w:bottom w:val="single" w:sz="4" w:space="0" w:color="auto"/>
              <w:right w:val="single" w:sz="4" w:space="0" w:color="auto"/>
            </w:tcBorders>
            <w:shd w:val="clear" w:color="auto" w:fill="BFBFBF"/>
            <w:textDirection w:val="lrTb"/>
            <w:vAlign w:val="bottom"/>
          </w:tcPr>
          <w:p w:rsidR="00064239" w:rsidRPr="00193117" w:rsidP="00C450B8">
            <w:pPr>
              <w:bidi w:val="0"/>
              <w:jc w:val="right"/>
              <w:rPr>
                <w:rFonts w:ascii="Times New Roman" w:hAnsi="Times New Roman"/>
                <w:b/>
                <w:bCs/>
                <w:sz w:val="14"/>
                <w:szCs w:val="14"/>
                <w:lang w:eastAsia="sk-SK"/>
              </w:rPr>
            </w:pPr>
            <w:r w:rsidRPr="00193117">
              <w:rPr>
                <w:rFonts w:ascii="Times New Roman" w:hAnsi="Times New Roman"/>
                <w:b/>
                <w:bCs/>
                <w:sz w:val="14"/>
                <w:szCs w:val="14"/>
                <w:lang w:eastAsia="sk-SK"/>
              </w:rPr>
              <w:t>178 785 471</w:t>
            </w:r>
          </w:p>
        </w:tc>
        <w:tc>
          <w:tcPr>
            <w:tcW w:w="992" w:type="dxa"/>
            <w:tcBorders>
              <w:top w:val="nil"/>
              <w:left w:val="nil"/>
              <w:bottom w:val="single" w:sz="4" w:space="0" w:color="auto"/>
              <w:right w:val="single" w:sz="4" w:space="0" w:color="auto"/>
            </w:tcBorders>
            <w:shd w:val="clear" w:color="auto" w:fill="BFBFBF"/>
            <w:textDirection w:val="lrTb"/>
            <w:vAlign w:val="bottom"/>
          </w:tcPr>
          <w:p w:rsidR="00064239" w:rsidRPr="00193117"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64 090 587</w:t>
            </w:r>
          </w:p>
        </w:tc>
        <w:tc>
          <w:tcPr>
            <w:tcW w:w="992" w:type="dxa"/>
            <w:tcBorders>
              <w:top w:val="nil"/>
              <w:left w:val="nil"/>
              <w:bottom w:val="single" w:sz="4" w:space="0" w:color="auto"/>
              <w:right w:val="single" w:sz="4" w:space="0" w:color="auto"/>
            </w:tcBorders>
            <w:shd w:val="clear" w:color="auto" w:fill="BFBFBF"/>
            <w:textDirection w:val="lrTb"/>
            <w:vAlign w:val="bottom"/>
          </w:tcPr>
          <w:p w:rsidR="00064239" w:rsidRPr="00AF4658" w:rsidP="00C450B8">
            <w:pPr>
              <w:bidi w:val="0"/>
              <w:jc w:val="right"/>
              <w:rPr>
                <w:rFonts w:ascii="Times New Roman" w:hAnsi="Times New Roman"/>
                <w:b/>
                <w:bCs/>
                <w:sz w:val="14"/>
                <w:szCs w:val="14"/>
                <w:lang w:eastAsia="sk-SK"/>
              </w:rPr>
            </w:pPr>
            <w:r w:rsidRPr="00AF4658">
              <w:rPr>
                <w:rFonts w:ascii="Times New Roman" w:hAnsi="Times New Roman"/>
                <w:b/>
                <w:bCs/>
                <w:sz w:val="14"/>
                <w:szCs w:val="14"/>
                <w:lang w:eastAsia="sk-SK"/>
              </w:rPr>
              <w:t>183 732 854</w:t>
            </w:r>
          </w:p>
        </w:tc>
        <w:tc>
          <w:tcPr>
            <w:tcW w:w="992" w:type="dxa"/>
            <w:tcBorders>
              <w:top w:val="single" w:sz="4" w:space="0" w:color="auto"/>
              <w:left w:val="nil"/>
              <w:bottom w:val="single" w:sz="4" w:space="0" w:color="auto"/>
              <w:right w:val="single" w:sz="4" w:space="0" w:color="auto"/>
            </w:tcBorders>
            <w:shd w:val="clear" w:color="auto" w:fill="BFBFBF"/>
            <w:textDirection w:val="lrTb"/>
            <w:vAlign w:val="bottom"/>
          </w:tcPr>
          <w:p w:rsidR="00064239" w:rsidRPr="00193117"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46 241 013</w:t>
            </w:r>
          </w:p>
        </w:tc>
        <w:tc>
          <w:tcPr>
            <w:tcW w:w="992" w:type="dxa"/>
            <w:tcBorders>
              <w:top w:val="nil"/>
              <w:left w:val="single" w:sz="4" w:space="0" w:color="auto"/>
              <w:bottom w:val="single" w:sz="4" w:space="0" w:color="auto"/>
              <w:right w:val="single" w:sz="4" w:space="0" w:color="auto"/>
            </w:tcBorders>
            <w:shd w:val="clear" w:color="auto" w:fill="BFBFBF"/>
            <w:textDirection w:val="lrTb"/>
            <w:vAlign w:val="bottom"/>
          </w:tcPr>
          <w:p w:rsidR="00064239" w:rsidRPr="00AF4658"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92 885 830</w:t>
            </w:r>
          </w:p>
        </w:tc>
        <w:tc>
          <w:tcPr>
            <w:tcW w:w="992" w:type="dxa"/>
            <w:tcBorders>
              <w:top w:val="nil"/>
              <w:left w:val="nil"/>
              <w:bottom w:val="single" w:sz="4" w:space="0" w:color="auto"/>
              <w:right w:val="single" w:sz="4" w:space="0" w:color="auto"/>
            </w:tcBorders>
            <w:shd w:val="clear" w:color="auto" w:fill="BFBFBF"/>
            <w:textDirection w:val="lrTb"/>
            <w:vAlign w:val="bottom"/>
          </w:tcPr>
          <w:p w:rsidR="00064239" w:rsidRPr="00AF4658"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78 139 723</w:t>
            </w:r>
          </w:p>
        </w:tc>
        <w:tc>
          <w:tcPr>
            <w:tcW w:w="993" w:type="dxa"/>
            <w:tcBorders>
              <w:top w:val="nil"/>
              <w:left w:val="nil"/>
              <w:bottom w:val="single" w:sz="4" w:space="0" w:color="auto"/>
              <w:right w:val="single" w:sz="4" w:space="0" w:color="auto"/>
            </w:tcBorders>
            <w:shd w:val="clear" w:color="auto" w:fill="BFBFBF"/>
            <w:textDirection w:val="lrTb"/>
            <w:vAlign w:val="bottom"/>
          </w:tcPr>
          <w:p w:rsidR="00064239" w:rsidRPr="00AF4658" w:rsidP="00C450B8">
            <w:pPr>
              <w:bidi w:val="0"/>
              <w:jc w:val="right"/>
              <w:rPr>
                <w:rFonts w:ascii="Times New Roman" w:hAnsi="Times New Roman"/>
                <w:b/>
                <w:bCs/>
                <w:sz w:val="14"/>
                <w:szCs w:val="14"/>
                <w:lang w:eastAsia="sk-SK"/>
              </w:rPr>
            </w:pPr>
            <w:r>
              <w:rPr>
                <w:rFonts w:ascii="Times New Roman" w:hAnsi="Times New Roman"/>
                <w:b/>
                <w:bCs/>
                <w:sz w:val="14"/>
                <w:szCs w:val="14"/>
                <w:lang w:eastAsia="sk-SK"/>
              </w:rPr>
              <w:t>78 049 363</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bottom"/>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 xml:space="preserve">Úhrada majetkovej ujmy </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1 356 180</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1 110 000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2 000 900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7B3F00">
              <w:rPr>
                <w:rFonts w:ascii="Times New Roman" w:hAnsi="Times New Roman"/>
                <w:sz w:val="14"/>
                <w:szCs w:val="14"/>
                <w:lang w:eastAsia="sk-SK"/>
              </w:rPr>
              <w:t>2 000 900</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1 900</w:t>
            </w:r>
            <w:r w:rsidRPr="00193117">
              <w:rPr>
                <w:rFonts w:ascii="Times New Roman" w:hAnsi="Times New Roman"/>
                <w:sz w:val="14"/>
                <w:szCs w:val="14"/>
                <w:lang w:eastAsia="sk-SK"/>
              </w:rPr>
              <w:t xml:space="preserve"> </w:t>
            </w:r>
            <w:r>
              <w:rPr>
                <w:rFonts w:ascii="Times New Roman" w:hAnsi="Times New Roman"/>
                <w:sz w:val="14"/>
                <w:szCs w:val="14"/>
                <w:lang w:eastAsia="sk-SK"/>
              </w:rPr>
              <w:t>5</w:t>
            </w:r>
            <w:r w:rsidRPr="00193117">
              <w:rPr>
                <w:rFonts w:ascii="Times New Roman" w:hAnsi="Times New Roman"/>
                <w:sz w:val="14"/>
                <w:szCs w:val="14"/>
                <w:lang w:eastAsia="sk-SK"/>
              </w:rPr>
              <w:t>00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1 7</w:t>
            </w:r>
            <w:r w:rsidRPr="00193117">
              <w:rPr>
                <w:rFonts w:ascii="Times New Roman" w:hAnsi="Times New Roman"/>
                <w:sz w:val="14"/>
                <w:szCs w:val="14"/>
                <w:lang w:eastAsia="sk-SK"/>
              </w:rPr>
              <w:t>00 000</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1 600</w:t>
            </w:r>
            <w:r w:rsidRPr="00193117">
              <w:rPr>
                <w:rFonts w:ascii="Times New Roman" w:hAnsi="Times New Roman"/>
                <w:sz w:val="14"/>
                <w:szCs w:val="14"/>
                <w:lang w:eastAsia="sk-SK"/>
              </w:rPr>
              <w:t xml:space="preserve"> 000</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bottom"/>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 xml:space="preserve">Príspevky politickým stranám a politickým hnutiam </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18 982 174</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7 333 170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23 706 600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22 849 497</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7 600 000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7 600 000</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7 600 000</w:t>
            </w:r>
          </w:p>
        </w:tc>
      </w:tr>
      <w:tr>
        <w:tblPrEx>
          <w:tblW w:w="9087" w:type="dxa"/>
          <w:tblInd w:w="55" w:type="dxa"/>
          <w:tblLayout w:type="fixed"/>
          <w:tblCellMar>
            <w:left w:w="70" w:type="dxa"/>
            <w:right w:w="70" w:type="dxa"/>
          </w:tblCellMar>
          <w:tblLook w:val="04A0"/>
        </w:tblPrEx>
        <w:trPr>
          <w:trHeight w:val="780"/>
        </w:trPr>
        <w:tc>
          <w:tcPr>
            <w:tcW w:w="2142" w:type="dxa"/>
            <w:tcBorders>
              <w:top w:val="nil"/>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 xml:space="preserve">Výdavky na všeobecne prospešné služby podľa </w:t>
            </w:r>
            <w:r>
              <w:rPr>
                <w:rFonts w:ascii="Times New Roman" w:hAnsi="Times New Roman"/>
                <w:sz w:val="14"/>
                <w:szCs w:val="14"/>
                <w:lang w:eastAsia="sk-SK"/>
              </w:rPr>
              <w:t xml:space="preserve">zákona </w:t>
            </w:r>
            <w:r w:rsidRPr="00193117">
              <w:rPr>
                <w:rFonts w:ascii="Times New Roman" w:hAnsi="Times New Roman"/>
                <w:sz w:val="14"/>
                <w:szCs w:val="14"/>
                <w:lang w:eastAsia="sk-SK"/>
              </w:rPr>
              <w:t xml:space="preserve">č. 171/2005 Z. z. o hazardných hrách a dotácie na individuálne potreby obcí </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3 269 593</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3 269 500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3 269 500</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3 269 500</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3 269 500</w:t>
            </w:r>
          </w:p>
        </w:tc>
      </w:tr>
      <w:tr>
        <w:tblPrEx>
          <w:tblW w:w="9087" w:type="dxa"/>
          <w:tblInd w:w="55" w:type="dxa"/>
          <w:tblLayout w:type="fixed"/>
          <w:tblCellMar>
            <w:left w:w="70" w:type="dxa"/>
            <w:right w:w="70" w:type="dxa"/>
          </w:tblCellMar>
          <w:tblLook w:val="04A0"/>
        </w:tblPrEx>
        <w:trPr>
          <w:trHeight w:val="780"/>
        </w:trPr>
        <w:tc>
          <w:tcPr>
            <w:tcW w:w="2142" w:type="dxa"/>
            <w:tcBorders>
              <w:top w:val="nil"/>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Štátny príspevok na pôžičky mladým manželom a štátny príspevok pre mladomanželov na mladomanželské úvery</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2 947</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23 257</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68 000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7B3F00">
              <w:rPr>
                <w:rFonts w:ascii="Times New Roman" w:hAnsi="Times New Roman"/>
                <w:sz w:val="14"/>
                <w:szCs w:val="14"/>
                <w:lang w:eastAsia="sk-SK"/>
              </w:rPr>
              <w:t>68 000</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48 500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69 500</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95 500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Úhrada poplatkov Štátnej pokladnici</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1 232</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1 200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2 800</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 xml:space="preserve">Výdavky na administratívny poplatok EIB </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5 711</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5 711</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8 039</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9 521</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9 5</w:t>
            </w:r>
            <w:r>
              <w:rPr>
                <w:rFonts w:ascii="Times New Roman" w:hAnsi="Times New Roman"/>
                <w:sz w:val="14"/>
                <w:szCs w:val="14"/>
                <w:lang w:eastAsia="sk-SK"/>
              </w:rPr>
              <w:t>80</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Dotácie pre zariadenia sociálnych služieb pre obce</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25 835 275</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25 372 652</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27 509 000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6 464 838</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w:t>
            </w:r>
            <w:r>
              <w:rPr>
                <w:rFonts w:ascii="Times New Roman" w:hAnsi="Times New Roman"/>
                <w:sz w:val="14"/>
                <w:szCs w:val="14"/>
                <w:lang w:eastAsia="sk-SK"/>
              </w:rPr>
              <w:t>6 505 800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w:t>
            </w:r>
            <w:r>
              <w:rPr>
                <w:rFonts w:ascii="Times New Roman" w:hAnsi="Times New Roman"/>
                <w:sz w:val="14"/>
                <w:szCs w:val="14"/>
                <w:lang w:eastAsia="sk-SK"/>
              </w:rPr>
              <w:t>7 088 900</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w:t>
            </w:r>
            <w:r>
              <w:rPr>
                <w:rFonts w:ascii="Times New Roman" w:hAnsi="Times New Roman"/>
                <w:sz w:val="14"/>
                <w:szCs w:val="14"/>
                <w:lang w:eastAsia="sk-SK"/>
              </w:rPr>
              <w:t>7 657 800</w:t>
            </w:r>
          </w:p>
        </w:tc>
      </w:tr>
      <w:tr>
        <w:tblPrEx>
          <w:tblW w:w="9087" w:type="dxa"/>
          <w:tblInd w:w="55" w:type="dxa"/>
          <w:tblLayout w:type="fixed"/>
          <w:tblCellMar>
            <w:left w:w="70" w:type="dxa"/>
            <w:right w:w="70" w:type="dxa"/>
          </w:tblCellMar>
          <w:tblLook w:val="04A0"/>
        </w:tblPrEx>
        <w:trPr>
          <w:trHeight w:val="39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Dotácie na záchranu a obnovu kultúrnych pamiatok pre obce</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2 024 829</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2 024 829</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2 024 800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7B3F00">
              <w:rPr>
                <w:rFonts w:ascii="Times New Roman" w:hAnsi="Times New Roman"/>
                <w:sz w:val="14"/>
                <w:szCs w:val="14"/>
                <w:lang w:eastAsia="sk-SK"/>
              </w:rPr>
              <w:t>2 024 800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2 024 800</w:t>
            </w:r>
          </w:p>
        </w:tc>
        <w:tc>
          <w:tcPr>
            <w:tcW w:w="993"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2 024 800</w:t>
            </w:r>
          </w:p>
        </w:tc>
      </w:tr>
      <w:tr>
        <w:tblPrEx>
          <w:tblW w:w="9087" w:type="dxa"/>
          <w:tblInd w:w="55" w:type="dxa"/>
          <w:tblLayout w:type="fixed"/>
          <w:tblCellMar>
            <w:left w:w="70" w:type="dxa"/>
            <w:right w:w="70" w:type="dxa"/>
          </w:tblCellMar>
          <w:tblLook w:val="04A0"/>
        </w:tblPrEx>
        <w:trPr>
          <w:trHeight w:val="301"/>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Pr>
                <w:rFonts w:ascii="Times New Roman" w:hAnsi="Times New Roman"/>
                <w:sz w:val="14"/>
                <w:szCs w:val="14"/>
                <w:lang w:eastAsia="sk-SK"/>
              </w:rPr>
              <w:t>Kompenzačná dotácia pre obce v zmysle uzn. vl. SR č. 100/2010, 144/2010 a 861/2010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85 699 999</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510"/>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Finančné zúčtovanie (poistného VZP platené štátom)</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5 000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75 000 000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19 213 576</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Príspevky do medzinárodných organizácií</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736 629</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1 621 166</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2 100 000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A54CC7">
              <w:rPr>
                <w:rFonts w:ascii="Times New Roman" w:hAnsi="Times New Roman"/>
                <w:sz w:val="14"/>
                <w:szCs w:val="14"/>
                <w:lang w:eastAsia="sk-SK"/>
              </w:rPr>
              <w:t>2 100 000</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3</w:t>
            </w:r>
            <w:r w:rsidRPr="00193117">
              <w:rPr>
                <w:rFonts w:ascii="Times New Roman" w:hAnsi="Times New Roman"/>
                <w:sz w:val="14"/>
                <w:szCs w:val="14"/>
                <w:lang w:eastAsia="sk-SK"/>
              </w:rPr>
              <w:t> </w:t>
            </w:r>
            <w:r>
              <w:rPr>
                <w:rFonts w:ascii="Times New Roman" w:hAnsi="Times New Roman"/>
                <w:sz w:val="14"/>
                <w:szCs w:val="14"/>
                <w:lang w:eastAsia="sk-SK"/>
              </w:rPr>
              <w:t>5</w:t>
            </w:r>
            <w:r w:rsidRPr="00193117">
              <w:rPr>
                <w:rFonts w:ascii="Times New Roman" w:hAnsi="Times New Roman"/>
                <w:sz w:val="14"/>
                <w:szCs w:val="14"/>
                <w:lang w:eastAsia="sk-SK"/>
              </w:rPr>
              <w:t>00 000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3</w:t>
            </w:r>
            <w:r w:rsidRPr="00193117">
              <w:rPr>
                <w:rFonts w:ascii="Times New Roman" w:hAnsi="Times New Roman"/>
                <w:sz w:val="14"/>
                <w:szCs w:val="14"/>
                <w:lang w:eastAsia="sk-SK"/>
              </w:rPr>
              <w:t> </w:t>
            </w:r>
            <w:r>
              <w:rPr>
                <w:rFonts w:ascii="Times New Roman" w:hAnsi="Times New Roman"/>
                <w:sz w:val="14"/>
                <w:szCs w:val="14"/>
                <w:lang w:eastAsia="sk-SK"/>
              </w:rPr>
              <w:t>5</w:t>
            </w:r>
            <w:r w:rsidRPr="00193117">
              <w:rPr>
                <w:rFonts w:ascii="Times New Roman" w:hAnsi="Times New Roman"/>
                <w:sz w:val="14"/>
                <w:szCs w:val="14"/>
                <w:lang w:eastAsia="sk-SK"/>
              </w:rPr>
              <w:t>00 000</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3</w:t>
            </w:r>
            <w:r w:rsidRPr="00193117">
              <w:rPr>
                <w:rFonts w:ascii="Times New Roman" w:hAnsi="Times New Roman"/>
                <w:sz w:val="14"/>
                <w:szCs w:val="14"/>
                <w:lang w:eastAsia="sk-SK"/>
              </w:rPr>
              <w:t> </w:t>
            </w:r>
            <w:r>
              <w:rPr>
                <w:rFonts w:ascii="Times New Roman" w:hAnsi="Times New Roman"/>
                <w:sz w:val="14"/>
                <w:szCs w:val="14"/>
                <w:lang w:eastAsia="sk-SK"/>
              </w:rPr>
              <w:t>5</w:t>
            </w:r>
            <w:r w:rsidRPr="00193117">
              <w:rPr>
                <w:rFonts w:ascii="Times New Roman" w:hAnsi="Times New Roman"/>
                <w:sz w:val="14"/>
                <w:szCs w:val="14"/>
                <w:lang w:eastAsia="sk-SK"/>
              </w:rPr>
              <w:t>00 000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Výdavky na zastupovanie pri medzinárodných arbitrážach</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c>
          <w:tcPr>
            <w:tcW w:w="993"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Výdavky na plnenie multilicenčnej zmluvy s Microsoft</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16 000 000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16 000 000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16 000 000</w:t>
            </w:r>
          </w:p>
        </w:tc>
        <w:tc>
          <w:tcPr>
            <w:tcW w:w="993"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16 000 000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Výdavky na audit verejnej správy</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4 000 000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1 800</w:t>
            </w:r>
            <w:r w:rsidRPr="00193117">
              <w:rPr>
                <w:rFonts w:ascii="Times New Roman" w:hAnsi="Times New Roman"/>
                <w:sz w:val="14"/>
                <w:szCs w:val="14"/>
                <w:lang w:eastAsia="sk-SK"/>
              </w:rPr>
              <w:t xml:space="preserve"> 000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 </w:t>
            </w:r>
            <w:r>
              <w:rPr>
                <w:rFonts w:ascii="Times New Roman" w:hAnsi="Times New Roman"/>
                <w:sz w:val="14"/>
                <w:szCs w:val="14"/>
                <w:lang w:eastAsia="sk-SK"/>
              </w:rPr>
              <w:t>6</w:t>
            </w:r>
            <w:r w:rsidRPr="00193117">
              <w:rPr>
                <w:rFonts w:ascii="Times New Roman" w:hAnsi="Times New Roman"/>
                <w:sz w:val="14"/>
                <w:szCs w:val="14"/>
                <w:lang w:eastAsia="sk-SK"/>
              </w:rPr>
              <w:t>00 000</w:t>
            </w:r>
          </w:p>
        </w:tc>
        <w:tc>
          <w:tcPr>
            <w:tcW w:w="993"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Výdavky na sanačné a základné rekonštrukčné práce - Rusovce</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3 000 000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w:t>
            </w:r>
            <w:r w:rsidRPr="00193117">
              <w:rPr>
                <w:rFonts w:ascii="Times New Roman" w:hAnsi="Times New Roman"/>
                <w:sz w:val="14"/>
                <w:szCs w:val="14"/>
                <w:lang w:eastAsia="sk-SK"/>
              </w:rPr>
              <w:t xml:space="preserve"> 000 000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w:t>
            </w:r>
            <w:r w:rsidRPr="00193117">
              <w:rPr>
                <w:rFonts w:ascii="Times New Roman" w:hAnsi="Times New Roman"/>
                <w:sz w:val="14"/>
                <w:szCs w:val="14"/>
                <w:lang w:eastAsia="sk-SK"/>
              </w:rPr>
              <w:t xml:space="preserve"> 000 000</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w:t>
            </w:r>
            <w:r w:rsidRPr="00193117">
              <w:rPr>
                <w:rFonts w:ascii="Times New Roman" w:hAnsi="Times New Roman"/>
                <w:sz w:val="14"/>
                <w:szCs w:val="14"/>
                <w:lang w:eastAsia="sk-SK"/>
              </w:rPr>
              <w:t xml:space="preserve"> 000 000</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Výdavky na projekt Minerva 2.0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10 000 000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0</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Rada pre vysielanie a retransmisiu</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1 193 006</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1 127 312</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1 202 314</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1 202 314</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175 717</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 xml:space="preserve"> 1 </w:t>
            </w:r>
            <w:r>
              <w:rPr>
                <w:rFonts w:ascii="Times New Roman" w:hAnsi="Times New Roman"/>
                <w:sz w:val="14"/>
                <w:szCs w:val="14"/>
                <w:lang w:eastAsia="sk-SK"/>
              </w:rPr>
              <w:t>185</w:t>
            </w:r>
            <w:r w:rsidRPr="00193117">
              <w:rPr>
                <w:rFonts w:ascii="Times New Roman" w:hAnsi="Times New Roman"/>
                <w:sz w:val="14"/>
                <w:szCs w:val="14"/>
                <w:lang w:eastAsia="sk-SK"/>
              </w:rPr>
              <w:t xml:space="preserve"> </w:t>
            </w:r>
            <w:r>
              <w:rPr>
                <w:rFonts w:ascii="Times New Roman" w:hAnsi="Times New Roman"/>
                <w:sz w:val="14"/>
                <w:szCs w:val="14"/>
                <w:lang w:eastAsia="sk-SK"/>
              </w:rPr>
              <w:t>116</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195 592</w:t>
            </w:r>
          </w:p>
        </w:tc>
      </w:tr>
      <w:tr>
        <w:tblPrEx>
          <w:tblW w:w="9087" w:type="dxa"/>
          <w:tblInd w:w="55" w:type="dxa"/>
          <w:tblLayout w:type="fixed"/>
          <w:tblCellMar>
            <w:left w:w="70" w:type="dxa"/>
            <w:right w:w="70" w:type="dxa"/>
          </w:tblCellMar>
          <w:tblLook w:val="04A0"/>
        </w:tblPrEx>
        <w:trPr>
          <w:trHeight w:val="255"/>
        </w:trPr>
        <w:tc>
          <w:tcPr>
            <w:tcW w:w="2142" w:type="dxa"/>
            <w:tcBorders>
              <w:top w:val="single" w:sz="4" w:space="0" w:color="auto"/>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Kancelária verejného ochrancu práv</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1 248 871</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1 142 378</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1 166 276</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1 166 276</w:t>
            </w:r>
          </w:p>
        </w:tc>
        <w:tc>
          <w:tcPr>
            <w:tcW w:w="992" w:type="dxa"/>
            <w:tcBorders>
              <w:top w:val="single" w:sz="4" w:space="0" w:color="auto"/>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1 1</w:t>
            </w:r>
            <w:r>
              <w:rPr>
                <w:rFonts w:ascii="Times New Roman" w:hAnsi="Times New Roman"/>
                <w:sz w:val="14"/>
                <w:szCs w:val="14"/>
                <w:lang w:eastAsia="sk-SK"/>
              </w:rPr>
              <w:t>72</w:t>
            </w:r>
            <w:r w:rsidRPr="00193117">
              <w:rPr>
                <w:rFonts w:ascii="Times New Roman" w:hAnsi="Times New Roman"/>
                <w:sz w:val="14"/>
                <w:szCs w:val="14"/>
                <w:lang w:eastAsia="sk-SK"/>
              </w:rPr>
              <w:t xml:space="preserve"> </w:t>
            </w:r>
            <w:r>
              <w:rPr>
                <w:rFonts w:ascii="Times New Roman" w:hAnsi="Times New Roman"/>
                <w:sz w:val="14"/>
                <w:szCs w:val="14"/>
                <w:lang w:eastAsia="sk-SK"/>
              </w:rPr>
              <w:t>343</w:t>
            </w:r>
          </w:p>
        </w:tc>
        <w:tc>
          <w:tcPr>
            <w:tcW w:w="992"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w:t>
            </w:r>
            <w:r>
              <w:rPr>
                <w:rFonts w:ascii="Times New Roman" w:hAnsi="Times New Roman"/>
                <w:sz w:val="14"/>
                <w:szCs w:val="14"/>
                <w:lang w:eastAsia="sk-SK"/>
              </w:rPr>
              <w:t>174</w:t>
            </w:r>
            <w:r w:rsidRPr="00193117">
              <w:rPr>
                <w:rFonts w:ascii="Times New Roman" w:hAnsi="Times New Roman"/>
                <w:sz w:val="14"/>
                <w:szCs w:val="14"/>
                <w:lang w:eastAsia="sk-SK"/>
              </w:rPr>
              <w:t xml:space="preserve"> </w:t>
            </w:r>
            <w:r>
              <w:rPr>
                <w:rFonts w:ascii="Times New Roman" w:hAnsi="Times New Roman"/>
                <w:sz w:val="14"/>
                <w:szCs w:val="14"/>
                <w:lang w:eastAsia="sk-SK"/>
              </w:rPr>
              <w:t>026</w:t>
            </w:r>
          </w:p>
        </w:tc>
        <w:tc>
          <w:tcPr>
            <w:tcW w:w="993" w:type="dxa"/>
            <w:tcBorders>
              <w:top w:val="single" w:sz="4" w:space="0" w:color="auto"/>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178 231</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Úrad na ochranu osobných údajov</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775 158</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675 069</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684 919</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684 919</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876 324</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856 329</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856 329</w:t>
            </w:r>
          </w:p>
        </w:tc>
      </w:tr>
      <w:tr>
        <w:tblPrEx>
          <w:tblW w:w="9087" w:type="dxa"/>
          <w:tblInd w:w="55" w:type="dxa"/>
          <w:tblLayout w:type="fixed"/>
          <w:tblCellMar>
            <w:left w:w="70" w:type="dxa"/>
            <w:right w:w="70" w:type="dxa"/>
          </w:tblCellMar>
          <w:tblLook w:val="04A0"/>
        </w:tblPrEx>
        <w:trPr>
          <w:trHeight w:val="255"/>
        </w:trPr>
        <w:tc>
          <w:tcPr>
            <w:tcW w:w="2142" w:type="dxa"/>
            <w:tcBorders>
              <w:top w:val="nil"/>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 xml:space="preserve">Transfer Ústavu pamäti národa </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1 610 826</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1 520 370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1 463 570</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1 520 570</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553 730</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w:t>
            </w:r>
            <w:r>
              <w:rPr>
                <w:rFonts w:ascii="Times New Roman" w:hAnsi="Times New Roman"/>
                <w:sz w:val="14"/>
                <w:szCs w:val="14"/>
                <w:lang w:eastAsia="sk-SK"/>
              </w:rPr>
              <w:t> 530 730</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1 </w:t>
            </w:r>
            <w:r>
              <w:rPr>
                <w:rFonts w:ascii="Times New Roman" w:hAnsi="Times New Roman"/>
                <w:sz w:val="14"/>
                <w:szCs w:val="14"/>
                <w:lang w:eastAsia="sk-SK"/>
              </w:rPr>
              <w:t>530</w:t>
            </w:r>
            <w:r w:rsidRPr="00193117">
              <w:rPr>
                <w:rFonts w:ascii="Times New Roman" w:hAnsi="Times New Roman"/>
                <w:sz w:val="14"/>
                <w:szCs w:val="14"/>
                <w:lang w:eastAsia="sk-SK"/>
              </w:rPr>
              <w:t xml:space="preserve"> 730</w:t>
            </w:r>
          </w:p>
        </w:tc>
      </w:tr>
      <w:tr>
        <w:tblPrEx>
          <w:tblW w:w="9087" w:type="dxa"/>
          <w:tblInd w:w="55" w:type="dxa"/>
          <w:tblLayout w:type="fixed"/>
          <w:tblCellMar>
            <w:left w:w="70" w:type="dxa"/>
            <w:right w:w="70" w:type="dxa"/>
          </w:tblCellMar>
          <w:tblLook w:val="04A0"/>
        </w:tblPrEx>
        <w:trPr>
          <w:trHeight w:val="390"/>
        </w:trPr>
        <w:tc>
          <w:tcPr>
            <w:tcW w:w="2142" w:type="dxa"/>
            <w:tcBorders>
              <w:top w:val="nil"/>
              <w:left w:val="single" w:sz="4" w:space="0" w:color="auto"/>
              <w:bottom w:val="single" w:sz="4" w:space="0" w:color="auto"/>
              <w:right w:val="single" w:sz="4" w:space="0" w:color="auto"/>
            </w:tcBorders>
            <w:textDirection w:val="lrTb"/>
            <w:vAlign w:val="center"/>
          </w:tcPr>
          <w:p w:rsidR="00064239" w:rsidRPr="00193117" w:rsidP="00C450B8">
            <w:pPr>
              <w:bidi w:val="0"/>
              <w:rPr>
                <w:rFonts w:ascii="Times New Roman" w:hAnsi="Times New Roman"/>
                <w:sz w:val="14"/>
                <w:szCs w:val="14"/>
                <w:lang w:eastAsia="sk-SK"/>
              </w:rPr>
            </w:pPr>
            <w:r w:rsidRPr="00193117">
              <w:rPr>
                <w:rFonts w:ascii="Times New Roman" w:hAnsi="Times New Roman"/>
                <w:sz w:val="14"/>
                <w:szCs w:val="14"/>
                <w:lang w:eastAsia="sk-SK"/>
              </w:rPr>
              <w:t>Transfer Slovenskému národnému stredisku pre ľudské práva</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643 081</w:t>
            </w:r>
          </w:p>
        </w:tc>
        <w:tc>
          <w:tcPr>
            <w:tcW w:w="992" w:type="dxa"/>
            <w:tcBorders>
              <w:top w:val="nil"/>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Pr>
                <w:rFonts w:ascii="Times New Roman" w:hAnsi="Times New Roman"/>
                <w:sz w:val="14"/>
                <w:szCs w:val="14"/>
                <w:lang w:eastAsia="sk-SK"/>
              </w:rPr>
              <w:t> 528 464</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528 464</w:t>
            </w:r>
          </w:p>
        </w:tc>
        <w:tc>
          <w:tcPr>
            <w:tcW w:w="992" w:type="dxa"/>
            <w:tcBorders>
              <w:top w:val="single" w:sz="4" w:space="0" w:color="auto"/>
              <w:left w:val="nil"/>
              <w:bottom w:val="single" w:sz="4" w:space="0" w:color="auto"/>
              <w:right w:val="single" w:sz="4" w:space="0" w:color="auto"/>
            </w:tcBorders>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528 464</w:t>
            </w:r>
          </w:p>
        </w:tc>
        <w:tc>
          <w:tcPr>
            <w:tcW w:w="992" w:type="dxa"/>
            <w:tcBorders>
              <w:top w:val="nil"/>
              <w:left w:val="single" w:sz="4" w:space="0" w:color="auto"/>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 xml:space="preserve">528 </w:t>
            </w:r>
            <w:r>
              <w:rPr>
                <w:rFonts w:ascii="Times New Roman" w:hAnsi="Times New Roman"/>
                <w:sz w:val="14"/>
                <w:szCs w:val="14"/>
                <w:lang w:eastAsia="sk-SK"/>
              </w:rPr>
              <w:t>501</w:t>
            </w:r>
          </w:p>
        </w:tc>
        <w:tc>
          <w:tcPr>
            <w:tcW w:w="992"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528 501</w:t>
            </w:r>
          </w:p>
        </w:tc>
        <w:tc>
          <w:tcPr>
            <w:tcW w:w="993" w:type="dxa"/>
            <w:tcBorders>
              <w:top w:val="nil"/>
              <w:left w:val="nil"/>
              <w:bottom w:val="single" w:sz="4" w:space="0" w:color="auto"/>
              <w:right w:val="single" w:sz="4" w:space="0" w:color="auto"/>
            </w:tcBorders>
            <w:noWrap/>
            <w:textDirection w:val="lrTb"/>
            <w:vAlign w:val="bottom"/>
          </w:tcPr>
          <w:p w:rsidR="00064239" w:rsidRPr="00193117" w:rsidP="00C450B8">
            <w:pPr>
              <w:bidi w:val="0"/>
              <w:jc w:val="right"/>
              <w:rPr>
                <w:rFonts w:ascii="Times New Roman" w:hAnsi="Times New Roman"/>
                <w:sz w:val="14"/>
                <w:szCs w:val="14"/>
                <w:lang w:eastAsia="sk-SK"/>
              </w:rPr>
            </w:pPr>
            <w:r w:rsidRPr="00193117">
              <w:rPr>
                <w:rFonts w:ascii="Times New Roman" w:hAnsi="Times New Roman"/>
                <w:sz w:val="14"/>
                <w:szCs w:val="14"/>
                <w:lang w:eastAsia="sk-SK"/>
              </w:rPr>
              <w:t>528 501</w:t>
            </w:r>
          </w:p>
        </w:tc>
      </w:tr>
    </w:tbl>
    <w:p w:rsidR="00064239" w:rsidRPr="00193117" w:rsidP="00064239">
      <w:pPr>
        <w:bidi w:val="0"/>
        <w:jc w:val="both"/>
        <w:rPr>
          <w:rFonts w:ascii="Times New Roman" w:hAnsi="Times New Roman"/>
          <w:sz w:val="14"/>
          <w:szCs w:val="14"/>
        </w:rPr>
      </w:pPr>
      <w:r w:rsidRPr="00193117">
        <w:rPr>
          <w:rFonts w:ascii="Times New Roman" w:hAnsi="Times New Roman"/>
          <w:sz w:val="14"/>
          <w:szCs w:val="14"/>
        </w:rPr>
        <w:t>*Do skutočnosti za roky 20</w:t>
      </w:r>
      <w:r>
        <w:rPr>
          <w:rFonts w:ascii="Times New Roman" w:hAnsi="Times New Roman"/>
          <w:sz w:val="14"/>
          <w:szCs w:val="14"/>
        </w:rPr>
        <w:t>10</w:t>
      </w:r>
      <w:r w:rsidRPr="00193117">
        <w:rPr>
          <w:rFonts w:ascii="Times New Roman" w:hAnsi="Times New Roman"/>
          <w:sz w:val="14"/>
          <w:szCs w:val="14"/>
        </w:rPr>
        <w:t xml:space="preserve"> a 201</w:t>
      </w:r>
      <w:r>
        <w:rPr>
          <w:rFonts w:ascii="Times New Roman" w:hAnsi="Times New Roman"/>
          <w:sz w:val="14"/>
          <w:szCs w:val="14"/>
        </w:rPr>
        <w:t>1</w:t>
      </w:r>
      <w:r w:rsidRPr="00193117">
        <w:rPr>
          <w:rFonts w:ascii="Times New Roman" w:hAnsi="Times New Roman"/>
          <w:sz w:val="14"/>
          <w:szCs w:val="14"/>
        </w:rPr>
        <w:t xml:space="preserve"> a očakávanej skutočnosti na rok 201</w:t>
      </w:r>
      <w:r>
        <w:rPr>
          <w:rFonts w:ascii="Times New Roman" w:hAnsi="Times New Roman"/>
          <w:sz w:val="14"/>
          <w:szCs w:val="14"/>
        </w:rPr>
        <w:t>2</w:t>
      </w:r>
      <w:r w:rsidRPr="00193117">
        <w:rPr>
          <w:rFonts w:ascii="Times New Roman" w:hAnsi="Times New Roman"/>
          <w:sz w:val="14"/>
          <w:szCs w:val="14"/>
        </w:rPr>
        <w:t xml:space="preserve"> sú dopočítané výdavky, ktoré nie sú rozpočtované v roku 201</w:t>
      </w:r>
      <w:r>
        <w:rPr>
          <w:rFonts w:ascii="Times New Roman" w:hAnsi="Times New Roman"/>
          <w:sz w:val="14"/>
          <w:szCs w:val="14"/>
        </w:rPr>
        <w:t>2</w:t>
      </w:r>
      <w:r w:rsidRPr="00193117">
        <w:rPr>
          <w:rFonts w:ascii="Times New Roman" w:hAnsi="Times New Roman"/>
          <w:sz w:val="14"/>
          <w:szCs w:val="14"/>
        </w:rPr>
        <w:t xml:space="preserve"> a v návrhu rozpočtu kapitoly na roky 201</w:t>
      </w:r>
      <w:r>
        <w:rPr>
          <w:rFonts w:ascii="Times New Roman" w:hAnsi="Times New Roman"/>
          <w:sz w:val="14"/>
          <w:szCs w:val="14"/>
        </w:rPr>
        <w:t>3</w:t>
      </w:r>
      <w:r w:rsidRPr="00193117">
        <w:rPr>
          <w:rFonts w:ascii="Times New Roman" w:hAnsi="Times New Roman"/>
          <w:sz w:val="14"/>
          <w:szCs w:val="14"/>
        </w:rPr>
        <w:t xml:space="preserve"> až 201</w:t>
      </w:r>
      <w:r>
        <w:rPr>
          <w:rFonts w:ascii="Times New Roman" w:hAnsi="Times New Roman"/>
          <w:sz w:val="14"/>
          <w:szCs w:val="14"/>
        </w:rPr>
        <w:t>5</w:t>
      </w:r>
      <w:r w:rsidRPr="00193117">
        <w:rPr>
          <w:rFonts w:ascii="Times New Roman" w:hAnsi="Times New Roman"/>
          <w:sz w:val="14"/>
          <w:szCs w:val="14"/>
        </w:rPr>
        <w:t xml:space="preserve">. </w:t>
      </w:r>
    </w:p>
    <w:p w:rsidR="00064239" w:rsidRPr="00193117" w:rsidP="00064239">
      <w:pPr>
        <w:bidi w:val="0"/>
        <w:jc w:val="both"/>
        <w:rPr>
          <w:rFonts w:ascii="Times New Roman" w:hAnsi="Times New Roman"/>
        </w:rPr>
      </w:pPr>
      <w:r w:rsidRPr="00193117">
        <w:rPr>
          <w:rFonts w:ascii="Times New Roman" w:hAnsi="Times New Roman"/>
        </w:rPr>
        <w:t xml:space="preserve"> </w:t>
      </w:r>
    </w:p>
    <w:p w:rsidR="00064239" w:rsidRPr="00F112AF" w:rsidP="00064239">
      <w:pPr>
        <w:bidi w:val="0"/>
        <w:ind w:firstLine="708"/>
        <w:jc w:val="both"/>
        <w:rPr>
          <w:rFonts w:ascii="Times New Roman" w:hAnsi="Times New Roman" w:cs="Times New Roman"/>
        </w:rPr>
      </w:pPr>
      <w:r w:rsidRPr="00193117">
        <w:rPr>
          <w:rFonts w:ascii="Times New Roman" w:hAnsi="Times New Roman"/>
          <w:lang w:eastAsia="sk-SK"/>
        </w:rPr>
        <w:t>Na doplatenie štátom plateného poistného na zdravotné poistenie za zákonom určené skupiny osôb za rok 201</w:t>
      </w:r>
      <w:r>
        <w:rPr>
          <w:rFonts w:ascii="Times New Roman" w:hAnsi="Times New Roman"/>
          <w:lang w:eastAsia="sk-SK"/>
        </w:rPr>
        <w:t>3</w:t>
      </w:r>
      <w:r w:rsidRPr="00193117">
        <w:rPr>
          <w:rFonts w:ascii="Times New Roman" w:hAnsi="Times New Roman"/>
          <w:lang w:eastAsia="sk-SK"/>
        </w:rPr>
        <w:t xml:space="preserve">  sa rozpočtuje </w:t>
      </w:r>
      <w:r>
        <w:rPr>
          <w:rFonts w:ascii="Times New Roman" w:hAnsi="Times New Roman"/>
          <w:lang w:eastAsia="sk-SK"/>
        </w:rPr>
        <w:t>19,2</w:t>
      </w:r>
      <w:r w:rsidRPr="00193117">
        <w:rPr>
          <w:rFonts w:ascii="Times New Roman" w:hAnsi="Times New Roman"/>
          <w:lang w:eastAsia="sk-SK"/>
        </w:rPr>
        <w:t xml:space="preserve"> mil. eur</w:t>
      </w:r>
      <w:r>
        <w:rPr>
          <w:rFonts w:ascii="Times New Roman" w:hAnsi="Times New Roman"/>
          <w:lang w:eastAsia="sk-SK"/>
        </w:rPr>
        <w:t>.</w:t>
      </w:r>
      <w:r w:rsidRPr="00F112AF">
        <w:rPr>
          <w:rFonts w:ascii="Times New Roman" w:hAnsi="Times New Roman" w:cs="Times New Roman"/>
        </w:rPr>
        <w:t xml:space="preserve"> </w:t>
      </w:r>
    </w:p>
    <w:p w:rsidR="00064239" w:rsidRPr="00193117" w:rsidP="00064239">
      <w:pPr>
        <w:bidi w:val="0"/>
        <w:jc w:val="both"/>
        <w:rPr>
          <w:rFonts w:ascii="Times New Roman" w:hAnsi="Times New Roman"/>
          <w:lang w:eastAsia="sk-SK"/>
        </w:rPr>
      </w:pPr>
    </w:p>
    <w:p w:rsidR="00064239" w:rsidP="00064239">
      <w:pPr>
        <w:bidi w:val="0"/>
        <w:ind w:firstLine="708"/>
        <w:jc w:val="both"/>
        <w:rPr>
          <w:rFonts w:ascii="Times New Roman" w:hAnsi="Times New Roman"/>
          <w:lang w:eastAsia="sk-SK"/>
        </w:rPr>
      </w:pPr>
      <w:r w:rsidRPr="00193117">
        <w:rPr>
          <w:rFonts w:ascii="Times New Roman" w:hAnsi="Times New Roman"/>
          <w:lang w:eastAsia="sk-SK"/>
        </w:rPr>
        <w:t>Na plnenie multilicenčnej zmluvy s Microsoft sa rozpočtujú výdavky na roky 201</w:t>
      </w:r>
      <w:r>
        <w:rPr>
          <w:rFonts w:ascii="Times New Roman" w:hAnsi="Times New Roman"/>
          <w:lang w:eastAsia="sk-SK"/>
        </w:rPr>
        <w:t>3</w:t>
      </w:r>
      <w:r w:rsidRPr="00193117">
        <w:rPr>
          <w:rFonts w:ascii="Times New Roman" w:hAnsi="Times New Roman"/>
          <w:lang w:eastAsia="sk-SK"/>
        </w:rPr>
        <w:t xml:space="preserve"> až 201</w:t>
      </w:r>
      <w:r>
        <w:rPr>
          <w:rFonts w:ascii="Times New Roman" w:hAnsi="Times New Roman"/>
          <w:lang w:eastAsia="sk-SK"/>
        </w:rPr>
        <w:t>5</w:t>
      </w:r>
      <w:r w:rsidRPr="00193117">
        <w:rPr>
          <w:rFonts w:ascii="Times New Roman" w:hAnsi="Times New Roman"/>
          <w:lang w:eastAsia="sk-SK"/>
        </w:rPr>
        <w:t xml:space="preserve"> vo výške </w:t>
      </w:r>
      <w:r w:rsidRPr="00954453">
        <w:rPr>
          <w:rFonts w:ascii="Times New Roman" w:hAnsi="Times New Roman"/>
          <w:lang w:eastAsia="sk-SK"/>
        </w:rPr>
        <w:t>16</w:t>
      </w:r>
      <w:r w:rsidRPr="00193117">
        <w:rPr>
          <w:rFonts w:ascii="Times New Roman" w:hAnsi="Times New Roman"/>
          <w:lang w:eastAsia="sk-SK"/>
        </w:rPr>
        <w:t xml:space="preserve"> mil. eur. V rokoch 2009 a 2010 boli tieto výdavky uhrádzané z kapitoly </w:t>
      </w:r>
      <w:r w:rsidR="001302F7">
        <w:rPr>
          <w:rFonts w:ascii="Times New Roman" w:hAnsi="Times New Roman"/>
          <w:lang w:eastAsia="sk-SK"/>
        </w:rPr>
        <w:br/>
      </w:r>
      <w:r w:rsidRPr="00193117">
        <w:rPr>
          <w:rFonts w:ascii="Times New Roman" w:hAnsi="Times New Roman"/>
          <w:lang w:eastAsia="sk-SK"/>
        </w:rPr>
        <w:t>MF SR. V roku 2011</w:t>
      </w:r>
      <w:r>
        <w:rPr>
          <w:rFonts w:ascii="Times New Roman" w:hAnsi="Times New Roman"/>
          <w:lang w:eastAsia="sk-SK"/>
        </w:rPr>
        <w:t>, 2012 a 2013</w:t>
      </w:r>
      <w:r w:rsidRPr="00193117">
        <w:rPr>
          <w:rFonts w:ascii="Times New Roman" w:hAnsi="Times New Roman"/>
          <w:lang w:eastAsia="sk-SK"/>
        </w:rPr>
        <w:t xml:space="preserve"> sú výdavky rozpočtované v kapitole Všeobecná pokladničná správa. V prípade plnenia zmluvy bude na tento účel rozpočtovým opatrením zvýšený limit výdavkov kapitoly MF SR. </w:t>
      </w:r>
    </w:p>
    <w:p w:rsidR="00064239" w:rsidRPr="00923CBB" w:rsidP="00064239">
      <w:pPr>
        <w:bidi w:val="0"/>
        <w:jc w:val="both"/>
        <w:rPr>
          <w:rFonts w:ascii="Times New Roman" w:hAnsi="Times New Roman"/>
        </w:rPr>
      </w:pPr>
    </w:p>
    <w:p w:rsidR="00064239" w:rsidRPr="00193117" w:rsidP="00064239">
      <w:pPr>
        <w:bidi w:val="0"/>
        <w:jc w:val="both"/>
        <w:rPr>
          <w:rFonts w:ascii="Times New Roman" w:hAnsi="Times New Roman"/>
          <w:i/>
          <w:u w:val="single"/>
        </w:rPr>
      </w:pPr>
      <w:r w:rsidRPr="00193117">
        <w:rPr>
          <w:rFonts w:ascii="Times New Roman" w:hAnsi="Times New Roman"/>
          <w:i/>
          <w:u w:val="single"/>
        </w:rPr>
        <w:t>Rada pre vysielanie a</w:t>
      </w:r>
      <w:r>
        <w:rPr>
          <w:rFonts w:ascii="Times New Roman" w:hAnsi="Times New Roman"/>
          <w:i/>
          <w:u w:val="single"/>
        </w:rPr>
        <w:t> </w:t>
      </w:r>
      <w:r w:rsidRPr="00193117">
        <w:rPr>
          <w:rFonts w:ascii="Times New Roman" w:hAnsi="Times New Roman"/>
          <w:i/>
          <w:u w:val="single"/>
        </w:rPr>
        <w:t>retransmisiu</w:t>
      </w:r>
      <w:r>
        <w:rPr>
          <w:rFonts w:ascii="Times New Roman" w:hAnsi="Times New Roman"/>
          <w:i/>
          <w:u w:val="single"/>
        </w:rPr>
        <w:t xml:space="preserve"> (RVR)</w:t>
      </w:r>
    </w:p>
    <w:p w:rsidR="00064239" w:rsidRPr="00193117" w:rsidP="00064239">
      <w:pPr>
        <w:bidi w:val="0"/>
        <w:jc w:val="both"/>
        <w:rPr>
          <w:rFonts w:ascii="Times New Roman" w:hAnsi="Times New Roman"/>
        </w:rPr>
      </w:pPr>
    </w:p>
    <w:p w:rsidR="00064239" w:rsidP="00064239">
      <w:pPr>
        <w:bidi w:val="0"/>
        <w:ind w:firstLine="708"/>
        <w:jc w:val="both"/>
        <w:rPr>
          <w:rFonts w:ascii="Times New Roman" w:hAnsi="Times New Roman"/>
        </w:rPr>
      </w:pPr>
      <w:r>
        <w:rPr>
          <w:rFonts w:ascii="Times New Roman" w:hAnsi="Times New Roman"/>
        </w:rPr>
        <w:t>Celkové výdavky RVR sú rozpočtované v sume 1,18 mil. eur, čo v porovnaní so schváleným rozpočtom na rok 2012 predstavuje zníženie o 26,6 tis. eur.</w:t>
      </w:r>
    </w:p>
    <w:p w:rsidR="00064239" w:rsidP="00064239">
      <w:pPr>
        <w:bidi w:val="0"/>
        <w:ind w:firstLine="708"/>
        <w:jc w:val="both"/>
        <w:rPr>
          <w:rFonts w:ascii="Times New Roman" w:hAnsi="Times New Roman"/>
        </w:rPr>
      </w:pPr>
    </w:p>
    <w:p w:rsidR="00064239" w:rsidP="00064239">
      <w:pPr>
        <w:bidi w:val="0"/>
        <w:ind w:firstLine="708"/>
        <w:jc w:val="both"/>
        <w:rPr>
          <w:rFonts w:ascii="Times New Roman" w:hAnsi="Times New Roman"/>
        </w:rPr>
      </w:pPr>
      <w:r>
        <w:rPr>
          <w:rFonts w:ascii="Times New Roman" w:hAnsi="Times New Roman"/>
        </w:rPr>
        <w:t>Objem osobných výdavkov sa navrhuje v sume 598 tis. eur, čo v porovnaní so schváleným rozpočtom na rok 2012 predstavuje pokles o 5,68 %.  Vyšší ako 5 % pokles osobných výdavkov je spôsobený vyšším poklesom odvodov. Výdavky na tovary a služby medziročne rastú o 1,93 %. V rámci týchto výdavkov sa rozpočtujú aj odmeny členov rady, ktorých výška je naviazaná na plat poslanca Národnej rady SR.  </w:t>
      </w:r>
    </w:p>
    <w:p w:rsidR="00064239" w:rsidP="00064239">
      <w:pPr>
        <w:bidi w:val="0"/>
        <w:jc w:val="both"/>
        <w:rPr>
          <w:rFonts w:ascii="Times New Roman" w:hAnsi="Times New Roman"/>
          <w:highlight w:val="yellow"/>
        </w:rPr>
      </w:pPr>
    </w:p>
    <w:p w:rsidR="00064239" w:rsidP="00064239">
      <w:pPr>
        <w:bidi w:val="0"/>
        <w:ind w:firstLine="708"/>
        <w:jc w:val="both"/>
        <w:rPr>
          <w:rFonts w:ascii="Times New Roman" w:hAnsi="Times New Roman"/>
        </w:rPr>
      </w:pPr>
      <w:r>
        <w:rPr>
          <w:rFonts w:ascii="Times New Roman" w:hAnsi="Times New Roman"/>
        </w:rPr>
        <w:t>Bežné transfery sa rozpočtujú v sume 2,8 tis. eur, čo v porovnaní so schváleným rozpočtom na rok 2012 predstavuje nárast o 7,69 %. Kapitálové výdavky medziročne klesajú o 13,0 %, v absolútnom vyjadrení pokles predstavuje sumu 1,50 tis. eur.</w:t>
      </w:r>
    </w:p>
    <w:p w:rsidR="00064239" w:rsidRPr="00923CBB" w:rsidP="00064239">
      <w:pPr>
        <w:bidi w:val="0"/>
        <w:jc w:val="both"/>
        <w:rPr>
          <w:rFonts w:ascii="Times New Roman" w:hAnsi="Times New Roman"/>
          <w:highlight w:val="yellow"/>
        </w:rPr>
      </w:pPr>
    </w:p>
    <w:p w:rsidR="00064239" w:rsidRPr="007033BB" w:rsidP="00064239">
      <w:pPr>
        <w:bidi w:val="0"/>
        <w:jc w:val="both"/>
        <w:rPr>
          <w:rFonts w:ascii="Times New Roman" w:hAnsi="Times New Roman"/>
          <w:i/>
          <w:u w:val="single"/>
        </w:rPr>
      </w:pPr>
      <w:r w:rsidRPr="007033BB">
        <w:rPr>
          <w:rFonts w:ascii="Times New Roman" w:hAnsi="Times New Roman"/>
          <w:i/>
          <w:u w:val="single"/>
        </w:rPr>
        <w:t>Kancelária verejného ochrancu práv</w:t>
      </w:r>
    </w:p>
    <w:p w:rsidR="00064239" w:rsidRPr="007033BB" w:rsidP="00064239">
      <w:pPr>
        <w:bidi w:val="0"/>
        <w:jc w:val="both"/>
        <w:rPr>
          <w:rFonts w:ascii="Times New Roman" w:hAnsi="Times New Roman"/>
          <w:i/>
          <w:u w:val="single"/>
        </w:rPr>
      </w:pPr>
    </w:p>
    <w:p w:rsidR="00064239" w:rsidRPr="00EA79B6" w:rsidP="00064239">
      <w:pPr>
        <w:bidi w:val="0"/>
        <w:ind w:firstLine="708"/>
        <w:jc w:val="both"/>
        <w:rPr>
          <w:rFonts w:ascii="Times New Roman" w:hAnsi="Times New Roman"/>
        </w:rPr>
      </w:pPr>
      <w:r w:rsidRPr="00EA79B6">
        <w:rPr>
          <w:rFonts w:ascii="Times New Roman" w:hAnsi="Times New Roman"/>
        </w:rPr>
        <w:t>Na rok 2013 sa pre organizáciu navrhuje limit výdavkov vo výške 1,1</w:t>
      </w:r>
      <w:r>
        <w:rPr>
          <w:rFonts w:ascii="Times New Roman" w:hAnsi="Times New Roman"/>
        </w:rPr>
        <w:t>7</w:t>
      </w:r>
      <w:r w:rsidRPr="00EA79B6">
        <w:rPr>
          <w:rFonts w:ascii="Times New Roman" w:hAnsi="Times New Roman"/>
        </w:rPr>
        <w:t xml:space="preserve"> mil. eur, čo je o </w:t>
      </w:r>
      <w:r>
        <w:rPr>
          <w:rFonts w:ascii="Times New Roman" w:hAnsi="Times New Roman"/>
        </w:rPr>
        <w:t>0</w:t>
      </w:r>
      <w:r w:rsidRPr="00EA79B6">
        <w:rPr>
          <w:rFonts w:ascii="Times New Roman" w:hAnsi="Times New Roman"/>
        </w:rPr>
        <w:t>,</w:t>
      </w:r>
      <w:r>
        <w:rPr>
          <w:rFonts w:ascii="Times New Roman" w:hAnsi="Times New Roman"/>
        </w:rPr>
        <w:t>52</w:t>
      </w:r>
      <w:r w:rsidRPr="00EA79B6">
        <w:rPr>
          <w:rFonts w:ascii="Times New Roman" w:hAnsi="Times New Roman"/>
        </w:rPr>
        <w:t xml:space="preserve"> % </w:t>
      </w:r>
      <w:r>
        <w:rPr>
          <w:rFonts w:ascii="Times New Roman" w:hAnsi="Times New Roman"/>
        </w:rPr>
        <w:t>viac</w:t>
      </w:r>
      <w:r w:rsidRPr="00EA79B6">
        <w:rPr>
          <w:rFonts w:ascii="Times New Roman" w:hAnsi="Times New Roman"/>
        </w:rPr>
        <w:t xml:space="preserve"> v porovnaní so schváleným rozpočtom na rok 2012. </w:t>
      </w:r>
    </w:p>
    <w:p w:rsidR="00064239" w:rsidRPr="00EA79B6" w:rsidP="00064239">
      <w:pPr>
        <w:bidi w:val="0"/>
        <w:jc w:val="both"/>
        <w:rPr>
          <w:rFonts w:ascii="Times New Roman" w:hAnsi="Times New Roman"/>
        </w:rPr>
      </w:pPr>
    </w:p>
    <w:p w:rsidR="00064239" w:rsidP="00064239">
      <w:pPr>
        <w:bidi w:val="0"/>
        <w:ind w:firstLine="708"/>
        <w:jc w:val="both"/>
        <w:rPr>
          <w:rFonts w:ascii="Times New Roman" w:hAnsi="Times New Roman"/>
        </w:rPr>
      </w:pPr>
      <w:r w:rsidRPr="00EA79B6">
        <w:rPr>
          <w:rFonts w:ascii="Times New Roman" w:hAnsi="Times New Roman"/>
        </w:rPr>
        <w:t>Objem osobných výdavkov sa na rok 2013 rozpočtuje v sume 7</w:t>
      </w:r>
      <w:r>
        <w:rPr>
          <w:rFonts w:ascii="Times New Roman" w:hAnsi="Times New Roman"/>
        </w:rPr>
        <w:t>91</w:t>
      </w:r>
      <w:r w:rsidRPr="00EA79B6">
        <w:rPr>
          <w:rFonts w:ascii="Times New Roman" w:hAnsi="Times New Roman"/>
        </w:rPr>
        <w:t xml:space="preserve"> tis. eur, čo v porovnaní so schváleným rozpočtom na rok 2012 predstavuje pokles o </w:t>
      </w:r>
      <w:r>
        <w:rPr>
          <w:rFonts w:ascii="Times New Roman" w:hAnsi="Times New Roman"/>
        </w:rPr>
        <w:t>0</w:t>
      </w:r>
      <w:r w:rsidRPr="00EA79B6">
        <w:rPr>
          <w:rFonts w:ascii="Times New Roman" w:hAnsi="Times New Roman"/>
        </w:rPr>
        <w:t>,</w:t>
      </w:r>
      <w:r>
        <w:rPr>
          <w:rFonts w:ascii="Times New Roman" w:hAnsi="Times New Roman"/>
        </w:rPr>
        <w:t>29</w:t>
      </w:r>
      <w:r w:rsidRPr="00EA79B6">
        <w:rPr>
          <w:rFonts w:ascii="Times New Roman" w:hAnsi="Times New Roman"/>
        </w:rPr>
        <w:t xml:space="preserve"> %. </w:t>
      </w:r>
    </w:p>
    <w:p w:rsidR="00064239" w:rsidP="00064239">
      <w:pPr>
        <w:bidi w:val="0"/>
        <w:ind w:firstLine="708"/>
        <w:jc w:val="both"/>
        <w:rPr>
          <w:rFonts w:ascii="Times New Roman" w:hAnsi="Times New Roman"/>
        </w:rPr>
      </w:pPr>
    </w:p>
    <w:p w:rsidR="00064239" w:rsidP="00064239">
      <w:pPr>
        <w:bidi w:val="0"/>
        <w:ind w:firstLine="708"/>
        <w:jc w:val="both"/>
        <w:rPr>
          <w:rFonts w:ascii="Times New Roman" w:hAnsi="Times New Roman"/>
        </w:rPr>
      </w:pPr>
      <w:r>
        <w:rPr>
          <w:rFonts w:ascii="Times New Roman" w:hAnsi="Times New Roman"/>
        </w:rPr>
        <w:t xml:space="preserve">Výdavky na tovary a služby sú </w:t>
      </w:r>
      <w:r w:rsidR="001302F7">
        <w:rPr>
          <w:rFonts w:ascii="Times New Roman" w:hAnsi="Times New Roman"/>
        </w:rPr>
        <w:t>na</w:t>
      </w:r>
      <w:r>
        <w:rPr>
          <w:rFonts w:ascii="Times New Roman" w:hAnsi="Times New Roman"/>
        </w:rPr>
        <w:t xml:space="preserve"> rok 2013 rozpočtované na úrovni 372 tis. eur, čo je oproti schválenému rozpočtu na rok 2012 viac o 8 tis. eur, t.j. o 2,29 %. </w:t>
      </w:r>
    </w:p>
    <w:p w:rsidR="00064239" w:rsidP="00064239">
      <w:pPr>
        <w:bidi w:val="0"/>
        <w:jc w:val="both"/>
        <w:rPr>
          <w:rFonts w:ascii="Times New Roman" w:hAnsi="Times New Roman"/>
        </w:rPr>
      </w:pPr>
    </w:p>
    <w:p w:rsidR="00064239" w:rsidRPr="00EA79B6" w:rsidP="00064239">
      <w:pPr>
        <w:bidi w:val="0"/>
        <w:ind w:firstLine="708"/>
        <w:jc w:val="both"/>
        <w:rPr>
          <w:rFonts w:ascii="Times New Roman" w:hAnsi="Times New Roman"/>
        </w:rPr>
      </w:pPr>
      <w:r>
        <w:rPr>
          <w:rFonts w:ascii="Times New Roman" w:hAnsi="Times New Roman"/>
        </w:rPr>
        <w:t>B</w:t>
      </w:r>
      <w:r w:rsidRPr="00EA79B6">
        <w:rPr>
          <w:rFonts w:ascii="Times New Roman" w:hAnsi="Times New Roman"/>
        </w:rPr>
        <w:t>ežné transfery</w:t>
      </w:r>
      <w:r>
        <w:rPr>
          <w:rFonts w:ascii="Times New Roman" w:hAnsi="Times New Roman"/>
        </w:rPr>
        <w:t xml:space="preserve"> sa rozpisujú v sume 3,5 tis. eur, čo je na úrovni schváleného rozpočtu roku 2012.</w:t>
      </w:r>
    </w:p>
    <w:p w:rsidR="00064239" w:rsidRPr="00EA79B6" w:rsidP="00064239">
      <w:pPr>
        <w:bidi w:val="0"/>
        <w:ind w:firstLine="708"/>
        <w:jc w:val="both"/>
        <w:rPr>
          <w:rFonts w:ascii="Times New Roman" w:hAnsi="Times New Roman"/>
        </w:rPr>
      </w:pPr>
    </w:p>
    <w:p w:rsidR="00064239" w:rsidP="00064239">
      <w:pPr>
        <w:bidi w:val="0"/>
        <w:ind w:firstLine="708"/>
        <w:jc w:val="both"/>
        <w:rPr>
          <w:rFonts w:ascii="Times New Roman" w:hAnsi="Times New Roman"/>
        </w:rPr>
      </w:pPr>
      <w:r w:rsidRPr="00EA79B6">
        <w:rPr>
          <w:rFonts w:ascii="Times New Roman" w:hAnsi="Times New Roman"/>
        </w:rPr>
        <w:t>Kapitálové výdavky sú na rok 2013 navrhované v sume 4</w:t>
      </w:r>
      <w:r>
        <w:rPr>
          <w:rFonts w:ascii="Times New Roman" w:hAnsi="Times New Roman"/>
        </w:rPr>
        <w:t>,</w:t>
      </w:r>
      <w:r w:rsidRPr="00EA79B6">
        <w:rPr>
          <w:rFonts w:ascii="Times New Roman" w:hAnsi="Times New Roman"/>
        </w:rPr>
        <w:t xml:space="preserve">8 </w:t>
      </w:r>
      <w:r>
        <w:rPr>
          <w:rFonts w:ascii="Times New Roman" w:hAnsi="Times New Roman"/>
        </w:rPr>
        <w:t xml:space="preserve">tis. </w:t>
      </w:r>
      <w:r w:rsidRPr="00EA79B6">
        <w:rPr>
          <w:rFonts w:ascii="Times New Roman" w:hAnsi="Times New Roman"/>
        </w:rPr>
        <w:t>eur</w:t>
      </w:r>
      <w:r>
        <w:rPr>
          <w:rFonts w:ascii="Times New Roman" w:hAnsi="Times New Roman"/>
        </w:rPr>
        <w:t>,</w:t>
      </w:r>
      <w:r w:rsidRPr="00FC13EE">
        <w:rPr>
          <w:rFonts w:ascii="Times New Roman" w:hAnsi="Times New Roman"/>
        </w:rPr>
        <w:t xml:space="preserve"> </w:t>
      </w:r>
      <w:r>
        <w:rPr>
          <w:rFonts w:ascii="Times New Roman" w:hAnsi="Times New Roman"/>
        </w:rPr>
        <w:t xml:space="preserve">čo je na úrovni schváleného rozpočtu roku 2012. </w:t>
      </w:r>
      <w:r w:rsidRPr="00EA79B6">
        <w:rPr>
          <w:rFonts w:ascii="Times New Roman" w:hAnsi="Times New Roman"/>
        </w:rPr>
        <w:t>Kancelária verejného ochrancu práv plánuje vynaložiť prostriedky na nákup výpočtovej techniky.</w:t>
      </w:r>
    </w:p>
    <w:p w:rsidR="00064239" w:rsidRPr="00EA79B6" w:rsidP="00064239">
      <w:pPr>
        <w:bidi w:val="0"/>
        <w:jc w:val="both"/>
        <w:rPr>
          <w:rFonts w:ascii="Times New Roman" w:hAnsi="Times New Roman"/>
        </w:rPr>
      </w:pPr>
    </w:p>
    <w:p w:rsidR="00064239" w:rsidRPr="00A87B76" w:rsidP="00064239">
      <w:pPr>
        <w:bidi w:val="0"/>
        <w:rPr>
          <w:rFonts w:ascii="Times New Roman" w:hAnsi="Times New Roman"/>
          <w:i/>
          <w:u w:val="single"/>
        </w:rPr>
      </w:pPr>
      <w:r w:rsidRPr="00A87B76">
        <w:rPr>
          <w:rFonts w:ascii="Times New Roman" w:hAnsi="Times New Roman"/>
          <w:i/>
          <w:u w:val="single"/>
        </w:rPr>
        <w:t>Úrad na ochranu osobných údajov</w:t>
      </w:r>
      <w:r>
        <w:rPr>
          <w:rFonts w:ascii="Times New Roman" w:hAnsi="Times New Roman"/>
          <w:i/>
          <w:u w:val="single"/>
        </w:rPr>
        <w:t xml:space="preserve"> (ÚOOÚ)</w:t>
      </w:r>
    </w:p>
    <w:p w:rsidR="00064239" w:rsidRPr="00A87B76" w:rsidP="00064239">
      <w:pPr>
        <w:bidi w:val="0"/>
        <w:rPr>
          <w:rFonts w:ascii="Times New Roman" w:hAnsi="Times New Roman"/>
          <w:i/>
          <w:u w:val="single"/>
        </w:rPr>
      </w:pPr>
    </w:p>
    <w:p w:rsidR="00064239" w:rsidRPr="000F5FD3" w:rsidP="00064239">
      <w:pPr>
        <w:bidi w:val="0"/>
        <w:ind w:firstLine="708"/>
        <w:jc w:val="both"/>
        <w:rPr>
          <w:rFonts w:ascii="Times New Roman" w:hAnsi="Times New Roman" w:cs="Times New Roman"/>
          <w:lang w:eastAsia="sk-SK"/>
        </w:rPr>
      </w:pPr>
      <w:r w:rsidRPr="006D22FB">
        <w:rPr>
          <w:rFonts w:ascii="Times New Roman" w:hAnsi="Times New Roman"/>
        </w:rPr>
        <w:t xml:space="preserve">Na rok 2013 sa pre organizáciu navrhuje limit výdavkov vo výške </w:t>
      </w:r>
      <w:r>
        <w:rPr>
          <w:rFonts w:ascii="Times New Roman" w:hAnsi="Times New Roman"/>
        </w:rPr>
        <w:t>876,3</w:t>
      </w:r>
      <w:r w:rsidRPr="006D22FB">
        <w:rPr>
          <w:rFonts w:ascii="Times New Roman" w:hAnsi="Times New Roman"/>
        </w:rPr>
        <w:t xml:space="preserve"> tis. eur, čo je o </w:t>
      </w:r>
      <w:r>
        <w:rPr>
          <w:rFonts w:ascii="Times New Roman" w:hAnsi="Times New Roman"/>
        </w:rPr>
        <w:t>27</w:t>
      </w:r>
      <w:r w:rsidRPr="006D22FB">
        <w:rPr>
          <w:rFonts w:ascii="Times New Roman" w:hAnsi="Times New Roman"/>
        </w:rPr>
        <w:t>,</w:t>
      </w:r>
      <w:r>
        <w:rPr>
          <w:rFonts w:ascii="Times New Roman" w:hAnsi="Times New Roman"/>
        </w:rPr>
        <w:t>9</w:t>
      </w:r>
      <w:r w:rsidRPr="006D22FB">
        <w:rPr>
          <w:rFonts w:ascii="Times New Roman" w:hAnsi="Times New Roman"/>
        </w:rPr>
        <w:t xml:space="preserve"> % </w:t>
      </w:r>
      <w:r>
        <w:rPr>
          <w:rFonts w:ascii="Times New Roman" w:hAnsi="Times New Roman"/>
        </w:rPr>
        <w:t>viac</w:t>
      </w:r>
      <w:r w:rsidRPr="006D22FB">
        <w:rPr>
          <w:rFonts w:ascii="Times New Roman" w:hAnsi="Times New Roman"/>
        </w:rPr>
        <w:t xml:space="preserve"> v porovnaní so schváleným rozpočtom na  rok 2012</w:t>
      </w:r>
      <w:r>
        <w:rPr>
          <w:rFonts w:ascii="Times New Roman" w:hAnsi="Times New Roman"/>
        </w:rPr>
        <w:t>. Zvýšené</w:t>
      </w:r>
      <w:r>
        <w:rPr>
          <w:rFonts w:ascii="Arial" w:hAnsi="Arial" w:cs="Arial"/>
          <w:sz w:val="20"/>
          <w:szCs w:val="20"/>
          <w:lang w:eastAsia="sk-SK"/>
        </w:rPr>
        <w:t xml:space="preserve"> v</w:t>
      </w:r>
      <w:r w:rsidRPr="000F5FD3">
        <w:rPr>
          <w:rFonts w:ascii="Times New Roman" w:hAnsi="Times New Roman" w:cs="Times New Roman"/>
          <w:lang w:eastAsia="sk-SK"/>
        </w:rPr>
        <w:t>ýdavky sa použijú  na zabezpečenie plnenia záverov zo schengenskej hodnotiacej misie a zintenzívnenie kontrolnej činnosti v oblasti dozoru nad ochranou osobných údajov</w:t>
      </w:r>
      <w:r>
        <w:rPr>
          <w:rFonts w:ascii="Times New Roman" w:hAnsi="Times New Roman" w:cs="Times New Roman"/>
          <w:lang w:eastAsia="sk-SK"/>
        </w:rPr>
        <w:t>.</w:t>
      </w:r>
    </w:p>
    <w:p w:rsidR="00064239" w:rsidRPr="006D22FB" w:rsidP="00064239">
      <w:pPr>
        <w:bidi w:val="0"/>
        <w:jc w:val="both"/>
        <w:rPr>
          <w:rFonts w:ascii="Times New Roman" w:hAnsi="Times New Roman"/>
        </w:rPr>
      </w:pPr>
    </w:p>
    <w:p w:rsidR="00064239" w:rsidRPr="006D22FB" w:rsidP="00064239">
      <w:pPr>
        <w:bidi w:val="0"/>
        <w:ind w:firstLine="708"/>
        <w:jc w:val="both"/>
        <w:rPr>
          <w:rFonts w:ascii="Times New Roman" w:hAnsi="Times New Roman"/>
        </w:rPr>
      </w:pPr>
      <w:r w:rsidRPr="006D22FB">
        <w:rPr>
          <w:rFonts w:ascii="Times New Roman" w:hAnsi="Times New Roman"/>
        </w:rPr>
        <w:t xml:space="preserve">Objem osobných výdavkov sa na rok 2013 rozpočtuje v sume </w:t>
      </w:r>
      <w:r>
        <w:rPr>
          <w:rFonts w:ascii="Times New Roman" w:hAnsi="Times New Roman"/>
        </w:rPr>
        <w:t>680,5</w:t>
      </w:r>
      <w:r w:rsidRPr="006D22FB">
        <w:rPr>
          <w:rFonts w:ascii="Times New Roman" w:hAnsi="Times New Roman"/>
        </w:rPr>
        <w:t xml:space="preserve"> tis. eur, čo v porovnaní so schváleným rozpočtom na rok 2012 predstavuje nárast o </w:t>
      </w:r>
      <w:r>
        <w:rPr>
          <w:rFonts w:ascii="Times New Roman" w:hAnsi="Times New Roman"/>
        </w:rPr>
        <w:t>36</w:t>
      </w:r>
      <w:r w:rsidRPr="006D22FB">
        <w:rPr>
          <w:rFonts w:ascii="Times New Roman" w:hAnsi="Times New Roman"/>
        </w:rPr>
        <w:t>,</w:t>
      </w:r>
      <w:r>
        <w:rPr>
          <w:rFonts w:ascii="Times New Roman" w:hAnsi="Times New Roman"/>
        </w:rPr>
        <w:t>1</w:t>
      </w:r>
      <w:r w:rsidRPr="006D22FB">
        <w:rPr>
          <w:rFonts w:ascii="Times New Roman" w:hAnsi="Times New Roman"/>
        </w:rPr>
        <w:t xml:space="preserve"> %. </w:t>
      </w:r>
    </w:p>
    <w:p w:rsidR="00064239" w:rsidRPr="006D22FB" w:rsidP="00064239">
      <w:pPr>
        <w:bidi w:val="0"/>
        <w:ind w:firstLine="708"/>
        <w:jc w:val="both"/>
        <w:rPr>
          <w:rFonts w:ascii="Times New Roman" w:hAnsi="Times New Roman"/>
        </w:rPr>
      </w:pPr>
    </w:p>
    <w:p w:rsidR="00064239" w:rsidP="00064239">
      <w:pPr>
        <w:bidi w:val="0"/>
        <w:ind w:firstLine="708"/>
        <w:jc w:val="both"/>
        <w:rPr>
          <w:rFonts w:ascii="Times New Roman" w:hAnsi="Times New Roman"/>
        </w:rPr>
      </w:pPr>
      <w:r w:rsidRPr="006D22FB">
        <w:rPr>
          <w:rFonts w:ascii="Times New Roman" w:hAnsi="Times New Roman"/>
        </w:rPr>
        <w:t>Na tovary a služby sa rozpočtuje suma 1</w:t>
      </w:r>
      <w:r>
        <w:rPr>
          <w:rFonts w:ascii="Times New Roman" w:hAnsi="Times New Roman"/>
        </w:rPr>
        <w:t>7</w:t>
      </w:r>
      <w:r w:rsidRPr="006D22FB">
        <w:rPr>
          <w:rFonts w:ascii="Times New Roman" w:hAnsi="Times New Roman"/>
        </w:rPr>
        <w:t>4</w:t>
      </w:r>
      <w:r>
        <w:rPr>
          <w:rFonts w:ascii="Times New Roman" w:hAnsi="Times New Roman"/>
        </w:rPr>
        <w:t>,8</w:t>
      </w:r>
      <w:r w:rsidRPr="006D22FB">
        <w:rPr>
          <w:rFonts w:ascii="Times New Roman" w:hAnsi="Times New Roman"/>
        </w:rPr>
        <w:t xml:space="preserve"> tis. eur, čo v porovnaní so schváleným rozpočtom na rok 2012 predstavuje pokles o </w:t>
      </w:r>
      <w:r>
        <w:rPr>
          <w:rFonts w:ascii="Times New Roman" w:hAnsi="Times New Roman"/>
        </w:rPr>
        <w:t>2</w:t>
      </w:r>
      <w:r w:rsidRPr="006D22FB">
        <w:rPr>
          <w:rFonts w:ascii="Times New Roman" w:hAnsi="Times New Roman"/>
        </w:rPr>
        <w:t>,</w:t>
      </w:r>
      <w:r>
        <w:rPr>
          <w:rFonts w:ascii="Times New Roman" w:hAnsi="Times New Roman"/>
        </w:rPr>
        <w:t>81</w:t>
      </w:r>
      <w:r w:rsidRPr="006D22FB">
        <w:rPr>
          <w:rFonts w:ascii="Times New Roman" w:hAnsi="Times New Roman"/>
        </w:rPr>
        <w:t xml:space="preserve"> %. </w:t>
      </w:r>
    </w:p>
    <w:p w:rsidR="00064239" w:rsidP="00064239">
      <w:pPr>
        <w:bidi w:val="0"/>
        <w:ind w:firstLine="708"/>
        <w:rPr>
          <w:rFonts w:ascii="Times New Roman" w:hAnsi="Times New Roman"/>
        </w:rPr>
      </w:pPr>
    </w:p>
    <w:p w:rsidR="00064239" w:rsidP="00064239">
      <w:pPr>
        <w:bidi w:val="0"/>
        <w:ind w:firstLine="708"/>
        <w:jc w:val="both"/>
        <w:rPr>
          <w:rFonts w:ascii="Times New Roman" w:hAnsi="Times New Roman"/>
        </w:rPr>
      </w:pPr>
      <w:r w:rsidRPr="006D22FB">
        <w:rPr>
          <w:rFonts w:ascii="Times New Roman" w:hAnsi="Times New Roman"/>
        </w:rPr>
        <w:t>Výdavky na bežné transfery sa r</w:t>
      </w:r>
      <w:r>
        <w:rPr>
          <w:rFonts w:ascii="Times New Roman" w:hAnsi="Times New Roman"/>
        </w:rPr>
        <w:t>ozpisujú v sume 21 tis.</w:t>
      </w:r>
      <w:r w:rsidRPr="006D22FB">
        <w:rPr>
          <w:rFonts w:ascii="Times New Roman" w:hAnsi="Times New Roman"/>
        </w:rPr>
        <w:t xml:space="preserve"> eur</w:t>
      </w:r>
      <w:r>
        <w:rPr>
          <w:rFonts w:ascii="Times New Roman" w:hAnsi="Times New Roman"/>
        </w:rPr>
        <w:t xml:space="preserve">, čo je </w:t>
      </w:r>
      <w:r w:rsidRPr="004C3C23">
        <w:rPr>
          <w:rFonts w:ascii="Times New Roman" w:hAnsi="Times New Roman"/>
        </w:rPr>
        <w:t xml:space="preserve">v porovnaní s rokom 2012 </w:t>
      </w:r>
      <w:r>
        <w:rPr>
          <w:rFonts w:ascii="Times New Roman" w:hAnsi="Times New Roman"/>
        </w:rPr>
        <w:t>viac</w:t>
      </w:r>
      <w:r w:rsidRPr="004C3C23">
        <w:rPr>
          <w:rFonts w:ascii="Times New Roman" w:hAnsi="Times New Roman"/>
        </w:rPr>
        <w:t xml:space="preserve"> o </w:t>
      </w:r>
      <w:r>
        <w:rPr>
          <w:rFonts w:ascii="Times New Roman" w:hAnsi="Times New Roman"/>
        </w:rPr>
        <w:t>32</w:t>
      </w:r>
      <w:r w:rsidRPr="004C3C23">
        <w:rPr>
          <w:rFonts w:ascii="Times New Roman" w:hAnsi="Times New Roman"/>
        </w:rPr>
        <w:t>0 %.</w:t>
      </w:r>
    </w:p>
    <w:p w:rsidR="00064239" w:rsidRPr="003A44E4" w:rsidP="00064239">
      <w:pPr>
        <w:bidi w:val="0"/>
        <w:jc w:val="both"/>
        <w:rPr>
          <w:rFonts w:ascii="Times New Roman" w:hAnsi="Times New Roman"/>
          <w:i/>
          <w:highlight w:val="yellow"/>
          <w:u w:val="single"/>
        </w:rPr>
      </w:pPr>
    </w:p>
    <w:p w:rsidR="00064239" w:rsidRPr="000D6CAD" w:rsidP="00064239">
      <w:pPr>
        <w:bidi w:val="0"/>
        <w:jc w:val="both"/>
        <w:rPr>
          <w:rFonts w:ascii="Times New Roman" w:hAnsi="Times New Roman"/>
          <w:i/>
          <w:iCs/>
          <w:u w:val="single"/>
        </w:rPr>
      </w:pPr>
      <w:r w:rsidRPr="000D6CAD">
        <w:rPr>
          <w:rFonts w:ascii="Times New Roman" w:hAnsi="Times New Roman"/>
          <w:i/>
          <w:u w:val="single"/>
        </w:rPr>
        <w:t xml:space="preserve">Ústav pamäti národa (ÚPN) a </w:t>
      </w:r>
      <w:r w:rsidRPr="000D6CAD">
        <w:rPr>
          <w:rFonts w:ascii="Times New Roman" w:hAnsi="Times New Roman"/>
          <w:i/>
          <w:iCs/>
          <w:u w:val="single"/>
        </w:rPr>
        <w:t>Slovenské národné stredisko pre ľudské práva</w:t>
      </w:r>
    </w:p>
    <w:p w:rsidR="00064239" w:rsidRPr="000D6CAD" w:rsidP="00064239">
      <w:pPr>
        <w:bidi w:val="0"/>
        <w:jc w:val="both"/>
        <w:rPr>
          <w:rFonts w:ascii="Times New Roman" w:hAnsi="Times New Roman"/>
          <w:i/>
          <w:u w:val="single"/>
        </w:rPr>
      </w:pPr>
    </w:p>
    <w:p w:rsidR="00064239" w:rsidP="00064239">
      <w:pPr>
        <w:bidi w:val="0"/>
        <w:ind w:firstLine="708"/>
        <w:jc w:val="both"/>
        <w:rPr>
          <w:rFonts w:ascii="Times New Roman" w:hAnsi="Times New Roman"/>
        </w:rPr>
      </w:pPr>
      <w:r w:rsidRPr="000D6CAD">
        <w:rPr>
          <w:rFonts w:ascii="Times New Roman" w:hAnsi="Times New Roman"/>
        </w:rPr>
        <w:t>Transfer na činnosť verejnoprávnej ustanovizne ÚPN na rok 2013 je  rozpočtovaný v sume 1,5</w:t>
      </w:r>
      <w:r>
        <w:rPr>
          <w:rFonts w:ascii="Times New Roman" w:hAnsi="Times New Roman"/>
        </w:rPr>
        <w:t>5</w:t>
      </w:r>
      <w:r w:rsidRPr="000D6CAD">
        <w:rPr>
          <w:rFonts w:ascii="Times New Roman" w:hAnsi="Times New Roman"/>
        </w:rPr>
        <w:t xml:space="preserve"> mil. eur,</w:t>
      </w:r>
      <w:r w:rsidRPr="000D6CAD">
        <w:rPr>
          <w:rFonts w:ascii="Arial Narrow" w:hAnsi="Arial Narrow"/>
          <w:b/>
        </w:rPr>
        <w:t xml:space="preserve"> </w:t>
      </w:r>
      <w:r w:rsidRPr="000D6CAD">
        <w:rPr>
          <w:rFonts w:ascii="Times New Roman" w:hAnsi="Times New Roman" w:cs="Times New Roman"/>
        </w:rPr>
        <w:t xml:space="preserve">čo predstavuje oproti schválenému rozpočtu roku 2012 nárast </w:t>
      </w:r>
      <w:r w:rsidR="001302F7">
        <w:rPr>
          <w:rFonts w:ascii="Times New Roman" w:hAnsi="Times New Roman" w:cs="Times New Roman"/>
        </w:rPr>
        <w:br/>
      </w:r>
      <w:r w:rsidRPr="000D6CAD">
        <w:rPr>
          <w:rFonts w:ascii="Times New Roman" w:hAnsi="Times New Roman" w:cs="Times New Roman"/>
        </w:rPr>
        <w:t>o </w:t>
      </w:r>
      <w:r>
        <w:rPr>
          <w:rFonts w:ascii="Times New Roman" w:hAnsi="Times New Roman" w:cs="Times New Roman"/>
        </w:rPr>
        <w:t>90</w:t>
      </w:r>
      <w:r w:rsidRPr="000D6CAD">
        <w:rPr>
          <w:rFonts w:ascii="Times New Roman" w:hAnsi="Times New Roman" w:cs="Times New Roman"/>
        </w:rPr>
        <w:t>,2 tis. eur (</w:t>
      </w:r>
      <w:r>
        <w:rPr>
          <w:rFonts w:ascii="Times New Roman" w:hAnsi="Times New Roman" w:cs="Times New Roman"/>
        </w:rPr>
        <w:t>6,16</w:t>
      </w:r>
      <w:r w:rsidRPr="000D6CAD">
        <w:rPr>
          <w:rFonts w:ascii="Times New Roman" w:hAnsi="Times New Roman" w:cs="Times New Roman"/>
        </w:rPr>
        <w:t xml:space="preserve"> %). T</w:t>
      </w:r>
      <w:r w:rsidRPr="000D6CAD">
        <w:rPr>
          <w:rFonts w:ascii="Times New Roman" w:hAnsi="Times New Roman"/>
        </w:rPr>
        <w:t xml:space="preserve">ransfer na činnosť pre nezávislú právnickú osobu Slovenské národné stredisko pre ľudské práva je vo výške 528,5 tis. eur, čo je na úrovni schváleného rozpočtu roku 2012. </w:t>
      </w:r>
    </w:p>
    <w:p w:rsidR="005643DB" w:rsidRPr="000D6CAD" w:rsidP="00064239">
      <w:pPr>
        <w:bidi w:val="0"/>
        <w:ind w:firstLine="708"/>
        <w:jc w:val="both"/>
        <w:rPr>
          <w:rFonts w:ascii="Times New Roman" w:hAnsi="Times New Roman"/>
        </w:rPr>
      </w:pPr>
    </w:p>
    <w:p w:rsidR="009C536E" w:rsidP="00191D5C">
      <w:pPr>
        <w:pStyle w:val="Heading1"/>
        <w:numPr>
          <w:numId w:val="9"/>
        </w:numPr>
        <w:bidi w:val="0"/>
        <w:spacing w:before="0" w:after="0"/>
        <w:rPr>
          <w:rFonts w:ascii="Times New Roman" w:hAnsi="Times New Roman" w:cs="Times New Roman"/>
          <w:sz w:val="28"/>
          <w:szCs w:val="28"/>
        </w:rPr>
      </w:pPr>
      <w:bookmarkStart w:id="62" w:name="_Toc337237758"/>
      <w:r w:rsidRPr="00A41162">
        <w:rPr>
          <w:rFonts w:ascii="Times New Roman" w:hAnsi="Times New Roman" w:cs="Times New Roman"/>
          <w:sz w:val="28"/>
          <w:szCs w:val="28"/>
        </w:rPr>
        <w:t>Štátne finančné aktíva</w:t>
      </w:r>
      <w:bookmarkEnd w:id="62"/>
    </w:p>
    <w:p w:rsidR="00C2246C" w:rsidRPr="00C2246C" w:rsidP="00C2246C">
      <w:pPr>
        <w:pStyle w:val="ListParagraph"/>
        <w:bidi w:val="0"/>
        <w:ind w:left="540"/>
        <w:rPr>
          <w:rFonts w:ascii="Times New Roman" w:hAnsi="Times New Roman" w:cs="Times New Roman"/>
        </w:rPr>
      </w:pPr>
    </w:p>
    <w:p w:rsidR="0038140E" w:rsidP="0038140E">
      <w:pPr>
        <w:bidi w:val="0"/>
        <w:ind w:firstLine="708"/>
        <w:jc w:val="both"/>
        <w:rPr>
          <w:rFonts w:ascii="Times New Roman" w:hAnsi="Times New Roman" w:cs="Times New Roman"/>
        </w:rPr>
      </w:pPr>
      <w:r w:rsidRPr="00CD6110">
        <w:rPr>
          <w:rFonts w:ascii="Times New Roman" w:hAnsi="Times New Roman" w:cs="Times New Roman"/>
        </w:rPr>
        <w:t>Štátne finančné aktíva sú definované zákonom č. 523/2004 Z. z. o rozpočtových pravidlách verejnej správy v znení neskorších predpisov.</w:t>
      </w:r>
      <w:r>
        <w:rPr>
          <w:rFonts w:ascii="Times New Roman" w:hAnsi="Times New Roman" w:cs="Times New Roman"/>
        </w:rPr>
        <w:t xml:space="preserve"> </w:t>
      </w:r>
      <w:r w:rsidRPr="00CD6110">
        <w:rPr>
          <w:rFonts w:ascii="Times New Roman" w:hAnsi="Times New Roman" w:cs="Times New Roman"/>
        </w:rPr>
        <w:t xml:space="preserve">Finančné operácie, ktoré ovplyvňujú stav štátnych finančných aktív, sa tak na strane príjmov ako aj na strane výdavkov vylučujú z príjmov a výdavkov štátneho rozpočtu podľa metodiky ESA 95. </w:t>
      </w:r>
    </w:p>
    <w:p w:rsidR="0038140E" w:rsidRPr="00CF183F" w:rsidP="0038140E">
      <w:pPr>
        <w:bidi w:val="0"/>
        <w:ind w:firstLine="708"/>
        <w:jc w:val="both"/>
        <w:rPr>
          <w:rFonts w:ascii="Times New Roman" w:hAnsi="Times New Roman" w:cs="Times New Roman"/>
          <w:szCs w:val="16"/>
        </w:rPr>
      </w:pPr>
    </w:p>
    <w:tbl>
      <w:tblPr>
        <w:tblStyle w:val="TableNormal"/>
        <w:tblW w:w="9084" w:type="dxa"/>
        <w:jc w:val="center"/>
        <w:tblInd w:w="407" w:type="dxa"/>
        <w:tblCellMar>
          <w:left w:w="70" w:type="dxa"/>
          <w:right w:w="70" w:type="dxa"/>
        </w:tblCellMar>
        <w:tblLook w:val="04A0"/>
      </w:tblPr>
      <w:tblGrid>
        <w:gridCol w:w="3085"/>
        <w:gridCol w:w="857"/>
        <w:gridCol w:w="857"/>
        <w:gridCol w:w="857"/>
        <w:gridCol w:w="857"/>
        <w:gridCol w:w="857"/>
        <w:gridCol w:w="857"/>
        <w:gridCol w:w="857"/>
      </w:tblGrid>
      <w:tr>
        <w:tblPrEx>
          <w:tblW w:w="9084" w:type="dxa"/>
          <w:jc w:val="center"/>
          <w:tblInd w:w="407" w:type="dxa"/>
          <w:tblCellMar>
            <w:left w:w="70" w:type="dxa"/>
            <w:right w:w="70" w:type="dxa"/>
          </w:tblCellMar>
          <w:tblLook w:val="04A0"/>
        </w:tblPrEx>
        <w:trPr>
          <w:trHeight w:val="480"/>
          <w:jc w:val="center"/>
        </w:trPr>
        <w:tc>
          <w:tcPr>
            <w:tcW w:w="3085"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38140E" w:rsidRPr="001E50A6" w:rsidP="007E349F">
            <w:pPr>
              <w:bidi w:val="0"/>
              <w:rPr>
                <w:rFonts w:ascii="Times New Roman" w:hAnsi="Times New Roman" w:cs="Times New Roman"/>
                <w:b/>
                <w:bCs/>
                <w:sz w:val="14"/>
                <w:szCs w:val="14"/>
                <w:lang w:eastAsia="sk-SK"/>
              </w:rPr>
            </w:pPr>
            <w:bookmarkStart w:id="63" w:name="_Toc143348614"/>
            <w:bookmarkStart w:id="64" w:name="_Toc148255260"/>
            <w:bookmarkStart w:id="65" w:name="_Toc174871977"/>
            <w:bookmarkStart w:id="66" w:name="_Toc206478412"/>
            <w:bookmarkStart w:id="67" w:name="_Toc241846650"/>
            <w:bookmarkStart w:id="68" w:name="_Toc273979633"/>
            <w:bookmarkStart w:id="69" w:name="_Toc300912266"/>
            <w:r w:rsidRPr="001E50A6">
              <w:rPr>
                <w:rFonts w:ascii="Times New Roman" w:hAnsi="Times New Roman" w:cs="Times New Roman"/>
                <w:b/>
                <w:bCs/>
                <w:sz w:val="14"/>
                <w:szCs w:val="14"/>
                <w:lang w:eastAsia="sk-SK"/>
              </w:rPr>
              <w:t>Rozpočtové operácie ŠFA</w:t>
              <w:br/>
            </w:r>
            <w:r w:rsidRPr="001E50A6">
              <w:rPr>
                <w:rFonts w:ascii="Times New Roman" w:hAnsi="Times New Roman" w:cs="Times New Roman"/>
                <w:sz w:val="14"/>
                <w:szCs w:val="14"/>
                <w:lang w:eastAsia="sk-SK"/>
              </w:rPr>
              <w:t>(v tis. eur; ESA 95)</w:t>
            </w:r>
          </w:p>
        </w:tc>
        <w:tc>
          <w:tcPr>
            <w:tcW w:w="85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2010 S</w:t>
            </w:r>
          </w:p>
        </w:tc>
        <w:tc>
          <w:tcPr>
            <w:tcW w:w="85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2011 S</w:t>
            </w:r>
          </w:p>
        </w:tc>
        <w:tc>
          <w:tcPr>
            <w:tcW w:w="85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2012 R</w:t>
            </w:r>
          </w:p>
        </w:tc>
        <w:tc>
          <w:tcPr>
            <w:tcW w:w="85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2012 OS</w:t>
            </w:r>
          </w:p>
        </w:tc>
        <w:tc>
          <w:tcPr>
            <w:tcW w:w="85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2013 N</w:t>
            </w:r>
          </w:p>
        </w:tc>
        <w:tc>
          <w:tcPr>
            <w:tcW w:w="85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2014 N</w:t>
            </w:r>
          </w:p>
        </w:tc>
        <w:tc>
          <w:tcPr>
            <w:tcW w:w="857"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2015 N</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 xml:space="preserve">1. Príjmy </w:t>
            </w:r>
            <w:r w:rsidRPr="001E50A6">
              <w:rPr>
                <w:rFonts w:ascii="Times New Roman" w:hAnsi="Times New Roman" w:cs="Times New Roman"/>
                <w:sz w:val="14"/>
                <w:szCs w:val="14"/>
                <w:lang w:eastAsia="sk-SK"/>
              </w:rPr>
              <w:t xml:space="preserve">- zvýšenie ŠFA </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644 363,3</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715 989,6</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681 665,4</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768 351,4</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833 303,9</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701 071,1</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584 129,6</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1.1. dividendy z FNM SR</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544 230,4</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439 055,0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505 864,0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535 864,0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441 170,7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437 509,7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437 614,9</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1.2. splátka NFV VHV, š. p. - kapitálový transfer</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21 908,0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22 007,6</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27 007,6</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27 007,6</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30 339,5</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23 003,4</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24 964,5</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xml:space="preserve">1.3. osobitný odvod vybraných finančných inštitúcií </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102 105,0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171 458,0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203 000,0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203 000,0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102 000,0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1.4. osobitný odvod z podnikania v</w:t>
            </w:r>
            <w:r>
              <w:rPr>
                <w:rFonts w:ascii="Times New Roman" w:hAnsi="Times New Roman" w:cs="Times New Roman"/>
                <w:sz w:val="14"/>
                <w:szCs w:val="14"/>
                <w:lang w:eastAsia="sk-SK"/>
              </w:rPr>
              <w:t> </w:t>
            </w:r>
            <w:r w:rsidRPr="001E50A6">
              <w:rPr>
                <w:rFonts w:ascii="Times New Roman" w:hAnsi="Times New Roman" w:cs="Times New Roman"/>
                <w:sz w:val="14"/>
                <w:szCs w:val="14"/>
                <w:lang w:eastAsia="sk-SK"/>
              </w:rPr>
              <w:t>regul</w:t>
            </w:r>
            <w:r>
              <w:rPr>
                <w:rFonts w:ascii="Times New Roman" w:hAnsi="Times New Roman" w:cs="Times New Roman"/>
                <w:sz w:val="14"/>
                <w:szCs w:val="14"/>
                <w:lang w:eastAsia="sk-SK"/>
              </w:rPr>
              <w:t>. odvetv.</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33 333,0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100 000,0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1.5. splátka NFV ŽS Cargo Slovakia, a. s.</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19 500,0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19 500,0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19 500,0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xml:space="preserve">1.6. prijaté splátky vlád. úverov a vlád. pohľ. </w:t>
              <w:br/>
              <w:t xml:space="preserve">       zo zahraničia (FO)</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688,8</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665,2</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522,4</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522,4</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595,1</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418,1</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1.7. príjmy zo splátok úver. a pôžič. - NFV (FO)</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2 910,3</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20 198,7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166,4</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166,4</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38 698,6</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17 639,9</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50,2</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1.8. vrát. prostr. od Nemocnice Sv. Michala, a.s.</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46 000,0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1.9. posilnenie ŠFA zo zost. min. rokov FNM SR</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67 715,6</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213 865,0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1.10. NFV mestu Žilina</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20 198,1</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1.11. MH Invest (FO)</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5 619,9</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322"/>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1.12. vrátenie nepoužitých fin. prostr. na oddlženie</w:t>
              <w:br/>
              <w:t xml:space="preserve">       zdravot. zar. v roku 2009 (FO)</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1 290,3</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 Výdavky</w:t>
            </w:r>
            <w:r w:rsidRPr="001E50A6">
              <w:rPr>
                <w:rFonts w:ascii="Times New Roman" w:hAnsi="Times New Roman" w:cs="Times New Roman"/>
                <w:sz w:val="14"/>
                <w:szCs w:val="14"/>
                <w:lang w:eastAsia="sk-SK"/>
              </w:rPr>
              <w:t xml:space="preserve"> - zníženie ŠFA </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631 754,4</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730 067,6</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508 709,5</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772 563,6</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720 742,4</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578 825,6</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456 491,3</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2.1. prevod prostr. z dividend od FNM SR do ŠR</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544 230,4</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373 979,0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505 864,0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505 864,0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441 170,7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437 509,7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437 614,9</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2.2. poskyt. úver. a pôž., účasť v medz. org. (FO)</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827,7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4 866,2</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2 845,5</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2 845,5</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15 891,7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9 475,9</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18 876,4</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2.3. Európsky mechanizmus pre stabilitu (FO)</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263 680,0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263 680,0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131 840,0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2.4. prevod prostriedkov do Sociálnej poisťovne</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75 507,4</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302"/>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2.5. vklad do ZI Letiska M. R. Štefánika - Airport</w:t>
              <w:br/>
              <w:t xml:space="preserve">         Bratislava</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9 958,2</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2.6. vklad do základného imania MH Invest</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1 047,5</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2.7. vklad do základného imania EFSF (FO)</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183,2</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2.8. vklad do MH Invest</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1 060,5</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2.9. vklad do KI Vojenské lesy a majetky, š.p.</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161,9</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174,1</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2.10. prostriedky na oddlženie zdravot. zariadení</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350 000,0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 xml:space="preserve">Saldo rozpočtových operácií </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12 608,9</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-14 078,0</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172 955,9</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-4 212,2</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112 561,5</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122 245,5</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127 638,3</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Vylúčenie finančných operácií</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-9 498,4</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-15 997,7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2 156,7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265 836,7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240 278,0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123 257,9</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18 826,2</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xml:space="preserve">      vylúčenie príjmových FO</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-10 509,3</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-20 863,9</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-688,8</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-688,8</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-39 293,7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-18 058,0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-50,2</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xml:space="preserve">      vylúčenie výdavkových FO</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1 010,9</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4 866,2</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2 845,5</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266 525,5</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279 571,7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141 315,9</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18 876,4</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Ostatné úpravy</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107,0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2 884,7</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0,0</w:t>
            </w:r>
          </w:p>
        </w:tc>
      </w:tr>
      <w:tr>
        <w:tblPrEx>
          <w:tblW w:w="9084" w:type="dxa"/>
          <w:jc w:val="center"/>
          <w:tblInd w:w="407" w:type="dxa"/>
          <w:tblCellMar>
            <w:left w:w="70" w:type="dxa"/>
            <w:right w:w="70" w:type="dxa"/>
          </w:tblCellMar>
          <w:tblLook w:val="04A0"/>
        </w:tblPrEx>
        <w:trPr>
          <w:trHeight w:val="240"/>
          <w:jc w:val="center"/>
        </w:trPr>
        <w:tc>
          <w:tcPr>
            <w:tcW w:w="3085" w:type="dxa"/>
            <w:tcBorders>
              <w:top w:val="nil"/>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Prekl. nevydob. NFV poskyt. nefin.korpor. (š.p.) v minulosti</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-77 800,0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0,0</w:t>
            </w:r>
          </w:p>
        </w:tc>
        <w:tc>
          <w:tcPr>
            <w:tcW w:w="857"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0,0</w:t>
            </w:r>
          </w:p>
        </w:tc>
      </w:tr>
      <w:tr>
        <w:tblPrEx>
          <w:tblW w:w="9084" w:type="dxa"/>
          <w:jc w:val="center"/>
          <w:tblInd w:w="407" w:type="dxa"/>
          <w:tblCellMar>
            <w:left w:w="70" w:type="dxa"/>
            <w:right w:w="70" w:type="dxa"/>
          </w:tblCellMar>
          <w:tblLook w:val="04A0"/>
        </w:tblPrEx>
        <w:trPr>
          <w:trHeight w:val="405"/>
          <w:jc w:val="center"/>
        </w:trPr>
        <w:tc>
          <w:tcPr>
            <w:tcW w:w="3085"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Saldo rozpočtových operácií bez FO</w:t>
              <w:br/>
            </w:r>
            <w:r w:rsidRPr="001E50A6">
              <w:rPr>
                <w:rFonts w:ascii="Times New Roman" w:hAnsi="Times New Roman" w:cs="Times New Roman"/>
                <w:sz w:val="14"/>
                <w:szCs w:val="14"/>
                <w:lang w:eastAsia="sk-SK"/>
              </w:rPr>
              <w:t>(vplyv na RVS v metodike ESA 95)</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-74 582,5</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-27 191,0</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175 112,6</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261 624,5</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352 839,5</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245 503,4</w:t>
            </w:r>
          </w:p>
        </w:tc>
        <w:tc>
          <w:tcPr>
            <w:tcW w:w="857"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146 464,5</w:t>
            </w:r>
          </w:p>
        </w:tc>
      </w:tr>
    </w:tbl>
    <w:p w:rsidR="0038140E" w:rsidRPr="00CD6110" w:rsidP="0038140E">
      <w:pPr>
        <w:pStyle w:val="Heading2"/>
        <w:bidi w:val="0"/>
        <w:spacing w:before="360"/>
        <w:rPr>
          <w:rFonts w:ascii="Times New Roman" w:hAnsi="Times New Roman"/>
          <w:i w:val="0"/>
          <w:iCs w:val="0"/>
          <w:sz w:val="24"/>
          <w:szCs w:val="24"/>
        </w:rPr>
      </w:pPr>
      <w:bookmarkStart w:id="70" w:name="_Toc337237759"/>
      <w:r>
        <w:rPr>
          <w:rFonts w:ascii="Times New Roman" w:hAnsi="Times New Roman"/>
          <w:i w:val="0"/>
          <w:iCs w:val="0"/>
          <w:sz w:val="24"/>
          <w:szCs w:val="24"/>
        </w:rPr>
        <w:t>5</w:t>
      </w:r>
      <w:r w:rsidRPr="00CD6110">
        <w:rPr>
          <w:rFonts w:ascii="Times New Roman" w:hAnsi="Times New Roman"/>
          <w:i w:val="0"/>
          <w:iCs w:val="0"/>
          <w:sz w:val="24"/>
          <w:szCs w:val="24"/>
        </w:rPr>
        <w:t>.1. Príjmové operácie</w:t>
      </w:r>
      <w:bookmarkEnd w:id="63"/>
      <w:bookmarkEnd w:id="64"/>
      <w:bookmarkEnd w:id="65"/>
      <w:bookmarkEnd w:id="66"/>
      <w:bookmarkEnd w:id="67"/>
      <w:bookmarkEnd w:id="68"/>
      <w:bookmarkEnd w:id="69"/>
      <w:bookmarkEnd w:id="70"/>
    </w:p>
    <w:p w:rsidR="0038140E" w:rsidRPr="00CF183F" w:rsidP="0038140E">
      <w:pPr>
        <w:bidi w:val="0"/>
        <w:ind w:firstLine="708"/>
        <w:jc w:val="both"/>
        <w:rPr>
          <w:rFonts w:ascii="Times New Roman" w:hAnsi="Times New Roman" w:cs="Times New Roman"/>
          <w:szCs w:val="16"/>
          <w:highlight w:val="yellow"/>
          <w:u w:val="single"/>
        </w:rPr>
      </w:pPr>
    </w:p>
    <w:p w:rsidR="0038140E" w:rsidRPr="00CD6110" w:rsidP="0038140E">
      <w:pPr>
        <w:bidi w:val="0"/>
        <w:adjustRightInd w:val="0"/>
        <w:jc w:val="both"/>
        <w:rPr>
          <w:rFonts w:ascii="Times New Roman" w:hAnsi="Times New Roman" w:cs="Times New Roman"/>
        </w:rPr>
      </w:pPr>
      <w:bookmarkStart w:id="71" w:name="_Toc116476499"/>
      <w:bookmarkStart w:id="72" w:name="_Toc141529501"/>
      <w:r>
        <w:rPr>
          <w:rFonts w:ascii="Times New Roman" w:hAnsi="Times New Roman" w:cs="Times New Roman"/>
        </w:rPr>
        <w:t>5.1.1.</w:t>
        <w:tab/>
      </w:r>
      <w:r w:rsidRPr="00CD6110">
        <w:rPr>
          <w:rFonts w:ascii="Times New Roman" w:hAnsi="Times New Roman" w:cs="Times New Roman"/>
        </w:rPr>
        <w:t xml:space="preserve">Z hľadiska finančného objemu medzi najdôležitejšie príjmové operácie štátnych finančných aktív patria príjmy z Fondu národného majetku SR z dividend od spoločností s majetkovou účasťou Fondu národného majetku SR. </w:t>
      </w:r>
      <w:r>
        <w:rPr>
          <w:rFonts w:ascii="Times New Roman" w:hAnsi="Times New Roman" w:cs="Times New Roman"/>
        </w:rPr>
        <w:t>V</w:t>
      </w:r>
      <w:r w:rsidRPr="00CD6110">
        <w:rPr>
          <w:rFonts w:ascii="Times New Roman" w:hAnsi="Times New Roman" w:cs="Times New Roman"/>
        </w:rPr>
        <w:t>šetky riadne dividendy (v zmysle metodiky ESA 95 – ide len o dividendy získané z hospodárskej činnosti) sa prevedú do príjmov štátneho rozpočtu</w:t>
      </w:r>
      <w:r>
        <w:rPr>
          <w:rFonts w:ascii="Times New Roman" w:hAnsi="Times New Roman" w:cs="Times New Roman"/>
        </w:rPr>
        <w:t>. M</w:t>
      </w:r>
      <w:r w:rsidRPr="00CD6110">
        <w:rPr>
          <w:rFonts w:ascii="Times New Roman" w:hAnsi="Times New Roman" w:cs="Times New Roman"/>
        </w:rPr>
        <w:t>imoriadne dividendy (napr. získané precenením majetku spoločnosti) posilnia štátne finančné aktíva a zostá</w:t>
      </w:r>
      <w:r>
        <w:rPr>
          <w:rFonts w:ascii="Times New Roman" w:hAnsi="Times New Roman" w:cs="Times New Roman"/>
        </w:rPr>
        <w:t>vajú</w:t>
      </w:r>
      <w:r w:rsidRPr="00CD6110">
        <w:rPr>
          <w:rFonts w:ascii="Times New Roman" w:hAnsi="Times New Roman" w:cs="Times New Roman"/>
        </w:rPr>
        <w:t xml:space="preserve"> k dispozícii na ďalšie použitie.</w:t>
      </w:r>
    </w:p>
    <w:p w:rsidR="0038140E" w:rsidRPr="00CF183F" w:rsidP="0038140E">
      <w:pPr>
        <w:bidi w:val="0"/>
        <w:jc w:val="both"/>
        <w:rPr>
          <w:rFonts w:ascii="Times New Roman" w:hAnsi="Times New Roman" w:cs="Times New Roman"/>
          <w:szCs w:val="16"/>
        </w:rPr>
      </w:pPr>
    </w:p>
    <w:p w:rsidR="0038140E" w:rsidRPr="00411F57" w:rsidP="0038140E">
      <w:pPr>
        <w:bidi w:val="0"/>
        <w:jc w:val="both"/>
        <w:rPr>
          <w:rFonts w:ascii="Times New Roman" w:hAnsi="Times New Roman" w:cs="Times New Roman"/>
        </w:rPr>
      </w:pPr>
      <w:r>
        <w:rPr>
          <w:rFonts w:ascii="Times New Roman" w:hAnsi="Times New Roman" w:cs="Times New Roman"/>
        </w:rPr>
        <w:t>P</w:t>
      </w:r>
      <w:r w:rsidRPr="00411F57">
        <w:rPr>
          <w:rFonts w:ascii="Times New Roman" w:hAnsi="Times New Roman" w:cs="Times New Roman"/>
        </w:rPr>
        <w:t>redpokladá</w:t>
      </w:r>
      <w:r>
        <w:rPr>
          <w:rFonts w:ascii="Times New Roman" w:hAnsi="Times New Roman" w:cs="Times New Roman"/>
        </w:rPr>
        <w:t xml:space="preserve"> sa</w:t>
      </w:r>
      <w:r w:rsidRPr="00411F57">
        <w:rPr>
          <w:rFonts w:ascii="Times New Roman" w:hAnsi="Times New Roman" w:cs="Times New Roman"/>
        </w:rPr>
        <w:t xml:space="preserve">, že </w:t>
      </w:r>
      <w:r>
        <w:rPr>
          <w:rFonts w:ascii="Times New Roman" w:hAnsi="Times New Roman" w:cs="Times New Roman"/>
        </w:rPr>
        <w:t>celý objem dividend transferovaný v roku 2013 z FNM SR vo výške  441,2 mil. eur tvoria iba riadne dividendy.</w:t>
      </w:r>
    </w:p>
    <w:p w:rsidR="0038140E" w:rsidRPr="00CF183F" w:rsidP="0038140E">
      <w:pPr>
        <w:bidi w:val="0"/>
        <w:jc w:val="both"/>
        <w:rPr>
          <w:rFonts w:ascii="Times New Roman" w:hAnsi="Times New Roman" w:cs="Times New Roman"/>
          <w:szCs w:val="16"/>
        </w:rPr>
      </w:pPr>
    </w:p>
    <w:p w:rsidR="0038140E" w:rsidP="0038140E">
      <w:pPr>
        <w:bidi w:val="0"/>
        <w:jc w:val="both"/>
        <w:rPr>
          <w:rFonts w:ascii="Times New Roman" w:hAnsi="Times New Roman" w:cs="Times New Roman"/>
        </w:rPr>
      </w:pPr>
      <w:r>
        <w:rPr>
          <w:rFonts w:ascii="Times New Roman" w:hAnsi="Times New Roman" w:cs="Times New Roman"/>
        </w:rPr>
        <w:t>5.1.2.</w:t>
        <w:tab/>
      </w:r>
      <w:r w:rsidRPr="00CD6110">
        <w:rPr>
          <w:rFonts w:ascii="Times New Roman" w:hAnsi="Times New Roman" w:cs="Times New Roman"/>
        </w:rPr>
        <w:t>Ide o príjem za zrealizované štátne záruky voči Vodohospodárskej výstavbe, š. p., ktoré v minulosti ovplyvnili schodok a dlh verejnej správy.</w:t>
      </w:r>
    </w:p>
    <w:p w:rsidR="0038140E" w:rsidRPr="00CF183F" w:rsidP="0038140E">
      <w:pPr>
        <w:bidi w:val="0"/>
        <w:jc w:val="both"/>
        <w:rPr>
          <w:rFonts w:ascii="Times New Roman" w:hAnsi="Times New Roman" w:cs="Times New Roman"/>
          <w:szCs w:val="16"/>
        </w:rPr>
      </w:pPr>
    </w:p>
    <w:p w:rsidR="0038140E" w:rsidP="0038140E">
      <w:pPr>
        <w:bidi w:val="0"/>
        <w:jc w:val="both"/>
        <w:rPr>
          <w:rFonts w:ascii="Times New Roman" w:hAnsi="Times New Roman" w:cs="Times New Roman"/>
        </w:rPr>
      </w:pPr>
      <w:r>
        <w:rPr>
          <w:rFonts w:ascii="Times New Roman" w:hAnsi="Times New Roman" w:cs="Times New Roman"/>
        </w:rPr>
        <w:t>5.1.3.</w:t>
        <w:tab/>
        <w:t>O</w:t>
      </w:r>
      <w:r w:rsidRPr="00E01AF0">
        <w:rPr>
          <w:rFonts w:ascii="Times New Roman" w:hAnsi="Times New Roman" w:cs="Times New Roman"/>
        </w:rPr>
        <w:t xml:space="preserve">dvod pre vybrané finančné inštitúcie </w:t>
      </w:r>
      <w:r>
        <w:rPr>
          <w:rFonts w:ascii="Times New Roman" w:hAnsi="Times New Roman" w:cs="Times New Roman"/>
        </w:rPr>
        <w:t>má</w:t>
      </w:r>
      <w:r w:rsidRPr="00E01AF0">
        <w:rPr>
          <w:rFonts w:ascii="Times New Roman" w:hAnsi="Times New Roman" w:cs="Times New Roman"/>
        </w:rPr>
        <w:t xml:space="preserve"> prispieť k vytvoreniu mechanizmov podieľania sa </w:t>
      </w:r>
      <w:r>
        <w:rPr>
          <w:rFonts w:ascii="Times New Roman" w:hAnsi="Times New Roman" w:cs="Times New Roman"/>
        </w:rPr>
        <w:t xml:space="preserve">týchto </w:t>
      </w:r>
      <w:r w:rsidRPr="00E01AF0">
        <w:rPr>
          <w:rFonts w:ascii="Times New Roman" w:hAnsi="Times New Roman" w:cs="Times New Roman"/>
        </w:rPr>
        <w:t>finančných inštitúcií na nákladoch budúcich finančných kríz v bankovom sektore, k zabezpečeniu spravodlivého rozdelenia záťaže a k predchádzaniu vzniku rozsiahlych výdavkov pre daňových poplatníkov, vládu a hospodárstvo v prípade riešenia finančných kríz, k stimulovaniu vybraných finančných inštitúcií obmedzovať systémové riziká a k ochrane stability finančného sektora Slovenskej republiky.</w:t>
      </w:r>
    </w:p>
    <w:p w:rsidR="0038140E" w:rsidRPr="00CF183F" w:rsidP="0038140E">
      <w:pPr>
        <w:bidi w:val="0"/>
        <w:jc w:val="both"/>
        <w:rPr>
          <w:rFonts w:ascii="Times New Roman" w:hAnsi="Times New Roman" w:cs="Times New Roman"/>
          <w:szCs w:val="16"/>
        </w:rPr>
      </w:pPr>
    </w:p>
    <w:p w:rsidR="0038140E" w:rsidP="0038140E">
      <w:pPr>
        <w:bidi w:val="0"/>
        <w:jc w:val="both"/>
        <w:rPr>
          <w:rFonts w:ascii="Times New Roman" w:hAnsi="Times New Roman" w:cs="Times New Roman"/>
        </w:rPr>
      </w:pPr>
      <w:r>
        <w:rPr>
          <w:rFonts w:ascii="Times New Roman" w:hAnsi="Times New Roman" w:cs="Times New Roman"/>
        </w:rPr>
        <w:t>5.1.4.</w:t>
        <w:tab/>
        <w:t>P</w:t>
      </w:r>
      <w:r w:rsidRPr="00755E6A">
        <w:rPr>
          <w:rFonts w:ascii="Times New Roman" w:hAnsi="Times New Roman" w:cs="Times New Roman"/>
        </w:rPr>
        <w:t>ríjmy z osobitného odvodu z podnikania v regulovaných odvetviach budú slúžiť na perspektívne vytvorenie účelovo určenej osobitnej časti štátnych finančných aktív, z ktorých sa budú financovať prioritné projekty na naštartovanie hospodárskeho rastu a zamestnanosti. Vláda Slovenskej republiky chce takýmto spôsobom nielen spravodlivejšie rozdeliť bremeno nákladov hospodárskej krízy, ale aj efektívnym spôsobom mobilizovať zdroje za účelom zvýšenia tempa hospodárskeho rastu, a teda zlepšenia základne pre výber príjmov verejných financií.</w:t>
      </w:r>
    </w:p>
    <w:p w:rsidR="0038140E" w:rsidRPr="00CF183F" w:rsidP="0038140E">
      <w:pPr>
        <w:bidi w:val="0"/>
        <w:jc w:val="both"/>
        <w:rPr>
          <w:rFonts w:ascii="Times New Roman" w:hAnsi="Times New Roman" w:cs="Times New Roman"/>
          <w:szCs w:val="16"/>
          <w:highlight w:val="yellow"/>
        </w:rPr>
      </w:pPr>
    </w:p>
    <w:p w:rsidR="0038140E" w:rsidRPr="00BC1545" w:rsidP="0038140E">
      <w:pPr>
        <w:bidi w:val="0"/>
        <w:jc w:val="both"/>
        <w:rPr>
          <w:rFonts w:ascii="Times New Roman" w:hAnsi="Times New Roman" w:cs="Times New Roman"/>
        </w:rPr>
      </w:pPr>
      <w:r>
        <w:rPr>
          <w:rFonts w:ascii="Times New Roman" w:hAnsi="Times New Roman" w:cs="Times New Roman"/>
        </w:rPr>
        <w:t>5.1.5.</w:t>
        <w:tab/>
      </w:r>
      <w:r w:rsidRPr="00BC1545">
        <w:rPr>
          <w:rFonts w:ascii="Times New Roman" w:hAnsi="Times New Roman" w:cs="Times New Roman"/>
        </w:rPr>
        <w:t>Ide o príjem zo splácania návratnej finančnej výpomoci poskytnutej</w:t>
      </w:r>
      <w:r>
        <w:rPr>
          <w:rFonts w:ascii="Times New Roman" w:hAnsi="Times New Roman" w:cs="Times New Roman"/>
        </w:rPr>
        <w:t xml:space="preserve"> </w:t>
      </w:r>
      <w:r w:rsidRPr="00BC1545">
        <w:rPr>
          <w:rFonts w:ascii="Times New Roman" w:hAnsi="Times New Roman" w:cs="Times New Roman"/>
        </w:rPr>
        <w:t xml:space="preserve">ŽS Cargo Slovakia, a. s. zo štátnych finančných aktív v roku 2009 </w:t>
      </w:r>
      <w:r>
        <w:rPr>
          <w:rFonts w:ascii="Times New Roman" w:hAnsi="Times New Roman" w:cs="Times New Roman"/>
        </w:rPr>
        <w:t xml:space="preserve">vo výške takmer 166 mil. eur </w:t>
      </w:r>
      <w:r w:rsidRPr="00BC1545">
        <w:rPr>
          <w:rFonts w:ascii="Times New Roman" w:hAnsi="Times New Roman" w:cs="Times New Roman"/>
        </w:rPr>
        <w:t xml:space="preserve">na základe uznesenia vlády SR č. 173/2009. Nakoľko uvedená transakcia ovplyvnila schodok a dlh verejnej správy v roku 2009, realizované splátky sa považujú v zmysle metodiky </w:t>
      </w:r>
      <w:r w:rsidR="00A72F8B">
        <w:rPr>
          <w:rFonts w:ascii="Times New Roman" w:hAnsi="Times New Roman" w:cs="Times New Roman"/>
        </w:rPr>
        <w:br/>
      </w:r>
      <w:r w:rsidRPr="00BC1545">
        <w:rPr>
          <w:rFonts w:ascii="Times New Roman" w:hAnsi="Times New Roman" w:cs="Times New Roman"/>
        </w:rPr>
        <w:t xml:space="preserve">ESA 95 za kapitálový </w:t>
      </w:r>
      <w:r>
        <w:rPr>
          <w:rFonts w:ascii="Times New Roman" w:hAnsi="Times New Roman" w:cs="Times New Roman"/>
        </w:rPr>
        <w:t>transfer</w:t>
      </w:r>
      <w:r w:rsidRPr="00BC1545">
        <w:rPr>
          <w:rFonts w:ascii="Times New Roman" w:hAnsi="Times New Roman" w:cs="Times New Roman"/>
        </w:rPr>
        <w:t>.</w:t>
      </w:r>
    </w:p>
    <w:p w:rsidR="0038140E" w:rsidRPr="00CF183F" w:rsidP="0038140E">
      <w:pPr>
        <w:bidi w:val="0"/>
        <w:jc w:val="both"/>
        <w:rPr>
          <w:rFonts w:ascii="Times New Roman" w:hAnsi="Times New Roman" w:cs="Times New Roman"/>
          <w:szCs w:val="16"/>
          <w:highlight w:val="yellow"/>
        </w:rPr>
      </w:pPr>
    </w:p>
    <w:p w:rsidR="0038140E" w:rsidRPr="00CD6110" w:rsidP="0038140E">
      <w:pPr>
        <w:bidi w:val="0"/>
        <w:jc w:val="both"/>
        <w:rPr>
          <w:rFonts w:ascii="Times New Roman" w:hAnsi="Times New Roman" w:cs="Times New Roman"/>
        </w:rPr>
      </w:pPr>
      <w:r>
        <w:rPr>
          <w:rFonts w:ascii="Times New Roman" w:hAnsi="Times New Roman" w:cs="Times New Roman"/>
        </w:rPr>
        <w:t>5</w:t>
      </w:r>
      <w:r w:rsidRPr="00396613">
        <w:rPr>
          <w:rFonts w:ascii="Times New Roman" w:hAnsi="Times New Roman" w:cs="Times New Roman"/>
        </w:rPr>
        <w:t>.1.</w:t>
      </w:r>
      <w:r>
        <w:rPr>
          <w:rFonts w:ascii="Times New Roman" w:hAnsi="Times New Roman" w:cs="Times New Roman"/>
        </w:rPr>
        <w:t>6</w:t>
      </w:r>
      <w:r w:rsidRPr="00396613">
        <w:rPr>
          <w:rFonts w:ascii="Times New Roman" w:hAnsi="Times New Roman" w:cs="Times New Roman"/>
        </w:rPr>
        <w:t>.</w:t>
        <w:tab/>
        <w:t>Príjmy z vymáhania zahraničných pohľadávok, ktoré Slovenská republika získala pri delení majetku bývalej ČSFR, sa na základe výsledkov doterajších rokovaní s dlžníckymi krajinami a aktuálneho stavu zmluvnej dokumentácie predpokladajú v roku 2013 vo výške 5</w:t>
      </w:r>
      <w:r>
        <w:rPr>
          <w:rFonts w:ascii="Times New Roman" w:hAnsi="Times New Roman" w:cs="Times New Roman"/>
        </w:rPr>
        <w:t>95,1</w:t>
      </w:r>
      <w:r w:rsidRPr="00396613">
        <w:rPr>
          <w:rFonts w:ascii="Times New Roman" w:hAnsi="Times New Roman" w:cs="Times New Roman"/>
        </w:rPr>
        <w:t xml:space="preserve"> tis. eur a v roku 2014 vo výške 41</w:t>
      </w:r>
      <w:r>
        <w:rPr>
          <w:rFonts w:ascii="Times New Roman" w:hAnsi="Times New Roman" w:cs="Times New Roman"/>
        </w:rPr>
        <w:t>8,1</w:t>
      </w:r>
      <w:r w:rsidRPr="00396613">
        <w:rPr>
          <w:rFonts w:ascii="Times New Roman" w:hAnsi="Times New Roman" w:cs="Times New Roman"/>
        </w:rPr>
        <w:t xml:space="preserve"> tis. eur. Od roku 2015 sa nepredpokladajú príjmy z tohto titulu. Úrokové príjmy zo zahraničných úverov, pôžičiek a vkladov sú príjmom štátneho rozpočtu a sú zapracované v rozpočte Štátneho dlhu (kapitola Všeobecná pokladničná správa).</w:t>
      </w:r>
      <w:r w:rsidRPr="00CD6110">
        <w:rPr>
          <w:rFonts w:ascii="Times New Roman" w:hAnsi="Times New Roman" w:cs="Times New Roman"/>
        </w:rPr>
        <w:t xml:space="preserve"> </w:t>
      </w:r>
    </w:p>
    <w:p w:rsidR="0038140E" w:rsidRPr="00CF183F" w:rsidP="0038140E">
      <w:pPr>
        <w:bidi w:val="0"/>
        <w:ind w:firstLine="708"/>
        <w:jc w:val="both"/>
        <w:rPr>
          <w:rFonts w:ascii="Times New Roman" w:hAnsi="Times New Roman" w:cs="Times New Roman"/>
          <w:szCs w:val="16"/>
          <w:highlight w:val="yellow"/>
        </w:rPr>
      </w:pPr>
    </w:p>
    <w:p w:rsidR="0038140E" w:rsidP="0038140E">
      <w:pPr>
        <w:tabs>
          <w:tab w:val="left" w:pos="0"/>
        </w:tabs>
        <w:bidi w:val="0"/>
        <w:jc w:val="both"/>
        <w:rPr>
          <w:rFonts w:ascii="Times New Roman" w:hAnsi="Times New Roman" w:cs="Times New Roman"/>
        </w:rPr>
      </w:pPr>
      <w:r>
        <w:rPr>
          <w:rFonts w:ascii="Times New Roman" w:hAnsi="Times New Roman" w:cs="Times New Roman"/>
        </w:rPr>
        <w:t>5.1.7.</w:t>
        <w:tab/>
      </w:r>
      <w:r w:rsidRPr="00CD6110">
        <w:rPr>
          <w:rFonts w:ascii="Times New Roman" w:hAnsi="Times New Roman" w:cs="Times New Roman"/>
        </w:rPr>
        <w:t xml:space="preserve">Medzi finančné operácie štátnych finančných aktív na strane príjmov zaraďujeme aj príjmy zo splácania poskytnutých úverov a pôžičiek – istín i návratných finančných výpomocí. Nasledovná tabuľka uvádza príjmové finančné operácie podľa pôsobnosti a zodpovednosti príslušných kapitol štátneho rozpočtu. </w:t>
      </w:r>
    </w:p>
    <w:p w:rsidR="00923CBB" w:rsidP="0038140E">
      <w:pPr>
        <w:tabs>
          <w:tab w:val="left" w:pos="0"/>
        </w:tabs>
        <w:bidi w:val="0"/>
        <w:jc w:val="both"/>
        <w:rPr>
          <w:rFonts w:ascii="Times New Roman" w:hAnsi="Times New Roman" w:cs="Times New Roman"/>
        </w:rPr>
      </w:pPr>
    </w:p>
    <w:p w:rsidR="00923CBB" w:rsidP="0038140E">
      <w:pPr>
        <w:tabs>
          <w:tab w:val="left" w:pos="0"/>
        </w:tabs>
        <w:bidi w:val="0"/>
        <w:jc w:val="both"/>
        <w:rPr>
          <w:rFonts w:ascii="Times New Roman" w:hAnsi="Times New Roman" w:cs="Times New Roman"/>
        </w:rPr>
      </w:pPr>
    </w:p>
    <w:p w:rsidR="00923CBB" w:rsidP="0038140E">
      <w:pPr>
        <w:tabs>
          <w:tab w:val="left" w:pos="0"/>
        </w:tabs>
        <w:bidi w:val="0"/>
        <w:jc w:val="both"/>
        <w:rPr>
          <w:rFonts w:ascii="Times New Roman" w:hAnsi="Times New Roman" w:cs="Times New Roman"/>
        </w:rPr>
      </w:pPr>
    </w:p>
    <w:p w:rsidR="00923CBB" w:rsidP="0038140E">
      <w:pPr>
        <w:tabs>
          <w:tab w:val="left" w:pos="0"/>
        </w:tabs>
        <w:bidi w:val="0"/>
        <w:jc w:val="both"/>
        <w:rPr>
          <w:rFonts w:ascii="Times New Roman" w:hAnsi="Times New Roman" w:cs="Times New Roman"/>
        </w:rPr>
      </w:pPr>
    </w:p>
    <w:p w:rsidR="00923CBB" w:rsidP="0038140E">
      <w:pPr>
        <w:tabs>
          <w:tab w:val="left" w:pos="0"/>
        </w:tabs>
        <w:bidi w:val="0"/>
        <w:jc w:val="both"/>
        <w:rPr>
          <w:rFonts w:ascii="Times New Roman" w:hAnsi="Times New Roman" w:cs="Times New Roman"/>
        </w:rPr>
      </w:pPr>
    </w:p>
    <w:p w:rsidR="00923CBB" w:rsidP="0038140E">
      <w:pPr>
        <w:tabs>
          <w:tab w:val="left" w:pos="0"/>
        </w:tabs>
        <w:bidi w:val="0"/>
        <w:jc w:val="both"/>
        <w:rPr>
          <w:rFonts w:ascii="Times New Roman" w:hAnsi="Times New Roman" w:cs="Times New Roman"/>
        </w:rPr>
      </w:pPr>
    </w:p>
    <w:p w:rsidR="00923CBB" w:rsidP="0038140E">
      <w:pPr>
        <w:tabs>
          <w:tab w:val="left" w:pos="0"/>
        </w:tabs>
        <w:bidi w:val="0"/>
        <w:jc w:val="both"/>
        <w:rPr>
          <w:rFonts w:ascii="Times New Roman" w:hAnsi="Times New Roman" w:cs="Times New Roman"/>
        </w:rPr>
      </w:pPr>
    </w:p>
    <w:p w:rsidR="00923CBB" w:rsidP="0038140E">
      <w:pPr>
        <w:tabs>
          <w:tab w:val="left" w:pos="0"/>
        </w:tabs>
        <w:bidi w:val="0"/>
        <w:jc w:val="both"/>
        <w:rPr>
          <w:rFonts w:ascii="Times New Roman" w:hAnsi="Times New Roman" w:cs="Times New Roman"/>
        </w:rPr>
      </w:pPr>
    </w:p>
    <w:tbl>
      <w:tblPr>
        <w:tblStyle w:val="TableNormal"/>
        <w:tblW w:w="9089" w:type="dxa"/>
        <w:jc w:val="center"/>
        <w:tblInd w:w="566" w:type="dxa"/>
        <w:tblCellMar>
          <w:left w:w="70" w:type="dxa"/>
          <w:right w:w="70" w:type="dxa"/>
        </w:tblCellMar>
        <w:tblLook w:val="04A0"/>
      </w:tblPr>
      <w:tblGrid>
        <w:gridCol w:w="3349"/>
        <w:gridCol w:w="820"/>
        <w:gridCol w:w="820"/>
        <w:gridCol w:w="820"/>
        <w:gridCol w:w="820"/>
        <w:gridCol w:w="820"/>
        <w:gridCol w:w="820"/>
        <w:gridCol w:w="820"/>
      </w:tblGrid>
      <w:tr>
        <w:tblPrEx>
          <w:tblW w:w="9089" w:type="dxa"/>
          <w:jc w:val="center"/>
          <w:tblInd w:w="566" w:type="dxa"/>
          <w:tblCellMar>
            <w:left w:w="70" w:type="dxa"/>
            <w:right w:w="70" w:type="dxa"/>
          </w:tblCellMar>
          <w:tblLook w:val="04A0"/>
        </w:tblPrEx>
        <w:trPr>
          <w:trHeight w:val="255"/>
          <w:jc w:val="center"/>
        </w:trPr>
        <w:tc>
          <w:tcPr>
            <w:tcW w:w="3349"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2010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2012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2012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2013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2015 N</w:t>
            </w:r>
          </w:p>
        </w:tc>
      </w:tr>
      <w:tr>
        <w:tblPrEx>
          <w:tblW w:w="9089" w:type="dxa"/>
          <w:jc w:val="center"/>
          <w:tblInd w:w="566" w:type="dxa"/>
          <w:tblCellMar>
            <w:left w:w="70" w:type="dxa"/>
            <w:right w:w="70" w:type="dxa"/>
          </w:tblCellMar>
          <w:tblLook w:val="04A0"/>
        </w:tblPrEx>
        <w:trPr>
          <w:trHeight w:val="240"/>
          <w:jc w:val="center"/>
        </w:trPr>
        <w:tc>
          <w:tcPr>
            <w:tcW w:w="3349" w:type="dxa"/>
            <w:tcBorders>
              <w:top w:val="nil"/>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Ministerstvo financií SR</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0,5</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23,8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17,0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17,0</w:t>
            </w:r>
          </w:p>
        </w:tc>
      </w:tr>
      <w:tr>
        <w:tblPrEx>
          <w:tblW w:w="9089" w:type="dxa"/>
          <w:jc w:val="center"/>
          <w:tblInd w:w="566" w:type="dxa"/>
          <w:tblCellMar>
            <w:left w:w="70" w:type="dxa"/>
            <w:right w:w="70" w:type="dxa"/>
          </w:tblCellMar>
          <w:tblLook w:val="04A0"/>
        </w:tblPrEx>
        <w:trPr>
          <w:trHeight w:val="240"/>
          <w:jc w:val="center"/>
        </w:trPr>
        <w:tc>
          <w:tcPr>
            <w:tcW w:w="3349" w:type="dxa"/>
            <w:tcBorders>
              <w:top w:val="nil"/>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Ministerstvo pôdohospodárstva a rozvoja vidieka SR</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1 526,7</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731,7</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99,6</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99,6</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66,4</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9" w:type="dxa"/>
          <w:jc w:val="center"/>
          <w:tblInd w:w="566" w:type="dxa"/>
          <w:tblCellMar>
            <w:left w:w="70" w:type="dxa"/>
            <w:right w:w="70" w:type="dxa"/>
          </w:tblCellMar>
          <w:tblLook w:val="04A0"/>
        </w:tblPrEx>
        <w:trPr>
          <w:trHeight w:val="240"/>
          <w:jc w:val="center"/>
        </w:trPr>
        <w:tc>
          <w:tcPr>
            <w:tcW w:w="3349" w:type="dxa"/>
            <w:tcBorders>
              <w:top w:val="nil"/>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Všeobecná pokladničná správa</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1 383,1</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19 443,2</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49,8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49,8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38 615,2</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17 622,9</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33,2</w:t>
            </w:r>
          </w:p>
        </w:tc>
      </w:tr>
      <w:tr>
        <w:tblPrEx>
          <w:tblW w:w="9089" w:type="dxa"/>
          <w:jc w:val="center"/>
          <w:tblInd w:w="566" w:type="dxa"/>
          <w:tblCellMar>
            <w:left w:w="70" w:type="dxa"/>
            <w:right w:w="70" w:type="dxa"/>
          </w:tblCellMar>
          <w:tblLook w:val="04A0"/>
        </w:tblPrEx>
        <w:trPr>
          <w:trHeight w:val="180"/>
          <w:jc w:val="center"/>
        </w:trPr>
        <w:tc>
          <w:tcPr>
            <w:tcW w:w="3349" w:type="dxa"/>
            <w:tcBorders>
              <w:top w:val="nil"/>
              <w:left w:val="single" w:sz="4" w:space="0" w:color="auto"/>
              <w:bottom w:val="single" w:sz="4" w:space="0" w:color="auto"/>
              <w:right w:val="nil"/>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z toho:</w:t>
            </w:r>
          </w:p>
        </w:tc>
        <w:tc>
          <w:tcPr>
            <w:tcW w:w="820" w:type="dxa"/>
            <w:tcBorders>
              <w:top w:val="nil"/>
              <w:left w:val="nil"/>
              <w:bottom w:val="single" w:sz="4" w:space="0" w:color="auto"/>
              <w:right w:val="nil"/>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w:t>
            </w:r>
          </w:p>
        </w:tc>
        <w:tc>
          <w:tcPr>
            <w:tcW w:w="820" w:type="dxa"/>
            <w:tcBorders>
              <w:top w:val="nil"/>
              <w:left w:val="nil"/>
              <w:bottom w:val="single" w:sz="4" w:space="0" w:color="auto"/>
              <w:right w:val="nil"/>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w:t>
            </w:r>
          </w:p>
        </w:tc>
      </w:tr>
      <w:tr>
        <w:tblPrEx>
          <w:tblW w:w="9089" w:type="dxa"/>
          <w:jc w:val="center"/>
          <w:tblInd w:w="566" w:type="dxa"/>
          <w:tblCellMar>
            <w:left w:w="70" w:type="dxa"/>
            <w:right w:w="70" w:type="dxa"/>
          </w:tblCellMar>
          <w:tblLook w:val="04A0"/>
        </w:tblPrEx>
        <w:trPr>
          <w:trHeight w:val="240"/>
          <w:jc w:val="center"/>
        </w:trPr>
        <w:tc>
          <w:tcPr>
            <w:tcW w:w="3349" w:type="dxa"/>
            <w:tcBorders>
              <w:top w:val="nil"/>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xml:space="preserve">  - z konkurzov</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10,8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49,8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49,8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49,8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49,8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33,2</w:t>
            </w:r>
          </w:p>
        </w:tc>
      </w:tr>
      <w:tr>
        <w:tblPrEx>
          <w:tblW w:w="9089" w:type="dxa"/>
          <w:jc w:val="center"/>
          <w:tblInd w:w="566" w:type="dxa"/>
          <w:tblCellMar>
            <w:left w:w="70" w:type="dxa"/>
            <w:right w:w="70" w:type="dxa"/>
          </w:tblCellMar>
          <w:tblLook w:val="04A0"/>
        </w:tblPrEx>
        <w:trPr>
          <w:trHeight w:val="324"/>
          <w:jc w:val="center"/>
        </w:trPr>
        <w:tc>
          <w:tcPr>
            <w:tcW w:w="3349"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xml:space="preserve">  -  príjem z predaja ubytovacích kapacít zahraničných</w:t>
              <w:br/>
              <w:t xml:space="preserve">     investorov - Kia/Hyundai - MH SR</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31 032,4</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9" w:type="dxa"/>
          <w:jc w:val="center"/>
          <w:tblInd w:w="566" w:type="dxa"/>
          <w:tblCellMar>
            <w:left w:w="70" w:type="dxa"/>
            <w:right w:w="70" w:type="dxa"/>
          </w:tblCellMar>
          <w:tblLook w:val="04A0"/>
        </w:tblPrEx>
        <w:trPr>
          <w:trHeight w:val="240"/>
          <w:jc w:val="center"/>
        </w:trPr>
        <w:tc>
          <w:tcPr>
            <w:tcW w:w="3349"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xml:space="preserve">  -  splátka NFV poskytnutej Bratislav</w:t>
            </w:r>
            <w:r>
              <w:rPr>
                <w:rFonts w:ascii="Times New Roman" w:hAnsi="Times New Roman" w:cs="Times New Roman"/>
                <w:sz w:val="14"/>
                <w:szCs w:val="14"/>
                <w:lang w:eastAsia="sk-SK"/>
              </w:rPr>
              <w:t>.</w:t>
            </w:r>
            <w:r w:rsidRPr="001E50A6">
              <w:rPr>
                <w:rFonts w:ascii="Times New Roman" w:hAnsi="Times New Roman" w:cs="Times New Roman"/>
                <w:sz w:val="14"/>
                <w:szCs w:val="14"/>
                <w:lang w:eastAsia="sk-SK"/>
              </w:rPr>
              <w:t xml:space="preserve"> samospráv. kraju</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4 813,1</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9" w:type="dxa"/>
          <w:jc w:val="center"/>
          <w:tblInd w:w="566" w:type="dxa"/>
          <w:tblCellMar>
            <w:left w:w="70" w:type="dxa"/>
            <w:right w:w="70" w:type="dxa"/>
          </w:tblCellMar>
          <w:tblLook w:val="04A0"/>
        </w:tblPrEx>
        <w:trPr>
          <w:trHeight w:val="420"/>
          <w:jc w:val="center"/>
        </w:trPr>
        <w:tc>
          <w:tcPr>
            <w:tcW w:w="3349" w:type="dxa"/>
            <w:tcBorders>
              <w:top w:val="nil"/>
              <w:left w:val="single" w:sz="4" w:space="0" w:color="auto"/>
              <w:bottom w:val="single" w:sz="4" w:space="0" w:color="auto"/>
              <w:right w:val="single" w:sz="4" w:space="0" w:color="auto"/>
            </w:tcBorders>
            <w:textDirection w:val="lrTb"/>
            <w:vAlign w:val="center"/>
            <w:hideMark/>
          </w:tcPr>
          <w:p w:rsidR="0038140E"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xml:space="preserve">  -  splátka NFV MH Invest - Samsung </w:t>
            </w:r>
          </w:p>
          <w:p w:rsidR="0038140E" w:rsidRPr="001E50A6" w:rsidP="007E349F">
            <w:pPr>
              <w:bidi w:val="0"/>
              <w:rPr>
                <w:rFonts w:ascii="Times New Roman" w:hAnsi="Times New Roman" w:cs="Times New Roman"/>
                <w:i/>
                <w:sz w:val="14"/>
                <w:szCs w:val="14"/>
                <w:lang w:eastAsia="sk-SK"/>
              </w:rPr>
            </w:pPr>
            <w:r>
              <w:rPr>
                <w:rFonts w:ascii="Times New Roman" w:hAnsi="Times New Roman" w:cs="Times New Roman"/>
                <w:sz w:val="14"/>
                <w:szCs w:val="14"/>
                <w:lang w:eastAsia="sk-SK"/>
              </w:rPr>
              <w:t xml:space="preserve">     </w:t>
            </w:r>
            <w:r w:rsidRPr="001E50A6">
              <w:rPr>
                <w:rFonts w:ascii="Times New Roman" w:hAnsi="Times New Roman" w:cs="Times New Roman"/>
                <w:i/>
                <w:sz w:val="14"/>
                <w:szCs w:val="14"/>
                <w:lang w:eastAsia="sk-SK"/>
              </w:rPr>
              <w:t>(uzn.vl. č.1070/2006; uzn.vl. č.229/2007;</w:t>
            </w:r>
          </w:p>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i/>
                <w:sz w:val="14"/>
                <w:szCs w:val="14"/>
                <w:lang w:eastAsia="sk-SK"/>
              </w:rPr>
              <w:t xml:space="preserve">      uzn.vl. č.802/2011)</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8 300,4</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2 719,9</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9" w:type="dxa"/>
          <w:jc w:val="center"/>
          <w:tblInd w:w="566" w:type="dxa"/>
          <w:tblCellMar>
            <w:left w:w="70" w:type="dxa"/>
            <w:right w:w="70" w:type="dxa"/>
          </w:tblCellMar>
          <w:tblLook w:val="04A0"/>
        </w:tblPrEx>
        <w:trPr>
          <w:trHeight w:val="240"/>
          <w:jc w:val="center"/>
        </w:trPr>
        <w:tc>
          <w:tcPr>
            <w:tcW w:w="3349"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xml:space="preserve">  -  splátka NFV mesto Žilina</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17 573,1</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9" w:type="dxa"/>
          <w:jc w:val="center"/>
          <w:tblInd w:w="566" w:type="dxa"/>
          <w:tblCellMar>
            <w:left w:w="70" w:type="dxa"/>
            <w:right w:w="70" w:type="dxa"/>
          </w:tblCellMar>
          <w:tblLook w:val="04A0"/>
        </w:tblPrEx>
        <w:trPr>
          <w:trHeight w:val="240"/>
          <w:jc w:val="center"/>
        </w:trPr>
        <w:tc>
          <w:tcPr>
            <w:tcW w:w="3349" w:type="dxa"/>
            <w:tcBorders>
              <w:top w:val="nil"/>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xml:space="preserve">  - mesto Košice</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1 383,1</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9 105,3</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9" w:type="dxa"/>
          <w:jc w:val="center"/>
          <w:tblInd w:w="566" w:type="dxa"/>
          <w:tblCellMar>
            <w:left w:w="70" w:type="dxa"/>
            <w:right w:w="70" w:type="dxa"/>
          </w:tblCellMar>
          <w:tblLook w:val="04A0"/>
        </w:tblPrEx>
        <w:trPr>
          <w:trHeight w:val="240"/>
          <w:jc w:val="center"/>
        </w:trPr>
        <w:tc>
          <w:tcPr>
            <w:tcW w:w="3349" w:type="dxa"/>
            <w:tcBorders>
              <w:top w:val="nil"/>
              <w:left w:val="single" w:sz="4" w:space="0" w:color="auto"/>
              <w:bottom w:val="single" w:sz="4" w:space="0" w:color="auto"/>
              <w:right w:val="single" w:sz="4" w:space="0" w:color="auto"/>
            </w:tcBorders>
            <w:textDirection w:val="lrTb"/>
            <w:vAlign w:val="center"/>
            <w:hideMark/>
          </w:tcPr>
          <w:p w:rsidR="0038140E"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xml:space="preserve">  -  splátka</w:t>
            </w:r>
            <w:r>
              <w:rPr>
                <w:rFonts w:ascii="Times New Roman" w:hAnsi="Times New Roman" w:cs="Times New Roman"/>
                <w:sz w:val="14"/>
                <w:szCs w:val="14"/>
                <w:lang w:eastAsia="sk-SK"/>
              </w:rPr>
              <w:t xml:space="preserve"> NFV mesto Žilina - KIA Hyundai</w:t>
            </w:r>
          </w:p>
          <w:p w:rsidR="0038140E" w:rsidRPr="001E50A6" w:rsidP="007E349F">
            <w:pPr>
              <w:bidi w:val="0"/>
              <w:rPr>
                <w:rFonts w:ascii="Times New Roman" w:hAnsi="Times New Roman" w:cs="Times New Roman"/>
                <w:i/>
                <w:sz w:val="14"/>
                <w:szCs w:val="14"/>
                <w:lang w:eastAsia="sk-SK"/>
              </w:rPr>
            </w:pPr>
            <w:r>
              <w:rPr>
                <w:rFonts w:ascii="Times New Roman" w:hAnsi="Times New Roman" w:cs="Times New Roman"/>
                <w:sz w:val="14"/>
                <w:szCs w:val="14"/>
                <w:lang w:eastAsia="sk-SK"/>
              </w:rPr>
              <w:t xml:space="preserve">     </w:t>
            </w:r>
            <w:r w:rsidRPr="001E50A6">
              <w:rPr>
                <w:rFonts w:ascii="Times New Roman" w:hAnsi="Times New Roman" w:cs="Times New Roman"/>
                <w:i/>
                <w:sz w:val="14"/>
                <w:szCs w:val="14"/>
                <w:lang w:eastAsia="sk-SK"/>
              </w:rPr>
              <w:t xml:space="preserve">(uzn. vl. 750/2009) </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1 931,9</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r>
      <w:tr>
        <w:tblPrEx>
          <w:tblW w:w="9089" w:type="dxa"/>
          <w:jc w:val="center"/>
          <w:tblInd w:w="566" w:type="dxa"/>
          <w:tblCellMar>
            <w:left w:w="70" w:type="dxa"/>
            <w:right w:w="70" w:type="dxa"/>
          </w:tblCellMar>
          <w:tblLook w:val="04A0"/>
        </w:tblPrEx>
        <w:trPr>
          <w:trHeight w:val="255"/>
          <w:jc w:val="center"/>
        </w:trPr>
        <w:tc>
          <w:tcPr>
            <w:tcW w:w="3349"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Celkom</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2 910,3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20 198,7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166,4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166,4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38 698,6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17 639,9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50,2</w:t>
            </w:r>
          </w:p>
        </w:tc>
      </w:tr>
    </w:tbl>
    <w:p w:rsidR="0038140E" w:rsidRPr="00CF183F" w:rsidP="0038140E">
      <w:pPr>
        <w:bidi w:val="0"/>
        <w:ind w:right="72"/>
        <w:jc w:val="both"/>
        <w:rPr>
          <w:rFonts w:ascii="Times New Roman" w:hAnsi="Times New Roman" w:cs="Times New Roman"/>
          <w:szCs w:val="16"/>
          <w:highlight w:val="yellow"/>
        </w:rPr>
      </w:pPr>
    </w:p>
    <w:p w:rsidR="0038140E" w:rsidRPr="00A45ACC" w:rsidP="0038140E">
      <w:pPr>
        <w:bidi w:val="0"/>
        <w:ind w:firstLine="703"/>
        <w:jc w:val="both"/>
        <w:rPr>
          <w:rFonts w:ascii="Times New Roman" w:hAnsi="Times New Roman" w:cs="Times New Roman"/>
        </w:rPr>
      </w:pPr>
      <w:r w:rsidRPr="00A45ACC">
        <w:rPr>
          <w:rFonts w:ascii="Times New Roman" w:hAnsi="Times New Roman" w:cs="Times New Roman"/>
        </w:rPr>
        <w:t xml:space="preserve">Do pôsobnosti Ministerstva financií SR patrí správa a vymáhanie pohľadávok štátu z titulu prídelu doplnkového pozemkového majetku presídlencom z Maďarska na základe Dohody medzi Československom a Maďarskom o výmene obyvateľstva publikovanej pod </w:t>
      </w:r>
      <w:r>
        <w:rPr>
          <w:rFonts w:ascii="Times New Roman" w:hAnsi="Times New Roman" w:cs="Times New Roman"/>
        </w:rPr>
        <w:t xml:space="preserve">    </w:t>
      </w:r>
      <w:r w:rsidRPr="001C3C5E">
        <w:rPr>
          <w:rFonts w:ascii="Times New Roman" w:hAnsi="Times New Roman" w:cs="Times New Roman"/>
        </w:rPr>
        <w:t xml:space="preserve">č. 145/1946 Zb. Celková pohľadávka štátu </w:t>
      </w:r>
      <w:r>
        <w:rPr>
          <w:rFonts w:ascii="Times New Roman" w:hAnsi="Times New Roman" w:cs="Times New Roman"/>
        </w:rPr>
        <w:t xml:space="preserve">voči týmto fyzickým osobám bola </w:t>
      </w:r>
      <w:r w:rsidRPr="001C3C5E">
        <w:rPr>
          <w:rFonts w:ascii="Times New Roman" w:hAnsi="Times New Roman" w:cs="Times New Roman"/>
        </w:rPr>
        <w:t>k </w:t>
      </w:r>
      <w:r w:rsidR="00A72F8B">
        <w:rPr>
          <w:rFonts w:ascii="Times New Roman" w:hAnsi="Times New Roman" w:cs="Times New Roman"/>
        </w:rPr>
        <w:br/>
      </w:r>
      <w:r w:rsidRPr="001C3C5E">
        <w:rPr>
          <w:rFonts w:ascii="Times New Roman" w:hAnsi="Times New Roman" w:cs="Times New Roman"/>
        </w:rPr>
        <w:t>3</w:t>
      </w:r>
      <w:r>
        <w:rPr>
          <w:rFonts w:ascii="Times New Roman" w:hAnsi="Times New Roman" w:cs="Times New Roman"/>
        </w:rPr>
        <w:t>0</w:t>
      </w:r>
      <w:r w:rsidRPr="001C3C5E">
        <w:rPr>
          <w:rFonts w:ascii="Times New Roman" w:hAnsi="Times New Roman" w:cs="Times New Roman"/>
        </w:rPr>
        <w:t xml:space="preserve">. </w:t>
      </w:r>
      <w:r>
        <w:rPr>
          <w:rFonts w:ascii="Times New Roman" w:hAnsi="Times New Roman" w:cs="Times New Roman"/>
        </w:rPr>
        <w:t>septembru</w:t>
      </w:r>
      <w:r w:rsidRPr="001C3C5E">
        <w:rPr>
          <w:rFonts w:ascii="Times New Roman" w:hAnsi="Times New Roman" w:cs="Times New Roman"/>
        </w:rPr>
        <w:t xml:space="preserve"> 201</w:t>
      </w:r>
      <w:r>
        <w:rPr>
          <w:rFonts w:ascii="Times New Roman" w:hAnsi="Times New Roman" w:cs="Times New Roman"/>
        </w:rPr>
        <w:t>2</w:t>
      </w:r>
      <w:r w:rsidRPr="001C3C5E">
        <w:rPr>
          <w:rFonts w:ascii="Times New Roman" w:hAnsi="Times New Roman" w:cs="Times New Roman"/>
        </w:rPr>
        <w:t xml:space="preserve"> v sume 3</w:t>
      </w:r>
      <w:r>
        <w:rPr>
          <w:rFonts w:ascii="Times New Roman" w:hAnsi="Times New Roman" w:cs="Times New Roman"/>
        </w:rPr>
        <w:t>29,3</w:t>
      </w:r>
      <w:r w:rsidRPr="001C3C5E">
        <w:rPr>
          <w:rFonts w:ascii="Times New Roman" w:hAnsi="Times New Roman" w:cs="Times New Roman"/>
        </w:rPr>
        <w:t xml:space="preserve"> tis. eur. Príjmy z tohto titulu sa v jednotlivých rokoch predpokladajú</w:t>
      </w:r>
      <w:r w:rsidRPr="00A45ACC">
        <w:rPr>
          <w:rFonts w:ascii="Times New Roman" w:hAnsi="Times New Roman" w:cs="Times New Roman"/>
        </w:rPr>
        <w:t xml:space="preserve"> konštantne na úrovni 17 tis. eur. </w:t>
      </w:r>
      <w:r>
        <w:rPr>
          <w:rFonts w:ascii="Times New Roman" w:hAnsi="Times New Roman" w:cs="Times New Roman"/>
        </w:rPr>
        <w:t xml:space="preserve">                                                                                                                                                                                                                                                                                                                                                                                                                              </w:t>
      </w:r>
    </w:p>
    <w:p w:rsidR="0038140E" w:rsidRPr="00CF183F" w:rsidP="0038140E">
      <w:pPr>
        <w:bidi w:val="0"/>
        <w:ind w:firstLine="705"/>
        <w:jc w:val="both"/>
        <w:rPr>
          <w:rFonts w:ascii="Times New Roman" w:hAnsi="Times New Roman" w:cs="Times New Roman"/>
          <w:szCs w:val="16"/>
        </w:rPr>
      </w:pPr>
    </w:p>
    <w:p w:rsidR="0038140E" w:rsidRPr="00A45ACC" w:rsidP="0038140E">
      <w:pPr>
        <w:bidi w:val="0"/>
        <w:ind w:firstLine="705"/>
        <w:jc w:val="both"/>
        <w:rPr>
          <w:rFonts w:ascii="Times New Roman" w:hAnsi="Times New Roman" w:cs="Times New Roman"/>
        </w:rPr>
      </w:pPr>
      <w:r w:rsidRPr="00A45ACC">
        <w:rPr>
          <w:rFonts w:ascii="Times New Roman" w:hAnsi="Times New Roman" w:cs="Times New Roman"/>
        </w:rPr>
        <w:t xml:space="preserve">V pôsobnosti kapitoly Ministerstva pôdohospodárstva a rozvoja vidieka SR ide o príjmy zo splácania návratných finančných výpomocí poskytnutých </w:t>
      </w:r>
      <w:r>
        <w:rPr>
          <w:rFonts w:ascii="Times New Roman" w:hAnsi="Times New Roman" w:cs="Times New Roman"/>
        </w:rPr>
        <w:t>bývalým</w:t>
      </w:r>
      <w:r w:rsidRPr="00A45ACC">
        <w:rPr>
          <w:rFonts w:ascii="Times New Roman" w:hAnsi="Times New Roman" w:cs="Times New Roman"/>
        </w:rPr>
        <w:t xml:space="preserve"> štátnym fond</w:t>
      </w:r>
      <w:r>
        <w:rPr>
          <w:rFonts w:ascii="Times New Roman" w:hAnsi="Times New Roman" w:cs="Times New Roman"/>
        </w:rPr>
        <w:t>o</w:t>
      </w:r>
      <w:r w:rsidRPr="00A45ACC">
        <w:rPr>
          <w:rFonts w:ascii="Times New Roman" w:hAnsi="Times New Roman" w:cs="Times New Roman"/>
        </w:rPr>
        <w:t xml:space="preserve">m. </w:t>
      </w:r>
    </w:p>
    <w:p w:rsidR="0038140E" w:rsidRPr="00CF183F" w:rsidP="0038140E">
      <w:pPr>
        <w:bidi w:val="0"/>
        <w:ind w:right="72"/>
        <w:jc w:val="both"/>
        <w:rPr>
          <w:rFonts w:ascii="Times New Roman" w:hAnsi="Times New Roman" w:cs="Times New Roman"/>
          <w:szCs w:val="16"/>
          <w:highlight w:val="yellow"/>
        </w:rPr>
      </w:pPr>
    </w:p>
    <w:p w:rsidR="0038140E" w:rsidP="0038140E">
      <w:pPr>
        <w:bidi w:val="0"/>
        <w:ind w:firstLine="705"/>
        <w:jc w:val="both"/>
        <w:rPr>
          <w:rFonts w:ascii="Times New Roman" w:hAnsi="Times New Roman" w:cs="Times New Roman"/>
        </w:rPr>
      </w:pPr>
      <w:r w:rsidRPr="00A45ACC">
        <w:rPr>
          <w:rFonts w:ascii="Times New Roman" w:hAnsi="Times New Roman" w:cs="Times New Roman"/>
        </w:rPr>
        <w:t>Príjmy z realizovaných štátnych záruk od nefinančných subjektov a splátok návratných finančných výpomocí sú v pôsobnosti kapitoly Všeobecná pokladničná správa a v zmysle splátkových kalendárov sa v jednotlivých rokoch rozpočtového rámca 201</w:t>
      </w:r>
      <w:r>
        <w:rPr>
          <w:rFonts w:ascii="Times New Roman" w:hAnsi="Times New Roman" w:cs="Times New Roman"/>
        </w:rPr>
        <w:t>3</w:t>
      </w:r>
      <w:r w:rsidRPr="00A45ACC">
        <w:rPr>
          <w:rFonts w:ascii="Times New Roman" w:hAnsi="Times New Roman" w:cs="Times New Roman"/>
        </w:rPr>
        <w:t xml:space="preserve"> až 201</w:t>
      </w:r>
      <w:r>
        <w:rPr>
          <w:rFonts w:ascii="Times New Roman" w:hAnsi="Times New Roman" w:cs="Times New Roman"/>
        </w:rPr>
        <w:t>5</w:t>
      </w:r>
      <w:r w:rsidRPr="00A45ACC">
        <w:rPr>
          <w:rFonts w:ascii="Times New Roman" w:hAnsi="Times New Roman" w:cs="Times New Roman"/>
        </w:rPr>
        <w:t xml:space="preserve"> očakávajú v objemoch ako je uvedené vo vyššie uvedenej tabuľke a v nasledovnom texte:</w:t>
      </w:r>
    </w:p>
    <w:p w:rsidR="0038140E" w:rsidRPr="00CF183F" w:rsidP="0038140E">
      <w:pPr>
        <w:bidi w:val="0"/>
        <w:ind w:firstLine="705"/>
        <w:jc w:val="both"/>
        <w:rPr>
          <w:rFonts w:ascii="Times New Roman" w:hAnsi="Times New Roman" w:cs="Times New Roman"/>
          <w:szCs w:val="16"/>
        </w:rPr>
      </w:pPr>
    </w:p>
    <w:p w:rsidR="0038140E" w:rsidP="0038140E">
      <w:pPr>
        <w:numPr>
          <w:numId w:val="5"/>
        </w:numPr>
        <w:bidi w:val="0"/>
        <w:jc w:val="both"/>
        <w:rPr>
          <w:rFonts w:ascii="Times New Roman" w:hAnsi="Times New Roman" w:cs="Times New Roman"/>
        </w:rPr>
      </w:pPr>
      <w:r>
        <w:rPr>
          <w:rFonts w:ascii="Times New Roman" w:hAnsi="Times New Roman" w:cs="Times New Roman"/>
        </w:rPr>
        <w:t>o</w:t>
      </w:r>
      <w:r w:rsidRPr="00A45ACC">
        <w:rPr>
          <w:rFonts w:ascii="Times New Roman" w:hAnsi="Times New Roman" w:cs="Times New Roman"/>
        </w:rPr>
        <w:t>dhaduje sa, že z prebiehajúcich konkurzných konaní, v ktorých si Ministerstvo financií SR uplatnilo svoje pohľadávky, možno získať prí</w:t>
      </w:r>
      <w:r>
        <w:rPr>
          <w:rFonts w:ascii="Times New Roman" w:hAnsi="Times New Roman" w:cs="Times New Roman"/>
        </w:rPr>
        <w:t>jmy vo výške 49,8 tis. eur;</w:t>
      </w:r>
    </w:p>
    <w:p w:rsidR="0038140E" w:rsidRPr="00CF183F" w:rsidP="0038140E">
      <w:pPr>
        <w:bidi w:val="0"/>
        <w:jc w:val="both"/>
        <w:rPr>
          <w:rFonts w:ascii="Times New Roman" w:hAnsi="Times New Roman" w:cs="Times New Roman"/>
          <w:szCs w:val="16"/>
        </w:rPr>
      </w:pPr>
      <w:r w:rsidRPr="005D50DE">
        <w:rPr>
          <w:rFonts w:ascii="Times New Roman" w:hAnsi="Times New Roman" w:cs="Times New Roman"/>
          <w:sz w:val="16"/>
          <w:szCs w:val="16"/>
        </w:rPr>
        <w:t xml:space="preserve"> </w:t>
      </w:r>
    </w:p>
    <w:p w:rsidR="0038140E" w:rsidRPr="00A45ACC" w:rsidP="0038140E">
      <w:pPr>
        <w:numPr>
          <w:numId w:val="5"/>
        </w:numPr>
        <w:bidi w:val="0"/>
        <w:jc w:val="both"/>
        <w:rPr>
          <w:rFonts w:ascii="Times New Roman" w:hAnsi="Times New Roman" w:cs="Times New Roman"/>
        </w:rPr>
      </w:pPr>
      <w:r>
        <w:rPr>
          <w:rFonts w:ascii="Times New Roman" w:hAnsi="Times New Roman" w:cs="Times New Roman"/>
        </w:rPr>
        <w:t>v</w:t>
      </w:r>
      <w:r w:rsidRPr="00A45ACC">
        <w:rPr>
          <w:rFonts w:ascii="Times New Roman" w:hAnsi="Times New Roman" w:cs="Times New Roman"/>
        </w:rPr>
        <w:t xml:space="preserve">láda SR uznesením č. 94 zo dňa 1. februára 2006 schválila návrh na výstavbu ubytovacích kapacít pre zahraničných investorov – Kia/Hyundai (Čierna Voda), v ktorom súhlasila s poskytnutím štátnych finančných aktív v sume 38 704,1 tis. eur ako vkladom do základného imania spoločnosti založenej Ministerstvom hospodárstva SR na zabezpečenie výstavby a prevádzky predmetných ubytovacím kapacít. </w:t>
      </w:r>
      <w:r>
        <w:rPr>
          <w:rFonts w:ascii="Times New Roman" w:hAnsi="Times New Roman" w:cs="Times New Roman"/>
        </w:rPr>
        <w:t>V zmysle investičnej zmluvy prejavili z</w:t>
      </w:r>
      <w:r w:rsidRPr="00A45ACC">
        <w:rPr>
          <w:rFonts w:ascii="Times New Roman" w:hAnsi="Times New Roman" w:cs="Times New Roman"/>
        </w:rPr>
        <w:t xml:space="preserve">ahraniční investori (Kia/Hyundai) záujem o odkúpenie obytného komplexu po uplynutí piatich rokov od nasťahovania </w:t>
      </w:r>
      <w:r>
        <w:rPr>
          <w:rFonts w:ascii="Times New Roman" w:hAnsi="Times New Roman" w:cs="Times New Roman"/>
        </w:rPr>
        <w:t xml:space="preserve">              </w:t>
      </w:r>
      <w:r w:rsidRPr="00A45ACC">
        <w:rPr>
          <w:rFonts w:ascii="Times New Roman" w:hAnsi="Times New Roman" w:cs="Times New Roman"/>
        </w:rPr>
        <w:t>(v r. 2008) ich zamestnancov do vybudovaných kapacít za podmienky, že kúpna cena obytných častí bude znížená o 20 % obstarávacích nákladov. Pri započítaní zníženej hodnoty odpredávaného komplexu akceptáciou predbežne dohodnutých podmienok s investorom by mal štát získať p</w:t>
      </w:r>
      <w:r>
        <w:rPr>
          <w:rFonts w:ascii="Times New Roman" w:hAnsi="Times New Roman" w:cs="Times New Roman"/>
        </w:rPr>
        <w:t>ríjem v sume 31 032,4 tis. eur;</w:t>
      </w:r>
    </w:p>
    <w:p w:rsidR="0038140E" w:rsidRPr="00CF183F" w:rsidP="0038140E">
      <w:pPr>
        <w:bidi w:val="0"/>
        <w:ind w:firstLine="705"/>
        <w:jc w:val="both"/>
        <w:rPr>
          <w:rFonts w:ascii="Times New Roman" w:hAnsi="Times New Roman" w:cs="Times New Roman"/>
          <w:szCs w:val="16"/>
        </w:rPr>
      </w:pPr>
    </w:p>
    <w:p w:rsidR="0038140E" w:rsidP="0038140E">
      <w:pPr>
        <w:numPr>
          <w:numId w:val="5"/>
        </w:numPr>
        <w:bidi w:val="0"/>
        <w:jc w:val="both"/>
        <w:rPr>
          <w:rFonts w:ascii="Times New Roman" w:hAnsi="Times New Roman" w:cs="Times New Roman"/>
        </w:rPr>
      </w:pPr>
      <w:r w:rsidRPr="00A45ACC">
        <w:rPr>
          <w:rFonts w:ascii="Times New Roman" w:hAnsi="Times New Roman" w:cs="Times New Roman"/>
        </w:rPr>
        <w:t xml:space="preserve">Bratislavskému samosprávnemu kraju </w:t>
      </w:r>
      <w:r>
        <w:rPr>
          <w:rFonts w:ascii="Times New Roman" w:hAnsi="Times New Roman" w:cs="Times New Roman"/>
        </w:rPr>
        <w:t xml:space="preserve">bola v roku 2008 poskytnutá návratná finančná výpomoc vo výške 4 813,1 tis. eur </w:t>
      </w:r>
      <w:r w:rsidRPr="00A45ACC">
        <w:rPr>
          <w:rFonts w:ascii="Times New Roman" w:hAnsi="Times New Roman" w:cs="Times New Roman"/>
        </w:rPr>
        <w:t xml:space="preserve">na riešenie výpadku vlastných príjmov rozpočtu dlžníka z titulu výnosu dane z </w:t>
      </w:r>
      <w:r>
        <w:rPr>
          <w:rFonts w:ascii="Times New Roman" w:hAnsi="Times New Roman" w:cs="Times New Roman"/>
        </w:rPr>
        <w:t>motorových vozidiel;</w:t>
      </w:r>
    </w:p>
    <w:p w:rsidR="0038140E" w:rsidRPr="00CF183F" w:rsidP="0038140E">
      <w:pPr>
        <w:pStyle w:val="NormalWeb"/>
        <w:bidi w:val="0"/>
        <w:spacing w:before="0" w:beforeAutospacing="0" w:after="0" w:afterAutospacing="0"/>
        <w:ind w:left="1068"/>
        <w:rPr>
          <w:rFonts w:ascii="Times New Roman" w:hAnsi="Times New Roman"/>
          <w:szCs w:val="16"/>
        </w:rPr>
      </w:pPr>
      <w:r w:rsidRPr="00173F90">
        <w:rPr>
          <w:rFonts w:ascii="Times New Roman" w:hAnsi="Times New Roman"/>
          <w:b/>
          <w:bCs/>
          <w:sz w:val="16"/>
          <w:szCs w:val="16"/>
        </w:rPr>
        <w:t> </w:t>
      </w:r>
    </w:p>
    <w:p w:rsidR="0038140E" w:rsidP="0038140E">
      <w:pPr>
        <w:numPr>
          <w:numId w:val="5"/>
        </w:numPr>
        <w:bidi w:val="0"/>
        <w:jc w:val="both"/>
        <w:rPr>
          <w:rFonts w:ascii="Times New Roman" w:hAnsi="Times New Roman" w:cs="Times New Roman"/>
        </w:rPr>
      </w:pPr>
      <w:r w:rsidR="00CF183F">
        <w:rPr>
          <w:rFonts w:ascii="Times New Roman" w:hAnsi="Times New Roman" w:cs="Times New Roman"/>
        </w:rPr>
        <w:t>u</w:t>
      </w:r>
      <w:r>
        <w:rPr>
          <w:rFonts w:ascii="Times New Roman" w:hAnsi="Times New Roman" w:cs="Times New Roman"/>
        </w:rPr>
        <w:t xml:space="preserve">znesením vlády SR č. 229 zo dňa 7. marca 2007 vláda </w:t>
      </w:r>
      <w:r w:rsidRPr="00173F90">
        <w:rPr>
          <w:rFonts w:ascii="Times New Roman" w:hAnsi="Times New Roman" w:cs="Times New Roman"/>
        </w:rPr>
        <w:t>súhlas</w:t>
      </w:r>
      <w:r>
        <w:rPr>
          <w:rFonts w:ascii="Times New Roman" w:hAnsi="Times New Roman" w:cs="Times New Roman"/>
        </w:rPr>
        <w:t xml:space="preserve">ila </w:t>
      </w:r>
      <w:r w:rsidRPr="00173F90">
        <w:rPr>
          <w:rFonts w:ascii="Times New Roman" w:hAnsi="Times New Roman" w:cs="Times New Roman"/>
        </w:rPr>
        <w:t xml:space="preserve">s poskytnutím návratnej finančnej výpomoci v sume </w:t>
      </w:r>
      <w:r>
        <w:rPr>
          <w:rFonts w:ascii="Times New Roman" w:hAnsi="Times New Roman" w:cs="Times New Roman"/>
        </w:rPr>
        <w:t>11 020,3 tis. eur</w:t>
      </w:r>
      <w:r w:rsidRPr="00173F90">
        <w:rPr>
          <w:rFonts w:ascii="Times New Roman" w:hAnsi="Times New Roman" w:cs="Times New Roman"/>
        </w:rPr>
        <w:t xml:space="preserve"> zo štátnych finančných aktív na výkup pozemkov na zabezpečenie projektu Samsung </w:t>
      </w:r>
      <w:r>
        <w:rPr>
          <w:rFonts w:ascii="Times New Roman" w:hAnsi="Times New Roman" w:cs="Times New Roman"/>
        </w:rPr>
        <w:t>(</w:t>
      </w:r>
      <w:r w:rsidRPr="00173F90">
        <w:rPr>
          <w:rFonts w:ascii="Times New Roman" w:hAnsi="Times New Roman" w:cs="Times New Roman"/>
        </w:rPr>
        <w:t>vybudovan</w:t>
      </w:r>
      <w:r>
        <w:rPr>
          <w:rFonts w:ascii="Times New Roman" w:hAnsi="Times New Roman" w:cs="Times New Roman"/>
        </w:rPr>
        <w:t>ie závodu na výrobu LCD modulov</w:t>
      </w:r>
      <w:r w:rsidRPr="00173F90">
        <w:rPr>
          <w:rFonts w:ascii="Times New Roman" w:hAnsi="Times New Roman" w:cs="Times New Roman"/>
        </w:rPr>
        <w:t xml:space="preserve"> </w:t>
      </w:r>
      <w:r>
        <w:rPr>
          <w:rFonts w:ascii="Times New Roman" w:hAnsi="Times New Roman" w:cs="Times New Roman"/>
        </w:rPr>
        <w:t xml:space="preserve">) </w:t>
      </w:r>
      <w:r w:rsidRPr="00173F90">
        <w:rPr>
          <w:rFonts w:ascii="Times New Roman" w:hAnsi="Times New Roman" w:cs="Times New Roman"/>
        </w:rPr>
        <w:t>pre MH Invest, s. r. o. za podmienky</w:t>
      </w:r>
      <w:r>
        <w:rPr>
          <w:rFonts w:ascii="Times New Roman" w:hAnsi="Times New Roman" w:cs="Times New Roman"/>
        </w:rPr>
        <w:t xml:space="preserve"> jej vrátenia do konca roka 2011. Uznesením vlády SR č. 802 zo dňa 14. decembra 2011 bolo uvedené uznesenie zmenené tak, že 8 300,4 tis. eur bolo splatených do konca roka 2011 a zvyšná časť vo výške 2 719,9 tis. eur bude splatená do konca roka 2013;</w:t>
      </w:r>
    </w:p>
    <w:p w:rsidR="0038140E" w:rsidRPr="00CF183F" w:rsidP="0038140E">
      <w:pPr>
        <w:bidi w:val="0"/>
        <w:jc w:val="both"/>
        <w:rPr>
          <w:rFonts w:ascii="Times New Roman" w:hAnsi="Times New Roman" w:cs="Times New Roman"/>
          <w:szCs w:val="16"/>
        </w:rPr>
      </w:pPr>
    </w:p>
    <w:p w:rsidR="0038140E" w:rsidP="0038140E">
      <w:pPr>
        <w:numPr>
          <w:numId w:val="5"/>
        </w:numPr>
        <w:bidi w:val="0"/>
        <w:jc w:val="both"/>
        <w:rPr>
          <w:rFonts w:ascii="Times New Roman" w:hAnsi="Times New Roman" w:cs="Times New Roman"/>
        </w:rPr>
      </w:pPr>
      <w:r>
        <w:rPr>
          <w:rFonts w:ascii="Times New Roman" w:hAnsi="Times New Roman" w:cs="Times New Roman"/>
        </w:rPr>
        <w:t>m</w:t>
      </w:r>
      <w:r w:rsidRPr="00A45ACC">
        <w:rPr>
          <w:rFonts w:ascii="Times New Roman" w:hAnsi="Times New Roman" w:cs="Times New Roman"/>
        </w:rPr>
        <w:t>estu Žilina bola v zmysle uznesenia vlády SR č. 850 zo dňa 26.</w:t>
      </w:r>
      <w:r w:rsidR="00A72F8B">
        <w:rPr>
          <w:rFonts w:ascii="Times New Roman" w:hAnsi="Times New Roman" w:cs="Times New Roman"/>
        </w:rPr>
        <w:t xml:space="preserve"> októbra</w:t>
      </w:r>
      <w:r w:rsidRPr="00A45ACC">
        <w:rPr>
          <w:rFonts w:ascii="Times New Roman" w:hAnsi="Times New Roman" w:cs="Times New Roman"/>
        </w:rPr>
        <w:t xml:space="preserve"> 2005 poskytnutá návratná finančná výpomoc zo štátnych finančných aktív v sume </w:t>
      </w:r>
      <w:r w:rsidR="00A72F8B">
        <w:rPr>
          <w:rFonts w:ascii="Times New Roman" w:hAnsi="Times New Roman" w:cs="Times New Roman"/>
        </w:rPr>
        <w:br/>
      </w:r>
      <w:r w:rsidRPr="00A45ACC">
        <w:rPr>
          <w:rFonts w:ascii="Times New Roman" w:hAnsi="Times New Roman" w:cs="Times New Roman"/>
        </w:rPr>
        <w:t>17,57 mil. eur na financovanie výstavby obytného súboru Krasňany. V zmysle uzavretej zmluvy mali byť finančné prostriedky vrátené do štátnych finančných aktív k  30. 6. 2009. V zmysle uznesenia vlády SR č. 750/2009 vláda súhlasila so zmenou termínu splatnosti na 31. decembra 2014.</w:t>
      </w:r>
    </w:p>
    <w:p w:rsidR="0038140E" w:rsidRPr="00A45ACC" w:rsidP="0038140E">
      <w:pPr>
        <w:bidi w:val="0"/>
        <w:jc w:val="both"/>
        <w:rPr>
          <w:rFonts w:ascii="Times New Roman" w:hAnsi="Times New Roman" w:cs="Times New Roman"/>
        </w:rPr>
      </w:pPr>
    </w:p>
    <w:p w:rsidR="0038140E" w:rsidRPr="00A45ACC" w:rsidP="00CF183F">
      <w:pPr>
        <w:pStyle w:val="Heading2"/>
        <w:bidi w:val="0"/>
        <w:spacing w:before="0"/>
        <w:rPr>
          <w:rFonts w:ascii="Times New Roman" w:hAnsi="Times New Roman"/>
          <w:i w:val="0"/>
          <w:iCs w:val="0"/>
          <w:sz w:val="24"/>
          <w:szCs w:val="24"/>
        </w:rPr>
      </w:pPr>
      <w:bookmarkStart w:id="73" w:name="_Toc143348615"/>
      <w:bookmarkStart w:id="74" w:name="_Toc148255261"/>
      <w:bookmarkStart w:id="75" w:name="_Toc174871978"/>
      <w:bookmarkStart w:id="76" w:name="_Toc206478413"/>
      <w:bookmarkStart w:id="77" w:name="_Toc241846651"/>
      <w:bookmarkStart w:id="78" w:name="_Toc273979634"/>
      <w:bookmarkStart w:id="79" w:name="_Toc300912267"/>
      <w:bookmarkStart w:id="80" w:name="_Toc337237760"/>
      <w:r>
        <w:rPr>
          <w:rFonts w:ascii="Times New Roman" w:hAnsi="Times New Roman"/>
          <w:i w:val="0"/>
          <w:iCs w:val="0"/>
          <w:sz w:val="24"/>
          <w:szCs w:val="24"/>
        </w:rPr>
        <w:t>5</w:t>
      </w:r>
      <w:r w:rsidRPr="00A45ACC">
        <w:rPr>
          <w:rFonts w:ascii="Times New Roman" w:hAnsi="Times New Roman"/>
          <w:i w:val="0"/>
          <w:iCs w:val="0"/>
          <w:sz w:val="24"/>
          <w:szCs w:val="24"/>
        </w:rPr>
        <w:t>.2. Výdavkové operácie</w:t>
      </w:r>
      <w:bookmarkEnd w:id="71"/>
      <w:bookmarkEnd w:id="72"/>
      <w:bookmarkEnd w:id="73"/>
      <w:bookmarkEnd w:id="74"/>
      <w:bookmarkEnd w:id="75"/>
      <w:bookmarkEnd w:id="76"/>
      <w:bookmarkEnd w:id="77"/>
      <w:bookmarkEnd w:id="78"/>
      <w:bookmarkEnd w:id="79"/>
      <w:bookmarkEnd w:id="80"/>
    </w:p>
    <w:p w:rsidR="0038140E" w:rsidRPr="00957F25" w:rsidP="0038140E">
      <w:pPr>
        <w:bidi w:val="0"/>
        <w:rPr>
          <w:rFonts w:ascii="Times New Roman" w:hAnsi="Times New Roman" w:cs="Times New Roman"/>
          <w:sz w:val="16"/>
          <w:szCs w:val="16"/>
        </w:rPr>
      </w:pPr>
    </w:p>
    <w:p w:rsidR="0038140E" w:rsidRPr="00A45ACC" w:rsidP="0038140E">
      <w:pPr>
        <w:bidi w:val="0"/>
        <w:jc w:val="both"/>
        <w:rPr>
          <w:rFonts w:ascii="Times New Roman" w:hAnsi="Times New Roman" w:cs="Times New Roman"/>
        </w:rPr>
      </w:pPr>
      <w:bookmarkStart w:id="81" w:name="_Toc116476500"/>
      <w:r>
        <w:rPr>
          <w:rFonts w:ascii="Times New Roman" w:hAnsi="Times New Roman" w:cs="Times New Roman"/>
        </w:rPr>
        <w:t xml:space="preserve">5.2.1. </w:t>
        <w:tab/>
      </w:r>
      <w:r w:rsidRPr="00A45ACC">
        <w:rPr>
          <w:rFonts w:ascii="Times New Roman" w:hAnsi="Times New Roman" w:cs="Times New Roman"/>
        </w:rPr>
        <w:t>Príjmy z Fondu národného majetku SR z dividend od spoločností s majetkovou účasťou Fondu národného majetku SR sa v jednotlivých rokoch rozpočtového rámca 201</w:t>
      </w:r>
      <w:r>
        <w:rPr>
          <w:rFonts w:ascii="Times New Roman" w:hAnsi="Times New Roman" w:cs="Times New Roman"/>
        </w:rPr>
        <w:t>3</w:t>
      </w:r>
      <w:r w:rsidRPr="00A45ACC">
        <w:rPr>
          <w:rFonts w:ascii="Times New Roman" w:hAnsi="Times New Roman" w:cs="Times New Roman"/>
        </w:rPr>
        <w:t xml:space="preserve"> až 201</w:t>
      </w:r>
      <w:r>
        <w:rPr>
          <w:rFonts w:ascii="Times New Roman" w:hAnsi="Times New Roman" w:cs="Times New Roman"/>
        </w:rPr>
        <w:t>5</w:t>
      </w:r>
      <w:r w:rsidRPr="00A45ACC">
        <w:rPr>
          <w:rFonts w:ascii="Times New Roman" w:hAnsi="Times New Roman" w:cs="Times New Roman"/>
        </w:rPr>
        <w:t xml:space="preserve"> v rovnakej výške ako vstúpili do príjmov štátnych finančných aktív prevedú do príjmov štátneho rozpočtu. To znamená, že z pohľadu bilancie štátnych finančných aktív je táto operácia neutrálna.</w:t>
      </w:r>
    </w:p>
    <w:p w:rsidR="0038140E" w:rsidRPr="00CF183F" w:rsidP="0038140E">
      <w:pPr>
        <w:bidi w:val="0"/>
        <w:jc w:val="both"/>
        <w:rPr>
          <w:rFonts w:ascii="Times New Roman" w:hAnsi="Times New Roman" w:cs="Times New Roman"/>
          <w:szCs w:val="16"/>
        </w:rPr>
      </w:pPr>
    </w:p>
    <w:p w:rsidR="0038140E" w:rsidP="0038140E">
      <w:pPr>
        <w:bidi w:val="0"/>
        <w:jc w:val="both"/>
        <w:rPr>
          <w:rFonts w:ascii="Times New Roman" w:hAnsi="Times New Roman" w:cs="Times New Roman"/>
        </w:rPr>
      </w:pPr>
      <w:r>
        <w:rPr>
          <w:rFonts w:ascii="Times New Roman" w:hAnsi="Times New Roman" w:cs="Times New Roman"/>
        </w:rPr>
        <w:t>5.2.2.</w:t>
        <w:tab/>
      </w:r>
      <w:r w:rsidRPr="00A45ACC">
        <w:rPr>
          <w:rFonts w:ascii="Times New Roman" w:hAnsi="Times New Roman" w:cs="Times New Roman"/>
        </w:rPr>
        <w:t>Medzi finančné operácie na strane výdavkov štátnych finančných aktív sa zaraďuje aj poskytovanie úverov a pôžičiek, účasť na majetku a splácanie istiny. V jednotlivých rokoch rozpočtového rámca 201</w:t>
      </w:r>
      <w:r>
        <w:rPr>
          <w:rFonts w:ascii="Times New Roman" w:hAnsi="Times New Roman" w:cs="Times New Roman"/>
        </w:rPr>
        <w:t>3</w:t>
      </w:r>
      <w:r w:rsidRPr="00A45ACC">
        <w:rPr>
          <w:rFonts w:ascii="Times New Roman" w:hAnsi="Times New Roman" w:cs="Times New Roman"/>
        </w:rPr>
        <w:t xml:space="preserve"> až 201</w:t>
      </w:r>
      <w:r>
        <w:rPr>
          <w:rFonts w:ascii="Times New Roman" w:hAnsi="Times New Roman" w:cs="Times New Roman"/>
        </w:rPr>
        <w:t>5</w:t>
      </w:r>
      <w:r w:rsidRPr="00A45ACC">
        <w:rPr>
          <w:rFonts w:ascii="Times New Roman" w:hAnsi="Times New Roman" w:cs="Times New Roman"/>
        </w:rPr>
        <w:t xml:space="preserve"> sa rozpočtujú v nižšie uvedených čiastkach.</w:t>
      </w:r>
    </w:p>
    <w:p w:rsidR="0038140E" w:rsidRPr="00CF183F" w:rsidP="0038140E">
      <w:pPr>
        <w:bidi w:val="0"/>
        <w:jc w:val="both"/>
        <w:rPr>
          <w:rFonts w:ascii="Times New Roman" w:hAnsi="Times New Roman" w:cs="Times New Roman"/>
          <w:szCs w:val="16"/>
        </w:rPr>
      </w:pPr>
    </w:p>
    <w:tbl>
      <w:tblPr>
        <w:tblStyle w:val="TableNormal"/>
        <w:tblW w:w="9080" w:type="dxa"/>
        <w:jc w:val="center"/>
        <w:tblInd w:w="575" w:type="dxa"/>
        <w:tblCellMar>
          <w:left w:w="70" w:type="dxa"/>
          <w:right w:w="70" w:type="dxa"/>
        </w:tblCellMar>
        <w:tblLook w:val="04A0"/>
      </w:tblPr>
      <w:tblGrid>
        <w:gridCol w:w="3340"/>
        <w:gridCol w:w="820"/>
        <w:gridCol w:w="820"/>
        <w:gridCol w:w="820"/>
        <w:gridCol w:w="820"/>
        <w:gridCol w:w="820"/>
        <w:gridCol w:w="820"/>
        <w:gridCol w:w="820"/>
      </w:tblGrid>
      <w:tr>
        <w:tblPrEx>
          <w:tblW w:w="9080" w:type="dxa"/>
          <w:jc w:val="center"/>
          <w:tblInd w:w="575" w:type="dxa"/>
          <w:tblCellMar>
            <w:left w:w="70" w:type="dxa"/>
            <w:right w:w="70" w:type="dxa"/>
          </w:tblCellMar>
          <w:tblLook w:val="04A0"/>
        </w:tblPrEx>
        <w:trPr>
          <w:trHeight w:val="255"/>
          <w:jc w:val="center"/>
        </w:trPr>
        <w:tc>
          <w:tcPr>
            <w:tcW w:w="334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2010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2012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2012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2013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2015 N</w:t>
            </w:r>
          </w:p>
        </w:tc>
      </w:tr>
      <w:tr>
        <w:tblPrEx>
          <w:tblW w:w="9080" w:type="dxa"/>
          <w:jc w:val="center"/>
          <w:tblInd w:w="575" w:type="dxa"/>
          <w:tblCellMar>
            <w:left w:w="70" w:type="dxa"/>
            <w:right w:w="70" w:type="dxa"/>
          </w:tblCellMar>
          <w:tblLook w:val="04A0"/>
        </w:tblPrEx>
        <w:trPr>
          <w:trHeight w:val="480"/>
          <w:jc w:val="center"/>
        </w:trPr>
        <w:tc>
          <w:tcPr>
            <w:tcW w:w="3340"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 xml:space="preserve">IDA* </w:t>
            </w:r>
            <w:r w:rsidRPr="001E50A6">
              <w:rPr>
                <w:rFonts w:ascii="Times New Roman" w:hAnsi="Times New Roman" w:cs="Times New Roman"/>
                <w:sz w:val="14"/>
                <w:szCs w:val="14"/>
                <w:lang w:eastAsia="sk-SK"/>
              </w:rPr>
              <w:t>- Medzinárodné združenie pre rozvoj</w:t>
              <w:br/>
              <w:t xml:space="preserve">          </w:t>
            </w:r>
            <w:r w:rsidRPr="001E50A6">
              <w:rPr>
                <w:rFonts w:ascii="Times New Roman" w:hAnsi="Times New Roman" w:cs="Times New Roman"/>
                <w:i/>
                <w:iCs/>
                <w:sz w:val="14"/>
                <w:szCs w:val="14"/>
                <w:lang w:eastAsia="sk-SK"/>
              </w:rPr>
              <w:t xml:space="preserve"> </w:t>
            </w:r>
            <w:r>
              <w:rPr>
                <w:rFonts w:ascii="Times New Roman" w:hAnsi="Times New Roman" w:cs="Times New Roman"/>
                <w:i/>
                <w:iCs/>
                <w:sz w:val="14"/>
                <w:szCs w:val="14"/>
                <w:lang w:eastAsia="sk-SK"/>
              </w:rPr>
              <w:t xml:space="preserve"> </w:t>
            </w:r>
            <w:r w:rsidRPr="001E50A6">
              <w:rPr>
                <w:rFonts w:ascii="Times New Roman" w:hAnsi="Times New Roman" w:cs="Times New Roman"/>
                <w:i/>
                <w:iCs/>
                <w:sz w:val="14"/>
                <w:szCs w:val="14"/>
                <w:lang w:eastAsia="sk-SK"/>
              </w:rPr>
              <w:t>Príspevok na doplnenie zdrojov IDA</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720,0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710,0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900,0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900,0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820,0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830,0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4 000,0</w:t>
            </w:r>
          </w:p>
        </w:tc>
      </w:tr>
      <w:tr>
        <w:tblPrEx>
          <w:tblW w:w="9080" w:type="dxa"/>
          <w:jc w:val="center"/>
          <w:tblInd w:w="575" w:type="dxa"/>
          <w:tblCellMar>
            <w:left w:w="70" w:type="dxa"/>
            <w:right w:w="70" w:type="dxa"/>
          </w:tblCellMar>
          <w:tblLook w:val="04A0"/>
        </w:tblPrEx>
        <w:trPr>
          <w:trHeight w:val="480"/>
          <w:jc w:val="center"/>
        </w:trPr>
        <w:tc>
          <w:tcPr>
            <w:tcW w:w="3340" w:type="dxa"/>
            <w:tcBorders>
              <w:top w:val="nil"/>
              <w:left w:val="single" w:sz="4" w:space="0" w:color="auto"/>
              <w:bottom w:val="single" w:sz="4" w:space="0" w:color="auto"/>
              <w:right w:val="single" w:sz="4" w:space="0" w:color="auto"/>
            </w:tcBorders>
            <w:textDirection w:val="lrTb"/>
            <w:vAlign w:val="center"/>
            <w:hideMark/>
          </w:tcPr>
          <w:p w:rsidR="0038140E" w:rsidP="007E349F">
            <w:pPr>
              <w:bidi w:val="0"/>
              <w:rPr>
                <w:rFonts w:ascii="Times New Roman" w:hAnsi="Times New Roman" w:cs="Times New Roman"/>
                <w:i/>
                <w:iCs/>
                <w:sz w:val="14"/>
                <w:szCs w:val="14"/>
                <w:lang w:eastAsia="sk-SK"/>
              </w:rPr>
            </w:pPr>
            <w:r w:rsidRPr="001E50A6">
              <w:rPr>
                <w:rFonts w:ascii="Times New Roman" w:hAnsi="Times New Roman" w:cs="Times New Roman"/>
                <w:b/>
                <w:bCs/>
                <w:sz w:val="14"/>
                <w:szCs w:val="14"/>
                <w:lang w:eastAsia="sk-SK"/>
              </w:rPr>
              <w:t xml:space="preserve">IDA* </w:t>
            </w:r>
            <w:r w:rsidRPr="001E50A6">
              <w:rPr>
                <w:rFonts w:ascii="Times New Roman" w:hAnsi="Times New Roman" w:cs="Times New Roman"/>
                <w:sz w:val="14"/>
                <w:szCs w:val="14"/>
                <w:lang w:eastAsia="sk-SK"/>
              </w:rPr>
              <w:t>- Medzinárodné združenie pre rozvoj</w:t>
              <w:br/>
              <w:t xml:space="preserve">           </w:t>
            </w:r>
            <w:r>
              <w:rPr>
                <w:rFonts w:ascii="Times New Roman" w:hAnsi="Times New Roman" w:cs="Times New Roman"/>
                <w:sz w:val="14"/>
                <w:szCs w:val="14"/>
                <w:lang w:eastAsia="sk-SK"/>
              </w:rPr>
              <w:t xml:space="preserve"> </w:t>
            </w:r>
            <w:r w:rsidRPr="001E50A6">
              <w:rPr>
                <w:rFonts w:ascii="Times New Roman" w:hAnsi="Times New Roman" w:cs="Times New Roman"/>
                <w:i/>
                <w:iCs/>
                <w:sz w:val="14"/>
                <w:szCs w:val="14"/>
                <w:lang w:eastAsia="sk-SK"/>
              </w:rPr>
              <w:t>Prísp</w:t>
            </w:r>
            <w:r>
              <w:rPr>
                <w:rFonts w:ascii="Times New Roman" w:hAnsi="Times New Roman" w:cs="Times New Roman"/>
                <w:i/>
                <w:iCs/>
                <w:sz w:val="14"/>
                <w:szCs w:val="14"/>
                <w:lang w:eastAsia="sk-SK"/>
              </w:rPr>
              <w:t>evok</w:t>
            </w:r>
            <w:r w:rsidRPr="001E50A6">
              <w:rPr>
                <w:rFonts w:ascii="Times New Roman" w:hAnsi="Times New Roman" w:cs="Times New Roman"/>
                <w:i/>
                <w:iCs/>
                <w:sz w:val="14"/>
                <w:szCs w:val="14"/>
                <w:lang w:eastAsia="sk-SK"/>
              </w:rPr>
              <w:t xml:space="preserve"> k finan</w:t>
            </w:r>
            <w:r>
              <w:rPr>
                <w:rFonts w:ascii="Times New Roman" w:hAnsi="Times New Roman" w:cs="Times New Roman"/>
                <w:i/>
                <w:iCs/>
                <w:sz w:val="14"/>
                <w:szCs w:val="14"/>
                <w:lang w:eastAsia="sk-SK"/>
              </w:rPr>
              <w:t>covaniu Iniciatívy</w:t>
            </w:r>
          </w:p>
          <w:p w:rsidR="0038140E" w:rsidRPr="001E50A6" w:rsidP="007E349F">
            <w:pPr>
              <w:bidi w:val="0"/>
              <w:rPr>
                <w:rFonts w:ascii="Times New Roman" w:hAnsi="Times New Roman" w:cs="Times New Roman"/>
                <w:b/>
                <w:bCs/>
                <w:sz w:val="14"/>
                <w:szCs w:val="14"/>
                <w:lang w:eastAsia="sk-SK"/>
              </w:rPr>
            </w:pPr>
            <w:r>
              <w:rPr>
                <w:rFonts w:ascii="Times New Roman" w:hAnsi="Times New Roman" w:cs="Times New Roman"/>
                <w:i/>
                <w:iCs/>
                <w:sz w:val="14"/>
                <w:szCs w:val="14"/>
                <w:lang w:eastAsia="sk-SK"/>
              </w:rPr>
              <w:t xml:space="preserve">            </w:t>
            </w:r>
            <w:r w:rsidRPr="001E50A6">
              <w:rPr>
                <w:rFonts w:ascii="Times New Roman" w:hAnsi="Times New Roman" w:cs="Times New Roman"/>
                <w:i/>
                <w:iCs/>
                <w:sz w:val="14"/>
                <w:szCs w:val="14"/>
                <w:lang w:eastAsia="sk-SK"/>
              </w:rPr>
              <w:t>na multila</w:t>
            </w:r>
            <w:r>
              <w:rPr>
                <w:rFonts w:ascii="Times New Roman" w:hAnsi="Times New Roman" w:cs="Times New Roman"/>
                <w:i/>
                <w:iCs/>
                <w:sz w:val="14"/>
                <w:szCs w:val="14"/>
                <w:lang w:eastAsia="sk-SK"/>
              </w:rPr>
              <w:t>terálne odpustenie</w:t>
            </w:r>
            <w:r w:rsidRPr="001E50A6">
              <w:rPr>
                <w:rFonts w:ascii="Times New Roman" w:hAnsi="Times New Roman" w:cs="Times New Roman"/>
                <w:i/>
                <w:iCs/>
                <w:sz w:val="14"/>
                <w:szCs w:val="14"/>
                <w:lang w:eastAsia="sk-SK"/>
              </w:rPr>
              <w:t xml:space="preserve"> dlhov (MDRI) </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60,0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60,0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70,0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70,0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80,0</w:t>
            </w:r>
          </w:p>
        </w:tc>
      </w:tr>
      <w:tr>
        <w:tblPrEx>
          <w:tblW w:w="9080" w:type="dxa"/>
          <w:jc w:val="center"/>
          <w:tblInd w:w="575" w:type="dxa"/>
          <w:tblCellMar>
            <w:left w:w="70" w:type="dxa"/>
            <w:right w:w="70" w:type="dxa"/>
          </w:tblCellMar>
          <w:tblLook w:val="04A0"/>
        </w:tblPrEx>
        <w:trPr>
          <w:trHeight w:val="480"/>
          <w:jc w:val="center"/>
        </w:trPr>
        <w:tc>
          <w:tcPr>
            <w:tcW w:w="3340"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 xml:space="preserve">IBRD </w:t>
            </w:r>
            <w:r w:rsidRPr="001E50A6">
              <w:rPr>
                <w:rFonts w:ascii="Times New Roman" w:hAnsi="Times New Roman" w:cs="Times New Roman"/>
                <w:sz w:val="14"/>
                <w:szCs w:val="14"/>
                <w:lang w:eastAsia="sk-SK"/>
              </w:rPr>
              <w:t>- Medzinárodná banka pre obnovu a rozvoj</w:t>
              <w:br/>
              <w:t xml:space="preserve">             </w:t>
            </w:r>
            <w:r w:rsidRPr="001E50A6">
              <w:rPr>
                <w:rFonts w:ascii="Times New Roman" w:hAnsi="Times New Roman" w:cs="Times New Roman"/>
                <w:i/>
                <w:iCs/>
                <w:sz w:val="14"/>
                <w:szCs w:val="14"/>
                <w:lang w:eastAsia="sk-SK"/>
              </w:rPr>
              <w:t>Rezerva na valorizáciu akcii SR</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1 600,0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1 600,0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1 600,0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1 600,0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1 600,0</w:t>
            </w:r>
          </w:p>
        </w:tc>
      </w:tr>
      <w:tr>
        <w:tblPrEx>
          <w:tblW w:w="9080" w:type="dxa"/>
          <w:jc w:val="center"/>
          <w:tblInd w:w="575" w:type="dxa"/>
          <w:tblCellMar>
            <w:left w:w="70" w:type="dxa"/>
            <w:right w:w="70" w:type="dxa"/>
          </w:tblCellMar>
          <w:tblLook w:val="04A0"/>
        </w:tblPrEx>
        <w:trPr>
          <w:trHeight w:val="480"/>
          <w:jc w:val="center"/>
        </w:trPr>
        <w:tc>
          <w:tcPr>
            <w:tcW w:w="3340"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 xml:space="preserve">IBRD* </w:t>
            </w:r>
            <w:r w:rsidRPr="001E50A6">
              <w:rPr>
                <w:rFonts w:ascii="Times New Roman" w:hAnsi="Times New Roman" w:cs="Times New Roman"/>
                <w:sz w:val="14"/>
                <w:szCs w:val="14"/>
                <w:lang w:eastAsia="sk-SK"/>
              </w:rPr>
              <w:t>- Medzinárodná banka pre obnovu a rozvoj</w:t>
              <w:br/>
              <w:t xml:space="preserve">              </w:t>
            </w:r>
            <w:r>
              <w:rPr>
                <w:rFonts w:ascii="Times New Roman" w:hAnsi="Times New Roman" w:cs="Times New Roman"/>
                <w:sz w:val="14"/>
                <w:szCs w:val="14"/>
                <w:lang w:eastAsia="sk-SK"/>
              </w:rPr>
              <w:t xml:space="preserve"> </w:t>
            </w:r>
            <w:r w:rsidRPr="001E50A6">
              <w:rPr>
                <w:rFonts w:ascii="Times New Roman" w:hAnsi="Times New Roman" w:cs="Times New Roman"/>
                <w:i/>
                <w:iCs/>
                <w:sz w:val="14"/>
                <w:szCs w:val="14"/>
                <w:lang w:eastAsia="sk-SK"/>
              </w:rPr>
              <w:t>Zvýšenie kapitálu</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6 217,5</w:t>
            </w:r>
          </w:p>
        </w:tc>
      </w:tr>
      <w:tr>
        <w:tblPrEx>
          <w:tblW w:w="9080" w:type="dxa"/>
          <w:jc w:val="center"/>
          <w:tblInd w:w="575" w:type="dxa"/>
          <w:tblCellMar>
            <w:left w:w="70" w:type="dxa"/>
            <w:right w:w="70" w:type="dxa"/>
          </w:tblCellMar>
          <w:tblLook w:val="04A0"/>
        </w:tblPrEx>
        <w:trPr>
          <w:trHeight w:val="480"/>
          <w:jc w:val="center"/>
        </w:trPr>
        <w:tc>
          <w:tcPr>
            <w:tcW w:w="3340" w:type="dxa"/>
            <w:tcBorders>
              <w:top w:val="nil"/>
              <w:left w:val="single" w:sz="4" w:space="0" w:color="auto"/>
              <w:bottom w:val="single" w:sz="4" w:space="0" w:color="auto"/>
              <w:right w:val="single" w:sz="4" w:space="0" w:color="auto"/>
            </w:tcBorders>
            <w:textDirection w:val="lrTb"/>
            <w:vAlign w:val="center"/>
            <w:hideMark/>
          </w:tcPr>
          <w:p w:rsidR="0038140E" w:rsidP="007E349F">
            <w:pPr>
              <w:bidi w:val="0"/>
              <w:rPr>
                <w:rFonts w:ascii="Times New Roman" w:hAnsi="Times New Roman" w:cs="Times New Roman"/>
                <w:i/>
                <w:iCs/>
                <w:sz w:val="14"/>
                <w:szCs w:val="14"/>
                <w:lang w:eastAsia="sk-SK"/>
              </w:rPr>
            </w:pPr>
            <w:r w:rsidRPr="001E50A6">
              <w:rPr>
                <w:rFonts w:ascii="Times New Roman" w:hAnsi="Times New Roman" w:cs="Times New Roman"/>
                <w:b/>
                <w:bCs/>
                <w:sz w:val="14"/>
                <w:szCs w:val="14"/>
                <w:lang w:eastAsia="sk-SK"/>
              </w:rPr>
              <w:t>EIB*</w:t>
            </w:r>
            <w:r w:rsidRPr="001E50A6">
              <w:rPr>
                <w:rFonts w:ascii="Times New Roman" w:hAnsi="Times New Roman" w:cs="Times New Roman"/>
                <w:sz w:val="14"/>
                <w:szCs w:val="14"/>
                <w:lang w:eastAsia="sk-SK"/>
              </w:rPr>
              <w:t xml:space="preserve"> - Európska investičná banka</w:t>
              <w:br/>
              <w:t xml:space="preserve">           </w:t>
            </w:r>
            <w:r>
              <w:rPr>
                <w:rFonts w:ascii="Times New Roman" w:hAnsi="Times New Roman" w:cs="Times New Roman"/>
                <w:sz w:val="14"/>
                <w:szCs w:val="14"/>
                <w:lang w:eastAsia="sk-SK"/>
              </w:rPr>
              <w:t xml:space="preserve"> </w:t>
            </w:r>
            <w:r w:rsidRPr="001E50A6">
              <w:rPr>
                <w:rFonts w:ascii="Times New Roman" w:hAnsi="Times New Roman" w:cs="Times New Roman"/>
                <w:i/>
                <w:iCs/>
                <w:sz w:val="14"/>
                <w:szCs w:val="14"/>
                <w:lang w:eastAsia="sk-SK"/>
              </w:rPr>
              <w:t>Posky</w:t>
            </w:r>
            <w:r>
              <w:rPr>
                <w:rFonts w:ascii="Times New Roman" w:hAnsi="Times New Roman" w:cs="Times New Roman"/>
                <w:i/>
                <w:iCs/>
                <w:sz w:val="14"/>
                <w:szCs w:val="14"/>
                <w:lang w:eastAsia="sk-SK"/>
              </w:rPr>
              <w:t>tnutie záruky SR v prospech EIB</w:t>
            </w:r>
          </w:p>
          <w:p w:rsidR="0038140E" w:rsidRPr="001E50A6" w:rsidP="007E349F">
            <w:pPr>
              <w:bidi w:val="0"/>
              <w:rPr>
                <w:rFonts w:ascii="Times New Roman" w:hAnsi="Times New Roman" w:cs="Times New Roman"/>
                <w:i/>
                <w:iCs/>
                <w:sz w:val="14"/>
                <w:szCs w:val="14"/>
                <w:lang w:eastAsia="sk-SK"/>
              </w:rPr>
            </w:pPr>
            <w:r>
              <w:rPr>
                <w:rFonts w:ascii="Times New Roman" w:hAnsi="Times New Roman" w:cs="Times New Roman"/>
                <w:i/>
                <w:iCs/>
                <w:sz w:val="14"/>
                <w:szCs w:val="14"/>
                <w:lang w:eastAsia="sk-SK"/>
              </w:rPr>
              <w:t xml:space="preserve">            </w:t>
            </w:r>
            <w:r w:rsidRPr="001E50A6">
              <w:rPr>
                <w:rFonts w:ascii="Times New Roman" w:hAnsi="Times New Roman" w:cs="Times New Roman"/>
                <w:i/>
                <w:iCs/>
                <w:sz w:val="14"/>
                <w:szCs w:val="14"/>
                <w:lang w:eastAsia="sk-SK"/>
              </w:rPr>
              <w:t>na zák</w:t>
            </w:r>
            <w:r>
              <w:rPr>
                <w:rFonts w:ascii="Times New Roman" w:hAnsi="Times New Roman" w:cs="Times New Roman"/>
                <w:i/>
                <w:iCs/>
                <w:sz w:val="14"/>
                <w:szCs w:val="14"/>
                <w:lang w:eastAsia="sk-SK"/>
              </w:rPr>
              <w:t>lade záručnej</w:t>
            </w:r>
            <w:r w:rsidRPr="001E50A6">
              <w:rPr>
                <w:rFonts w:ascii="Times New Roman" w:hAnsi="Times New Roman" w:cs="Times New Roman"/>
                <w:i/>
                <w:iCs/>
                <w:sz w:val="14"/>
                <w:szCs w:val="14"/>
                <w:lang w:eastAsia="sk-SK"/>
              </w:rPr>
              <w:t xml:space="preserve"> zmluvy</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107,7</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186,2</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285,5</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285,5</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401,9</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476,0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479,0</w:t>
            </w:r>
          </w:p>
        </w:tc>
      </w:tr>
      <w:tr>
        <w:tblPrEx>
          <w:tblW w:w="9080" w:type="dxa"/>
          <w:jc w:val="center"/>
          <w:tblInd w:w="575" w:type="dxa"/>
          <w:tblCellMar>
            <w:left w:w="70" w:type="dxa"/>
            <w:right w:w="70" w:type="dxa"/>
          </w:tblCellMar>
          <w:tblLook w:val="04A0"/>
        </w:tblPrEx>
        <w:trPr>
          <w:trHeight w:val="480"/>
          <w:jc w:val="center"/>
        </w:trPr>
        <w:tc>
          <w:tcPr>
            <w:tcW w:w="3340" w:type="dxa"/>
            <w:tcBorders>
              <w:top w:val="nil"/>
              <w:left w:val="single" w:sz="4" w:space="0" w:color="auto"/>
              <w:bottom w:val="single" w:sz="4" w:space="0" w:color="auto"/>
              <w:right w:val="single" w:sz="4" w:space="0" w:color="auto"/>
            </w:tcBorders>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EIB</w:t>
            </w:r>
            <w:r w:rsidRPr="001E50A6">
              <w:rPr>
                <w:rFonts w:ascii="Times New Roman" w:hAnsi="Times New Roman" w:cs="Times New Roman"/>
                <w:sz w:val="14"/>
                <w:szCs w:val="14"/>
                <w:lang w:eastAsia="sk-SK"/>
              </w:rPr>
              <w:t xml:space="preserve"> - Európska investičná banka</w:t>
              <w:br/>
              <w:t xml:space="preserve">          </w:t>
            </w:r>
            <w:r w:rsidRPr="001E50A6">
              <w:rPr>
                <w:rFonts w:ascii="Times New Roman" w:hAnsi="Times New Roman" w:cs="Times New Roman"/>
                <w:i/>
                <w:iCs/>
                <w:sz w:val="14"/>
                <w:szCs w:val="14"/>
                <w:lang w:eastAsia="sk-SK"/>
              </w:rPr>
              <w:t>Zvýšenie základného imania EIB</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12 999,8</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6 499,9</w:t>
            </w:r>
          </w:p>
        </w:tc>
        <w:tc>
          <w:tcPr>
            <w:tcW w:w="820" w:type="dxa"/>
            <w:tcBorders>
              <w:top w:val="nil"/>
              <w:left w:val="nil"/>
              <w:bottom w:val="single" w:sz="4" w:space="0" w:color="auto"/>
              <w:right w:val="single" w:sz="4" w:space="0" w:color="auto"/>
            </w:tcBorders>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6 499,9</w:t>
            </w:r>
          </w:p>
        </w:tc>
      </w:tr>
      <w:tr>
        <w:tblPrEx>
          <w:tblW w:w="9080" w:type="dxa"/>
          <w:jc w:val="center"/>
          <w:tblInd w:w="575" w:type="dxa"/>
          <w:tblCellMar>
            <w:left w:w="70" w:type="dxa"/>
            <w:right w:w="70" w:type="dxa"/>
          </w:tblCellMar>
          <w:tblLook w:val="04A0"/>
        </w:tblPrEx>
        <w:trPr>
          <w:trHeight w:val="255"/>
          <w:jc w:val="center"/>
        </w:trPr>
        <w:tc>
          <w:tcPr>
            <w:tcW w:w="334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SPOLU</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827,7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896,2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2 845,5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2 845,5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15 891,7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9 475,9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18 876,4</w:t>
            </w:r>
          </w:p>
        </w:tc>
      </w:tr>
      <w:tr>
        <w:tblPrEx>
          <w:tblW w:w="9080" w:type="dxa"/>
          <w:jc w:val="center"/>
          <w:tblInd w:w="575" w:type="dxa"/>
          <w:tblCellMar>
            <w:left w:w="70" w:type="dxa"/>
            <w:right w:w="70" w:type="dxa"/>
          </w:tblCellMar>
          <w:tblLook w:val="04A0"/>
        </w:tblPrEx>
        <w:trPr>
          <w:trHeight w:val="255"/>
          <w:jc w:val="center"/>
        </w:trPr>
        <w:tc>
          <w:tcPr>
            <w:tcW w:w="9080" w:type="dxa"/>
            <w:gridSpan w:val="8"/>
            <w:tcBorders>
              <w:top w:val="nil"/>
              <w:left w:val="nil"/>
              <w:bottom w:val="nil"/>
              <w:right w:val="nil"/>
            </w:tcBorders>
            <w:textDirection w:val="lrTb"/>
            <w:vAlign w:val="top"/>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 - oficiálna rozvojová pomoc (ODA)</w:t>
            </w:r>
          </w:p>
        </w:tc>
      </w:tr>
    </w:tbl>
    <w:p w:rsidR="0038140E" w:rsidRPr="00CF183F" w:rsidP="0038140E">
      <w:pPr>
        <w:bidi w:val="0"/>
        <w:jc w:val="both"/>
        <w:rPr>
          <w:rFonts w:ascii="Times New Roman" w:hAnsi="Times New Roman" w:cs="Times New Roman"/>
          <w:iCs/>
          <w:szCs w:val="16"/>
        </w:rPr>
      </w:pPr>
    </w:p>
    <w:p w:rsidR="0038140E" w:rsidRPr="00957F25" w:rsidP="0038140E">
      <w:pPr>
        <w:bidi w:val="0"/>
        <w:jc w:val="both"/>
        <w:rPr>
          <w:rFonts w:ascii="Times New Roman" w:hAnsi="Times New Roman" w:cs="Times New Roman"/>
          <w:i/>
          <w:iCs/>
        </w:rPr>
      </w:pPr>
      <w:r w:rsidRPr="00957F25">
        <w:rPr>
          <w:rFonts w:ascii="Times New Roman" w:hAnsi="Times New Roman" w:cs="Times New Roman"/>
          <w:i/>
          <w:iCs/>
        </w:rPr>
        <w:t>IDA - Medzinárodné združenie pre rozvoj – príspevok na doplnenie zdrojov</w:t>
      </w:r>
    </w:p>
    <w:p w:rsidR="0038140E" w:rsidRPr="00C06760" w:rsidP="0038140E">
      <w:pPr>
        <w:autoSpaceDE w:val="0"/>
        <w:autoSpaceDN w:val="0"/>
        <w:bidi w:val="0"/>
        <w:adjustRightInd w:val="0"/>
        <w:jc w:val="both"/>
        <w:rPr>
          <w:rFonts w:ascii="Times New Roman" w:hAnsi="Times New Roman" w:cs="Times New Roman"/>
        </w:rPr>
      </w:pPr>
      <w:r w:rsidRPr="00C06760">
        <w:rPr>
          <w:rFonts w:ascii="Times New Roman" w:hAnsi="Times New Roman" w:cs="Times New Roman"/>
        </w:rPr>
        <w:t xml:space="preserve">V roku 2010 prebehli rokovania členských štátov IDA týkajúce sa 16. doplnenia zdrojov IDA. Uvedené navýšenie je po schválení v rámci IDA v apríli 2011 a schválení vládou SR dňa </w:t>
      </w:r>
      <w:r>
        <w:rPr>
          <w:rFonts w:ascii="Times New Roman" w:hAnsi="Times New Roman" w:cs="Times New Roman"/>
        </w:rPr>
        <w:t xml:space="preserve">   </w:t>
      </w:r>
      <w:r w:rsidRPr="00C06760">
        <w:rPr>
          <w:rFonts w:ascii="Times New Roman" w:hAnsi="Times New Roman" w:cs="Times New Roman"/>
        </w:rPr>
        <w:t xml:space="preserve">17. augusta 2011 (uznesenie č. 545/2011) účinné a záväzné pre SR od roku 2012. Na základe informácii, ktorými MF SR disponuje k 31. </w:t>
      </w:r>
      <w:r w:rsidR="00A72F8B">
        <w:rPr>
          <w:rFonts w:ascii="Times New Roman" w:hAnsi="Times New Roman" w:cs="Times New Roman"/>
        </w:rPr>
        <w:t>januáru</w:t>
      </w:r>
      <w:r w:rsidRPr="00C06760">
        <w:rPr>
          <w:rFonts w:ascii="Times New Roman" w:hAnsi="Times New Roman" w:cs="Times New Roman"/>
        </w:rPr>
        <w:t xml:space="preserve"> 2012 bude ročný príspevok SR do IDA </w:t>
      </w:r>
      <w:r>
        <w:rPr>
          <w:rFonts w:ascii="Times New Roman" w:hAnsi="Times New Roman" w:cs="Times New Roman"/>
        </w:rPr>
        <w:t xml:space="preserve">v roku 2013 </w:t>
      </w:r>
      <w:r w:rsidRPr="00C06760">
        <w:rPr>
          <w:rFonts w:ascii="Times New Roman" w:hAnsi="Times New Roman" w:cs="Times New Roman"/>
        </w:rPr>
        <w:t>predstavovať 820 </w:t>
      </w:r>
      <w:r>
        <w:rPr>
          <w:rFonts w:ascii="Times New Roman" w:hAnsi="Times New Roman" w:cs="Times New Roman"/>
        </w:rPr>
        <w:t xml:space="preserve">tis. eur </w:t>
      </w:r>
      <w:r w:rsidRPr="00C06760">
        <w:rPr>
          <w:rFonts w:ascii="Times New Roman" w:hAnsi="Times New Roman" w:cs="Times New Roman"/>
        </w:rPr>
        <w:t>a</w:t>
      </w:r>
      <w:r>
        <w:rPr>
          <w:rFonts w:ascii="Times New Roman" w:hAnsi="Times New Roman" w:cs="Times New Roman"/>
        </w:rPr>
        <w:t> </w:t>
      </w:r>
      <w:r w:rsidRPr="00C06760">
        <w:rPr>
          <w:rFonts w:ascii="Times New Roman" w:hAnsi="Times New Roman" w:cs="Times New Roman"/>
        </w:rPr>
        <w:t>830 </w:t>
      </w:r>
      <w:r>
        <w:rPr>
          <w:rFonts w:ascii="Times New Roman" w:hAnsi="Times New Roman" w:cs="Times New Roman"/>
        </w:rPr>
        <w:t>tis. eur v roku 2014</w:t>
      </w:r>
      <w:r w:rsidRPr="00C06760">
        <w:rPr>
          <w:rFonts w:ascii="Times New Roman" w:hAnsi="Times New Roman" w:cs="Times New Roman"/>
        </w:rPr>
        <w:t>. Príspevok SR v roku 2015 už bude v rámci 17. doplnenia zdrojov IDA uhradený v jednej splátke. Príspevky sú vykazované ako oficiálna rozvojová pomoc SR</w:t>
      </w:r>
      <w:r>
        <w:rPr>
          <w:rFonts w:ascii="Times New Roman" w:hAnsi="Times New Roman" w:cs="Times New Roman"/>
        </w:rPr>
        <w:t>.</w:t>
      </w:r>
    </w:p>
    <w:p w:rsidR="0038140E" w:rsidRPr="00CF183F" w:rsidP="0038140E">
      <w:pPr>
        <w:autoSpaceDE w:val="0"/>
        <w:autoSpaceDN w:val="0"/>
        <w:bidi w:val="0"/>
        <w:adjustRightInd w:val="0"/>
        <w:jc w:val="both"/>
        <w:rPr>
          <w:rFonts w:ascii="Times New Roman" w:hAnsi="Times New Roman" w:cs="Times New Roman"/>
          <w:szCs w:val="16"/>
        </w:rPr>
      </w:pPr>
    </w:p>
    <w:p w:rsidR="0038140E" w:rsidRPr="00957F25" w:rsidP="0038140E">
      <w:pPr>
        <w:bidi w:val="0"/>
        <w:jc w:val="both"/>
        <w:rPr>
          <w:rFonts w:ascii="Times New Roman" w:hAnsi="Times New Roman" w:cs="Times New Roman"/>
        </w:rPr>
      </w:pPr>
      <w:r w:rsidRPr="00957F25">
        <w:rPr>
          <w:rFonts w:ascii="Times New Roman" w:hAnsi="Times New Roman" w:cs="Times New Roman"/>
          <w:i/>
        </w:rPr>
        <w:t>IDA - Medzinárodné združenie pre rozvoj – príspevok k finan</w:t>
      </w:r>
      <w:r>
        <w:rPr>
          <w:rFonts w:ascii="Times New Roman" w:hAnsi="Times New Roman" w:cs="Times New Roman"/>
          <w:i/>
        </w:rPr>
        <w:t>covaniu</w:t>
      </w:r>
      <w:r w:rsidRPr="00957F25">
        <w:rPr>
          <w:rFonts w:ascii="Times New Roman" w:hAnsi="Times New Roman" w:cs="Times New Roman"/>
          <w:i/>
        </w:rPr>
        <w:t xml:space="preserve"> Iniciatívy na multilaterálne odpustenie dlhov</w:t>
      </w:r>
    </w:p>
    <w:p w:rsidR="0038140E" w:rsidRPr="00C06760" w:rsidP="0038140E">
      <w:pPr>
        <w:autoSpaceDE w:val="0"/>
        <w:autoSpaceDN w:val="0"/>
        <w:bidi w:val="0"/>
        <w:adjustRightInd w:val="0"/>
        <w:jc w:val="both"/>
        <w:rPr>
          <w:rFonts w:ascii="Times New Roman" w:hAnsi="Times New Roman" w:cs="Times New Roman"/>
        </w:rPr>
      </w:pPr>
      <w:r w:rsidRPr="00C06760">
        <w:rPr>
          <w:rFonts w:ascii="Times New Roman" w:hAnsi="Times New Roman" w:cs="Times New Roman"/>
        </w:rPr>
        <w:t xml:space="preserve">Pristúpením SR k financovaniu Iniciatívy pre multilaterálne odpustenie dlhov (MDRI) v rámci Medzinárodného združenia pre rozvoj (IDA), schválené uznesením vlády SR č. 479 zo dňa 9. júla 2008, sa očakávajú výdavky v celkovej výške 630 tis. </w:t>
      </w:r>
      <w:r>
        <w:rPr>
          <w:rFonts w:ascii="Times New Roman" w:hAnsi="Times New Roman" w:cs="Times New Roman"/>
        </w:rPr>
        <w:t>eur</w:t>
      </w:r>
      <w:r w:rsidRPr="00C06760">
        <w:rPr>
          <w:rFonts w:ascii="Times New Roman" w:hAnsi="Times New Roman" w:cs="Times New Roman"/>
        </w:rPr>
        <w:t xml:space="preserve"> až do roku 2018. Príspevok bude uhradený v rokoch 2013 </w:t>
      </w:r>
      <w:r>
        <w:rPr>
          <w:rFonts w:ascii="Times New Roman" w:hAnsi="Times New Roman" w:cs="Times New Roman"/>
        </w:rPr>
        <w:t>a</w:t>
      </w:r>
      <w:r w:rsidRPr="00C06760">
        <w:rPr>
          <w:rFonts w:ascii="Times New Roman" w:hAnsi="Times New Roman" w:cs="Times New Roman"/>
        </w:rPr>
        <w:t xml:space="preserve"> 2014 vo výške 70 tis. </w:t>
      </w:r>
      <w:r>
        <w:rPr>
          <w:rFonts w:ascii="Times New Roman" w:hAnsi="Times New Roman" w:cs="Times New Roman"/>
        </w:rPr>
        <w:t xml:space="preserve">eur </w:t>
      </w:r>
      <w:r w:rsidRPr="00C06760">
        <w:rPr>
          <w:rFonts w:ascii="Times New Roman" w:hAnsi="Times New Roman" w:cs="Times New Roman"/>
        </w:rPr>
        <w:t xml:space="preserve">ročne a v roku 2015 vo výške 80 tis. </w:t>
      </w:r>
      <w:r>
        <w:rPr>
          <w:rFonts w:ascii="Times New Roman" w:hAnsi="Times New Roman" w:cs="Times New Roman"/>
        </w:rPr>
        <w:t>eur</w:t>
      </w:r>
      <w:r w:rsidRPr="00C06760">
        <w:rPr>
          <w:rFonts w:ascii="Times New Roman" w:hAnsi="Times New Roman" w:cs="Times New Roman"/>
        </w:rPr>
        <w:t>.</w:t>
      </w:r>
      <w:r>
        <w:rPr>
          <w:rFonts w:ascii="Times New Roman" w:hAnsi="Times New Roman" w:cs="Times New Roman"/>
        </w:rPr>
        <w:t xml:space="preserve"> </w:t>
      </w:r>
      <w:r w:rsidRPr="00C06760">
        <w:rPr>
          <w:rFonts w:ascii="Times New Roman" w:hAnsi="Times New Roman" w:cs="Times New Roman"/>
        </w:rPr>
        <w:t>Príspevky sú vykazované ako oficiálna rozvojová pomoc SR</w:t>
      </w:r>
      <w:r>
        <w:rPr>
          <w:rFonts w:ascii="Times New Roman" w:hAnsi="Times New Roman" w:cs="Times New Roman"/>
        </w:rPr>
        <w:t>.</w:t>
      </w:r>
    </w:p>
    <w:p w:rsidR="0038140E" w:rsidRPr="00CF183F" w:rsidP="0038140E">
      <w:pPr>
        <w:autoSpaceDE w:val="0"/>
        <w:autoSpaceDN w:val="0"/>
        <w:bidi w:val="0"/>
        <w:adjustRightInd w:val="0"/>
        <w:jc w:val="both"/>
        <w:rPr>
          <w:rFonts w:ascii="Times New Roman" w:hAnsi="Times New Roman" w:cs="Times New Roman"/>
          <w:szCs w:val="16"/>
        </w:rPr>
      </w:pPr>
    </w:p>
    <w:p w:rsidR="0038140E" w:rsidRPr="00957F25" w:rsidP="0038140E">
      <w:pPr>
        <w:bidi w:val="0"/>
        <w:jc w:val="both"/>
        <w:rPr>
          <w:rFonts w:ascii="Times New Roman" w:hAnsi="Times New Roman" w:cs="Times New Roman"/>
          <w:i/>
          <w:iCs/>
        </w:rPr>
      </w:pPr>
      <w:r w:rsidRPr="00957F25">
        <w:rPr>
          <w:rFonts w:ascii="Times New Roman" w:hAnsi="Times New Roman" w:cs="Times New Roman"/>
          <w:i/>
          <w:iCs/>
        </w:rPr>
        <w:t>IBRD - Medzinárodná banka pre obnovu a rozvoj – rezerva na valorizáciu akcií SR</w:t>
      </w:r>
    </w:p>
    <w:p w:rsidR="0038140E" w:rsidRPr="00957F25" w:rsidP="0038140E">
      <w:pPr>
        <w:bidi w:val="0"/>
        <w:jc w:val="both"/>
        <w:rPr>
          <w:rFonts w:ascii="Times New Roman" w:hAnsi="Times New Roman" w:cs="Times New Roman"/>
          <w:u w:val="single"/>
        </w:rPr>
      </w:pPr>
      <w:r w:rsidRPr="00957F25">
        <w:rPr>
          <w:rFonts w:ascii="Times New Roman" w:hAnsi="Times New Roman" w:cs="Times New Roman"/>
        </w:rPr>
        <w:t>V rámci rozpočtového rámca na roky 201</w:t>
      </w:r>
      <w:r>
        <w:rPr>
          <w:rFonts w:ascii="Times New Roman" w:hAnsi="Times New Roman" w:cs="Times New Roman"/>
        </w:rPr>
        <w:t>3</w:t>
      </w:r>
      <w:r w:rsidRPr="00957F25">
        <w:rPr>
          <w:rFonts w:ascii="Times New Roman" w:hAnsi="Times New Roman" w:cs="Times New Roman"/>
        </w:rPr>
        <w:t xml:space="preserve"> až 201</w:t>
      </w:r>
      <w:r>
        <w:rPr>
          <w:rFonts w:ascii="Times New Roman" w:hAnsi="Times New Roman" w:cs="Times New Roman"/>
        </w:rPr>
        <w:t>5</w:t>
      </w:r>
      <w:r w:rsidRPr="00957F25">
        <w:rPr>
          <w:rFonts w:ascii="Times New Roman" w:hAnsi="Times New Roman" w:cs="Times New Roman"/>
        </w:rPr>
        <w:t xml:space="preserve"> </w:t>
      </w:r>
      <w:r>
        <w:rPr>
          <w:rFonts w:ascii="Times New Roman" w:hAnsi="Times New Roman" w:cs="Times New Roman"/>
        </w:rPr>
        <w:t>je potrebné</w:t>
      </w:r>
      <w:r w:rsidRPr="00957F25">
        <w:rPr>
          <w:rFonts w:ascii="Times New Roman" w:hAnsi="Times New Roman" w:cs="Times New Roman"/>
        </w:rPr>
        <w:t xml:space="preserve"> vyčleniť 4,8 mil. eur ako rezerva na valorizáciu akcií Slovenskej republiky, a to v súvislosti s tým, že hodnota akcií, nakoľko je evidovaná v USD, sa mení v závislosti od zmeny kurzu EUR voči USD.</w:t>
      </w:r>
    </w:p>
    <w:p w:rsidR="0038140E" w:rsidRPr="00CF183F" w:rsidP="0038140E">
      <w:pPr>
        <w:bidi w:val="0"/>
        <w:jc w:val="both"/>
        <w:rPr>
          <w:rFonts w:ascii="Times New Roman" w:hAnsi="Times New Roman" w:cs="Times New Roman"/>
          <w:noProof/>
          <w:szCs w:val="16"/>
        </w:rPr>
      </w:pPr>
    </w:p>
    <w:p w:rsidR="0038140E" w:rsidRPr="00957F25" w:rsidP="0038140E">
      <w:pPr>
        <w:bidi w:val="0"/>
        <w:jc w:val="both"/>
        <w:rPr>
          <w:rFonts w:ascii="Times New Roman" w:hAnsi="Times New Roman" w:cs="Times New Roman"/>
          <w:i/>
          <w:iCs/>
        </w:rPr>
      </w:pPr>
      <w:r w:rsidRPr="00957F25">
        <w:rPr>
          <w:rFonts w:ascii="Times New Roman" w:hAnsi="Times New Roman" w:cs="Times New Roman"/>
          <w:i/>
          <w:iCs/>
        </w:rPr>
        <w:t>IBRD  - Medzinárodná banka pre obnovu a rozvoj – zvýšenie kapitálu</w:t>
      </w:r>
    </w:p>
    <w:p w:rsidR="0038140E" w:rsidRPr="009935CE" w:rsidP="0038140E">
      <w:pPr>
        <w:autoSpaceDE w:val="0"/>
        <w:autoSpaceDN w:val="0"/>
        <w:bidi w:val="0"/>
        <w:adjustRightInd w:val="0"/>
        <w:spacing w:line="240" w:lineRule="atLeast"/>
        <w:jc w:val="both"/>
        <w:rPr>
          <w:rFonts w:ascii="Times New Roman" w:hAnsi="Times New Roman" w:cs="Times New Roman"/>
        </w:rPr>
      </w:pPr>
      <w:r w:rsidRPr="009935CE">
        <w:rPr>
          <w:rFonts w:ascii="Times New Roman" w:hAnsi="Times New Roman" w:cs="Times New Roman"/>
        </w:rPr>
        <w:t xml:space="preserve">Vláda SR uznesením č. 718 zo dňa 20. októbra 2010 schválila návrh na účasť Slovenskej republiky na všeobecnom navýšení kapitálu Medzinárodnej banky pre obnovu a rozvoj. Dôvodom na navýšenie boli a sú predovšetkým zvýšené požiadavky na poskytovanie finančných zdrojov IBRD z dôvodu globálnej finančnej a hospodárskej krízy. </w:t>
      </w:r>
      <w:r>
        <w:rPr>
          <w:rFonts w:ascii="Times New Roman" w:hAnsi="Times New Roman" w:cs="Times New Roman"/>
        </w:rPr>
        <w:t>Ú</w:t>
      </w:r>
      <w:r w:rsidRPr="009935CE">
        <w:rPr>
          <w:rFonts w:ascii="Times New Roman" w:hAnsi="Times New Roman" w:cs="Times New Roman"/>
        </w:rPr>
        <w:t xml:space="preserve">hrada zvýšenia kapitálu </w:t>
      </w:r>
      <w:r>
        <w:rPr>
          <w:rFonts w:ascii="Times New Roman" w:hAnsi="Times New Roman" w:cs="Times New Roman"/>
        </w:rPr>
        <w:t xml:space="preserve">sa </w:t>
      </w:r>
      <w:r w:rsidRPr="009935CE">
        <w:rPr>
          <w:rFonts w:ascii="Times New Roman" w:hAnsi="Times New Roman" w:cs="Times New Roman"/>
        </w:rPr>
        <w:t>uskutoční v roku 2015 v celkovej výške 6</w:t>
      </w:r>
      <w:r>
        <w:rPr>
          <w:rFonts w:ascii="Times New Roman" w:hAnsi="Times New Roman" w:cs="Times New Roman"/>
        </w:rPr>
        <w:t> </w:t>
      </w:r>
      <w:r w:rsidRPr="009935CE">
        <w:rPr>
          <w:rFonts w:ascii="Times New Roman" w:hAnsi="Times New Roman" w:cs="Times New Roman"/>
        </w:rPr>
        <w:t>217</w:t>
      </w:r>
      <w:r>
        <w:rPr>
          <w:rFonts w:ascii="Times New Roman" w:hAnsi="Times New Roman" w:cs="Times New Roman"/>
        </w:rPr>
        <w:t>,5 tis. eur</w:t>
      </w:r>
      <w:r w:rsidRPr="009935CE">
        <w:rPr>
          <w:rFonts w:ascii="Times New Roman" w:hAnsi="Times New Roman" w:cs="Times New Roman"/>
        </w:rPr>
        <w:t>. Výdavok je možné vykázať ako oficiálna rozvojová pomoc SR.</w:t>
      </w:r>
    </w:p>
    <w:p w:rsidR="0038140E" w:rsidRPr="00CF183F" w:rsidP="0038140E">
      <w:pPr>
        <w:bidi w:val="0"/>
        <w:jc w:val="both"/>
        <w:rPr>
          <w:rFonts w:ascii="Times New Roman" w:hAnsi="Times New Roman" w:cs="Times New Roman"/>
          <w:szCs w:val="16"/>
        </w:rPr>
      </w:pPr>
    </w:p>
    <w:p w:rsidR="0038140E" w:rsidRPr="00957F25" w:rsidP="0038140E">
      <w:pPr>
        <w:bidi w:val="0"/>
        <w:jc w:val="both"/>
        <w:rPr>
          <w:rFonts w:ascii="Times New Roman" w:hAnsi="Times New Roman" w:cs="Times New Roman"/>
        </w:rPr>
      </w:pPr>
      <w:r w:rsidRPr="00957F25">
        <w:rPr>
          <w:rFonts w:ascii="Times New Roman" w:hAnsi="Times New Roman" w:cs="Times New Roman"/>
        </w:rPr>
        <w:t>Vyššie uvedené výdavkové titulu, ktoré budú hradené zo štátnych finančných aktív vyplývajú z členstva Slovenskej republiky v rámci skupiny Svetovej banky (World Bank Group), ktorej súčasťou sú Medzinárodná banka pre obnovu a rozvoj (IBRD), Medzinárodné združenie pre rozvoj (IDA), Medzinárodná finančná korporácia (IFC), Mnohostranná agentúra pre investičné záruky (MIGA) a Medzinárodné centrum pre riešenie investičných sporov (ICSID).</w:t>
      </w:r>
    </w:p>
    <w:p w:rsidR="0038140E" w:rsidRPr="00CF183F" w:rsidP="0038140E">
      <w:pPr>
        <w:bidi w:val="0"/>
        <w:rPr>
          <w:rFonts w:ascii="Times New Roman" w:hAnsi="Times New Roman" w:cs="Times New Roman"/>
          <w:szCs w:val="16"/>
        </w:rPr>
      </w:pPr>
    </w:p>
    <w:p w:rsidR="0038140E" w:rsidRPr="00957F25" w:rsidP="0038140E">
      <w:pPr>
        <w:bidi w:val="0"/>
        <w:jc w:val="both"/>
        <w:rPr>
          <w:rFonts w:ascii="Times New Roman" w:hAnsi="Times New Roman" w:cs="Times New Roman"/>
          <w:i/>
          <w:iCs/>
        </w:rPr>
      </w:pPr>
      <w:r w:rsidRPr="00957F25">
        <w:rPr>
          <w:rFonts w:ascii="Times New Roman" w:hAnsi="Times New Roman" w:cs="Times New Roman"/>
          <w:i/>
          <w:iCs/>
        </w:rPr>
        <w:t>EIB - Európska investičná banka - poskytnutie záruky SR v prospech EIB na základe záručnej zmluvy</w:t>
      </w:r>
    </w:p>
    <w:p w:rsidR="0038140E" w:rsidP="0038140E">
      <w:pPr>
        <w:autoSpaceDE w:val="0"/>
        <w:autoSpaceDN w:val="0"/>
        <w:bidi w:val="0"/>
        <w:spacing w:line="240" w:lineRule="atLeast"/>
        <w:jc w:val="both"/>
        <w:rPr>
          <w:rFonts w:ascii="Times New Roman" w:hAnsi="Times New Roman" w:cs="Times New Roman"/>
        </w:rPr>
      </w:pPr>
      <w:bookmarkEnd w:id="81"/>
      <w:r w:rsidRPr="009935CE">
        <w:rPr>
          <w:rFonts w:ascii="Times New Roman" w:hAnsi="Times New Roman" w:cs="Times New Roman"/>
        </w:rPr>
        <w:t>Vláda SR uznesením č. 606 z 10. septembra 2008 súhlasila s uzatvorením Záručnej zmluvy medzi členskými štátmi EIB a EIB ohľadom úverov, ktoré poskytne EIB v prospech investičných projektov v štátoch Afriky, Karibiku a Tichomoria a v zámorských krajinách a územiach. SR poskytne na základe tejto záručnej zmluvy záruku v prospech EIB. Očakávaná čistá angažovanosť SR z titulu uplatnených záruk predstavuje sumy vo výške 401</w:t>
      </w:r>
      <w:r>
        <w:rPr>
          <w:rFonts w:ascii="Times New Roman" w:hAnsi="Times New Roman" w:cs="Times New Roman"/>
        </w:rPr>
        <w:t>,</w:t>
      </w:r>
      <w:r w:rsidRPr="009935CE">
        <w:rPr>
          <w:rFonts w:ascii="Times New Roman" w:hAnsi="Times New Roman" w:cs="Times New Roman"/>
        </w:rPr>
        <w:t>9</w:t>
      </w:r>
      <w:r>
        <w:rPr>
          <w:rFonts w:ascii="Times New Roman" w:hAnsi="Times New Roman" w:cs="Times New Roman"/>
        </w:rPr>
        <w:t xml:space="preserve"> tis. eur</w:t>
      </w:r>
      <w:r w:rsidRPr="009935CE">
        <w:rPr>
          <w:rFonts w:ascii="Times New Roman" w:hAnsi="Times New Roman" w:cs="Times New Roman"/>
        </w:rPr>
        <w:t xml:space="preserve"> v roku 2013, vo výške 476</w:t>
      </w:r>
      <w:r>
        <w:rPr>
          <w:rFonts w:ascii="Times New Roman" w:hAnsi="Times New Roman" w:cs="Times New Roman"/>
        </w:rPr>
        <w:t xml:space="preserve"> tis. eur</w:t>
      </w:r>
      <w:r w:rsidRPr="009935CE">
        <w:rPr>
          <w:rFonts w:ascii="Times New Roman" w:hAnsi="Times New Roman" w:cs="Times New Roman"/>
        </w:rPr>
        <w:t xml:space="preserve"> v roku 2014 a vo výške 47</w:t>
      </w:r>
      <w:r>
        <w:rPr>
          <w:rFonts w:ascii="Times New Roman" w:hAnsi="Times New Roman" w:cs="Times New Roman"/>
        </w:rPr>
        <w:t>9 tis. eur</w:t>
      </w:r>
      <w:r w:rsidRPr="009935CE">
        <w:rPr>
          <w:rFonts w:ascii="Times New Roman" w:hAnsi="Times New Roman" w:cs="Times New Roman"/>
        </w:rPr>
        <w:t xml:space="preserve"> v roku 2015. Tieto prostriedky predstavujú aktíva SR a budú úročené do okamihu uplatnenia záruky. Výdavky sú vykazované ako oficiálna rozvojová pomoc SR.</w:t>
      </w:r>
    </w:p>
    <w:p w:rsidR="0038140E" w:rsidRPr="00CF183F" w:rsidP="0038140E">
      <w:pPr>
        <w:autoSpaceDE w:val="0"/>
        <w:autoSpaceDN w:val="0"/>
        <w:bidi w:val="0"/>
        <w:spacing w:line="240" w:lineRule="atLeast"/>
        <w:jc w:val="both"/>
        <w:rPr>
          <w:rFonts w:ascii="Times New Roman" w:hAnsi="Times New Roman" w:cs="Times New Roman"/>
          <w:szCs w:val="16"/>
        </w:rPr>
      </w:pPr>
    </w:p>
    <w:p w:rsidR="0038140E" w:rsidRPr="00A778E6" w:rsidP="0038140E">
      <w:pPr>
        <w:autoSpaceDE w:val="0"/>
        <w:autoSpaceDN w:val="0"/>
        <w:bidi w:val="0"/>
        <w:spacing w:line="240" w:lineRule="atLeast"/>
        <w:jc w:val="both"/>
        <w:rPr>
          <w:rFonts w:ascii="Times New Roman" w:hAnsi="Times New Roman" w:cs="Times New Roman"/>
          <w:i/>
          <w:iCs/>
        </w:rPr>
      </w:pPr>
      <w:r w:rsidRPr="00A778E6">
        <w:rPr>
          <w:rFonts w:ascii="Times New Roman" w:hAnsi="Times New Roman" w:cs="Times New Roman"/>
          <w:i/>
          <w:iCs/>
        </w:rPr>
        <w:t>EIB – Európska investičná banka – zvýšenie základného imania</w:t>
      </w:r>
    </w:p>
    <w:p w:rsidR="0038140E" w:rsidRPr="009C3B8E" w:rsidP="0038140E">
      <w:pPr>
        <w:bidi w:val="0"/>
        <w:jc w:val="both"/>
        <w:rPr>
          <w:rFonts w:ascii="Times New Roman" w:hAnsi="Times New Roman" w:cs="Times New Roman"/>
        </w:rPr>
      </w:pPr>
      <w:r w:rsidRPr="009C3B8E">
        <w:rPr>
          <w:rFonts w:ascii="Times New Roman" w:hAnsi="Times New Roman" w:cs="Times New Roman"/>
        </w:rPr>
        <w:t xml:space="preserve">Na rokovaní Európskej rady, ktoré sa uskutočnilo 28. a 29. júna 2012 v Bruseli a následne rozhodnutím Rady riaditeľov EIB z 3. septembra 2012 bolo schválené zvýšenie základného imania EIB o 10 mld. </w:t>
      </w:r>
      <w:r>
        <w:rPr>
          <w:rFonts w:ascii="Times New Roman" w:hAnsi="Times New Roman" w:cs="Times New Roman"/>
        </w:rPr>
        <w:t>eur</w:t>
      </w:r>
      <w:r w:rsidRPr="009C3B8E">
        <w:rPr>
          <w:rFonts w:ascii="Times New Roman" w:hAnsi="Times New Roman" w:cs="Times New Roman"/>
        </w:rPr>
        <w:t>. Celkový navrhovaný podiel SR na zvýšenom základnom imaní EIB je vo výške 25</w:t>
      </w:r>
      <w:r>
        <w:rPr>
          <w:rFonts w:ascii="Times New Roman" w:hAnsi="Times New Roman" w:cs="Times New Roman"/>
        </w:rPr>
        <w:t> </w:t>
      </w:r>
      <w:r w:rsidRPr="009C3B8E">
        <w:rPr>
          <w:rFonts w:ascii="Times New Roman" w:hAnsi="Times New Roman" w:cs="Times New Roman"/>
        </w:rPr>
        <w:t>999</w:t>
      </w:r>
      <w:r>
        <w:rPr>
          <w:rFonts w:ascii="Times New Roman" w:hAnsi="Times New Roman" w:cs="Times New Roman"/>
        </w:rPr>
        <w:t>,</w:t>
      </w:r>
      <w:r w:rsidRPr="009C3B8E">
        <w:rPr>
          <w:rFonts w:ascii="Times New Roman" w:hAnsi="Times New Roman" w:cs="Times New Roman"/>
        </w:rPr>
        <w:t>5</w:t>
      </w:r>
      <w:r>
        <w:rPr>
          <w:rFonts w:ascii="Times New Roman" w:hAnsi="Times New Roman" w:cs="Times New Roman"/>
        </w:rPr>
        <w:t xml:space="preserve"> tis. eur</w:t>
      </w:r>
      <w:r w:rsidRPr="009C3B8E">
        <w:rPr>
          <w:rFonts w:ascii="Times New Roman" w:hAnsi="Times New Roman" w:cs="Times New Roman"/>
        </w:rPr>
        <w:t xml:space="preserve"> (ako distribučný kľúč je použitý podiel členskej krajiny na základnom imaní EIB, pričom podiel SR na základnom imaním EIB je 0,260 %). Podiel SR na zvýšenom základnom imaní EIB bude splatený v troch splátkach v rokoch 2013 </w:t>
      </w:r>
      <w:r w:rsidR="00A72F8B">
        <w:rPr>
          <w:rFonts w:ascii="Times New Roman" w:hAnsi="Times New Roman" w:cs="Times New Roman"/>
        </w:rPr>
        <w:t>až</w:t>
      </w:r>
      <w:r w:rsidRPr="009C3B8E">
        <w:rPr>
          <w:rFonts w:ascii="Times New Roman" w:hAnsi="Times New Roman" w:cs="Times New Roman"/>
        </w:rPr>
        <w:t xml:space="preserve"> 2015. V tejto súvislosti </w:t>
      </w:r>
      <w:r>
        <w:rPr>
          <w:rFonts w:ascii="Times New Roman" w:hAnsi="Times New Roman" w:cs="Times New Roman"/>
        </w:rPr>
        <w:t xml:space="preserve">sa </w:t>
      </w:r>
      <w:r w:rsidRPr="009C3B8E">
        <w:rPr>
          <w:rFonts w:ascii="Times New Roman" w:hAnsi="Times New Roman" w:cs="Times New Roman"/>
        </w:rPr>
        <w:t xml:space="preserve">navrhuje v rámci štátnych finančných aktív vyčleniť finančné prostriedky na úhradu podielu SR na zvýšenom základnom imaní EIB v roku 2013 vo výške </w:t>
      </w:r>
      <w:r w:rsidR="00A72F8B">
        <w:rPr>
          <w:rFonts w:ascii="Times New Roman" w:hAnsi="Times New Roman" w:cs="Times New Roman"/>
        </w:rPr>
        <w:br/>
      </w:r>
      <w:r w:rsidRPr="009C3B8E">
        <w:rPr>
          <w:rFonts w:ascii="Times New Roman" w:hAnsi="Times New Roman" w:cs="Times New Roman"/>
        </w:rPr>
        <w:t>12</w:t>
      </w:r>
      <w:r>
        <w:rPr>
          <w:rFonts w:ascii="Times New Roman" w:hAnsi="Times New Roman" w:cs="Times New Roman"/>
        </w:rPr>
        <w:t> </w:t>
      </w:r>
      <w:r w:rsidRPr="009C3B8E">
        <w:rPr>
          <w:rFonts w:ascii="Times New Roman" w:hAnsi="Times New Roman" w:cs="Times New Roman"/>
        </w:rPr>
        <w:t>999</w:t>
      </w:r>
      <w:r>
        <w:rPr>
          <w:rFonts w:ascii="Times New Roman" w:hAnsi="Times New Roman" w:cs="Times New Roman"/>
        </w:rPr>
        <w:t>,8 tis. eur</w:t>
      </w:r>
      <w:r w:rsidRPr="009C3B8E">
        <w:rPr>
          <w:rFonts w:ascii="Times New Roman" w:hAnsi="Times New Roman" w:cs="Times New Roman"/>
        </w:rPr>
        <w:t xml:space="preserve"> a v rokoch 2014 a 2015 vo výške 6</w:t>
      </w:r>
      <w:r>
        <w:rPr>
          <w:rFonts w:ascii="Times New Roman" w:hAnsi="Times New Roman" w:cs="Times New Roman"/>
        </w:rPr>
        <w:t> </w:t>
      </w:r>
      <w:r w:rsidRPr="009C3B8E">
        <w:rPr>
          <w:rFonts w:ascii="Times New Roman" w:hAnsi="Times New Roman" w:cs="Times New Roman"/>
        </w:rPr>
        <w:t>499</w:t>
      </w:r>
      <w:r>
        <w:rPr>
          <w:rFonts w:ascii="Times New Roman" w:hAnsi="Times New Roman" w:cs="Times New Roman"/>
        </w:rPr>
        <w:t>,9 tis. eur roč</w:t>
      </w:r>
      <w:r w:rsidRPr="009C3B8E">
        <w:rPr>
          <w:rFonts w:ascii="Times New Roman" w:hAnsi="Times New Roman" w:cs="Times New Roman"/>
        </w:rPr>
        <w:t>ne.</w:t>
      </w:r>
    </w:p>
    <w:p w:rsidR="0038140E" w:rsidRPr="00CF183F" w:rsidP="0038140E">
      <w:pPr>
        <w:bidi w:val="0"/>
        <w:jc w:val="both"/>
        <w:rPr>
          <w:rFonts w:ascii="Times New Roman" w:hAnsi="Times New Roman" w:cs="Times New Roman"/>
          <w:szCs w:val="16"/>
        </w:rPr>
      </w:pPr>
    </w:p>
    <w:p w:rsidR="0038140E" w:rsidRPr="004E6709" w:rsidP="0038140E">
      <w:pPr>
        <w:bidi w:val="0"/>
        <w:jc w:val="both"/>
        <w:rPr>
          <w:rFonts w:ascii="Times New Roman" w:hAnsi="Times New Roman" w:cs="Times New Roman"/>
        </w:rPr>
      </w:pPr>
      <w:r>
        <w:rPr>
          <w:rFonts w:ascii="Times New Roman" w:hAnsi="Times New Roman" w:cs="Times New Roman"/>
        </w:rPr>
        <w:t>5</w:t>
      </w:r>
      <w:r w:rsidRPr="000667A1">
        <w:rPr>
          <w:rFonts w:ascii="Times New Roman" w:hAnsi="Times New Roman" w:cs="Times New Roman"/>
        </w:rPr>
        <w:t>.2.3</w:t>
      </w:r>
      <w:r w:rsidRPr="004E6709">
        <w:rPr>
          <w:rFonts w:ascii="Times New Roman" w:hAnsi="Times New Roman" w:cs="Times New Roman"/>
        </w:rPr>
        <w:t>.  </w:t>
      </w:r>
      <w:r w:rsidRPr="004E6709" w:rsidR="004E6709">
        <w:rPr>
          <w:rFonts w:ascii="Times New Roman" w:hAnsi="Times New Roman" w:cs="Times New Roman"/>
        </w:rPr>
        <w:t xml:space="preserve">Európsky mechanizmus pre stabilitu (ďalej len "EMS") patrí do druhej generácie protikrízových opatrení, ktorých cieľom je udržanie finančnej stability v eurozóne. EMS ako permanentný mechanizmus nahradí Európsky finančný stabilizačný nástroj (EFSF), ktorý ukončí poskytovanie finančnej pomoci v júli 2013. Zmluva, ktorou sa zriaďuje EMS nadobudla platnosť pre všetky členské štáty mechanizmu 27. septembra 2012 a EMS oficiálne vznikol 8. októbra 2012, kedy sa uskutočnilo inauguračné stretnutie všetkých členských štátov mechanizmu. EMS je medzivládna organizácia založená na základe medzivládnej zmluvy krajín eurozóny. EMS bude disponovať základným imaním vo výške 700 mld. eur, z toho </w:t>
      </w:r>
      <w:r w:rsidR="004E6709">
        <w:rPr>
          <w:rFonts w:ascii="Times New Roman" w:hAnsi="Times New Roman" w:cs="Times New Roman"/>
        </w:rPr>
        <w:br/>
      </w:r>
      <w:r w:rsidRPr="004E6709" w:rsidR="004E6709">
        <w:rPr>
          <w:rFonts w:ascii="Times New Roman" w:hAnsi="Times New Roman" w:cs="Times New Roman"/>
        </w:rPr>
        <w:t>80 mld. eur bude vo forme splatených akcií a zvyšných 620 mld. eur vo forme akcií splatných na vyzvanie. Podiel Slovenskej republiky na imaní vo forme splatných akcií predstavuje 659,2 mil. eur. Splácanie majetkovej účasti bolo pôvodne rozdelené na obdobie piatich rokov s tým, že v každom roku mala Slovenská republika postupne uhradiť 131,84 mil. eur, avšak na rokovaní Eurogroup Working Group, ktoré sa konalo dňa 29. februára 2012 bol navrhnutý postup zrýchleného splácania základného imania, ktorý bol schválený na neformálnom stretnutí Euroskupiny 12. marca 2012. Slovenská republika splatí podiel na základnom imaní v zrýchlenej forme nasledovne: prvé dve splátky v roku 2012, tretiu a štvrtú splátku v prvej polovici roku 2013 a poslednú splátku vo výške 131,84 mil. eur v prvom polroku 2014.</w:t>
      </w:r>
    </w:p>
    <w:p w:rsidR="0038140E" w:rsidRPr="00035016" w:rsidP="00D1245B">
      <w:pPr>
        <w:bidi w:val="0"/>
        <w:jc w:val="both"/>
        <w:rPr>
          <w:rFonts w:ascii="Times New Roman" w:hAnsi="Times New Roman" w:cs="Times New Roman"/>
        </w:rPr>
      </w:pPr>
    </w:p>
    <w:p w:rsidR="00D1245B" w:rsidRPr="001E6CC2" w:rsidP="00D1245B">
      <w:pPr>
        <w:pStyle w:val="Heading1"/>
        <w:bidi w:val="0"/>
        <w:spacing w:before="0" w:after="0"/>
        <w:rPr>
          <w:rFonts w:ascii="Times New Roman" w:hAnsi="Times New Roman" w:cs="Times New Roman"/>
          <w:sz w:val="28"/>
          <w:szCs w:val="24"/>
        </w:rPr>
      </w:pPr>
      <w:bookmarkStart w:id="82" w:name="_Toc337237761"/>
      <w:r>
        <w:rPr>
          <w:rFonts w:ascii="Times New Roman" w:hAnsi="Times New Roman" w:cs="Times New Roman"/>
          <w:sz w:val="28"/>
          <w:szCs w:val="24"/>
        </w:rPr>
        <w:t>6</w:t>
      </w:r>
      <w:r w:rsidRPr="001E6CC2">
        <w:rPr>
          <w:rFonts w:ascii="Times New Roman" w:hAnsi="Times New Roman" w:cs="Times New Roman"/>
          <w:sz w:val="28"/>
          <w:szCs w:val="24"/>
        </w:rPr>
        <w:t xml:space="preserve">. </w:t>
      </w:r>
      <w:bookmarkStart w:id="83" w:name="_Toc282686550"/>
      <w:bookmarkStart w:id="84" w:name="_Toc300912268"/>
      <w:r w:rsidRPr="001E6CC2">
        <w:rPr>
          <w:rFonts w:ascii="Times New Roman" w:hAnsi="Times New Roman" w:cs="Times New Roman"/>
          <w:sz w:val="28"/>
          <w:szCs w:val="24"/>
        </w:rPr>
        <w:t>Štátny rozpočet v metodike ESA 95</w:t>
      </w:r>
      <w:bookmarkEnd w:id="82"/>
      <w:bookmarkEnd w:id="83"/>
      <w:bookmarkEnd w:id="84"/>
    </w:p>
    <w:p w:rsidR="00CF183F" w:rsidP="0038140E">
      <w:pPr>
        <w:pStyle w:val="Zarkazkladnhotextu2"/>
        <w:bidi w:val="0"/>
        <w:spacing w:after="0"/>
        <w:ind w:left="0" w:firstLine="708"/>
        <w:jc w:val="both"/>
        <w:rPr>
          <w:rFonts w:ascii="Times New Roman" w:hAnsi="Times New Roman" w:cs="Times New Roman"/>
        </w:rPr>
      </w:pPr>
    </w:p>
    <w:p w:rsidR="0059702E" w:rsidRPr="001E6CC2" w:rsidP="0059702E">
      <w:pPr>
        <w:pStyle w:val="Zarkazkladnhotextu2"/>
        <w:bidi w:val="0"/>
        <w:ind w:left="0" w:firstLine="709"/>
        <w:jc w:val="both"/>
        <w:rPr>
          <w:rFonts w:ascii="Times New Roman" w:hAnsi="Times New Roman" w:cs="Times New Roman"/>
        </w:rPr>
      </w:pPr>
      <w:r w:rsidRPr="001E6CC2" w:rsidR="0038140E">
        <w:rPr>
          <w:rFonts w:ascii="Times New Roman" w:hAnsi="Times New Roman" w:cs="Times New Roman"/>
        </w:rPr>
        <w:t xml:space="preserve">Na schodok štátneho rozpočtu na hotovostnom princípe majú vplyv modifikujúce faktory, ktoré predstavujú najmä rozdiel medzi rozpočtovaním na hotovostnom a na akruálnom princípe (metodika ESA 95). Modifikujúce faktory tvoria hlavne saldo rozpočtových operácií štátnych finančných aktív bez finančných operácií a zahrnutie položiek časového rozlíšenia daňových príjmov a úrokov súvisiacich s obsluhou štátneho dlhu. </w:t>
      </w:r>
    </w:p>
    <w:tbl>
      <w:tblPr>
        <w:tblStyle w:val="TableNormal"/>
        <w:tblW w:w="9110" w:type="dxa"/>
        <w:jc w:val="center"/>
        <w:tblInd w:w="605" w:type="dxa"/>
        <w:tblCellMar>
          <w:left w:w="70" w:type="dxa"/>
          <w:right w:w="70" w:type="dxa"/>
        </w:tblCellMar>
        <w:tblLook w:val="04A0"/>
      </w:tblPr>
      <w:tblGrid>
        <w:gridCol w:w="3370"/>
        <w:gridCol w:w="820"/>
        <w:gridCol w:w="820"/>
        <w:gridCol w:w="820"/>
        <w:gridCol w:w="820"/>
        <w:gridCol w:w="820"/>
        <w:gridCol w:w="820"/>
        <w:gridCol w:w="820"/>
      </w:tblGrid>
      <w:tr>
        <w:tblPrEx>
          <w:tblW w:w="9110" w:type="dxa"/>
          <w:jc w:val="center"/>
          <w:tblInd w:w="605" w:type="dxa"/>
          <w:tblCellMar>
            <w:left w:w="70" w:type="dxa"/>
            <w:right w:w="70" w:type="dxa"/>
          </w:tblCellMar>
          <w:tblLook w:val="04A0"/>
        </w:tblPrEx>
        <w:trPr>
          <w:trHeight w:val="255"/>
          <w:jc w:val="center"/>
        </w:trPr>
        <w:tc>
          <w:tcPr>
            <w:tcW w:w="3370"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top"/>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2010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2012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2012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2013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2015 N</w:t>
            </w:r>
          </w:p>
        </w:tc>
      </w:tr>
      <w:tr>
        <w:tblPrEx>
          <w:tblW w:w="9110" w:type="dxa"/>
          <w:jc w:val="center"/>
          <w:tblInd w:w="605" w:type="dxa"/>
          <w:tblCellMar>
            <w:left w:w="70" w:type="dxa"/>
            <w:right w:w="70" w:type="dxa"/>
          </w:tblCellMar>
          <w:tblLook w:val="04A0"/>
        </w:tblPrEx>
        <w:trPr>
          <w:trHeight w:val="255"/>
          <w:jc w:val="center"/>
        </w:trPr>
        <w:tc>
          <w:tcPr>
            <w:tcW w:w="337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8140E" w:rsidRPr="006B6D67" w:rsidP="007E349F">
            <w:pPr>
              <w:bidi w:val="0"/>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Modifikujúce faktory</w:t>
            </w:r>
            <w:r w:rsidRPr="006B6D67">
              <w:rPr>
                <w:rFonts w:ascii="Times New Roman" w:hAnsi="Times New Roman" w:cs="Times New Roman"/>
                <w:sz w:val="14"/>
                <w:szCs w:val="14"/>
                <w:lang w:eastAsia="sk-SK"/>
              </w:rPr>
              <w:t>, z toho:</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174 607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-252 327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136 282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-263 180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308 063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342 775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209 884</w:t>
            </w:r>
          </w:p>
        </w:tc>
      </w:tr>
      <w:tr>
        <w:tblPrEx>
          <w:tblW w:w="9110" w:type="dxa"/>
          <w:jc w:val="center"/>
          <w:tblInd w:w="605" w:type="dxa"/>
          <w:tblCellMar>
            <w:left w:w="70" w:type="dxa"/>
            <w:right w:w="70" w:type="dxa"/>
          </w:tblCellMar>
          <w:tblLook w:val="04A0"/>
        </w:tblPrEx>
        <w:trPr>
          <w:trHeight w:val="255"/>
          <w:jc w:val="center"/>
        </w:trPr>
        <w:tc>
          <w:tcPr>
            <w:tcW w:w="3370"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Saldo rozpočtových operácií ŠFA bez FO</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-74 582</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-27 191</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175 113</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261 625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352 840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245 503</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146 465</w:t>
            </w:r>
          </w:p>
        </w:tc>
      </w:tr>
      <w:tr>
        <w:tblPrEx>
          <w:tblW w:w="9110" w:type="dxa"/>
          <w:jc w:val="center"/>
          <w:tblInd w:w="605" w:type="dxa"/>
          <w:tblCellMar>
            <w:left w:w="70" w:type="dxa"/>
            <w:right w:w="70" w:type="dxa"/>
          </w:tblCellMar>
          <w:tblLook w:val="04A0"/>
        </w:tblPrEx>
        <w:trPr>
          <w:trHeight w:val="255"/>
          <w:jc w:val="center"/>
        </w:trPr>
        <w:tc>
          <w:tcPr>
            <w:tcW w:w="3370"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2. Vplyv čas. rozlíšenia platených úrokov</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-32 231</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-107 776</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119 309</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60 018</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-99 842</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-34 913</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-20 020</w:t>
            </w:r>
          </w:p>
        </w:tc>
      </w:tr>
      <w:tr>
        <w:tblPrEx>
          <w:tblW w:w="9110" w:type="dxa"/>
          <w:jc w:val="center"/>
          <w:tblInd w:w="605" w:type="dxa"/>
          <w:tblCellMar>
            <w:left w:w="70" w:type="dxa"/>
            <w:right w:w="70" w:type="dxa"/>
          </w:tblCellMar>
          <w:tblLook w:val="04A0"/>
        </w:tblPrEx>
        <w:trPr>
          <w:trHeight w:val="255"/>
          <w:jc w:val="center"/>
        </w:trPr>
        <w:tc>
          <w:tcPr>
            <w:tcW w:w="3370"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3. Časové rozlíšenie daňových príjmov</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151 514</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103 528</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-108 140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-71 125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55 065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132 185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83 439</w:t>
            </w:r>
          </w:p>
        </w:tc>
      </w:tr>
      <w:tr>
        <w:tblPrEx>
          <w:tblW w:w="9110" w:type="dxa"/>
          <w:jc w:val="center"/>
          <w:tblInd w:w="605" w:type="dxa"/>
          <w:tblCellMar>
            <w:left w:w="70" w:type="dxa"/>
            <w:right w:w="70" w:type="dxa"/>
          </w:tblCellMar>
          <w:tblLook w:val="04A0"/>
        </w:tblPrEx>
        <w:trPr>
          <w:trHeight w:val="255"/>
          <w:jc w:val="center"/>
        </w:trPr>
        <w:tc>
          <w:tcPr>
            <w:tcW w:w="3370"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4. Prevzatie záväzkov zdravotníckych zariadení</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-50 528</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-50 000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-50 000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r>
      <w:tr>
        <w:tblPrEx>
          <w:tblW w:w="9110" w:type="dxa"/>
          <w:jc w:val="center"/>
          <w:tblInd w:w="605" w:type="dxa"/>
          <w:tblCellMar>
            <w:left w:w="70" w:type="dxa"/>
            <w:right w:w="70" w:type="dxa"/>
          </w:tblCellMar>
          <w:tblLook w:val="04A0"/>
        </w:tblPrEx>
        <w:trPr>
          <w:trHeight w:val="255"/>
          <w:jc w:val="center"/>
        </w:trPr>
        <w:tc>
          <w:tcPr>
            <w:tcW w:w="3370"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5. Medziročná zmena stavu pohľadávok EÚ</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225 936</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60 035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-563 814</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r>
      <w:tr>
        <w:tblPrEx>
          <w:tblW w:w="9110" w:type="dxa"/>
          <w:jc w:val="center"/>
          <w:tblInd w:w="605" w:type="dxa"/>
          <w:tblCellMar>
            <w:left w:w="70" w:type="dxa"/>
            <w:right w:w="70" w:type="dxa"/>
          </w:tblCellMar>
          <w:tblLook w:val="04A0"/>
        </w:tblPrEx>
        <w:trPr>
          <w:trHeight w:val="255"/>
          <w:jc w:val="center"/>
        </w:trPr>
        <w:tc>
          <w:tcPr>
            <w:tcW w:w="3370"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6. Zmena stavu záväzkov štátu voči železnič</w:t>
            </w:r>
            <w:r>
              <w:rPr>
                <w:rFonts w:ascii="Times New Roman" w:hAnsi="Times New Roman" w:cs="Times New Roman"/>
                <w:sz w:val="14"/>
                <w:szCs w:val="14"/>
                <w:lang w:eastAsia="sk-SK"/>
              </w:rPr>
              <w:t>. spoločn.</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-424 557</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100 116</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r>
      <w:tr>
        <w:tblPrEx>
          <w:tblW w:w="9110" w:type="dxa"/>
          <w:jc w:val="center"/>
          <w:tblInd w:w="605" w:type="dxa"/>
          <w:tblCellMar>
            <w:left w:w="70" w:type="dxa"/>
            <w:right w:w="70" w:type="dxa"/>
          </w:tblCellMar>
          <w:tblLook w:val="04A0"/>
        </w:tblPrEx>
        <w:trPr>
          <w:trHeight w:val="255"/>
          <w:jc w:val="center"/>
        </w:trPr>
        <w:tc>
          <w:tcPr>
            <w:tcW w:w="3370"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7. Medziročná zmena stavu mimorozpočtových účtov</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-6 045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18 309</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r>
      <w:tr>
        <w:tblPrEx>
          <w:tblW w:w="9110" w:type="dxa"/>
          <w:jc w:val="center"/>
          <w:tblInd w:w="605" w:type="dxa"/>
          <w:tblCellMar>
            <w:left w:w="70" w:type="dxa"/>
            <w:right w:w="70" w:type="dxa"/>
          </w:tblCellMar>
          <w:tblLook w:val="04A0"/>
        </w:tblPrEx>
        <w:trPr>
          <w:trHeight w:val="255"/>
          <w:jc w:val="center"/>
        </w:trPr>
        <w:tc>
          <w:tcPr>
            <w:tcW w:w="3370"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8. Vylúčenie platby na DPH z PPP-R1</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173 639</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r>
      <w:tr>
        <w:tblPrEx>
          <w:tblW w:w="9110" w:type="dxa"/>
          <w:jc w:val="center"/>
          <w:tblInd w:w="605" w:type="dxa"/>
          <w:tblCellMar>
            <w:left w:w="70" w:type="dxa"/>
            <w:right w:w="70" w:type="dxa"/>
          </w:tblCellMar>
          <w:tblLook w:val="04A0"/>
        </w:tblPrEx>
        <w:trPr>
          <w:trHeight w:val="255"/>
          <w:jc w:val="center"/>
        </w:trPr>
        <w:tc>
          <w:tcPr>
            <w:tcW w:w="3370"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9. Ostatné úpravy</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-89 985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2 214</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r>
    </w:tbl>
    <w:p w:rsidR="0038140E" w:rsidRPr="00CF183F" w:rsidP="0038140E">
      <w:pPr>
        <w:bidi w:val="0"/>
        <w:jc w:val="both"/>
        <w:rPr>
          <w:rFonts w:ascii="Times New Roman" w:hAnsi="Times New Roman" w:cs="Times New Roman"/>
          <w:szCs w:val="16"/>
        </w:rPr>
      </w:pPr>
    </w:p>
    <w:p w:rsidR="0059702E" w:rsidRPr="00CF183F" w:rsidP="005643DB">
      <w:pPr>
        <w:bidi w:val="0"/>
        <w:spacing w:after="240"/>
        <w:jc w:val="both"/>
        <w:rPr>
          <w:rFonts w:ascii="Times New Roman" w:hAnsi="Times New Roman" w:cs="Times New Roman"/>
          <w:szCs w:val="16"/>
        </w:rPr>
      </w:pPr>
      <w:r w:rsidR="0038140E">
        <w:rPr>
          <w:rFonts w:ascii="Times New Roman" w:hAnsi="Times New Roman" w:cs="Times New Roman"/>
        </w:rPr>
        <w:t>6</w:t>
      </w:r>
      <w:r w:rsidRPr="001E6CC2" w:rsidR="0038140E">
        <w:rPr>
          <w:rFonts w:ascii="Times New Roman" w:hAnsi="Times New Roman" w:cs="Times New Roman"/>
        </w:rPr>
        <w:t>.1.</w:t>
        <w:tab/>
        <w:t xml:space="preserve">Saldo rozpočtových operácií štátnych finančných aktív bez finančných operácií je uvedené v predchádzajúcej časti </w:t>
      </w:r>
      <w:r w:rsidR="0038140E">
        <w:rPr>
          <w:rFonts w:ascii="Times New Roman" w:hAnsi="Times New Roman" w:cs="Times New Roman"/>
        </w:rPr>
        <w:t>5</w:t>
      </w:r>
      <w:r w:rsidRPr="001E6CC2" w:rsidR="0038140E">
        <w:rPr>
          <w:rFonts w:ascii="Times New Roman" w:hAnsi="Times New Roman" w:cs="Times New Roman"/>
        </w:rPr>
        <w:t>. Štátne finančné aktíva.</w:t>
      </w:r>
    </w:p>
    <w:p w:rsidR="0038140E" w:rsidP="0038140E">
      <w:pPr>
        <w:bidi w:val="0"/>
        <w:jc w:val="both"/>
        <w:rPr>
          <w:rFonts w:ascii="Times New Roman" w:hAnsi="Times New Roman" w:cs="Times New Roman"/>
        </w:rPr>
      </w:pPr>
      <w:r>
        <w:rPr>
          <w:rFonts w:ascii="Times New Roman" w:hAnsi="Times New Roman" w:cs="Times New Roman"/>
        </w:rPr>
        <w:t>6</w:t>
      </w:r>
      <w:r w:rsidRPr="001E6CC2">
        <w:rPr>
          <w:rFonts w:ascii="Times New Roman" w:hAnsi="Times New Roman" w:cs="Times New Roman"/>
        </w:rPr>
        <w:t>.2.</w:t>
        <w:tab/>
        <w:t xml:space="preserve">Položky časového rozlíšenia štátneho rozpočtu obsahujú vplyv časového rozlíšenia platených úrokov (rozdiel medzi objemom hotovostných a akruálnych úrokov) súvisiacich so štátnym dlhom. Očakávaný vývoj platených úrokov zobrazuje nasledovná tabuľka. </w:t>
      </w:r>
    </w:p>
    <w:p w:rsidR="005643DB" w:rsidP="0038140E">
      <w:pPr>
        <w:bidi w:val="0"/>
        <w:jc w:val="both"/>
        <w:rPr>
          <w:rFonts w:ascii="Times New Roman" w:hAnsi="Times New Roman" w:cs="Times New Roman"/>
        </w:rPr>
      </w:pPr>
    </w:p>
    <w:p w:rsidR="005643DB" w:rsidP="0038140E">
      <w:pPr>
        <w:bidi w:val="0"/>
        <w:jc w:val="both"/>
        <w:rPr>
          <w:rFonts w:ascii="Times New Roman" w:hAnsi="Times New Roman" w:cs="Times New Roman"/>
        </w:rPr>
      </w:pPr>
    </w:p>
    <w:p w:rsidR="005643DB" w:rsidP="0038140E">
      <w:pPr>
        <w:bidi w:val="0"/>
        <w:jc w:val="both"/>
        <w:rPr>
          <w:rFonts w:ascii="Times New Roman" w:hAnsi="Times New Roman" w:cs="Times New Roman"/>
        </w:rPr>
      </w:pPr>
    </w:p>
    <w:p w:rsidR="005643DB" w:rsidP="0038140E">
      <w:pPr>
        <w:bidi w:val="0"/>
        <w:jc w:val="both"/>
        <w:rPr>
          <w:rFonts w:ascii="Times New Roman" w:hAnsi="Times New Roman" w:cs="Times New Roman"/>
        </w:rPr>
      </w:pPr>
    </w:p>
    <w:p w:rsidR="005643DB" w:rsidP="0038140E">
      <w:pPr>
        <w:bidi w:val="0"/>
        <w:jc w:val="both"/>
        <w:rPr>
          <w:rFonts w:ascii="Times New Roman" w:hAnsi="Times New Roman" w:cs="Times New Roman"/>
        </w:rPr>
      </w:pPr>
    </w:p>
    <w:p w:rsidR="005643DB" w:rsidRPr="001E6CC2" w:rsidP="0038140E">
      <w:pPr>
        <w:bidi w:val="0"/>
        <w:jc w:val="both"/>
        <w:rPr>
          <w:rFonts w:ascii="Times New Roman" w:hAnsi="Times New Roman" w:cs="Times New Roman"/>
        </w:rPr>
      </w:pPr>
    </w:p>
    <w:p w:rsidR="0038140E" w:rsidRPr="00CF183F" w:rsidP="0038140E">
      <w:pPr>
        <w:bidi w:val="0"/>
        <w:jc w:val="both"/>
        <w:rPr>
          <w:rFonts w:ascii="Times New Roman" w:hAnsi="Times New Roman" w:cs="Times New Roman"/>
          <w:szCs w:val="16"/>
        </w:rPr>
      </w:pPr>
    </w:p>
    <w:tbl>
      <w:tblPr>
        <w:tblStyle w:val="TableNormal"/>
        <w:tblW w:w="9121" w:type="dxa"/>
        <w:jc w:val="center"/>
        <w:tblInd w:w="664" w:type="dxa"/>
        <w:tblCellMar>
          <w:left w:w="70" w:type="dxa"/>
          <w:right w:w="70" w:type="dxa"/>
        </w:tblCellMar>
        <w:tblLook w:val="04A0"/>
      </w:tblPr>
      <w:tblGrid>
        <w:gridCol w:w="851"/>
        <w:gridCol w:w="2530"/>
        <w:gridCol w:w="820"/>
        <w:gridCol w:w="820"/>
        <w:gridCol w:w="820"/>
        <w:gridCol w:w="820"/>
        <w:gridCol w:w="820"/>
        <w:gridCol w:w="820"/>
        <w:gridCol w:w="820"/>
      </w:tblGrid>
      <w:tr>
        <w:tblPrEx>
          <w:tblW w:w="9121" w:type="dxa"/>
          <w:jc w:val="center"/>
          <w:tblInd w:w="664" w:type="dxa"/>
          <w:tblCellMar>
            <w:left w:w="70" w:type="dxa"/>
            <w:right w:w="70" w:type="dxa"/>
          </w:tblCellMar>
          <w:tblLook w:val="04A0"/>
        </w:tblPrEx>
        <w:trPr>
          <w:trHeight w:val="420"/>
          <w:jc w:val="center"/>
        </w:trPr>
        <w:tc>
          <w:tcPr>
            <w:tcW w:w="3381" w:type="dxa"/>
            <w:gridSpan w:val="2"/>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38140E" w:rsidRPr="006B6D67" w:rsidP="007E349F">
            <w:pPr>
              <w:bidi w:val="0"/>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Platené úroky</w:t>
              <w:br/>
            </w:r>
            <w:r w:rsidRPr="006B6D67">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2010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2012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2012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2013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2015 N</w:t>
            </w:r>
          </w:p>
        </w:tc>
      </w:tr>
      <w:tr>
        <w:tblPrEx>
          <w:tblW w:w="9121" w:type="dxa"/>
          <w:jc w:val="center"/>
          <w:tblInd w:w="664" w:type="dxa"/>
          <w:tblCellMar>
            <w:left w:w="70" w:type="dxa"/>
            <w:right w:w="70" w:type="dxa"/>
          </w:tblCellMar>
          <w:tblLook w:val="04A0"/>
        </w:tblPrEx>
        <w:trPr>
          <w:trHeight w:val="255"/>
          <w:jc w:val="center"/>
        </w:trPr>
        <w:tc>
          <w:tcPr>
            <w:tcW w:w="851" w:type="dxa"/>
            <w:vMerge w:val="restart"/>
            <w:tcBorders>
              <w:top w:val="nil"/>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Hotovostný princíp</w:t>
            </w:r>
          </w:p>
        </w:tc>
        <w:tc>
          <w:tcPr>
            <w:tcW w:w="253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Štátny rozpočet</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864 075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1 006 647</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1 386 679</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1 349 888</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1 326 366</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1 517 326</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1 678 102</w:t>
            </w:r>
          </w:p>
        </w:tc>
      </w:tr>
      <w:tr>
        <w:tblPrEx>
          <w:tblW w:w="9121" w:type="dxa"/>
          <w:jc w:val="center"/>
          <w:tblInd w:w="664" w:type="dxa"/>
          <w:tblCellMar>
            <w:left w:w="70" w:type="dxa"/>
            <w:right w:w="70" w:type="dxa"/>
          </w:tblCellMar>
          <w:tblLook w:val="04A0"/>
        </w:tblPrEx>
        <w:trPr>
          <w:trHeight w:val="255"/>
          <w:jc w:val="center"/>
        </w:trPr>
        <w:tc>
          <w:tcPr>
            <w:tcW w:w="851" w:type="dxa"/>
            <w:vMerge/>
            <w:tcBorders>
              <w:top w:val="nil"/>
              <w:left w:val="single" w:sz="4" w:space="0" w:color="auto"/>
              <w:bottom w:val="single" w:sz="4" w:space="0" w:color="auto"/>
              <w:right w:val="single" w:sz="4" w:space="0" w:color="auto"/>
            </w:tcBorders>
            <w:textDirection w:val="lrTb"/>
            <w:vAlign w:val="center"/>
            <w:hideMark/>
          </w:tcPr>
          <w:p w:rsidR="0038140E" w:rsidRPr="006B6D67" w:rsidP="007E349F">
            <w:pPr>
              <w:bidi w:val="0"/>
              <w:rPr>
                <w:rFonts w:ascii="Times New Roman" w:hAnsi="Times New Roman" w:cs="Times New Roman"/>
                <w:sz w:val="14"/>
                <w:szCs w:val="14"/>
                <w:lang w:eastAsia="sk-SK"/>
              </w:rPr>
            </w:pPr>
          </w:p>
        </w:tc>
        <w:tc>
          <w:tcPr>
            <w:tcW w:w="253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Prostriedky získané z fin. oper. ARDAL</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8 460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14 405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28 662</w:t>
            </w:r>
          </w:p>
        </w:tc>
      </w:tr>
      <w:tr>
        <w:tblPrEx>
          <w:tblW w:w="9121" w:type="dxa"/>
          <w:jc w:val="center"/>
          <w:tblInd w:w="664" w:type="dxa"/>
          <w:tblCellMar>
            <w:left w:w="70" w:type="dxa"/>
            <w:right w:w="70" w:type="dxa"/>
          </w:tblCellMar>
          <w:tblLook w:val="04A0"/>
        </w:tblPrEx>
        <w:trPr>
          <w:trHeight w:val="255"/>
          <w:jc w:val="center"/>
        </w:trPr>
        <w:tc>
          <w:tcPr>
            <w:tcW w:w="851" w:type="dxa"/>
            <w:vMerge/>
            <w:tcBorders>
              <w:top w:val="nil"/>
              <w:left w:val="single" w:sz="4" w:space="0" w:color="auto"/>
              <w:bottom w:val="single" w:sz="4" w:space="0" w:color="auto"/>
              <w:right w:val="single" w:sz="4" w:space="0" w:color="auto"/>
            </w:tcBorders>
            <w:textDirection w:val="lrTb"/>
            <w:vAlign w:val="center"/>
            <w:hideMark/>
          </w:tcPr>
          <w:p w:rsidR="0038140E" w:rsidRPr="006B6D67" w:rsidP="007E349F">
            <w:pPr>
              <w:bidi w:val="0"/>
              <w:rPr>
                <w:rFonts w:ascii="Times New Roman" w:hAnsi="Times New Roman" w:cs="Times New Roman"/>
                <w:sz w:val="14"/>
                <w:szCs w:val="14"/>
                <w:lang w:eastAsia="sk-SK"/>
              </w:rPr>
            </w:pPr>
          </w:p>
        </w:tc>
        <w:tc>
          <w:tcPr>
            <w:tcW w:w="253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SPOLU</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864 075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1 006 647</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1 386 679</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1 349 888</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1 334 826</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1 531 731</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1 706 764</w:t>
            </w:r>
          </w:p>
        </w:tc>
      </w:tr>
      <w:tr>
        <w:tblPrEx>
          <w:tblW w:w="9121" w:type="dxa"/>
          <w:jc w:val="center"/>
          <w:tblInd w:w="664" w:type="dxa"/>
          <w:tblCellMar>
            <w:left w:w="70" w:type="dxa"/>
            <w:right w:w="70" w:type="dxa"/>
          </w:tblCellMar>
          <w:tblLook w:val="04A0"/>
        </w:tblPrEx>
        <w:trPr>
          <w:trHeight w:val="255"/>
          <w:jc w:val="center"/>
        </w:trPr>
        <w:tc>
          <w:tcPr>
            <w:tcW w:w="851" w:type="dxa"/>
            <w:vMerge w:val="restart"/>
            <w:tcBorders>
              <w:top w:val="nil"/>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Akruálny princíp</w:t>
            </w:r>
          </w:p>
        </w:tc>
        <w:tc>
          <w:tcPr>
            <w:tcW w:w="253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Štátny rozpočet</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896 306</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1 114 423</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1 267 370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1 289 870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1 426 208</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1 552 239</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1 698 122</w:t>
            </w:r>
          </w:p>
        </w:tc>
      </w:tr>
      <w:tr>
        <w:tblPrEx>
          <w:tblW w:w="9121" w:type="dxa"/>
          <w:jc w:val="center"/>
          <w:tblInd w:w="664" w:type="dxa"/>
          <w:tblCellMar>
            <w:left w:w="70" w:type="dxa"/>
            <w:right w:w="70" w:type="dxa"/>
          </w:tblCellMar>
          <w:tblLook w:val="04A0"/>
        </w:tblPrEx>
        <w:trPr>
          <w:trHeight w:val="255"/>
          <w:jc w:val="center"/>
        </w:trPr>
        <w:tc>
          <w:tcPr>
            <w:tcW w:w="851" w:type="dxa"/>
            <w:vMerge/>
            <w:tcBorders>
              <w:top w:val="nil"/>
              <w:left w:val="single" w:sz="4" w:space="0" w:color="auto"/>
              <w:bottom w:val="single" w:sz="4" w:space="0" w:color="auto"/>
              <w:right w:val="single" w:sz="4" w:space="0" w:color="auto"/>
            </w:tcBorders>
            <w:textDirection w:val="lrTb"/>
            <w:vAlign w:val="center"/>
            <w:hideMark/>
          </w:tcPr>
          <w:p w:rsidR="0038140E" w:rsidRPr="006B6D67" w:rsidP="007E349F">
            <w:pPr>
              <w:bidi w:val="0"/>
              <w:rPr>
                <w:rFonts w:ascii="Times New Roman" w:hAnsi="Times New Roman" w:cs="Times New Roman"/>
                <w:sz w:val="14"/>
                <w:szCs w:val="14"/>
                <w:lang w:eastAsia="sk-SK"/>
              </w:rPr>
            </w:pPr>
          </w:p>
        </w:tc>
        <w:tc>
          <w:tcPr>
            <w:tcW w:w="253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Prostriedky získané z fin. oper. ARDAL</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8 460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14 405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28 662</w:t>
            </w:r>
          </w:p>
        </w:tc>
      </w:tr>
      <w:tr>
        <w:tblPrEx>
          <w:tblW w:w="9121" w:type="dxa"/>
          <w:jc w:val="center"/>
          <w:tblInd w:w="664" w:type="dxa"/>
          <w:tblCellMar>
            <w:left w:w="70" w:type="dxa"/>
            <w:right w:w="70" w:type="dxa"/>
          </w:tblCellMar>
          <w:tblLook w:val="04A0"/>
        </w:tblPrEx>
        <w:trPr>
          <w:trHeight w:val="255"/>
          <w:jc w:val="center"/>
        </w:trPr>
        <w:tc>
          <w:tcPr>
            <w:tcW w:w="851" w:type="dxa"/>
            <w:vMerge/>
            <w:tcBorders>
              <w:top w:val="nil"/>
              <w:left w:val="single" w:sz="4" w:space="0" w:color="auto"/>
              <w:bottom w:val="single" w:sz="4" w:space="0" w:color="auto"/>
              <w:right w:val="single" w:sz="4" w:space="0" w:color="auto"/>
            </w:tcBorders>
            <w:textDirection w:val="lrTb"/>
            <w:vAlign w:val="center"/>
            <w:hideMark/>
          </w:tcPr>
          <w:p w:rsidR="0038140E" w:rsidRPr="006B6D67" w:rsidP="007E349F">
            <w:pPr>
              <w:bidi w:val="0"/>
              <w:rPr>
                <w:rFonts w:ascii="Times New Roman" w:hAnsi="Times New Roman" w:cs="Times New Roman"/>
                <w:sz w:val="14"/>
                <w:szCs w:val="14"/>
                <w:lang w:eastAsia="sk-SK"/>
              </w:rPr>
            </w:pPr>
          </w:p>
        </w:tc>
        <w:tc>
          <w:tcPr>
            <w:tcW w:w="253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SPOLU</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896 306</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1 114 423</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1 267 370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1 289 870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1 434 668</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1 566 644</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1 726 784</w:t>
            </w:r>
          </w:p>
        </w:tc>
      </w:tr>
      <w:tr>
        <w:tblPrEx>
          <w:tblW w:w="9121" w:type="dxa"/>
          <w:jc w:val="center"/>
          <w:tblInd w:w="664" w:type="dxa"/>
          <w:tblCellMar>
            <w:left w:w="70" w:type="dxa"/>
            <w:right w:w="70" w:type="dxa"/>
          </w:tblCellMar>
          <w:tblLook w:val="04A0"/>
        </w:tblPrEx>
        <w:trPr>
          <w:trHeight w:val="255"/>
          <w:jc w:val="center"/>
        </w:trPr>
        <w:tc>
          <w:tcPr>
            <w:tcW w:w="3381" w:type="dxa"/>
            <w:gridSpan w:val="2"/>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8140E" w:rsidRPr="006B6D67" w:rsidP="007E349F">
            <w:pPr>
              <w:bidi w:val="0"/>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Rozdiel</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-32 231</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-107 776</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119 309</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60 018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-99 842</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-34 913</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-20 020</w:t>
            </w:r>
          </w:p>
        </w:tc>
      </w:tr>
    </w:tbl>
    <w:p w:rsidR="0038140E" w:rsidRPr="000406BC" w:rsidP="0038140E">
      <w:pPr>
        <w:bidi w:val="0"/>
        <w:jc w:val="both"/>
        <w:rPr>
          <w:rFonts w:ascii="Times New Roman" w:hAnsi="Times New Roman" w:cs="Times New Roman"/>
          <w:color w:val="000000"/>
          <w:sz w:val="14"/>
          <w:szCs w:val="14"/>
        </w:rPr>
      </w:pPr>
      <w:r w:rsidRPr="000406BC">
        <w:rPr>
          <w:rFonts w:ascii="Times New Roman" w:hAnsi="Times New Roman" w:cs="Times New Roman"/>
          <w:color w:val="000000"/>
          <w:sz w:val="14"/>
          <w:szCs w:val="14"/>
        </w:rPr>
        <w:t>* V roku 2012 sa v zmysle zákona č. 291/2002 Z. z. o Štátnej pokladnici a o zmene a doplnení v znení neskorších predpisov pre efektívne fungovanie obsluhy Štátneho dlhu zriadil samostatný mimorozpočtový účet  (tzv. saldo účet Štátneho dlhu). Uvedený mimorozpočtový účet slúži pre príjmové aj výdavkové transakcie vykonávané ARDALom v mene MF SR. Stav mimorozpočtového účtu sa ku koncu mesiaca vyrovnáva transferom z výdavkového účtu Štátneho dlhu tak, aby koncom roka vykazoval nulový zostatok. </w:t>
      </w:r>
    </w:p>
    <w:p w:rsidR="005643DB" w:rsidP="0038140E">
      <w:pPr>
        <w:bidi w:val="0"/>
        <w:jc w:val="both"/>
        <w:rPr>
          <w:rFonts w:ascii="Times New Roman" w:hAnsi="Times New Roman" w:cs="Times New Roman"/>
        </w:rPr>
      </w:pPr>
    </w:p>
    <w:p w:rsidR="0038140E" w:rsidRPr="00324024" w:rsidP="0038140E">
      <w:pPr>
        <w:bidi w:val="0"/>
        <w:jc w:val="both"/>
        <w:rPr>
          <w:rFonts w:ascii="Times New Roman" w:hAnsi="Times New Roman" w:cs="Times New Roman"/>
        </w:rPr>
      </w:pPr>
      <w:r>
        <w:rPr>
          <w:rFonts w:ascii="Times New Roman" w:hAnsi="Times New Roman" w:cs="Times New Roman"/>
        </w:rPr>
        <w:t>6</w:t>
      </w:r>
      <w:r w:rsidRPr="00324024">
        <w:rPr>
          <w:rFonts w:ascii="Times New Roman" w:hAnsi="Times New Roman" w:cs="Times New Roman"/>
        </w:rPr>
        <w:t>.3.</w:t>
        <w:tab/>
        <w:t>Časové roz</w:t>
      </w:r>
      <w:r>
        <w:rPr>
          <w:rFonts w:ascii="Times New Roman" w:hAnsi="Times New Roman" w:cs="Times New Roman"/>
        </w:rPr>
        <w:t>líšenie daňových príjmov (časť 3</w:t>
      </w:r>
      <w:r w:rsidRPr="00324024">
        <w:rPr>
          <w:rFonts w:ascii="Times New Roman" w:hAnsi="Times New Roman" w:cs="Times New Roman"/>
        </w:rPr>
        <w:t>.</w:t>
      </w:r>
      <w:r>
        <w:rPr>
          <w:rFonts w:ascii="Times New Roman" w:hAnsi="Times New Roman" w:cs="Times New Roman"/>
        </w:rPr>
        <w:t>2</w:t>
      </w:r>
      <w:r w:rsidRPr="00324024">
        <w:rPr>
          <w:rFonts w:ascii="Times New Roman" w:hAnsi="Times New Roman" w:cs="Times New Roman"/>
        </w:rPr>
        <w:t>. Akruálne dane pre návrh rozpočtu verejnej správy na roky 2013 až 2015) je ďalším faktorom, ktorý ovplyvňuje schodok štátneho rozpočtu. Ide o rozdiel hotovostných a akruálnych daní, ako aj výdavkov určených na verejnoprospešný účel (2 %).</w:t>
      </w:r>
    </w:p>
    <w:p w:rsidR="0038140E" w:rsidRPr="00CF183F" w:rsidP="0038140E">
      <w:pPr>
        <w:bidi w:val="0"/>
        <w:jc w:val="both"/>
        <w:rPr>
          <w:rFonts w:ascii="Times New Roman" w:hAnsi="Times New Roman" w:cs="Times New Roman"/>
          <w:szCs w:val="16"/>
        </w:rPr>
      </w:pPr>
    </w:p>
    <w:tbl>
      <w:tblPr>
        <w:tblStyle w:val="TableNormal"/>
        <w:tblW w:w="9149" w:type="dxa"/>
        <w:jc w:val="center"/>
        <w:tblInd w:w="566" w:type="dxa"/>
        <w:tblCellMar>
          <w:left w:w="70" w:type="dxa"/>
          <w:right w:w="70" w:type="dxa"/>
        </w:tblCellMar>
        <w:tblLook w:val="04A0"/>
      </w:tblPr>
      <w:tblGrid>
        <w:gridCol w:w="3409"/>
        <w:gridCol w:w="820"/>
        <w:gridCol w:w="820"/>
        <w:gridCol w:w="820"/>
        <w:gridCol w:w="820"/>
        <w:gridCol w:w="820"/>
        <w:gridCol w:w="820"/>
        <w:gridCol w:w="820"/>
      </w:tblGrid>
      <w:tr>
        <w:tblPrEx>
          <w:tblW w:w="9149" w:type="dxa"/>
          <w:jc w:val="center"/>
          <w:tblInd w:w="566" w:type="dxa"/>
          <w:tblCellMar>
            <w:left w:w="70" w:type="dxa"/>
            <w:right w:w="70" w:type="dxa"/>
          </w:tblCellMar>
          <w:tblLook w:val="04A0"/>
        </w:tblPrEx>
        <w:trPr>
          <w:trHeight w:val="435"/>
          <w:jc w:val="center"/>
        </w:trPr>
        <w:tc>
          <w:tcPr>
            <w:tcW w:w="3409"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Daňové príjmy štátneho rozpočtu</w:t>
              <w:br/>
            </w:r>
            <w:r w:rsidRPr="001E50A6">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2010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2012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2012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2013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1E50A6" w:rsidP="007E349F">
            <w:pPr>
              <w:bidi w:val="0"/>
              <w:jc w:val="center"/>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2015 N</w:t>
            </w:r>
          </w:p>
        </w:tc>
      </w:tr>
      <w:tr>
        <w:tblPrEx>
          <w:tblW w:w="9149" w:type="dxa"/>
          <w:jc w:val="center"/>
          <w:tblInd w:w="566" w:type="dxa"/>
          <w:tblCellMar>
            <w:left w:w="70" w:type="dxa"/>
            <w:right w:w="70" w:type="dxa"/>
          </w:tblCellMar>
          <w:tblLook w:val="04A0"/>
        </w:tblPrEx>
        <w:trPr>
          <w:trHeight w:val="255"/>
          <w:jc w:val="center"/>
        </w:trPr>
        <w:tc>
          <w:tcPr>
            <w:tcW w:w="3409"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Akruálny princíp</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8 157 901</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8 845 597</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9 161 376</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8 671 973</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9 271 338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9 750 824</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10 339 557</w:t>
            </w:r>
          </w:p>
        </w:tc>
      </w:tr>
      <w:tr>
        <w:tblPrEx>
          <w:tblW w:w="9149" w:type="dxa"/>
          <w:jc w:val="center"/>
          <w:tblInd w:w="566" w:type="dxa"/>
          <w:tblCellMar>
            <w:left w:w="70" w:type="dxa"/>
            <w:right w:w="70" w:type="dxa"/>
          </w:tblCellMar>
          <w:tblLook w:val="04A0"/>
        </w:tblPrEx>
        <w:trPr>
          <w:trHeight w:val="255"/>
          <w:jc w:val="center"/>
        </w:trPr>
        <w:tc>
          <w:tcPr>
            <w:tcW w:w="3409"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Hotovostný princíp</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7 962 242</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8 700 099</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9 227 958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8 831 878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9 172 323</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9 578 890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10 213 448</w:t>
            </w:r>
          </w:p>
        </w:tc>
      </w:tr>
      <w:tr>
        <w:tblPrEx>
          <w:tblW w:w="9149" w:type="dxa"/>
          <w:jc w:val="center"/>
          <w:tblInd w:w="566" w:type="dxa"/>
          <w:tblCellMar>
            <w:left w:w="70" w:type="dxa"/>
            <w:right w:w="70" w:type="dxa"/>
          </w:tblCellMar>
          <w:tblLook w:val="04A0"/>
        </w:tblPrEx>
        <w:trPr>
          <w:trHeight w:val="255"/>
          <w:jc w:val="center"/>
        </w:trPr>
        <w:tc>
          <w:tcPr>
            <w:tcW w:w="3409"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1E50A6" w:rsidP="007E349F">
            <w:pPr>
              <w:bidi w:val="0"/>
              <w:rPr>
                <w:rFonts w:ascii="Times New Roman" w:hAnsi="Times New Roman" w:cs="Times New Roman"/>
                <w:sz w:val="14"/>
                <w:szCs w:val="14"/>
                <w:lang w:eastAsia="sk-SK"/>
              </w:rPr>
            </w:pPr>
            <w:r w:rsidRPr="001E50A6">
              <w:rPr>
                <w:rFonts w:ascii="Times New Roman" w:hAnsi="Times New Roman" w:cs="Times New Roman"/>
                <w:sz w:val="14"/>
                <w:szCs w:val="14"/>
                <w:lang w:eastAsia="sk-SK"/>
              </w:rPr>
              <w:t>Výdavky na verejnoprospešný účel</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44 145</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41 970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41 558</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43 342</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43 950</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39 749</w:t>
            </w:r>
          </w:p>
        </w:tc>
        <w:tc>
          <w:tcPr>
            <w:tcW w:w="820" w:type="dxa"/>
            <w:tcBorders>
              <w:top w:val="nil"/>
              <w:left w:val="nil"/>
              <w:bottom w:val="single" w:sz="4" w:space="0" w:color="auto"/>
              <w:right w:val="single" w:sz="4" w:space="0" w:color="auto"/>
            </w:tcBorders>
            <w:noWrap/>
            <w:textDirection w:val="lrTb"/>
            <w:vAlign w:val="center"/>
            <w:hideMark/>
          </w:tcPr>
          <w:p w:rsidR="0038140E" w:rsidRPr="001E50A6" w:rsidP="007E349F">
            <w:pPr>
              <w:bidi w:val="0"/>
              <w:jc w:val="right"/>
              <w:rPr>
                <w:rFonts w:ascii="Times New Roman" w:hAnsi="Times New Roman" w:cs="Times New Roman"/>
                <w:sz w:val="14"/>
                <w:szCs w:val="14"/>
                <w:lang w:eastAsia="sk-SK"/>
              </w:rPr>
            </w:pPr>
            <w:r w:rsidRPr="001E50A6">
              <w:rPr>
                <w:rFonts w:ascii="Times New Roman" w:hAnsi="Times New Roman" w:cs="Times New Roman"/>
                <w:sz w:val="14"/>
                <w:szCs w:val="14"/>
                <w:lang w:eastAsia="sk-SK"/>
              </w:rPr>
              <w:t>42 670</w:t>
            </w:r>
          </w:p>
        </w:tc>
      </w:tr>
      <w:tr>
        <w:tblPrEx>
          <w:tblW w:w="9149" w:type="dxa"/>
          <w:jc w:val="center"/>
          <w:tblInd w:w="566" w:type="dxa"/>
          <w:tblCellMar>
            <w:left w:w="70" w:type="dxa"/>
            <w:right w:w="70" w:type="dxa"/>
          </w:tblCellMar>
          <w:tblLook w:val="04A0"/>
        </w:tblPrEx>
        <w:trPr>
          <w:trHeight w:val="270"/>
          <w:jc w:val="center"/>
        </w:trPr>
        <w:tc>
          <w:tcPr>
            <w:tcW w:w="3409"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8140E" w:rsidRPr="001E50A6" w:rsidP="007E349F">
            <w:pPr>
              <w:bidi w:val="0"/>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Rozdiel</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151 514</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103 528</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-108 140</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-203 247</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55 065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132 185</w:t>
            </w:r>
          </w:p>
        </w:tc>
        <w:tc>
          <w:tcPr>
            <w:tcW w:w="820" w:type="dxa"/>
            <w:tcBorders>
              <w:top w:val="nil"/>
              <w:left w:val="nil"/>
              <w:bottom w:val="single" w:sz="4" w:space="0" w:color="auto"/>
              <w:right w:val="single" w:sz="4" w:space="0" w:color="auto"/>
            </w:tcBorders>
            <w:shd w:val="clear" w:color="000000" w:fill="BFBFBF"/>
            <w:noWrap/>
            <w:textDirection w:val="lrTb"/>
            <w:vAlign w:val="center"/>
            <w:hideMark/>
          </w:tcPr>
          <w:p w:rsidR="0038140E" w:rsidRPr="001E50A6" w:rsidP="007E349F">
            <w:pPr>
              <w:bidi w:val="0"/>
              <w:jc w:val="right"/>
              <w:rPr>
                <w:rFonts w:ascii="Times New Roman" w:hAnsi="Times New Roman" w:cs="Times New Roman"/>
                <w:b/>
                <w:bCs/>
                <w:sz w:val="14"/>
                <w:szCs w:val="14"/>
                <w:lang w:eastAsia="sk-SK"/>
              </w:rPr>
            </w:pPr>
            <w:r w:rsidRPr="001E50A6">
              <w:rPr>
                <w:rFonts w:ascii="Times New Roman" w:hAnsi="Times New Roman" w:cs="Times New Roman"/>
                <w:b/>
                <w:bCs/>
                <w:sz w:val="14"/>
                <w:szCs w:val="14"/>
                <w:lang w:eastAsia="sk-SK"/>
              </w:rPr>
              <w:t>83 439</w:t>
            </w:r>
          </w:p>
        </w:tc>
      </w:tr>
      <w:tr>
        <w:tblPrEx>
          <w:tblW w:w="9149" w:type="dxa"/>
          <w:jc w:val="center"/>
          <w:tblInd w:w="566" w:type="dxa"/>
          <w:tblCellMar>
            <w:left w:w="70" w:type="dxa"/>
            <w:right w:w="70" w:type="dxa"/>
          </w:tblCellMar>
          <w:tblLook w:val="04A0"/>
        </w:tblPrEx>
        <w:trPr>
          <w:trHeight w:val="270"/>
          <w:jc w:val="center"/>
        </w:trPr>
        <w:tc>
          <w:tcPr>
            <w:tcW w:w="9149" w:type="dxa"/>
            <w:gridSpan w:val="8"/>
            <w:tcBorders>
              <w:top w:val="nil"/>
              <w:left w:val="nil"/>
              <w:bottom w:val="nil"/>
              <w:right w:val="nil"/>
            </w:tcBorders>
            <w:textDirection w:val="lrTb"/>
            <w:vAlign w:val="center"/>
            <w:hideMark/>
          </w:tcPr>
          <w:p w:rsidR="0038140E" w:rsidRPr="001E50A6" w:rsidP="007E349F">
            <w:pPr>
              <w:bidi w:val="0"/>
              <w:rPr>
                <w:rFonts w:ascii="Times New Roman" w:hAnsi="Times New Roman" w:cs="Times New Roman"/>
                <w:i/>
                <w:iCs/>
                <w:sz w:val="14"/>
                <w:szCs w:val="14"/>
                <w:lang w:eastAsia="sk-SK"/>
              </w:rPr>
            </w:pPr>
            <w:r w:rsidRPr="001E50A6">
              <w:rPr>
                <w:rFonts w:ascii="Times New Roman" w:hAnsi="Times New Roman" w:cs="Times New Roman"/>
                <w:i/>
                <w:iCs/>
                <w:sz w:val="14"/>
                <w:szCs w:val="14"/>
                <w:lang w:eastAsia="sk-SK"/>
              </w:rPr>
              <w:t>Poznámka : Z hľadiska konzistentnosti materiálu sú údaje na akruálnom aj hotovostnom princípe uvedené vrátane sankcií.</w:t>
            </w:r>
          </w:p>
        </w:tc>
      </w:tr>
    </w:tbl>
    <w:p w:rsidR="0038140E" w:rsidRPr="00CF183F" w:rsidP="0038140E">
      <w:pPr>
        <w:bidi w:val="0"/>
        <w:ind w:firstLine="709"/>
        <w:jc w:val="both"/>
        <w:rPr>
          <w:rFonts w:ascii="Times New Roman" w:hAnsi="Times New Roman" w:cs="Times New Roman"/>
          <w:bCs/>
          <w:szCs w:val="16"/>
        </w:rPr>
      </w:pPr>
    </w:p>
    <w:p w:rsidR="0038140E" w:rsidRPr="00324024" w:rsidP="0038140E">
      <w:pPr>
        <w:bidi w:val="0"/>
        <w:ind w:firstLine="709"/>
        <w:jc w:val="both"/>
        <w:rPr>
          <w:rFonts w:ascii="Times New Roman" w:hAnsi="Times New Roman" w:cs="Times New Roman"/>
        </w:rPr>
      </w:pPr>
      <w:r w:rsidRPr="00324024">
        <w:rPr>
          <w:rFonts w:ascii="Times New Roman" w:hAnsi="Times New Roman" w:cs="Times New Roman"/>
          <w:bCs/>
        </w:rPr>
        <w:t>Schodok štátneho rozpočtu na hotovostnom princípe upravený o modifikujúce faktory predstavuje schodok štátneho rozpočtu v metodike ESA 95</w:t>
      </w:r>
      <w:r w:rsidRPr="00324024">
        <w:rPr>
          <w:rFonts w:ascii="Times New Roman" w:hAnsi="Times New Roman" w:cs="Times New Roman"/>
        </w:rPr>
        <w:t xml:space="preserve"> a v rokoch 2013 až 2015 sa predpokladá nasledovne.</w:t>
      </w:r>
    </w:p>
    <w:p w:rsidR="0038140E" w:rsidRPr="00CF183F" w:rsidP="0038140E">
      <w:pPr>
        <w:bidi w:val="0"/>
        <w:ind w:firstLine="709"/>
        <w:jc w:val="both"/>
        <w:rPr>
          <w:rFonts w:ascii="Times New Roman" w:hAnsi="Times New Roman" w:cs="Times New Roman"/>
          <w:szCs w:val="16"/>
        </w:rPr>
      </w:pPr>
    </w:p>
    <w:tbl>
      <w:tblPr>
        <w:tblStyle w:val="TableNormal"/>
        <w:tblW w:w="9149" w:type="dxa"/>
        <w:jc w:val="center"/>
        <w:tblInd w:w="566" w:type="dxa"/>
        <w:tblCellMar>
          <w:left w:w="70" w:type="dxa"/>
          <w:right w:w="70" w:type="dxa"/>
        </w:tblCellMar>
        <w:tblLook w:val="04A0"/>
      </w:tblPr>
      <w:tblGrid>
        <w:gridCol w:w="3409"/>
        <w:gridCol w:w="820"/>
        <w:gridCol w:w="820"/>
        <w:gridCol w:w="820"/>
        <w:gridCol w:w="820"/>
        <w:gridCol w:w="820"/>
        <w:gridCol w:w="820"/>
        <w:gridCol w:w="820"/>
      </w:tblGrid>
      <w:tr>
        <w:tblPrEx>
          <w:tblW w:w="9149" w:type="dxa"/>
          <w:jc w:val="center"/>
          <w:tblInd w:w="566" w:type="dxa"/>
          <w:tblCellMar>
            <w:left w:w="70" w:type="dxa"/>
            <w:right w:w="70" w:type="dxa"/>
          </w:tblCellMar>
          <w:tblLook w:val="04A0"/>
        </w:tblPrEx>
        <w:trPr>
          <w:trHeight w:val="255"/>
          <w:jc w:val="center"/>
        </w:trPr>
        <w:tc>
          <w:tcPr>
            <w:tcW w:w="3409"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top"/>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2010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2011 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2012 R</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2012 OS</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2013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2014 N</w:t>
            </w:r>
          </w:p>
        </w:tc>
        <w:tc>
          <w:tcPr>
            <w:tcW w:w="820"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38140E" w:rsidRPr="006B6D67" w:rsidP="007E349F">
            <w:pPr>
              <w:bidi w:val="0"/>
              <w:jc w:val="center"/>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2015 N</w:t>
            </w:r>
          </w:p>
        </w:tc>
      </w:tr>
      <w:tr>
        <w:tblPrEx>
          <w:tblW w:w="9149" w:type="dxa"/>
          <w:jc w:val="center"/>
          <w:tblInd w:w="566" w:type="dxa"/>
          <w:tblCellMar>
            <w:left w:w="70" w:type="dxa"/>
            <w:right w:w="70" w:type="dxa"/>
          </w:tblCellMar>
          <w:tblLook w:val="04A0"/>
        </w:tblPrEx>
        <w:trPr>
          <w:trHeight w:val="255"/>
          <w:jc w:val="center"/>
        </w:trPr>
        <w:tc>
          <w:tcPr>
            <w:tcW w:w="3409"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Schodok ŠR na hotovostnom princípe</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-4 436 148</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-3 275 716</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-3 675 260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-3 532 872</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-3 058 731</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-2 786 420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-2 615 043</w:t>
            </w:r>
          </w:p>
        </w:tc>
      </w:tr>
      <w:tr>
        <w:tblPrEx>
          <w:tblW w:w="9149" w:type="dxa"/>
          <w:jc w:val="center"/>
          <w:tblInd w:w="566" w:type="dxa"/>
          <w:tblCellMar>
            <w:left w:w="70" w:type="dxa"/>
            <w:right w:w="70" w:type="dxa"/>
          </w:tblCellMar>
          <w:tblLook w:val="04A0"/>
        </w:tblPrEx>
        <w:trPr>
          <w:trHeight w:val="255"/>
          <w:jc w:val="center"/>
        </w:trPr>
        <w:tc>
          <w:tcPr>
            <w:tcW w:w="3409" w:type="dxa"/>
            <w:tcBorders>
              <w:top w:val="single" w:sz="4" w:space="0" w:color="auto"/>
              <w:left w:val="single" w:sz="4" w:space="0" w:color="auto"/>
              <w:bottom w:val="single" w:sz="4" w:space="0" w:color="auto"/>
              <w:right w:val="single" w:sz="4" w:space="0" w:color="auto"/>
            </w:tcBorders>
            <w:noWrap/>
            <w:textDirection w:val="lrTb"/>
            <w:vAlign w:val="center"/>
            <w:hideMark/>
          </w:tcPr>
          <w:p w:rsidR="0038140E" w:rsidRPr="006B6D67" w:rsidP="007E349F">
            <w:pPr>
              <w:bidi w:val="0"/>
              <w:rPr>
                <w:rFonts w:ascii="Times New Roman" w:hAnsi="Times New Roman" w:cs="Times New Roman"/>
                <w:sz w:val="14"/>
                <w:szCs w:val="14"/>
                <w:lang w:eastAsia="sk-SK"/>
              </w:rPr>
            </w:pPr>
            <w:r w:rsidRPr="006B6D67">
              <w:rPr>
                <w:rFonts w:ascii="Times New Roman" w:hAnsi="Times New Roman" w:cs="Times New Roman"/>
                <w:sz w:val="14"/>
                <w:szCs w:val="14"/>
                <w:lang w:eastAsia="sk-SK"/>
              </w:rPr>
              <w:t>Modifikujúce faktory</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174 607</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-252 327</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136 282</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-263 180</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308 063</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342 775</w:t>
            </w:r>
          </w:p>
        </w:tc>
        <w:tc>
          <w:tcPr>
            <w:tcW w:w="820" w:type="dxa"/>
            <w:tcBorders>
              <w:top w:val="nil"/>
              <w:left w:val="nil"/>
              <w:bottom w:val="single" w:sz="4" w:space="0" w:color="auto"/>
              <w:right w:val="single" w:sz="4" w:space="0" w:color="auto"/>
            </w:tcBorders>
            <w:noWrap/>
            <w:textDirection w:val="lrTb"/>
            <w:vAlign w:val="center"/>
            <w:hideMark/>
          </w:tcPr>
          <w:p w:rsidR="0038140E" w:rsidRPr="006B6D67" w:rsidP="007E349F">
            <w:pPr>
              <w:bidi w:val="0"/>
              <w:jc w:val="right"/>
              <w:rPr>
                <w:rFonts w:ascii="Times New Roman" w:hAnsi="Times New Roman" w:cs="Times New Roman"/>
                <w:sz w:val="14"/>
                <w:szCs w:val="14"/>
                <w:lang w:eastAsia="sk-SK"/>
              </w:rPr>
            </w:pPr>
            <w:r w:rsidRPr="006B6D67">
              <w:rPr>
                <w:rFonts w:ascii="Times New Roman" w:hAnsi="Times New Roman" w:cs="Times New Roman"/>
                <w:sz w:val="14"/>
                <w:szCs w:val="14"/>
                <w:lang w:eastAsia="sk-SK"/>
              </w:rPr>
              <w:t>209 884</w:t>
            </w:r>
          </w:p>
        </w:tc>
      </w:tr>
      <w:tr>
        <w:tblPrEx>
          <w:tblW w:w="9149" w:type="dxa"/>
          <w:jc w:val="center"/>
          <w:tblInd w:w="566" w:type="dxa"/>
          <w:tblCellMar>
            <w:left w:w="70" w:type="dxa"/>
            <w:right w:w="70" w:type="dxa"/>
          </w:tblCellMar>
          <w:tblLook w:val="04A0"/>
        </w:tblPrEx>
        <w:trPr>
          <w:trHeight w:val="255"/>
          <w:jc w:val="center"/>
        </w:trPr>
        <w:tc>
          <w:tcPr>
            <w:tcW w:w="3409"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8140E" w:rsidRPr="006B6D67" w:rsidP="007E349F">
            <w:pPr>
              <w:bidi w:val="0"/>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Schodok ŠR (ESA 95)</w:t>
            </w:r>
          </w:p>
        </w:tc>
        <w:tc>
          <w:tcPr>
            <w:tcW w:w="82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-4 261 541</w:t>
            </w:r>
          </w:p>
        </w:tc>
        <w:tc>
          <w:tcPr>
            <w:tcW w:w="82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-3 528 043</w:t>
            </w:r>
          </w:p>
        </w:tc>
        <w:tc>
          <w:tcPr>
            <w:tcW w:w="82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-3 538 978</w:t>
            </w:r>
          </w:p>
        </w:tc>
        <w:tc>
          <w:tcPr>
            <w:tcW w:w="82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-3 796 052</w:t>
            </w:r>
          </w:p>
        </w:tc>
        <w:tc>
          <w:tcPr>
            <w:tcW w:w="82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-2 750 668</w:t>
            </w:r>
          </w:p>
        </w:tc>
        <w:tc>
          <w:tcPr>
            <w:tcW w:w="82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-2 443 645</w:t>
            </w:r>
          </w:p>
        </w:tc>
        <w:tc>
          <w:tcPr>
            <w:tcW w:w="82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38140E" w:rsidRPr="006B6D67" w:rsidP="007E349F">
            <w:pPr>
              <w:bidi w:val="0"/>
              <w:jc w:val="right"/>
              <w:rPr>
                <w:rFonts w:ascii="Times New Roman" w:hAnsi="Times New Roman" w:cs="Times New Roman"/>
                <w:b/>
                <w:bCs/>
                <w:sz w:val="14"/>
                <w:szCs w:val="14"/>
                <w:lang w:eastAsia="sk-SK"/>
              </w:rPr>
            </w:pPr>
            <w:r w:rsidRPr="006B6D67">
              <w:rPr>
                <w:rFonts w:ascii="Times New Roman" w:hAnsi="Times New Roman" w:cs="Times New Roman"/>
                <w:b/>
                <w:bCs/>
                <w:sz w:val="14"/>
                <w:szCs w:val="14"/>
                <w:lang w:eastAsia="sk-SK"/>
              </w:rPr>
              <w:t>-2 405 159</w:t>
            </w:r>
          </w:p>
        </w:tc>
      </w:tr>
    </w:tbl>
    <w:p w:rsidR="00D1245B" w:rsidRPr="00EE0740" w:rsidP="003E7CD4">
      <w:pPr>
        <w:bidi w:val="0"/>
        <w:jc w:val="both"/>
        <w:rPr>
          <w:rFonts w:ascii="Times New Roman" w:hAnsi="Times New Roman" w:cs="Times New Roman"/>
          <w:szCs w:val="16"/>
        </w:rPr>
      </w:pPr>
    </w:p>
    <w:sectPr w:rsidSect="00EB105B">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altName w:val="Courier New"/>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fixed"/>
    <w:sig w:usb0="00000000" w:usb1="00000000" w:usb2="00000000" w:usb3="00000000" w:csb0="0008009F" w:csb1="00000000"/>
  </w:font>
  <w:font w:name="SimSun">
    <w:altName w:val="???||||||||||||||||||||||||||||"/>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y????y???????"/>
    <w:panose1 w:val="020B0600000101010101"/>
    <w:charset w:val="81"/>
    <w:family w:val="modern"/>
    <w:pitch w:val="fixed"/>
    <w:sig w:usb0="00000000" w:usb1="00000000" w:usb2="00000000" w:usb3="00000000" w:csb0="0008009F" w:csb1="00000000"/>
  </w:font>
  <w:font w:name="SimHei">
    <w:altName w:val="??|||||||||||||||||||||||||||||"/>
    <w:panose1 w:val="02010600030101010101"/>
    <w:charset w:val="86"/>
    <w:family w:val="modern"/>
    <w:pitch w:val="fixed"/>
    <w:sig w:usb0="00000000" w:usb1="00000000" w:usb2="00000000" w:usb3="00000000" w:csb0="00040001"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y????y?????????"/>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roman"/>
    <w:pitch w:val="variable"/>
    <w:sig w:usb0="00000000" w:usb1="00000000" w:usb2="00000000" w:usb3="00000000" w:csb0="0001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Book Antiqua">
    <w:altName w:val="Book Antiqua"/>
    <w:panose1 w:val="00000000000000000000"/>
    <w:charset w:val="EE"/>
    <w:family w:val="roman"/>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Arial Black">
    <w:panose1 w:val="00000000000000000000"/>
    <w:charset w:val="EE"/>
    <w:family w:val="swiss"/>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BF" w:csb1="00000000"/>
  </w:font>
  <w:font w:name="Verdan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Franklin Gothic Medium">
    <w:panose1 w:val="00000000000000000000"/>
    <w:charset w:val="EE"/>
    <w:family w:val="swiss"/>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Trebuchet MS">
    <w:panose1 w:val="00000000000000000000"/>
    <w:charset w:val="EE"/>
    <w:family w:val="swiss"/>
    <w:pitch w:val="variable"/>
    <w:sig w:usb0="00000000" w:usb1="00000000" w:usb2="00000000" w:usb3="00000000" w:csb0="0000009F" w:csb1="00000000"/>
  </w:font>
  <w:font w:name="Webdings">
    <w:panose1 w:val="00000000000000000000"/>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Kartika">
    <w:panose1 w:val="00000000000000000000"/>
    <w:charset w:val="00"/>
    <w:family w:val="roman"/>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D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MS Mincho">
    <w:panose1 w:val="00000000000000000000"/>
    <w:charset w:val="80"/>
    <w:family w:val="modern"/>
    <w:pitch w:val="fixed"/>
    <w:sig w:usb0="00000000" w:usb1="00000000" w:usb2="00000000" w:usb3="00000000" w:csb0="0002009F" w:csb1="00000000"/>
  </w:font>
  <w:font w:name="MT Extra">
    <w:panose1 w:val="00000000000000000000"/>
    <w:charset w:val="02"/>
    <w:family w:val="roman"/>
    <w:pitch w:val="variable"/>
    <w:sig w:usb0="00000000" w:usb1="00000000" w:usb2="00000000" w:usb3="00000000" w:csb0="80000000" w:csb1="00000000"/>
  </w:font>
  <w:font w:name="Candara">
    <w:panose1 w:val="00000000000000000000"/>
    <w:charset w:val="EE"/>
    <w:family w:val="swiss"/>
    <w:pitch w:val="variable"/>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Gabriola">
    <w:panose1 w:val="00000000000000000000"/>
    <w:charset w:val="EE"/>
    <w:family w:val="decorative"/>
    <w:pitch w:val="variable"/>
    <w:sig w:usb0="00000000" w:usb1="00000000" w:usb2="00000000" w:usb3="00000000" w:csb0="0000009F" w:csb1="00000000"/>
  </w:font>
  <w:font w:name="MS Outlook">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n-ea">
    <w:panose1 w:val="00000000000000000000"/>
    <w:charset w:val="00"/>
    <w:family w:val="roman"/>
    <w:pitch w:val="default"/>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ITC Avant Garde Gothic">
    <w:panose1 w:val="00000000000000000000"/>
    <w:charset w:val="00"/>
    <w:family w:val="swiss"/>
    <w:pitch w:val="variable"/>
    <w:sig w:usb0="00000000" w:usb1="00000000" w:usb2="00000000" w:usb3="00000000" w:csb0="00000001" w:csb1="00000000"/>
  </w:font>
  <w:font w:name="ITC Avant Garde Gothic Demi">
    <w:panose1 w:val="00000000000000000000"/>
    <w:charset w:val="00"/>
    <w:family w:val="swiss"/>
    <w:pitch w:val="variable"/>
    <w:sig w:usb0="00000000" w:usb1="00000000" w:usb2="00000000" w:usb3="00000000" w:csb0="00000001" w:csb1="00000000"/>
  </w:font>
  <w:font w:name="ITC Bookman Light">
    <w:panose1 w:val="00000000000000000000"/>
    <w:charset w:val="00"/>
    <w:family w:val="roman"/>
    <w:pitch w:val="variable"/>
    <w:sig w:usb0="00000000" w:usb1="00000000" w:usb2="00000000" w:usb3="00000000" w:csb0="00000001" w:csb1="00000000"/>
  </w:font>
  <w:font w:name="ITC Bookman Demi">
    <w:panose1 w:val="00000000000000000000"/>
    <w:charset w:val="00"/>
    <w:family w:val="roman"/>
    <w:pitch w:val="variable"/>
    <w:sig w:usb0="00000000" w:usb1="00000000" w:usb2="00000000" w:usb3="00000000" w:csb0="00000001" w:csb1="00000000"/>
  </w:font>
  <w:font w:name="ITC Zapf Chancery">
    <w:panose1 w:val="00000000000000000000"/>
    <w:charset w:val="00"/>
    <w:family w:val="script"/>
    <w:pitch w:val="variable"/>
    <w:sig w:usb0="00000000" w:usb1="00000000" w:usb2="00000000" w:usb3="00000000" w:csb0="00000001" w:csb1="00000000"/>
  </w:font>
  <w:font w:name="CourierPS">
    <w:panose1 w:val="00000000000000000000"/>
    <w:charset w:val="00"/>
    <w:family w:val="modern"/>
    <w:pitch w:val="fixed"/>
    <w:sig w:usb0="00000000" w:usb1="00000000" w:usb2="00000000" w:usb3="00000000" w:csb0="00000001" w:csb1="00000000"/>
  </w:font>
  <w:font w:name="Helvetica Narrow">
    <w:panose1 w:val="00000000000000000000"/>
    <w:charset w:val="00"/>
    <w:family w:val="swiss"/>
    <w:pitch w:val="variable"/>
    <w:sig w:usb0="00000000" w:usb1="00000000" w:usb2="00000000" w:usb3="00000000" w:csb0="00000001" w:csb1="00000000"/>
  </w:font>
  <w:font w:name="New Century Schoolbook">
    <w:panose1 w:val="00000000000000000000"/>
    <w:charset w:val="00"/>
    <w:family w:val="roman"/>
    <w:pitch w:val="variable"/>
    <w:sig w:usb0="00000000" w:usb1="00000000" w:usb2="00000000" w:usb3="00000000" w:csb0="00000001" w:csb1="00000000"/>
  </w:font>
  <w:font w:name="Palatino">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Semibold">
    <w:panose1 w:val="00000000000000000000"/>
    <w:charset w:val="EE"/>
    <w:family w:val="swiss"/>
    <w:pitch w:val="variable"/>
    <w:sig w:usb0="00000000" w:usb1="00000000" w:usb2="00000000" w:usb3="00000000" w:csb0="0000019F" w:csb1="00000000"/>
  </w:font>
  <w:font w:name="Segoe UI Light">
    <w:panose1 w:val="00000000000000000000"/>
    <w:charset w:val="EE"/>
    <w:family w:val="swiss"/>
    <w:pitch w:val="variable"/>
    <w:sig w:usb0="00000000" w:usb1="00000000" w:usb2="00000000" w:usb3="00000000" w:csb0="0000019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00"/>
    <w:family w:val="modern"/>
    <w:pitch w:val="fixed"/>
    <w:sig w:usb0="00000000" w:usb1="00000000" w:usb2="00000000" w:usb3="00000000" w:csb0="0000000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Segoe Print">
    <w:panose1 w:val="00000000000000000000"/>
    <w:charset w:val="EE"/>
    <w:family w:val="auto"/>
    <w:pitch w:val="variable"/>
    <w:sig w:usb0="00000000" w:usb1="00000000" w:usb2="00000000" w:usb3="00000000" w:csb0="0000009F" w:csb1="00000000"/>
  </w:font>
  <w:font w:name="Simplified Arabic Fixed (Arabic">
    <w:panose1 w:val="00000000000000000000"/>
    <w:charset w:val="B2"/>
    <w:family w:val="modern"/>
    <w:pitch w:val="fixed"/>
    <w:sig w:usb0="00000000" w:usb1="00000000" w:usb2="00000000" w:usb3="00000000" w:csb0="00000040" w:csb1="00000000"/>
  </w:font>
  <w:font w:name="261 284 966">
    <w:altName w:val="Times New Roman"/>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AT*Switzerland Black">
    <w:panose1 w:val="00000000000000000000"/>
    <w:charset w:val="02"/>
    <w:family w:val="auto"/>
    <w:pitch w:val="variable"/>
    <w:sig w:usb0="00000000" w:usb1="00000000" w:usb2="00000000" w:usb3="00000000" w:csb0="80000000" w:csb1="00000000"/>
  </w:font>
  <w:font w:name="Arial CE">
    <w:charset w:val="CC"/>
    <w:family w:val="swiss"/>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E1" w:rsidRPr="000A4CD0">
    <w:pPr>
      <w:pStyle w:val="Footer"/>
      <w:bidi w:val="0"/>
      <w:jc w:val="center"/>
      <w:rPr>
        <w:rFonts w:ascii="Times New Roman" w:hAnsi="Times New Roman"/>
      </w:rPr>
    </w:pPr>
    <w:r w:rsidRPr="000A4CD0">
      <w:rPr>
        <w:rFonts w:ascii="Times New Roman" w:hAnsi="Times New Roman"/>
      </w:rPr>
      <w:fldChar w:fldCharType="begin"/>
    </w:r>
    <w:r w:rsidRPr="000A4CD0">
      <w:rPr>
        <w:rFonts w:ascii="Times New Roman" w:hAnsi="Times New Roman"/>
      </w:rPr>
      <w:instrText>PAGE   \* MERGEFORMAT</w:instrText>
    </w:r>
    <w:r w:rsidRPr="000A4CD0">
      <w:rPr>
        <w:rFonts w:ascii="Times New Roman" w:hAnsi="Times New Roman"/>
      </w:rPr>
      <w:fldChar w:fldCharType="separate"/>
    </w:r>
    <w:r w:rsidR="006E5F03">
      <w:rPr>
        <w:rFonts w:ascii="Times New Roman" w:hAnsi="Times New Roman"/>
        <w:noProof/>
      </w:rPr>
      <w:t>148</w:t>
    </w:r>
    <w:r w:rsidRPr="000A4CD0">
      <w:rPr>
        <w:rFonts w:ascii="Times New Roman" w:hAnsi="Times New Roman"/>
      </w:rPr>
      <w:fldChar w:fldCharType="end"/>
    </w:r>
  </w:p>
  <w:p w:rsidR="004871E1">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D19" w:rsidP="00686060">
      <w:pPr>
        <w:bidi w:val="0"/>
      </w:pPr>
      <w:r>
        <w:separator/>
      </w:r>
    </w:p>
  </w:footnote>
  <w:footnote w:type="continuationSeparator" w:id="1">
    <w:p w:rsidR="00DF2D19" w:rsidP="00686060">
      <w:pPr>
        <w:bidi w:val="0"/>
      </w:pPr>
      <w:r>
        <w:continuationSeparator/>
      </w:r>
    </w:p>
  </w:footnote>
  <w:footnote w:id="2">
    <w:p w:rsidP="00A754D9">
      <w:pPr>
        <w:pStyle w:val="FootnoteText"/>
        <w:bidi w:val="0"/>
        <w:rPr>
          <w:rFonts w:ascii="Times New Roman" w:hAnsi="Times New Roman"/>
        </w:rPr>
      </w:pPr>
      <w:r w:rsidRPr="00FD21AA" w:rsidR="004871E1">
        <w:rPr>
          <w:rStyle w:val="FootnoteReference"/>
          <w:rFonts w:ascii="Times New Roman" w:hAnsi="Times New Roman"/>
          <w:sz w:val="18"/>
          <w:szCs w:val="18"/>
        </w:rPr>
        <w:footnoteRef/>
      </w:r>
      <w:r w:rsidRPr="00FD21AA" w:rsidR="004871E1">
        <w:rPr>
          <w:rFonts w:ascii="Times New Roman" w:hAnsi="Times New Roman"/>
          <w:sz w:val="18"/>
          <w:szCs w:val="18"/>
        </w:rPr>
        <w:t xml:space="preserve"> Zdroj: Bloomberg. OECD predstavila v septembri len aktualizovaný výhľad na tento rok.</w:t>
      </w:r>
    </w:p>
  </w:footnote>
  <w:footnote w:id="3">
    <w:p w:rsidP="00C96910">
      <w:pPr>
        <w:pStyle w:val="FootnoteText"/>
        <w:bidi w:val="0"/>
        <w:ind w:left="180" w:hanging="180"/>
        <w:jc w:val="both"/>
        <w:rPr>
          <w:rFonts w:ascii="Times New Roman" w:hAnsi="Times New Roman"/>
        </w:rPr>
      </w:pPr>
      <w:r w:rsidRPr="00151398" w:rsidR="004871E1">
        <w:rPr>
          <w:rStyle w:val="FootnoteReference"/>
          <w:rFonts w:ascii="Times New Roman" w:hAnsi="Times New Roman"/>
          <w:sz w:val="18"/>
          <w:szCs w:val="18"/>
        </w:rPr>
        <w:footnoteRef/>
      </w:r>
      <w:r w:rsidRPr="00151398" w:rsidR="004871E1">
        <w:rPr>
          <w:rFonts w:ascii="Times New Roman" w:hAnsi="Times New Roman"/>
          <w:sz w:val="18"/>
          <w:szCs w:val="18"/>
        </w:rPr>
        <w:t xml:space="preserve"> </w:t>
        <w:tab/>
        <w:t xml:space="preserve">Všetky uvádzané hodnoty sú počítané v metodike, ktorá sa používa pri posudzovaní plnenia maastrichtského kritéria pre výšku hrubého dlhu verejnej správy – tzv. maastrichtský hrubý dlh verejnej správy. </w:t>
      </w:r>
    </w:p>
  </w:footnote>
  <w:footnote w:id="4">
    <w:p w:rsidP="00C96910">
      <w:pPr>
        <w:pStyle w:val="FootnoteText"/>
        <w:bidi w:val="0"/>
        <w:ind w:left="170" w:hanging="170"/>
        <w:jc w:val="both"/>
        <w:rPr>
          <w:rFonts w:ascii="Times New Roman" w:hAnsi="Times New Roman"/>
        </w:rPr>
      </w:pPr>
      <w:r w:rsidRPr="00151398" w:rsidR="004871E1">
        <w:rPr>
          <w:rStyle w:val="FootnoteReference"/>
          <w:rFonts w:ascii="Times New Roman" w:hAnsi="Times New Roman"/>
          <w:sz w:val="16"/>
          <w:szCs w:val="18"/>
        </w:rPr>
        <w:footnoteRef/>
      </w:r>
      <w:r w:rsidRPr="00151398" w:rsidR="004871E1">
        <w:rPr>
          <w:rFonts w:ascii="Times New Roman" w:hAnsi="Times New Roman"/>
          <w:sz w:val="16"/>
          <w:szCs w:val="18"/>
        </w:rPr>
        <w:t xml:space="preserve"> Vyhlásenie zo samitu eurozóny zo dňa 29.6.2012 (</w:t>
      </w:r>
      <w:hyperlink r:id="rId1" w:history="1">
        <w:r w:rsidRPr="00151398" w:rsidR="004871E1">
          <w:rPr>
            <w:rStyle w:val="Hyperlink"/>
            <w:rFonts w:ascii="Times New Roman" w:hAnsi="Times New Roman"/>
            <w:sz w:val="16"/>
            <w:szCs w:val="18"/>
          </w:rPr>
          <w:t>http://www.consilium.europa.eu/uedocs/cms_data/docs/pressdata/SK/ec/131377.pdf</w:t>
        </w:r>
      </w:hyperlink>
      <w:r w:rsidRPr="00151398" w:rsidR="004871E1">
        <w:rPr>
          <w:rFonts w:ascii="Times New Roman" w:hAnsi="Times New Roman"/>
          <w:sz w:val="16"/>
          <w:szCs w:val="18"/>
        </w:rPr>
        <w:t>) potvrdzuje, že kým nebude ESM k dispozícii, finančnú pomoc Španielsku poskytne EFSF, pričom táto pomoc sa potom prenesie na ESM. Čo sa týka vzniku ESM, koncom septembra 2012 nadobudla účinnosť Zmluva, ktorou sa zriaďuje Európsky mechanizmus pre stabilitu, čo umožní začatie fungovania tejto inštitúcie v priebehu októbra.</w:t>
      </w:r>
    </w:p>
  </w:footnote>
  <w:footnote w:id="5">
    <w:p w:rsidP="00C96910">
      <w:pPr>
        <w:pStyle w:val="FootnoteText"/>
        <w:bidi w:val="0"/>
        <w:jc w:val="both"/>
        <w:rPr>
          <w:rFonts w:ascii="Times New Roman" w:hAnsi="Times New Roman"/>
        </w:rPr>
      </w:pPr>
      <w:r w:rsidRPr="00151398" w:rsidR="004871E1">
        <w:rPr>
          <w:rStyle w:val="FootnoteReference"/>
          <w:rFonts w:ascii="Times New Roman" w:hAnsi="Times New Roman"/>
          <w:sz w:val="16"/>
          <w:szCs w:val="18"/>
        </w:rPr>
        <w:footnoteRef/>
      </w:r>
      <w:r w:rsidRPr="00151398" w:rsidR="004871E1">
        <w:rPr>
          <w:rFonts w:ascii="Times New Roman" w:hAnsi="Times New Roman"/>
          <w:sz w:val="16"/>
          <w:szCs w:val="18"/>
        </w:rPr>
        <w:t xml:space="preserve">   Na základe predbežného stanoviska Eurostatu zo 7. apríla 2011.</w:t>
      </w:r>
    </w:p>
  </w:footnote>
  <w:footnote w:id="6">
    <w:p w:rsidP="005F4319">
      <w:pPr>
        <w:pStyle w:val="FootnoteText"/>
        <w:bidi w:val="0"/>
        <w:ind w:left="142" w:hanging="142"/>
        <w:jc w:val="both"/>
        <w:rPr>
          <w:rFonts w:ascii="Times New Roman" w:hAnsi="Times New Roman"/>
        </w:rPr>
      </w:pPr>
      <w:r w:rsidRPr="003F335A" w:rsidR="004871E1">
        <w:rPr>
          <w:rStyle w:val="FootnoteReference"/>
          <w:rFonts w:ascii="Times New Roman" w:hAnsi="Times New Roman"/>
          <w:sz w:val="18"/>
          <w:szCs w:val="18"/>
        </w:rPr>
        <w:footnoteRef/>
      </w:r>
      <w:r w:rsidRPr="003F335A" w:rsidR="004871E1">
        <w:rPr>
          <w:rFonts w:ascii="Times New Roman" w:hAnsi="Times New Roman"/>
          <w:sz w:val="18"/>
          <w:szCs w:val="18"/>
        </w:rPr>
        <w:t xml:space="preserve"> Výbor</w:t>
      </w:r>
      <w:r w:rsidR="004871E1">
        <w:rPr>
          <w:rFonts w:ascii="Times New Roman" w:hAnsi="Times New Roman"/>
          <w:sz w:val="18"/>
          <w:szCs w:val="18"/>
        </w:rPr>
        <w:t xml:space="preserve"> pre daňové prognózy posudzoval prognózu, ktorá obsahovala iba tie </w:t>
      </w:r>
      <w:r w:rsidRPr="003F335A" w:rsidR="004871E1">
        <w:rPr>
          <w:rFonts w:ascii="Times New Roman" w:hAnsi="Times New Roman"/>
          <w:sz w:val="18"/>
          <w:szCs w:val="18"/>
        </w:rPr>
        <w:t>legislatívne opatrenia</w:t>
      </w:r>
      <w:r w:rsidR="004871E1">
        <w:rPr>
          <w:rFonts w:ascii="Times New Roman" w:hAnsi="Times New Roman"/>
          <w:sz w:val="18"/>
          <w:szCs w:val="18"/>
        </w:rPr>
        <w:t>,</w:t>
      </w:r>
      <w:r w:rsidRPr="003F335A" w:rsidR="004871E1">
        <w:rPr>
          <w:rFonts w:ascii="Times New Roman" w:hAnsi="Times New Roman"/>
          <w:sz w:val="18"/>
          <w:szCs w:val="18"/>
        </w:rPr>
        <w:t xml:space="preserve"> ktoré v tom čase boli schválené vládou SR a</w:t>
      </w:r>
      <w:r w:rsidR="004871E1">
        <w:rPr>
          <w:rFonts w:ascii="Times New Roman" w:hAnsi="Times New Roman"/>
          <w:sz w:val="18"/>
          <w:szCs w:val="18"/>
        </w:rPr>
        <w:t xml:space="preserve">j </w:t>
      </w:r>
      <w:r w:rsidRPr="003F335A" w:rsidR="004871E1">
        <w:rPr>
          <w:rFonts w:ascii="Times New Roman" w:hAnsi="Times New Roman"/>
          <w:sz w:val="18"/>
          <w:szCs w:val="18"/>
        </w:rPr>
        <w:t xml:space="preserve">NR SR. </w:t>
      </w:r>
    </w:p>
  </w:footnote>
  <w:footnote w:id="7">
    <w:p w:rsidR="004871E1" w:rsidRPr="00C72D1D" w:rsidP="005F4319">
      <w:pPr>
        <w:pStyle w:val="FootnoteText"/>
        <w:bidi w:val="0"/>
        <w:ind w:left="142" w:hanging="142"/>
        <w:jc w:val="both"/>
        <w:rPr>
          <w:rFonts w:ascii="Arial Narrow" w:hAnsi="Arial Narrow"/>
          <w:sz w:val="18"/>
          <w:szCs w:val="18"/>
        </w:rPr>
      </w:pPr>
      <w:r w:rsidRPr="003F335A">
        <w:rPr>
          <w:rStyle w:val="FootnoteReference"/>
          <w:rFonts w:ascii="Times New Roman" w:hAnsi="Times New Roman"/>
          <w:szCs w:val="22"/>
        </w:rPr>
        <w:footnoteRef/>
      </w:r>
      <w:r w:rsidRPr="003F335A">
        <w:rPr>
          <w:rFonts w:ascii="Times New Roman" w:hAnsi="Times New Roman"/>
        </w:rPr>
        <w:t xml:space="preserve"> </w:t>
      </w:r>
      <w:r w:rsidRPr="003F335A">
        <w:rPr>
          <w:rFonts w:ascii="Times New Roman" w:hAnsi="Times New Roman"/>
          <w:sz w:val="18"/>
          <w:szCs w:val="18"/>
        </w:rPr>
        <w:t xml:space="preserve">Jedným z komunikovaných dôvodov revidovania odhadu výnosu DPH v roku 2012 boli aj IT problémy vo Finančnej správe </w:t>
      </w:r>
      <w:r>
        <w:rPr>
          <w:rFonts w:ascii="Times New Roman" w:hAnsi="Times New Roman"/>
          <w:sz w:val="18"/>
          <w:szCs w:val="18"/>
        </w:rPr>
        <w:t xml:space="preserve">SR </w:t>
      </w:r>
      <w:r w:rsidRPr="003F335A">
        <w:rPr>
          <w:rFonts w:ascii="Times New Roman" w:hAnsi="Times New Roman"/>
          <w:sz w:val="18"/>
          <w:szCs w:val="18"/>
        </w:rPr>
        <w:t>(FS</w:t>
      </w:r>
      <w:r>
        <w:rPr>
          <w:rFonts w:ascii="Times New Roman" w:hAnsi="Times New Roman"/>
          <w:sz w:val="18"/>
          <w:szCs w:val="18"/>
        </w:rPr>
        <w:t xml:space="preserve"> SR</w:t>
      </w:r>
      <w:r w:rsidRPr="003F335A">
        <w:rPr>
          <w:rFonts w:ascii="Times New Roman" w:hAnsi="Times New Roman"/>
          <w:sz w:val="18"/>
          <w:szCs w:val="18"/>
        </w:rPr>
        <w:t>) počas prvých mesiacov tohto roka, kedy FS</w:t>
      </w:r>
      <w:r>
        <w:rPr>
          <w:rFonts w:ascii="Times New Roman" w:hAnsi="Times New Roman"/>
          <w:sz w:val="18"/>
          <w:szCs w:val="18"/>
        </w:rPr>
        <w:t xml:space="preserve"> SR</w:t>
      </w:r>
      <w:r w:rsidRPr="003F335A">
        <w:rPr>
          <w:rFonts w:ascii="Times New Roman" w:hAnsi="Times New Roman"/>
          <w:sz w:val="18"/>
          <w:szCs w:val="18"/>
        </w:rPr>
        <w:t xml:space="preserve"> nevedela poskytnúť požadované údaje (daňové priznania DPH a informácie o zadržaných a uvoľnených nadmerných odpočtoch). Tento fakt zohral podstatnú úlohu pri zmene prognózy, keďže v čase tvorby rozpočtu – v novembri – sa predpokladala štandardná situácia vo FS</w:t>
      </w:r>
      <w:r>
        <w:rPr>
          <w:rFonts w:ascii="Times New Roman" w:hAnsi="Times New Roman"/>
          <w:sz w:val="18"/>
          <w:szCs w:val="18"/>
        </w:rPr>
        <w:t xml:space="preserve"> SR</w:t>
      </w:r>
      <w:r w:rsidRPr="003F335A">
        <w:rPr>
          <w:rFonts w:ascii="Times New Roman" w:hAnsi="Times New Roman"/>
          <w:sz w:val="18"/>
          <w:szCs w:val="18"/>
        </w:rPr>
        <w:t>.</w:t>
      </w:r>
      <w:r w:rsidRPr="00C72D1D">
        <w:rPr>
          <w:rFonts w:ascii="Arial Narrow" w:hAnsi="Arial Narrow"/>
          <w:sz w:val="18"/>
          <w:szCs w:val="18"/>
        </w:rPr>
        <w:t xml:space="preserve"> </w:t>
      </w:r>
    </w:p>
    <w:p w:rsidR="004871E1" w:rsidRPr="00C91B73" w:rsidP="005F4319">
      <w:pPr>
        <w:pStyle w:val="Default"/>
        <w:bidi w:val="0"/>
        <w:rPr>
          <w:sz w:val="22"/>
          <w:szCs w:val="22"/>
        </w:rPr>
      </w:pPr>
    </w:p>
    <w:p w:rsidP="005F4319">
      <w:pPr>
        <w:pStyle w:val="Default"/>
        <w:bidi w:val="0"/>
      </w:pPr>
    </w:p>
  </w:footnote>
  <w:footnote w:id="8">
    <w:p w:rsidP="005F4319">
      <w:pPr>
        <w:pStyle w:val="FootnoteText"/>
        <w:bidi w:val="0"/>
        <w:ind w:left="142" w:hanging="142"/>
        <w:jc w:val="both"/>
        <w:rPr>
          <w:rFonts w:ascii="Times New Roman" w:hAnsi="Times New Roman"/>
        </w:rPr>
      </w:pPr>
      <w:r w:rsidRPr="009A32F7" w:rsidR="004871E1">
        <w:rPr>
          <w:rStyle w:val="FootnoteReference"/>
          <w:rFonts w:ascii="Times New Roman" w:hAnsi="Times New Roman"/>
        </w:rPr>
        <w:footnoteRef/>
      </w:r>
      <w:r w:rsidRPr="009A32F7" w:rsidR="004871E1">
        <w:rPr>
          <w:rFonts w:ascii="Times New Roman" w:hAnsi="Times New Roman"/>
        </w:rPr>
        <w:t xml:space="preserve"> </w:t>
      </w:r>
      <w:r w:rsidRPr="003F335A" w:rsidR="004871E1">
        <w:rPr>
          <w:rFonts w:ascii="Times New Roman" w:hAnsi="Times New Roman"/>
          <w:sz w:val="18"/>
          <w:szCs w:val="18"/>
        </w:rPr>
        <w:t xml:space="preserve">Väčšina daňových príjmov sa platí až po ukončení obdobia, napr. daň z príjmov FO a odvody sa platia až v nasledujúcom mesiaci, daňové priznanie </w:t>
      </w:r>
      <w:r w:rsidR="004871E1">
        <w:rPr>
          <w:rFonts w:ascii="Times New Roman" w:hAnsi="Times New Roman"/>
          <w:sz w:val="18"/>
          <w:szCs w:val="18"/>
        </w:rPr>
        <w:t>pri</w:t>
      </w:r>
      <w:r w:rsidRPr="003F335A" w:rsidR="004871E1">
        <w:rPr>
          <w:rFonts w:ascii="Times New Roman" w:hAnsi="Times New Roman"/>
          <w:sz w:val="18"/>
          <w:szCs w:val="18"/>
        </w:rPr>
        <w:t> DPH a spotrebných dan</w:t>
      </w:r>
      <w:r w:rsidR="004871E1">
        <w:rPr>
          <w:rFonts w:ascii="Times New Roman" w:hAnsi="Times New Roman"/>
          <w:sz w:val="18"/>
          <w:szCs w:val="18"/>
        </w:rPr>
        <w:t>iach</w:t>
      </w:r>
      <w:r w:rsidRPr="003F335A" w:rsidR="004871E1">
        <w:rPr>
          <w:rFonts w:ascii="Times New Roman" w:hAnsi="Times New Roman"/>
          <w:sz w:val="18"/>
          <w:szCs w:val="18"/>
        </w:rPr>
        <w:t xml:space="preserve"> až v nasledujúcom mesiaci alebo kvartáli a pod.</w:t>
      </w:r>
    </w:p>
  </w:footnote>
  <w:footnote w:id="9">
    <w:p w:rsidP="00D32E4A">
      <w:pPr>
        <w:pStyle w:val="FootnoteText"/>
        <w:bidi w:val="0"/>
        <w:ind w:left="110" w:hanging="110"/>
        <w:jc w:val="both"/>
        <w:rPr>
          <w:rFonts w:ascii="Times New Roman" w:hAnsi="Times New Roman"/>
        </w:rPr>
      </w:pPr>
      <w:r w:rsidRPr="000A045E" w:rsidR="004871E1">
        <w:rPr>
          <w:rStyle w:val="FootnoteReference"/>
          <w:rFonts w:ascii="Times New Roman" w:hAnsi="Times New Roman"/>
          <w:sz w:val="18"/>
          <w:szCs w:val="18"/>
        </w:rPr>
        <w:footnoteRef/>
      </w:r>
      <w:r w:rsidRPr="000A045E" w:rsidR="004871E1">
        <w:rPr>
          <w:rFonts w:ascii="Times New Roman" w:hAnsi="Times New Roman"/>
          <w:sz w:val="18"/>
          <w:szCs w:val="18"/>
        </w:rPr>
        <w:t xml:space="preserve"> Tendencia k nárastu daňových výdavkov je najmä vtedy, pokiaľ zvyšovanie daňových výdavkov, teda poskytovanie úľav na daniach nie je spojené s adekvátnymi reštrikčnými obmedzeniami pre navrhovateľa a náklady spojené s ich zavedením sú znášané solidárne viacerými subjektmi rozpočtu. Praktické skúsenosti aj zo Slovenska potvrdzujú, že po presadení selektívnej daňovej úľavy niektorou kapitolou </w:t>
      </w:r>
      <w:r w:rsidR="004871E1">
        <w:rPr>
          <w:rFonts w:ascii="Times New Roman" w:hAnsi="Times New Roman"/>
          <w:sz w:val="18"/>
          <w:szCs w:val="18"/>
        </w:rPr>
        <w:t xml:space="preserve">štátneho </w:t>
      </w:r>
      <w:r w:rsidRPr="000A045E" w:rsidR="004871E1">
        <w:rPr>
          <w:rFonts w:ascii="Times New Roman" w:hAnsi="Times New Roman"/>
          <w:sz w:val="18"/>
          <w:szCs w:val="18"/>
        </w:rPr>
        <w:t>rozpočtu (napr. zavedenie 6% DPH pre „predaj z dvora“) nedochádzalo k adekvátnemu zníženiu limitu výdavkov príslušnej kapitoly (v tomto prípade kapitola pôdohospodárstva). Týmto spôsobom dochádzalo k zväčšovaniu selektívnych „dotácii“ bez priameho spolupodieľania sa na nákladoch samotným navrhovateľom (náklady na výpadok príjmov boli znášane najmä ostatnými kapitolami rozpočtu).</w:t>
      </w:r>
    </w:p>
  </w:footnote>
  <w:footnote w:id="10">
    <w:p w:rsidP="00D32E4A">
      <w:pPr>
        <w:pStyle w:val="FootnoteText"/>
        <w:bidi w:val="0"/>
        <w:ind w:left="142" w:hanging="142"/>
        <w:jc w:val="both"/>
        <w:rPr>
          <w:rFonts w:ascii="Times New Roman" w:hAnsi="Times New Roman"/>
        </w:rPr>
      </w:pPr>
      <w:r w:rsidRPr="000A045E" w:rsidR="004871E1">
        <w:rPr>
          <w:rStyle w:val="FootnoteReference"/>
          <w:rFonts w:ascii="Times New Roman" w:hAnsi="Times New Roman"/>
          <w:sz w:val="18"/>
          <w:szCs w:val="18"/>
        </w:rPr>
        <w:footnoteRef/>
      </w:r>
      <w:r w:rsidRPr="000A045E" w:rsidR="004871E1">
        <w:rPr>
          <w:rFonts w:ascii="Times New Roman" w:hAnsi="Times New Roman"/>
          <w:sz w:val="18"/>
          <w:szCs w:val="18"/>
        </w:rPr>
        <w:t xml:space="preserve"> Zavedenie ďalších pravidiel zvyšujúcich rozpočtovú disciplínu vyžaduje nová EÚ legislatíva, pričom najbežnejšou formou je zavedenie výdavkových limitov.</w:t>
      </w:r>
    </w:p>
  </w:footnote>
  <w:footnote w:id="11">
    <w:p w:rsidP="00D32E4A">
      <w:pPr>
        <w:pStyle w:val="FootnoteText"/>
        <w:bidi w:val="0"/>
        <w:ind w:left="110" w:hanging="110"/>
        <w:jc w:val="both"/>
        <w:rPr>
          <w:rFonts w:ascii="Times New Roman" w:hAnsi="Times New Roman"/>
        </w:rPr>
      </w:pPr>
      <w:r w:rsidRPr="000A045E" w:rsidR="004871E1">
        <w:rPr>
          <w:rStyle w:val="FootnoteReference"/>
          <w:rFonts w:ascii="Times New Roman" w:hAnsi="Times New Roman"/>
          <w:sz w:val="18"/>
          <w:szCs w:val="18"/>
        </w:rPr>
        <w:footnoteRef/>
      </w:r>
      <w:r w:rsidRPr="000A045E" w:rsidR="004871E1">
        <w:rPr>
          <w:rFonts w:ascii="Times New Roman" w:hAnsi="Times New Roman"/>
          <w:sz w:val="18"/>
          <w:szCs w:val="18"/>
        </w:rPr>
        <w:t xml:space="preserve"> Rôzne krajiny/autori používajú rôzne prístupy. Jednotná metodika neexistuje ani na úrovni organizácie OECD, ktorá má v daňovej oblasti najväčšie skúsenosti. Povinnosť publikovať daňové výdavky vyplýva aj z novej legislatívy EÚ, spoločná metodika však rovnako neexistuje.</w:t>
      </w:r>
    </w:p>
  </w:footnote>
  <w:footnote w:id="12">
    <w:p w:rsidP="00D32E4A">
      <w:pPr>
        <w:pStyle w:val="FootnoteText"/>
        <w:bidi w:val="0"/>
        <w:ind w:left="110" w:hanging="110"/>
        <w:jc w:val="both"/>
        <w:rPr>
          <w:rFonts w:ascii="Times New Roman" w:hAnsi="Times New Roman"/>
        </w:rPr>
      </w:pPr>
      <w:r w:rsidRPr="000A045E" w:rsidR="004871E1">
        <w:rPr>
          <w:rStyle w:val="FootnoteReference"/>
          <w:rFonts w:ascii="Times New Roman" w:hAnsi="Times New Roman"/>
          <w:sz w:val="18"/>
          <w:szCs w:val="18"/>
        </w:rPr>
        <w:footnoteRef/>
      </w:r>
      <w:r w:rsidRPr="000A045E" w:rsidR="004871E1">
        <w:rPr>
          <w:rFonts w:ascii="Times New Roman" w:hAnsi="Times New Roman"/>
          <w:sz w:val="18"/>
          <w:szCs w:val="18"/>
        </w:rPr>
        <w:t xml:space="preserve"> Najčastejšie ide o výnimky zo základu dane, oslobodenia príjmov, odpočítateľné položky, znížené sadzby, daňové bonusy, daňové prázdniny a pod.</w:t>
      </w:r>
    </w:p>
  </w:footnote>
  <w:footnote w:id="13">
    <w:p w:rsidP="00D32E4A">
      <w:pPr>
        <w:pStyle w:val="FootnoteText"/>
        <w:bidi w:val="0"/>
        <w:ind w:left="110" w:hanging="110"/>
        <w:jc w:val="both"/>
        <w:rPr>
          <w:rFonts w:ascii="Times New Roman" w:hAnsi="Times New Roman"/>
        </w:rPr>
      </w:pPr>
      <w:r w:rsidRPr="000A045E" w:rsidR="004871E1">
        <w:rPr>
          <w:rStyle w:val="FootnoteReference"/>
          <w:rFonts w:ascii="Times New Roman" w:hAnsi="Times New Roman"/>
          <w:sz w:val="18"/>
          <w:szCs w:val="18"/>
        </w:rPr>
        <w:footnoteRef/>
      </w:r>
      <w:r w:rsidRPr="000A045E" w:rsidR="004871E1">
        <w:rPr>
          <w:rFonts w:ascii="Times New Roman" w:hAnsi="Times New Roman"/>
          <w:sz w:val="18"/>
          <w:szCs w:val="18"/>
        </w:rPr>
        <w:t xml:space="preserve"> V prípade Slovenska sú príkladom maximálne vymeriavacie základy na sociálne poistenie (5-násobok priemernej mzdy od roku 2013), pri ktorých sa poskytujú nároky zo sociálneho poistenia v rovnakej výške ako pre poistenca s vymeriavacím základom 3-násobok priemernej mzdy. Skupina poistencov s príjmom nad 3-násobok priemernej mzdy tak čelí dodatočne uvalenej dani vo forme sociálnych odvodov. Tento prístup vychádza z predpokladu nerovnakého postavenia poistencov vo vzťahu k priznaným dávkam.</w:t>
      </w:r>
    </w:p>
  </w:footnote>
  <w:footnote w:id="14">
    <w:p w:rsidP="00D32E4A">
      <w:pPr>
        <w:pStyle w:val="FootnoteText"/>
        <w:bidi w:val="0"/>
        <w:ind w:left="110" w:hanging="110"/>
        <w:jc w:val="both"/>
        <w:rPr>
          <w:rFonts w:ascii="Times New Roman" w:hAnsi="Times New Roman"/>
        </w:rPr>
      </w:pPr>
      <w:r w:rsidRPr="000A045E" w:rsidR="004871E1">
        <w:rPr>
          <w:rStyle w:val="FootnoteReference"/>
          <w:rFonts w:ascii="Times New Roman" w:hAnsi="Times New Roman"/>
          <w:sz w:val="18"/>
          <w:szCs w:val="18"/>
        </w:rPr>
        <w:footnoteRef/>
      </w:r>
      <w:r w:rsidRPr="000A045E" w:rsidR="004871E1">
        <w:rPr>
          <w:rFonts w:ascii="Times New Roman" w:hAnsi="Times New Roman"/>
          <w:sz w:val="18"/>
          <w:szCs w:val="18"/>
        </w:rPr>
        <w:t xml:space="preserve"> Na ilustráciu môže slúžiť napríklad základná nezdaniteľná časť základu dane z príjmov fyzických osôb, ktorá síce je istou formou daňovej úľavy, na druhej strane je však štrukturálnou súčasťou tejto dane</w:t>
      </w:r>
      <w:r w:rsidR="004871E1">
        <w:rPr>
          <w:rFonts w:ascii="Times New Roman" w:hAnsi="Times New Roman"/>
          <w:sz w:val="18"/>
          <w:szCs w:val="18"/>
        </w:rPr>
        <w:t>,</w:t>
      </w:r>
      <w:r w:rsidRPr="000A045E" w:rsidR="004871E1">
        <w:rPr>
          <w:rFonts w:ascii="Times New Roman" w:hAnsi="Times New Roman"/>
          <w:sz w:val="18"/>
          <w:szCs w:val="18"/>
        </w:rPr>
        <w:t xml:space="preserve"> keďže zabezpečuje jej progresivitu.</w:t>
      </w:r>
    </w:p>
  </w:footnote>
  <w:footnote w:id="15">
    <w:p w:rsidP="00D32E4A">
      <w:pPr>
        <w:pStyle w:val="FootnoteText"/>
        <w:bidi w:val="0"/>
        <w:ind w:left="110" w:hanging="110"/>
        <w:jc w:val="both"/>
        <w:rPr>
          <w:rFonts w:ascii="Times New Roman" w:hAnsi="Times New Roman"/>
        </w:rPr>
      </w:pPr>
      <w:r w:rsidRPr="000A045E" w:rsidR="004871E1">
        <w:rPr>
          <w:rStyle w:val="FootnoteReference"/>
          <w:rFonts w:ascii="Times New Roman" w:hAnsi="Times New Roman"/>
          <w:sz w:val="18"/>
          <w:szCs w:val="18"/>
        </w:rPr>
        <w:footnoteRef/>
      </w:r>
      <w:r w:rsidRPr="000A045E" w:rsidR="004871E1">
        <w:rPr>
          <w:rFonts w:ascii="Times New Roman" w:hAnsi="Times New Roman"/>
          <w:sz w:val="18"/>
          <w:szCs w:val="18"/>
        </w:rPr>
        <w:t xml:space="preserve"> Príkladom benčmarku je napríklad plnenie medzinárodných zmlúv v oblasti daní (zmluvy o zamedzení dvojitého zdanenia) alebo povinné oslobodenia od dane vyplývajúce z legislatívy v EÚ (najmä v nepriamych daniach).</w:t>
      </w:r>
    </w:p>
  </w:footnote>
  <w:footnote w:id="16">
    <w:p w:rsidP="00D32E4A">
      <w:pPr>
        <w:pStyle w:val="FootnoteText"/>
        <w:bidi w:val="0"/>
        <w:ind w:left="142" w:hanging="142"/>
        <w:jc w:val="both"/>
        <w:rPr>
          <w:rFonts w:ascii="Times New Roman" w:hAnsi="Times New Roman"/>
        </w:rPr>
      </w:pPr>
      <w:r w:rsidRPr="00E12138" w:rsidR="004871E1">
        <w:rPr>
          <w:rStyle w:val="FootnoteReference"/>
          <w:rFonts w:ascii="Times New Roman" w:hAnsi="Times New Roman"/>
          <w:sz w:val="18"/>
          <w:szCs w:val="18"/>
        </w:rPr>
        <w:footnoteRef/>
      </w:r>
      <w:r w:rsidRPr="00E12138" w:rsidR="004871E1">
        <w:rPr>
          <w:rFonts w:ascii="Times New Roman" w:hAnsi="Times New Roman"/>
          <w:sz w:val="18"/>
          <w:szCs w:val="18"/>
        </w:rPr>
        <w:t xml:space="preserve"> Z  ekonomického pohľadu (v ideálnom daňovom systéme) by súčasťou ben</w:t>
      </w:r>
      <w:r w:rsidR="004871E1">
        <w:rPr>
          <w:rFonts w:ascii="Times New Roman" w:hAnsi="Times New Roman"/>
          <w:sz w:val="18"/>
          <w:szCs w:val="18"/>
        </w:rPr>
        <w:t>č</w:t>
      </w:r>
      <w:r w:rsidRPr="00E12138" w:rsidR="004871E1">
        <w:rPr>
          <w:rFonts w:ascii="Times New Roman" w:hAnsi="Times New Roman"/>
          <w:sz w:val="18"/>
          <w:szCs w:val="18"/>
        </w:rPr>
        <w:t>marku malo byť daňovo uznateľné účtovné odpisovanie majetku, ktoré by malo najvernejšie zobrazovať opotrebenie a stav daného majetku. Z praktických príčin sa však za ben</w:t>
      </w:r>
      <w:r w:rsidR="004871E1">
        <w:rPr>
          <w:rFonts w:ascii="Times New Roman" w:hAnsi="Times New Roman"/>
          <w:sz w:val="18"/>
          <w:szCs w:val="18"/>
        </w:rPr>
        <w:t>č</w:t>
      </w:r>
      <w:r w:rsidRPr="00E12138" w:rsidR="004871E1">
        <w:rPr>
          <w:rFonts w:ascii="Times New Roman" w:hAnsi="Times New Roman"/>
          <w:sz w:val="18"/>
          <w:szCs w:val="18"/>
        </w:rPr>
        <w:t>mark považuje rovnomerné odpisovanie (problematická kvantifikácia rozdielov oproti účtovným odpisom, štandar</w:t>
      </w:r>
      <w:r w:rsidR="004871E1">
        <w:rPr>
          <w:rFonts w:ascii="Times New Roman" w:hAnsi="Times New Roman"/>
          <w:sz w:val="18"/>
          <w:szCs w:val="18"/>
        </w:rPr>
        <w:t>d</w:t>
      </w:r>
      <w:r w:rsidRPr="00E12138" w:rsidR="004871E1">
        <w:rPr>
          <w:rFonts w:ascii="Times New Roman" w:hAnsi="Times New Roman"/>
          <w:sz w:val="18"/>
          <w:szCs w:val="18"/>
        </w:rPr>
        <w:t>né používanie rovnomerného odpisovania vo svete)</w:t>
      </w:r>
      <w:r w:rsidR="004871E1">
        <w:rPr>
          <w:rFonts w:ascii="Times New Roman" w:hAnsi="Times New Roman"/>
          <w:sz w:val="18"/>
          <w:szCs w:val="18"/>
        </w:rPr>
        <w:t>.</w:t>
      </w:r>
    </w:p>
  </w:footnote>
  <w:footnote w:id="17">
    <w:p w:rsidP="00D32E4A">
      <w:pPr>
        <w:pStyle w:val="FootnoteText"/>
        <w:bidi w:val="0"/>
        <w:ind w:left="142" w:hanging="142"/>
        <w:jc w:val="both"/>
        <w:rPr>
          <w:rFonts w:ascii="Times New Roman" w:hAnsi="Times New Roman"/>
        </w:rPr>
      </w:pPr>
      <w:r w:rsidRPr="00E12138" w:rsidR="004871E1">
        <w:rPr>
          <w:rStyle w:val="FootnoteReference"/>
          <w:rFonts w:ascii="Times New Roman" w:hAnsi="Times New Roman"/>
          <w:sz w:val="18"/>
          <w:szCs w:val="18"/>
        </w:rPr>
        <w:footnoteRef/>
      </w:r>
      <w:r w:rsidRPr="00E12138" w:rsidR="004871E1">
        <w:rPr>
          <w:rFonts w:ascii="Times New Roman" w:hAnsi="Times New Roman"/>
          <w:sz w:val="18"/>
          <w:szCs w:val="18"/>
        </w:rPr>
        <w:t xml:space="preserve"> Navyše smernica Rady č. 2006/112/ES o spoločnom systéme DPH, v súlade s ktorou musí byť národná legislatíva upravujúca DPH, priamo definuje obmedzený okruh vybraných tovarov a služieb, ktoré môžu spadať do znížených sadzieb.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76A5DE"/>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73DC5BF8"/>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48E4B74E"/>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04349818"/>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D89ED5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0A2D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D073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93AB5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004614"/>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C9D22650"/>
    <w:lvl w:ilvl="0">
      <w:start w:val="1"/>
      <w:numFmt w:val="bullet"/>
      <w:lvlText w:val=""/>
      <w:lvlJc w:val="left"/>
      <w:pPr>
        <w:tabs>
          <w:tab w:val="num" w:pos="360"/>
        </w:tabs>
        <w:ind w:left="360" w:hanging="360"/>
      </w:pPr>
      <w:rPr>
        <w:rFonts w:ascii="Symbol" w:hAnsi="Symbol" w:hint="default"/>
      </w:rPr>
    </w:lvl>
  </w:abstractNum>
  <w:abstractNum w:abstractNumId="10">
    <w:nsid w:val="02BA41CF"/>
    <w:multiLevelType w:val="hybridMultilevel"/>
    <w:tmpl w:val="C65EADCC"/>
    <w:lvl w:ilvl="0">
      <w:start w:val="5"/>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1">
    <w:nsid w:val="0F0B43E2"/>
    <w:multiLevelType w:val="hybridMultilevel"/>
    <w:tmpl w:val="87C27C88"/>
    <w:lvl w:ilvl="0">
      <w:start w:val="1"/>
      <w:numFmt w:val="decimal"/>
      <w:lvlText w:val="%1."/>
      <w:lvlJc w:val="left"/>
      <w:pPr>
        <w:ind w:left="1434" w:hanging="360"/>
      </w:pPr>
      <w:rPr>
        <w:rFonts w:cs="Times New Roman"/>
        <w:b/>
        <w:rtl w:val="0"/>
        <w:cs w:val="0"/>
      </w:rPr>
    </w:lvl>
    <w:lvl w:ilvl="1">
      <w:start w:val="1"/>
      <w:numFmt w:val="lowerLetter"/>
      <w:lvlText w:val="%2."/>
      <w:lvlJc w:val="left"/>
      <w:pPr>
        <w:ind w:left="2154" w:hanging="360"/>
      </w:pPr>
      <w:rPr>
        <w:rFonts w:cs="Times New Roman"/>
        <w:rtl w:val="0"/>
        <w:cs w:val="0"/>
      </w:rPr>
    </w:lvl>
    <w:lvl w:ilvl="2">
      <w:start w:val="1"/>
      <w:numFmt w:val="lowerRoman"/>
      <w:lvlText w:val="%3."/>
      <w:lvlJc w:val="right"/>
      <w:pPr>
        <w:ind w:left="2874" w:hanging="180"/>
      </w:pPr>
      <w:rPr>
        <w:rFonts w:cs="Times New Roman"/>
        <w:rtl w:val="0"/>
        <w:cs w:val="0"/>
      </w:rPr>
    </w:lvl>
    <w:lvl w:ilvl="3">
      <w:start w:val="1"/>
      <w:numFmt w:val="decimal"/>
      <w:lvlText w:val="%4."/>
      <w:lvlJc w:val="left"/>
      <w:pPr>
        <w:ind w:left="3594" w:hanging="360"/>
      </w:pPr>
      <w:rPr>
        <w:rFonts w:cs="Times New Roman"/>
        <w:rtl w:val="0"/>
        <w:cs w:val="0"/>
      </w:rPr>
    </w:lvl>
    <w:lvl w:ilvl="4">
      <w:start w:val="1"/>
      <w:numFmt w:val="lowerLetter"/>
      <w:lvlText w:val="%5."/>
      <w:lvlJc w:val="left"/>
      <w:pPr>
        <w:ind w:left="4314" w:hanging="360"/>
      </w:pPr>
      <w:rPr>
        <w:rFonts w:cs="Times New Roman"/>
        <w:rtl w:val="0"/>
        <w:cs w:val="0"/>
      </w:rPr>
    </w:lvl>
    <w:lvl w:ilvl="5">
      <w:start w:val="1"/>
      <w:numFmt w:val="lowerRoman"/>
      <w:lvlText w:val="%6."/>
      <w:lvlJc w:val="right"/>
      <w:pPr>
        <w:ind w:left="5034" w:hanging="180"/>
      </w:pPr>
      <w:rPr>
        <w:rFonts w:cs="Times New Roman"/>
        <w:rtl w:val="0"/>
        <w:cs w:val="0"/>
      </w:rPr>
    </w:lvl>
    <w:lvl w:ilvl="6">
      <w:start w:val="1"/>
      <w:numFmt w:val="decimal"/>
      <w:lvlText w:val="%7."/>
      <w:lvlJc w:val="left"/>
      <w:pPr>
        <w:ind w:left="5754" w:hanging="360"/>
      </w:pPr>
      <w:rPr>
        <w:rFonts w:cs="Times New Roman"/>
        <w:rtl w:val="0"/>
        <w:cs w:val="0"/>
      </w:rPr>
    </w:lvl>
    <w:lvl w:ilvl="7">
      <w:start w:val="1"/>
      <w:numFmt w:val="lowerLetter"/>
      <w:lvlText w:val="%8."/>
      <w:lvlJc w:val="left"/>
      <w:pPr>
        <w:ind w:left="6474" w:hanging="360"/>
      </w:pPr>
      <w:rPr>
        <w:rFonts w:cs="Times New Roman"/>
        <w:rtl w:val="0"/>
        <w:cs w:val="0"/>
      </w:rPr>
    </w:lvl>
    <w:lvl w:ilvl="8">
      <w:start w:val="1"/>
      <w:numFmt w:val="lowerRoman"/>
      <w:lvlText w:val="%9."/>
      <w:lvlJc w:val="right"/>
      <w:pPr>
        <w:ind w:left="7194" w:hanging="180"/>
      </w:pPr>
      <w:rPr>
        <w:rFonts w:cs="Times New Roman"/>
        <w:rtl w:val="0"/>
        <w:cs w:val="0"/>
      </w:rPr>
    </w:lvl>
  </w:abstractNum>
  <w:abstractNum w:abstractNumId="12">
    <w:nsid w:val="0FFE3F50"/>
    <w:multiLevelType w:val="hybridMultilevel"/>
    <w:tmpl w:val="9E9C56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1ED5D05"/>
    <w:multiLevelType w:val="multilevel"/>
    <w:tmpl w:val="99B42C70"/>
    <w:lvl w:ilvl="0">
      <w:start w:val="1"/>
      <w:numFmt w:val="decimal"/>
      <w:lvlText w:val="%1."/>
      <w:lvlJc w:val="left"/>
      <w:pPr>
        <w:ind w:left="720" w:hanging="360"/>
      </w:pPr>
      <w:rPr>
        <w:rFonts w:cs="Times New Roman" w:hint="default"/>
        <w:rtl w:val="0"/>
        <w:cs w:val="0"/>
      </w:rPr>
    </w:lvl>
    <w:lvl w:ilvl="1">
      <w:start w:val="2"/>
      <w:numFmt w:val="decimal"/>
      <w:isLgl/>
      <w:lvlText w:val="%1.%2."/>
      <w:lvlJc w:val="left"/>
      <w:pPr>
        <w:ind w:left="900" w:hanging="54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14">
    <w:nsid w:val="185064A0"/>
    <w:multiLevelType w:val="hybridMultilevel"/>
    <w:tmpl w:val="8DC2C21C"/>
    <w:lvl w:ilvl="0">
      <w:start w:val="1"/>
      <w:numFmt w:val="decimal"/>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64559AE"/>
    <w:multiLevelType w:val="hybridMultilevel"/>
    <w:tmpl w:val="43D46AB2"/>
    <w:lvl w:ilvl="0">
      <w:start w:val="1"/>
      <w:numFmt w:val="decimal"/>
      <w:lvlText w:val="%1."/>
      <w:lvlJc w:val="left"/>
      <w:pPr>
        <w:ind w:left="1434" w:hanging="360"/>
      </w:pPr>
      <w:rPr>
        <w:rFonts w:cs="Times New Roman" w:hint="default"/>
        <w:rtl w:val="0"/>
        <w:cs w:val="0"/>
      </w:rPr>
    </w:lvl>
    <w:lvl w:ilvl="1">
      <w:start w:val="1"/>
      <w:numFmt w:val="lowerLetter"/>
      <w:lvlText w:val="%2."/>
      <w:lvlJc w:val="left"/>
      <w:pPr>
        <w:ind w:left="2154" w:hanging="360"/>
      </w:pPr>
      <w:rPr>
        <w:rFonts w:cs="Times New Roman"/>
        <w:rtl w:val="0"/>
        <w:cs w:val="0"/>
      </w:rPr>
    </w:lvl>
    <w:lvl w:ilvl="2">
      <w:start w:val="1"/>
      <w:numFmt w:val="lowerRoman"/>
      <w:lvlText w:val="%3."/>
      <w:lvlJc w:val="right"/>
      <w:pPr>
        <w:ind w:left="2874" w:hanging="180"/>
      </w:pPr>
      <w:rPr>
        <w:rFonts w:cs="Times New Roman"/>
        <w:rtl w:val="0"/>
        <w:cs w:val="0"/>
      </w:rPr>
    </w:lvl>
    <w:lvl w:ilvl="3">
      <w:start w:val="1"/>
      <w:numFmt w:val="decimal"/>
      <w:lvlText w:val="%4."/>
      <w:lvlJc w:val="left"/>
      <w:pPr>
        <w:ind w:left="3594" w:hanging="360"/>
      </w:pPr>
      <w:rPr>
        <w:rFonts w:cs="Times New Roman"/>
        <w:rtl w:val="0"/>
        <w:cs w:val="0"/>
      </w:rPr>
    </w:lvl>
    <w:lvl w:ilvl="4">
      <w:start w:val="1"/>
      <w:numFmt w:val="lowerLetter"/>
      <w:lvlText w:val="%5."/>
      <w:lvlJc w:val="left"/>
      <w:pPr>
        <w:ind w:left="4314" w:hanging="360"/>
      </w:pPr>
      <w:rPr>
        <w:rFonts w:cs="Times New Roman"/>
        <w:rtl w:val="0"/>
        <w:cs w:val="0"/>
      </w:rPr>
    </w:lvl>
    <w:lvl w:ilvl="5">
      <w:start w:val="1"/>
      <w:numFmt w:val="lowerRoman"/>
      <w:lvlText w:val="%6."/>
      <w:lvlJc w:val="right"/>
      <w:pPr>
        <w:ind w:left="5034" w:hanging="180"/>
      </w:pPr>
      <w:rPr>
        <w:rFonts w:cs="Times New Roman"/>
        <w:rtl w:val="0"/>
        <w:cs w:val="0"/>
      </w:rPr>
    </w:lvl>
    <w:lvl w:ilvl="6">
      <w:start w:val="1"/>
      <w:numFmt w:val="decimal"/>
      <w:lvlText w:val="%7."/>
      <w:lvlJc w:val="left"/>
      <w:pPr>
        <w:ind w:left="5754" w:hanging="360"/>
      </w:pPr>
      <w:rPr>
        <w:rFonts w:cs="Times New Roman"/>
        <w:rtl w:val="0"/>
        <w:cs w:val="0"/>
      </w:rPr>
    </w:lvl>
    <w:lvl w:ilvl="7">
      <w:start w:val="1"/>
      <w:numFmt w:val="lowerLetter"/>
      <w:lvlText w:val="%8."/>
      <w:lvlJc w:val="left"/>
      <w:pPr>
        <w:ind w:left="6474" w:hanging="360"/>
      </w:pPr>
      <w:rPr>
        <w:rFonts w:cs="Times New Roman"/>
        <w:rtl w:val="0"/>
        <w:cs w:val="0"/>
      </w:rPr>
    </w:lvl>
    <w:lvl w:ilvl="8">
      <w:start w:val="1"/>
      <w:numFmt w:val="lowerRoman"/>
      <w:lvlText w:val="%9."/>
      <w:lvlJc w:val="right"/>
      <w:pPr>
        <w:ind w:left="7194" w:hanging="180"/>
      </w:pPr>
      <w:rPr>
        <w:rFonts w:cs="Times New Roman"/>
        <w:rtl w:val="0"/>
        <w:cs w:val="0"/>
      </w:rPr>
    </w:lvl>
  </w:abstractNum>
  <w:abstractNum w:abstractNumId="16">
    <w:nsid w:val="282A1C9E"/>
    <w:multiLevelType w:val="hybridMultilevel"/>
    <w:tmpl w:val="187822B6"/>
    <w:lvl w:ilvl="0">
      <w:start w:val="108"/>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8492FCE"/>
    <w:multiLevelType w:val="hybridMultilevel"/>
    <w:tmpl w:val="DBB2D5AA"/>
    <w:lvl w:ilvl="0">
      <w:start w:val="1"/>
      <w:numFmt w:val="decimal"/>
      <w:lvlText w:val="%1."/>
      <w:lvlJc w:val="left"/>
      <w:pPr>
        <w:ind w:left="1434" w:hanging="360"/>
      </w:pPr>
      <w:rPr>
        <w:rFonts w:cs="Times New Roman"/>
        <w:b/>
        <w:i/>
        <w:rtl w:val="0"/>
        <w:cs w:val="0"/>
      </w:rPr>
    </w:lvl>
    <w:lvl w:ilvl="1">
      <w:start w:val="1"/>
      <w:numFmt w:val="lowerLetter"/>
      <w:lvlText w:val="%2."/>
      <w:lvlJc w:val="left"/>
      <w:pPr>
        <w:ind w:left="2154" w:hanging="360"/>
      </w:pPr>
      <w:rPr>
        <w:rFonts w:cs="Times New Roman"/>
        <w:rtl w:val="0"/>
        <w:cs w:val="0"/>
      </w:rPr>
    </w:lvl>
    <w:lvl w:ilvl="2">
      <w:start w:val="1"/>
      <w:numFmt w:val="lowerRoman"/>
      <w:lvlText w:val="%3."/>
      <w:lvlJc w:val="right"/>
      <w:pPr>
        <w:ind w:left="2874" w:hanging="180"/>
      </w:pPr>
      <w:rPr>
        <w:rFonts w:cs="Times New Roman"/>
        <w:rtl w:val="0"/>
        <w:cs w:val="0"/>
      </w:rPr>
    </w:lvl>
    <w:lvl w:ilvl="3">
      <w:start w:val="1"/>
      <w:numFmt w:val="decimal"/>
      <w:lvlText w:val="%4."/>
      <w:lvlJc w:val="left"/>
      <w:pPr>
        <w:ind w:left="3594" w:hanging="360"/>
      </w:pPr>
      <w:rPr>
        <w:rFonts w:cs="Times New Roman"/>
        <w:rtl w:val="0"/>
        <w:cs w:val="0"/>
      </w:rPr>
    </w:lvl>
    <w:lvl w:ilvl="4">
      <w:start w:val="1"/>
      <w:numFmt w:val="lowerLetter"/>
      <w:lvlText w:val="%5."/>
      <w:lvlJc w:val="left"/>
      <w:pPr>
        <w:ind w:left="4314" w:hanging="360"/>
      </w:pPr>
      <w:rPr>
        <w:rFonts w:cs="Times New Roman"/>
        <w:rtl w:val="0"/>
        <w:cs w:val="0"/>
      </w:rPr>
    </w:lvl>
    <w:lvl w:ilvl="5">
      <w:start w:val="1"/>
      <w:numFmt w:val="lowerRoman"/>
      <w:lvlText w:val="%6."/>
      <w:lvlJc w:val="right"/>
      <w:pPr>
        <w:ind w:left="5034" w:hanging="180"/>
      </w:pPr>
      <w:rPr>
        <w:rFonts w:cs="Times New Roman"/>
        <w:rtl w:val="0"/>
        <w:cs w:val="0"/>
      </w:rPr>
    </w:lvl>
    <w:lvl w:ilvl="6">
      <w:start w:val="1"/>
      <w:numFmt w:val="decimal"/>
      <w:lvlText w:val="%7."/>
      <w:lvlJc w:val="left"/>
      <w:pPr>
        <w:ind w:left="5754" w:hanging="360"/>
      </w:pPr>
      <w:rPr>
        <w:rFonts w:cs="Times New Roman"/>
        <w:rtl w:val="0"/>
        <w:cs w:val="0"/>
      </w:rPr>
    </w:lvl>
    <w:lvl w:ilvl="7">
      <w:start w:val="1"/>
      <w:numFmt w:val="lowerLetter"/>
      <w:lvlText w:val="%8."/>
      <w:lvlJc w:val="left"/>
      <w:pPr>
        <w:ind w:left="6474" w:hanging="360"/>
      </w:pPr>
      <w:rPr>
        <w:rFonts w:cs="Times New Roman"/>
        <w:rtl w:val="0"/>
        <w:cs w:val="0"/>
      </w:rPr>
    </w:lvl>
    <w:lvl w:ilvl="8">
      <w:start w:val="1"/>
      <w:numFmt w:val="lowerRoman"/>
      <w:lvlText w:val="%9."/>
      <w:lvlJc w:val="right"/>
      <w:pPr>
        <w:ind w:left="7194" w:hanging="180"/>
      </w:pPr>
      <w:rPr>
        <w:rFonts w:cs="Times New Roman"/>
        <w:rtl w:val="0"/>
        <w:cs w:val="0"/>
      </w:rPr>
    </w:lvl>
  </w:abstractNum>
  <w:abstractNum w:abstractNumId="18">
    <w:nsid w:val="29CB06A8"/>
    <w:multiLevelType w:val="hybridMultilevel"/>
    <w:tmpl w:val="122C8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FC3162F"/>
    <w:multiLevelType w:val="multilevel"/>
    <w:tmpl w:val="5DCA65FE"/>
    <w:lvl w:ilvl="0">
      <w:start w:val="1"/>
      <w:numFmt w:val="decimal"/>
      <w:pStyle w:val="Heading1"/>
      <w:lvlText w:val="%1"/>
      <w:lvlJc w:val="left"/>
      <w:pPr>
        <w:tabs>
          <w:tab w:val="num" w:pos="432"/>
        </w:tabs>
        <w:ind w:left="432" w:hanging="432"/>
      </w:pPr>
      <w:rPr>
        <w:rFonts w:cs="Times New Roman"/>
        <w:rtl w:val="0"/>
        <w:cs w:val="0"/>
      </w:rPr>
    </w:lvl>
    <w:lvl w:ilvl="1">
      <w:start w:val="1"/>
      <w:numFmt w:val="decimal"/>
      <w:pStyle w:val="Heading2"/>
      <w:lvlText w:val="%1.%2"/>
      <w:lvlJc w:val="left"/>
      <w:pPr>
        <w:tabs>
          <w:tab w:val="num" w:pos="576"/>
        </w:tabs>
        <w:ind w:left="576" w:hanging="576"/>
      </w:pPr>
      <w:rPr>
        <w:rFonts w:cs="Times New Roman"/>
        <w:rtl w:val="0"/>
        <w:cs w:val="0"/>
      </w:rPr>
    </w:lvl>
    <w:lvl w:ilvl="2">
      <w:start w:val="1"/>
      <w:numFmt w:val="decimal"/>
      <w:pStyle w:val="Heading3"/>
      <w:lvlText w:val="%1.%2.%3"/>
      <w:lvlJc w:val="left"/>
      <w:pPr>
        <w:tabs>
          <w:tab w:val="num" w:pos="720"/>
        </w:tabs>
        <w:ind w:left="720" w:hanging="720"/>
      </w:pPr>
      <w:rPr>
        <w:rFonts w:ascii="Times New Roman" w:hAnsi="Times New Roman" w:cs="Times New Roman"/>
        <w:b/>
        <w:bCs w:val="0"/>
        <w:i w:val="0"/>
        <w:iCs w:val="0"/>
        <w:caps w:val="0"/>
        <w:smallCaps w:val="0"/>
        <w:strike w:val="0"/>
        <w:dstrike w:val="0"/>
        <w:vanish w:val="0"/>
        <w:color w:val="000000"/>
        <w:spacing w:val="0"/>
        <w:w w:val="0"/>
        <w:kern w:val="0"/>
        <w:position w:val="0"/>
        <w:sz w:val="24"/>
        <w:szCs w:val="24"/>
        <w:u w:val="none"/>
        <w:vertAlign w:val="baseline"/>
        <w:rtl w:val="0"/>
        <w:cs w:val="0"/>
      </w:rPr>
    </w:lvl>
    <w:lvl w:ilvl="3">
      <w:start w:val="1"/>
      <w:numFmt w:val="decimal"/>
      <w:pStyle w:val="Heading4"/>
      <w:lvlText w:val="%1.%2.%3.%4"/>
      <w:lvlJc w:val="left"/>
      <w:pPr>
        <w:tabs>
          <w:tab w:val="num" w:pos="864"/>
        </w:tabs>
        <w:ind w:left="864" w:hanging="864"/>
      </w:pPr>
      <w:rPr>
        <w:rFonts w:cs="Times New Roman"/>
        <w:b/>
        <w:rtl w:val="0"/>
        <w:cs w:val="0"/>
      </w:rPr>
    </w:lvl>
    <w:lvl w:ilvl="4">
      <w:start w:val="1"/>
      <w:numFmt w:val="decimal"/>
      <w:pStyle w:val="Heading5"/>
      <w:lvlText w:val="%1.%2.%3.%4.%5"/>
      <w:lvlJc w:val="left"/>
      <w:pPr>
        <w:tabs>
          <w:tab w:val="num" w:pos="1008"/>
        </w:tabs>
        <w:ind w:left="1008" w:hanging="1008"/>
      </w:pPr>
      <w:rPr>
        <w:rFonts w:cs="Times New Roman"/>
        <w:rtl w:val="0"/>
        <w:cs w:val="0"/>
      </w:rPr>
    </w:lvl>
    <w:lvl w:ilvl="5">
      <w:start w:val="1"/>
      <w:numFmt w:val="decimal"/>
      <w:pStyle w:val="Heading6"/>
      <w:lvlText w:val="%1.%2.%3.%4.%5.%6"/>
      <w:lvlJc w:val="left"/>
      <w:pPr>
        <w:tabs>
          <w:tab w:val="num" w:pos="1152"/>
        </w:tabs>
        <w:ind w:left="1152" w:hanging="1152"/>
      </w:pPr>
      <w:rPr>
        <w:rFonts w:cs="Times New Roman"/>
        <w:rtl w:val="0"/>
        <w:cs w:val="0"/>
      </w:rPr>
    </w:lvl>
    <w:lvl w:ilvl="6">
      <w:start w:val="1"/>
      <w:numFmt w:val="decimal"/>
      <w:pStyle w:val="Heading7"/>
      <w:lvlText w:val="%1.%2.%3.%4.%5.%6.%7"/>
      <w:lvlJc w:val="left"/>
      <w:pPr>
        <w:tabs>
          <w:tab w:val="num" w:pos="1296"/>
        </w:tabs>
        <w:ind w:left="1296" w:hanging="1296"/>
      </w:pPr>
      <w:rPr>
        <w:rFonts w:cs="Times New Roman"/>
        <w:rtl w:val="0"/>
        <w:cs w:val="0"/>
      </w:rPr>
    </w:lvl>
    <w:lvl w:ilvl="7">
      <w:start w:val="1"/>
      <w:numFmt w:val="decimal"/>
      <w:pStyle w:val="Heading8"/>
      <w:lvlText w:val="%1.%2.%3.%4.%5.%6.%7.%8"/>
      <w:lvlJc w:val="left"/>
      <w:pPr>
        <w:tabs>
          <w:tab w:val="num" w:pos="1440"/>
        </w:tabs>
        <w:ind w:left="1440" w:hanging="1440"/>
      </w:pPr>
      <w:rPr>
        <w:rFonts w:cs="Times New Roman"/>
        <w:rtl w:val="0"/>
        <w:cs w:val="0"/>
      </w:rPr>
    </w:lvl>
    <w:lvl w:ilvl="8">
      <w:start w:val="1"/>
      <w:numFmt w:val="decimal"/>
      <w:pStyle w:val="Heading9"/>
      <w:lvlText w:val="%1.%2.%3.%4.%5.%6.%7.%8.%9"/>
      <w:lvlJc w:val="left"/>
      <w:pPr>
        <w:tabs>
          <w:tab w:val="num" w:pos="1584"/>
        </w:tabs>
        <w:ind w:left="1584" w:hanging="1584"/>
      </w:pPr>
      <w:rPr>
        <w:rFonts w:cs="Times New Roman"/>
        <w:rtl w:val="0"/>
        <w:cs w:val="0"/>
      </w:rPr>
    </w:lvl>
  </w:abstractNum>
  <w:abstractNum w:abstractNumId="20">
    <w:nsid w:val="300B5B7D"/>
    <w:multiLevelType w:val="hybridMultilevel"/>
    <w:tmpl w:val="5902153C"/>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3B021A1"/>
    <w:multiLevelType w:val="hybridMultilevel"/>
    <w:tmpl w:val="87647A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BCE1790"/>
    <w:multiLevelType w:val="hybridMultilevel"/>
    <w:tmpl w:val="55A4F21A"/>
    <w:lvl w:ilvl="0">
      <w:start w:val="1"/>
      <w:numFmt w:val="upperLetter"/>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FD45861"/>
    <w:multiLevelType w:val="hybridMultilevel"/>
    <w:tmpl w:val="8ADC7E8A"/>
    <w:lvl w:ilvl="0">
      <w:start w:val="108"/>
      <w:numFmt w:val="bullet"/>
      <w:lvlText w:val="-"/>
      <w:lvlJc w:val="left"/>
      <w:pPr>
        <w:ind w:left="1428" w:hanging="360"/>
      </w:pPr>
      <w:rPr>
        <w:rFonts w:ascii="Arial Narrow" w:eastAsia="Times New Roman" w:hAnsi="Arial Narrow"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4">
    <w:nsid w:val="524904AE"/>
    <w:multiLevelType w:val="hybridMultilevel"/>
    <w:tmpl w:val="2FA65E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86C74A6"/>
    <w:multiLevelType w:val="hybridMultilevel"/>
    <w:tmpl w:val="7084ED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FAD312C"/>
    <w:multiLevelType w:val="hybridMultilevel"/>
    <w:tmpl w:val="6204ACC6"/>
    <w:lvl w:ilvl="0">
      <w:start w:val="16"/>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7">
    <w:nsid w:val="66047EAB"/>
    <w:multiLevelType w:val="hybridMultilevel"/>
    <w:tmpl w:val="95F20576"/>
    <w:lvl w:ilvl="0">
      <w:start w:val="1"/>
      <w:numFmt w:val="decimal"/>
      <w:lvlText w:val="%1."/>
      <w:lvlJc w:val="left"/>
      <w:pPr>
        <w:ind w:left="1434" w:hanging="360"/>
      </w:pPr>
      <w:rPr>
        <w:rFonts w:cs="Times New Roman"/>
        <w:rtl w:val="0"/>
        <w:cs w:val="0"/>
      </w:rPr>
    </w:lvl>
    <w:lvl w:ilvl="1">
      <w:start w:val="1"/>
      <w:numFmt w:val="lowerLetter"/>
      <w:lvlText w:val="%2."/>
      <w:lvlJc w:val="left"/>
      <w:pPr>
        <w:ind w:left="2154" w:hanging="360"/>
      </w:pPr>
      <w:rPr>
        <w:rFonts w:cs="Times New Roman"/>
        <w:rtl w:val="0"/>
        <w:cs w:val="0"/>
      </w:rPr>
    </w:lvl>
    <w:lvl w:ilvl="2">
      <w:start w:val="1"/>
      <w:numFmt w:val="lowerRoman"/>
      <w:lvlText w:val="%3."/>
      <w:lvlJc w:val="right"/>
      <w:pPr>
        <w:ind w:left="2874" w:hanging="180"/>
      </w:pPr>
      <w:rPr>
        <w:rFonts w:cs="Times New Roman"/>
        <w:rtl w:val="0"/>
        <w:cs w:val="0"/>
      </w:rPr>
    </w:lvl>
    <w:lvl w:ilvl="3">
      <w:start w:val="1"/>
      <w:numFmt w:val="decimal"/>
      <w:lvlText w:val="%4."/>
      <w:lvlJc w:val="left"/>
      <w:pPr>
        <w:ind w:left="3594" w:hanging="360"/>
      </w:pPr>
      <w:rPr>
        <w:rFonts w:cs="Times New Roman"/>
        <w:rtl w:val="0"/>
        <w:cs w:val="0"/>
      </w:rPr>
    </w:lvl>
    <w:lvl w:ilvl="4">
      <w:start w:val="1"/>
      <w:numFmt w:val="lowerLetter"/>
      <w:lvlText w:val="%5."/>
      <w:lvlJc w:val="left"/>
      <w:pPr>
        <w:ind w:left="4314" w:hanging="360"/>
      </w:pPr>
      <w:rPr>
        <w:rFonts w:cs="Times New Roman"/>
        <w:rtl w:val="0"/>
        <w:cs w:val="0"/>
      </w:rPr>
    </w:lvl>
    <w:lvl w:ilvl="5">
      <w:start w:val="1"/>
      <w:numFmt w:val="lowerRoman"/>
      <w:lvlText w:val="%6."/>
      <w:lvlJc w:val="right"/>
      <w:pPr>
        <w:ind w:left="5034" w:hanging="180"/>
      </w:pPr>
      <w:rPr>
        <w:rFonts w:cs="Times New Roman"/>
        <w:rtl w:val="0"/>
        <w:cs w:val="0"/>
      </w:rPr>
    </w:lvl>
    <w:lvl w:ilvl="6">
      <w:start w:val="1"/>
      <w:numFmt w:val="decimal"/>
      <w:lvlText w:val="%7."/>
      <w:lvlJc w:val="left"/>
      <w:pPr>
        <w:ind w:left="5754" w:hanging="360"/>
      </w:pPr>
      <w:rPr>
        <w:rFonts w:cs="Times New Roman"/>
        <w:rtl w:val="0"/>
        <w:cs w:val="0"/>
      </w:rPr>
    </w:lvl>
    <w:lvl w:ilvl="7">
      <w:start w:val="1"/>
      <w:numFmt w:val="lowerLetter"/>
      <w:lvlText w:val="%8."/>
      <w:lvlJc w:val="left"/>
      <w:pPr>
        <w:ind w:left="6474" w:hanging="360"/>
      </w:pPr>
      <w:rPr>
        <w:rFonts w:cs="Times New Roman"/>
        <w:rtl w:val="0"/>
        <w:cs w:val="0"/>
      </w:rPr>
    </w:lvl>
    <w:lvl w:ilvl="8">
      <w:start w:val="1"/>
      <w:numFmt w:val="lowerRoman"/>
      <w:lvlText w:val="%9."/>
      <w:lvlJc w:val="right"/>
      <w:pPr>
        <w:ind w:left="7194" w:hanging="180"/>
      </w:pPr>
      <w:rPr>
        <w:rFonts w:cs="Times New Roman"/>
        <w:rtl w:val="0"/>
        <w:cs w:val="0"/>
      </w:rPr>
    </w:lvl>
  </w:abstractNum>
  <w:abstractNum w:abstractNumId="28">
    <w:nsid w:val="6B8A5DCD"/>
    <w:multiLevelType w:val="hybridMultilevel"/>
    <w:tmpl w:val="85A4830E"/>
    <w:lvl w:ilvl="0">
      <w:start w:val="4"/>
      <w:numFmt w:val="bullet"/>
      <w:lvlText w:val="-"/>
      <w:lvlJc w:val="left"/>
      <w:pPr>
        <w:ind w:left="1068" w:hanging="360"/>
      </w:pPr>
      <w:rPr>
        <w:rFonts w:ascii="Arial Narrow" w:eastAsia="Times New Roman" w:hAnsi="Arial Narrow"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9">
    <w:nsid w:val="6CD27369"/>
    <w:multiLevelType w:val="multilevel"/>
    <w:tmpl w:val="3F52B3E6"/>
    <w:lvl w:ilvl="0">
      <w:start w:val="4"/>
      <w:numFmt w:val="decimal"/>
      <w:lvlText w:val="%1."/>
      <w:lvlJc w:val="left"/>
      <w:pPr>
        <w:ind w:left="720" w:hanging="360"/>
      </w:pPr>
      <w:rPr>
        <w:rFonts w:cs="Times New Roman" w:hint="default"/>
        <w:rtl w:val="0"/>
        <w:cs w:val="0"/>
      </w:rPr>
    </w:lvl>
    <w:lvl w:ilvl="1">
      <w:start w:val="2"/>
      <w:numFmt w:val="decimal"/>
      <w:isLgl/>
      <w:lvlText w:val="%1.%2."/>
      <w:lvlJc w:val="left"/>
      <w:pPr>
        <w:ind w:left="900" w:hanging="54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30">
    <w:nsid w:val="71DA770E"/>
    <w:multiLevelType w:val="multilevel"/>
    <w:tmpl w:val="40F433AE"/>
    <w:lvl w:ilvl="0">
      <w:start w:val="4"/>
      <w:numFmt w:val="decimal"/>
      <w:lvlText w:val="%1."/>
      <w:lvlJc w:val="left"/>
      <w:pPr>
        <w:ind w:left="540" w:hanging="540"/>
      </w:pPr>
      <w:rPr>
        <w:rFonts w:cs="Times New Roman" w:hint="default"/>
        <w:rtl w:val="0"/>
        <w:cs w:val="0"/>
      </w:rPr>
    </w:lvl>
    <w:lvl w:ilvl="1">
      <w:start w:val="2"/>
      <w:numFmt w:val="decimal"/>
      <w:lvlText w:val="%1.%2."/>
      <w:lvlJc w:val="left"/>
      <w:pPr>
        <w:ind w:left="720" w:hanging="540"/>
      </w:pPr>
      <w:rPr>
        <w:rFonts w:cs="Times New Roman" w:hint="default"/>
        <w:rtl w:val="0"/>
        <w:cs w:val="0"/>
      </w:rPr>
    </w:lvl>
    <w:lvl w:ilvl="2">
      <w:start w:val="2"/>
      <w:numFmt w:val="decimal"/>
      <w:lvlText w:val="%1.%2.%3."/>
      <w:lvlJc w:val="left"/>
      <w:pPr>
        <w:ind w:left="1080" w:hanging="720"/>
      </w:pPr>
      <w:rPr>
        <w:rFonts w:cs="Times New Roman" w:hint="default"/>
        <w:rtl w:val="0"/>
        <w:cs w:val="0"/>
      </w:rPr>
    </w:lvl>
    <w:lvl w:ilvl="3">
      <w:start w:val="1"/>
      <w:numFmt w:val="decimal"/>
      <w:lvlText w:val="%1.%2.%3.%4."/>
      <w:lvlJc w:val="left"/>
      <w:pPr>
        <w:ind w:left="1260" w:hanging="720"/>
      </w:pPr>
      <w:rPr>
        <w:rFonts w:cs="Times New Roman" w:hint="default"/>
        <w:rtl w:val="0"/>
        <w:cs w:val="0"/>
      </w:rPr>
    </w:lvl>
    <w:lvl w:ilvl="4">
      <w:start w:val="1"/>
      <w:numFmt w:val="decimal"/>
      <w:lvlText w:val="%1.%2.%3.%4.%5."/>
      <w:lvlJc w:val="left"/>
      <w:pPr>
        <w:ind w:left="1800" w:hanging="1080"/>
      </w:pPr>
      <w:rPr>
        <w:rFonts w:cs="Times New Roman" w:hint="default"/>
        <w:rtl w:val="0"/>
        <w:cs w:val="0"/>
      </w:rPr>
    </w:lvl>
    <w:lvl w:ilvl="5">
      <w:start w:val="1"/>
      <w:numFmt w:val="decimal"/>
      <w:lvlText w:val="%1.%2.%3.%4.%5.%6."/>
      <w:lvlJc w:val="left"/>
      <w:pPr>
        <w:ind w:left="1980" w:hanging="1080"/>
      </w:pPr>
      <w:rPr>
        <w:rFonts w:cs="Times New Roman" w:hint="default"/>
        <w:rtl w:val="0"/>
        <w:cs w:val="0"/>
      </w:rPr>
    </w:lvl>
    <w:lvl w:ilvl="6">
      <w:start w:val="1"/>
      <w:numFmt w:val="decimal"/>
      <w:lvlText w:val="%1.%2.%3.%4.%5.%6.%7."/>
      <w:lvlJc w:val="left"/>
      <w:pPr>
        <w:ind w:left="2520" w:hanging="1440"/>
      </w:pPr>
      <w:rPr>
        <w:rFonts w:cs="Times New Roman" w:hint="default"/>
        <w:rtl w:val="0"/>
        <w:cs w:val="0"/>
      </w:rPr>
    </w:lvl>
    <w:lvl w:ilvl="7">
      <w:start w:val="1"/>
      <w:numFmt w:val="decimal"/>
      <w:lvlText w:val="%1.%2.%3.%4.%5.%6.%7.%8."/>
      <w:lvlJc w:val="left"/>
      <w:pPr>
        <w:ind w:left="2700" w:hanging="1440"/>
      </w:pPr>
      <w:rPr>
        <w:rFonts w:cs="Times New Roman" w:hint="default"/>
        <w:rtl w:val="0"/>
        <w:cs w:val="0"/>
      </w:rPr>
    </w:lvl>
    <w:lvl w:ilvl="8">
      <w:start w:val="1"/>
      <w:numFmt w:val="decimal"/>
      <w:lvlText w:val="%1.%2.%3.%4.%5.%6.%7.%8.%9."/>
      <w:lvlJc w:val="left"/>
      <w:pPr>
        <w:ind w:left="3240" w:hanging="1800"/>
      </w:pPr>
      <w:rPr>
        <w:rFonts w:cs="Times New Roman" w:hint="default"/>
        <w:rtl w:val="0"/>
        <w:cs w:val="0"/>
      </w:rPr>
    </w:lvl>
  </w:abstractNum>
  <w:abstractNum w:abstractNumId="31">
    <w:nsid w:val="7A724158"/>
    <w:multiLevelType w:val="hybridMultilevel"/>
    <w:tmpl w:val="F95CF26E"/>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num w:numId="1">
    <w:abstractNumId w:val="24"/>
  </w:num>
  <w:num w:numId="2">
    <w:abstractNumId w:val="13"/>
  </w:num>
  <w:num w:numId="3">
    <w:abstractNumId w:val="31"/>
  </w:num>
  <w:num w:numId="4">
    <w:abstractNumId w:val="14"/>
  </w:num>
  <w:num w:numId="5">
    <w:abstractNumId w:val="16"/>
  </w:num>
  <w:num w:numId="6">
    <w:abstractNumId w:val="29"/>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0"/>
  </w:num>
  <w:num w:numId="10">
    <w:abstractNumId w:val="31"/>
    <w:lvlOverride w:ilvl="0"/>
    <w:lvlOverride w:ilvl="1"/>
    <w:lvlOverride w:ilvl="2"/>
    <w:lvlOverride w:ilvl="3"/>
    <w:lvlOverride w:ilvl="4"/>
    <w:lvlOverride w:ilvl="5"/>
    <w:lvlOverride w:ilvl="6"/>
    <w:lvlOverride w:ilvl="7"/>
    <w:lvlOverride w:ilvl="8"/>
  </w:num>
  <w:num w:numId="11">
    <w:abstractNumId w:val="12"/>
  </w:num>
  <w:num w:numId="12">
    <w:abstractNumId w:val="15"/>
  </w:num>
  <w:num w:numId="13">
    <w:abstractNumId w:val="22"/>
  </w:num>
  <w:num w:numId="14">
    <w:abstractNumId w:val="17"/>
  </w:num>
  <w:num w:numId="15">
    <w:abstractNumId w:val="11"/>
  </w:num>
  <w:num w:numId="16">
    <w:abstractNumId w:val="23"/>
  </w:num>
  <w:num w:numId="17">
    <w:abstractNumId w:val="18"/>
  </w:num>
  <w:num w:numId="18">
    <w:abstractNumId w:val="26"/>
    <w:lvlOverride w:ilvl="0"/>
    <w:lvlOverride w:ilvl="1"/>
    <w:lvlOverride w:ilvl="2"/>
    <w:lvlOverride w:ilvl="3"/>
    <w:lvlOverride w:ilvl="4"/>
    <w:lvlOverride w:ilvl="5"/>
    <w:lvlOverride w:ilvl="6"/>
    <w:lvlOverride w:ilvl="7"/>
    <w:lvlOverride w:ilvl="8"/>
  </w:num>
  <w:num w:numId="19">
    <w:abstractNumId w:val="19"/>
  </w:num>
  <w:num w:numId="20">
    <w:abstractNumId w:val="20"/>
  </w:num>
  <w:num w:numId="21">
    <w:abstractNumId w:val="25"/>
  </w:num>
  <w:num w:numId="22">
    <w:abstractNumId w:val="27"/>
  </w:num>
  <w:num w:numId="23">
    <w:abstractNumId w:val="21"/>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noPunctuationKerning/>
  <w:characterSpacingControl w:val="doNotCompress"/>
  <w:footnotePr>
    <w:footnote w:id="0"/>
    <w:footnote w:id="1"/>
  </w:footnotePr>
  <w:compat/>
  <w:rsids>
    <w:rsidRoot w:val="006935B8"/>
    <w:rsid w:val="000007D6"/>
    <w:rsid w:val="00001C03"/>
    <w:rsid w:val="000020C8"/>
    <w:rsid w:val="00002CC6"/>
    <w:rsid w:val="0000340F"/>
    <w:rsid w:val="00003FE6"/>
    <w:rsid w:val="00004034"/>
    <w:rsid w:val="00006769"/>
    <w:rsid w:val="00006900"/>
    <w:rsid w:val="0000714F"/>
    <w:rsid w:val="0001001B"/>
    <w:rsid w:val="00010ACD"/>
    <w:rsid w:val="00012093"/>
    <w:rsid w:val="000127F2"/>
    <w:rsid w:val="000129DE"/>
    <w:rsid w:val="00012FA2"/>
    <w:rsid w:val="00013832"/>
    <w:rsid w:val="0001400A"/>
    <w:rsid w:val="00016183"/>
    <w:rsid w:val="000163CE"/>
    <w:rsid w:val="00016969"/>
    <w:rsid w:val="00017B5E"/>
    <w:rsid w:val="00020DA1"/>
    <w:rsid w:val="000213CF"/>
    <w:rsid w:val="0002282E"/>
    <w:rsid w:val="00023611"/>
    <w:rsid w:val="00025F5A"/>
    <w:rsid w:val="00026761"/>
    <w:rsid w:val="00027001"/>
    <w:rsid w:val="00027543"/>
    <w:rsid w:val="00027851"/>
    <w:rsid w:val="0003107C"/>
    <w:rsid w:val="00035016"/>
    <w:rsid w:val="0003653E"/>
    <w:rsid w:val="00036600"/>
    <w:rsid w:val="00036C63"/>
    <w:rsid w:val="00037E80"/>
    <w:rsid w:val="000406BC"/>
    <w:rsid w:val="000412F7"/>
    <w:rsid w:val="00041894"/>
    <w:rsid w:val="00043DCE"/>
    <w:rsid w:val="000449C5"/>
    <w:rsid w:val="00044D70"/>
    <w:rsid w:val="000456FC"/>
    <w:rsid w:val="0004676D"/>
    <w:rsid w:val="0004733F"/>
    <w:rsid w:val="00047A93"/>
    <w:rsid w:val="0005007F"/>
    <w:rsid w:val="00051040"/>
    <w:rsid w:val="000510B5"/>
    <w:rsid w:val="0005143E"/>
    <w:rsid w:val="00051821"/>
    <w:rsid w:val="00051996"/>
    <w:rsid w:val="00053DE4"/>
    <w:rsid w:val="00054455"/>
    <w:rsid w:val="00055CD2"/>
    <w:rsid w:val="000560A3"/>
    <w:rsid w:val="000561B5"/>
    <w:rsid w:val="000578FA"/>
    <w:rsid w:val="000610D4"/>
    <w:rsid w:val="000613F5"/>
    <w:rsid w:val="00061895"/>
    <w:rsid w:val="00061A75"/>
    <w:rsid w:val="000623A8"/>
    <w:rsid w:val="000630EC"/>
    <w:rsid w:val="00063169"/>
    <w:rsid w:val="00064239"/>
    <w:rsid w:val="00065F93"/>
    <w:rsid w:val="0006601E"/>
    <w:rsid w:val="000667A1"/>
    <w:rsid w:val="00067143"/>
    <w:rsid w:val="00070535"/>
    <w:rsid w:val="00070643"/>
    <w:rsid w:val="00070AEC"/>
    <w:rsid w:val="00071059"/>
    <w:rsid w:val="0007141F"/>
    <w:rsid w:val="000720DC"/>
    <w:rsid w:val="0007256B"/>
    <w:rsid w:val="00072650"/>
    <w:rsid w:val="00072B94"/>
    <w:rsid w:val="0007357D"/>
    <w:rsid w:val="00073E08"/>
    <w:rsid w:val="000746AC"/>
    <w:rsid w:val="00074972"/>
    <w:rsid w:val="00074F0B"/>
    <w:rsid w:val="00075062"/>
    <w:rsid w:val="0007535E"/>
    <w:rsid w:val="000763FF"/>
    <w:rsid w:val="00076E1E"/>
    <w:rsid w:val="000772DE"/>
    <w:rsid w:val="00077921"/>
    <w:rsid w:val="0008002F"/>
    <w:rsid w:val="000805C3"/>
    <w:rsid w:val="00080787"/>
    <w:rsid w:val="000807F7"/>
    <w:rsid w:val="0008104C"/>
    <w:rsid w:val="00081478"/>
    <w:rsid w:val="00081750"/>
    <w:rsid w:val="00083CF3"/>
    <w:rsid w:val="00083FB3"/>
    <w:rsid w:val="00085CFF"/>
    <w:rsid w:val="00085D05"/>
    <w:rsid w:val="00086FAC"/>
    <w:rsid w:val="00092179"/>
    <w:rsid w:val="000926BC"/>
    <w:rsid w:val="00092BB8"/>
    <w:rsid w:val="000931B8"/>
    <w:rsid w:val="000941EE"/>
    <w:rsid w:val="00094A97"/>
    <w:rsid w:val="00095A03"/>
    <w:rsid w:val="00097A35"/>
    <w:rsid w:val="000A011A"/>
    <w:rsid w:val="000A045E"/>
    <w:rsid w:val="000A07DB"/>
    <w:rsid w:val="000A21A8"/>
    <w:rsid w:val="000A2C95"/>
    <w:rsid w:val="000A3871"/>
    <w:rsid w:val="000A3AA2"/>
    <w:rsid w:val="000A4CD0"/>
    <w:rsid w:val="000A56F9"/>
    <w:rsid w:val="000A6090"/>
    <w:rsid w:val="000A6169"/>
    <w:rsid w:val="000A6170"/>
    <w:rsid w:val="000A7BDB"/>
    <w:rsid w:val="000A7D26"/>
    <w:rsid w:val="000B14CE"/>
    <w:rsid w:val="000B1C47"/>
    <w:rsid w:val="000B20AF"/>
    <w:rsid w:val="000B20EF"/>
    <w:rsid w:val="000B2FEF"/>
    <w:rsid w:val="000B34FC"/>
    <w:rsid w:val="000B3AF8"/>
    <w:rsid w:val="000B4441"/>
    <w:rsid w:val="000B5B6C"/>
    <w:rsid w:val="000B71D8"/>
    <w:rsid w:val="000B75A9"/>
    <w:rsid w:val="000C0ABF"/>
    <w:rsid w:val="000C0E95"/>
    <w:rsid w:val="000C1023"/>
    <w:rsid w:val="000C2DA1"/>
    <w:rsid w:val="000C4D20"/>
    <w:rsid w:val="000C558A"/>
    <w:rsid w:val="000C5CC2"/>
    <w:rsid w:val="000C60F9"/>
    <w:rsid w:val="000C66C2"/>
    <w:rsid w:val="000C6F6C"/>
    <w:rsid w:val="000C71BD"/>
    <w:rsid w:val="000C77FE"/>
    <w:rsid w:val="000D016B"/>
    <w:rsid w:val="000D0417"/>
    <w:rsid w:val="000D163D"/>
    <w:rsid w:val="000D23B5"/>
    <w:rsid w:val="000D260E"/>
    <w:rsid w:val="000D3301"/>
    <w:rsid w:val="000D398E"/>
    <w:rsid w:val="000D40B7"/>
    <w:rsid w:val="000D4E06"/>
    <w:rsid w:val="000D58E4"/>
    <w:rsid w:val="000D5A0D"/>
    <w:rsid w:val="000D64F6"/>
    <w:rsid w:val="000D6AD2"/>
    <w:rsid w:val="000D6CAD"/>
    <w:rsid w:val="000D7C9E"/>
    <w:rsid w:val="000E0E13"/>
    <w:rsid w:val="000E13AA"/>
    <w:rsid w:val="000E3547"/>
    <w:rsid w:val="000E41A9"/>
    <w:rsid w:val="000E4C03"/>
    <w:rsid w:val="000E4CA5"/>
    <w:rsid w:val="000E6159"/>
    <w:rsid w:val="000E715E"/>
    <w:rsid w:val="000F01DC"/>
    <w:rsid w:val="000F0531"/>
    <w:rsid w:val="000F35AE"/>
    <w:rsid w:val="000F442A"/>
    <w:rsid w:val="000F461A"/>
    <w:rsid w:val="000F5058"/>
    <w:rsid w:val="000F5082"/>
    <w:rsid w:val="000F51F2"/>
    <w:rsid w:val="000F58AB"/>
    <w:rsid w:val="000F5FD3"/>
    <w:rsid w:val="000F6D17"/>
    <w:rsid w:val="000F7251"/>
    <w:rsid w:val="000F7AF3"/>
    <w:rsid w:val="000F7C5F"/>
    <w:rsid w:val="000F7D73"/>
    <w:rsid w:val="00100B6C"/>
    <w:rsid w:val="00101B11"/>
    <w:rsid w:val="00101DE6"/>
    <w:rsid w:val="001028B6"/>
    <w:rsid w:val="001037D9"/>
    <w:rsid w:val="001041F5"/>
    <w:rsid w:val="001051E3"/>
    <w:rsid w:val="00105665"/>
    <w:rsid w:val="00106253"/>
    <w:rsid w:val="00106AB8"/>
    <w:rsid w:val="00106F36"/>
    <w:rsid w:val="00106F85"/>
    <w:rsid w:val="001118C1"/>
    <w:rsid w:val="0011204D"/>
    <w:rsid w:val="001123BD"/>
    <w:rsid w:val="001126CD"/>
    <w:rsid w:val="00112AE8"/>
    <w:rsid w:val="00113480"/>
    <w:rsid w:val="001136C3"/>
    <w:rsid w:val="00117510"/>
    <w:rsid w:val="00117C63"/>
    <w:rsid w:val="00121C91"/>
    <w:rsid w:val="00121F8D"/>
    <w:rsid w:val="00122559"/>
    <w:rsid w:val="00123F9C"/>
    <w:rsid w:val="00124FFC"/>
    <w:rsid w:val="00125285"/>
    <w:rsid w:val="001257EE"/>
    <w:rsid w:val="00126B79"/>
    <w:rsid w:val="00126BE2"/>
    <w:rsid w:val="00127C02"/>
    <w:rsid w:val="001302F7"/>
    <w:rsid w:val="00131CC0"/>
    <w:rsid w:val="0013265E"/>
    <w:rsid w:val="0013332D"/>
    <w:rsid w:val="001337C0"/>
    <w:rsid w:val="00135C01"/>
    <w:rsid w:val="001365FE"/>
    <w:rsid w:val="001366CA"/>
    <w:rsid w:val="00136DB3"/>
    <w:rsid w:val="00137D29"/>
    <w:rsid w:val="0014023D"/>
    <w:rsid w:val="00140B42"/>
    <w:rsid w:val="00140C47"/>
    <w:rsid w:val="00141057"/>
    <w:rsid w:val="00141719"/>
    <w:rsid w:val="00142093"/>
    <w:rsid w:val="00142710"/>
    <w:rsid w:val="00142793"/>
    <w:rsid w:val="001469B0"/>
    <w:rsid w:val="00146A56"/>
    <w:rsid w:val="00146B2B"/>
    <w:rsid w:val="00146C61"/>
    <w:rsid w:val="00146DEC"/>
    <w:rsid w:val="00147167"/>
    <w:rsid w:val="00151329"/>
    <w:rsid w:val="00151398"/>
    <w:rsid w:val="001537FC"/>
    <w:rsid w:val="001539C1"/>
    <w:rsid w:val="00155753"/>
    <w:rsid w:val="0015598A"/>
    <w:rsid w:val="001560E7"/>
    <w:rsid w:val="001568F0"/>
    <w:rsid w:val="00157493"/>
    <w:rsid w:val="00157DF9"/>
    <w:rsid w:val="0016113A"/>
    <w:rsid w:val="0016150C"/>
    <w:rsid w:val="0016176C"/>
    <w:rsid w:val="00162D53"/>
    <w:rsid w:val="001637AD"/>
    <w:rsid w:val="00163FC2"/>
    <w:rsid w:val="00164A59"/>
    <w:rsid w:val="00166A45"/>
    <w:rsid w:val="00167F38"/>
    <w:rsid w:val="0017084C"/>
    <w:rsid w:val="00170932"/>
    <w:rsid w:val="001732A5"/>
    <w:rsid w:val="00173DBD"/>
    <w:rsid w:val="00173F90"/>
    <w:rsid w:val="0017439D"/>
    <w:rsid w:val="00175AD5"/>
    <w:rsid w:val="0017626B"/>
    <w:rsid w:val="001768B3"/>
    <w:rsid w:val="00177394"/>
    <w:rsid w:val="0017765A"/>
    <w:rsid w:val="00180AEE"/>
    <w:rsid w:val="0018187F"/>
    <w:rsid w:val="001821A0"/>
    <w:rsid w:val="00182C75"/>
    <w:rsid w:val="001834D5"/>
    <w:rsid w:val="00183CB2"/>
    <w:rsid w:val="00186162"/>
    <w:rsid w:val="001862DE"/>
    <w:rsid w:val="00186401"/>
    <w:rsid w:val="00186523"/>
    <w:rsid w:val="001868A9"/>
    <w:rsid w:val="00187341"/>
    <w:rsid w:val="00190F3C"/>
    <w:rsid w:val="00191D5C"/>
    <w:rsid w:val="00192C14"/>
    <w:rsid w:val="00193117"/>
    <w:rsid w:val="001933F9"/>
    <w:rsid w:val="00193426"/>
    <w:rsid w:val="00195F2E"/>
    <w:rsid w:val="001962E7"/>
    <w:rsid w:val="0019661F"/>
    <w:rsid w:val="001975E3"/>
    <w:rsid w:val="001976B1"/>
    <w:rsid w:val="001A0ACA"/>
    <w:rsid w:val="001A1333"/>
    <w:rsid w:val="001A286F"/>
    <w:rsid w:val="001A2946"/>
    <w:rsid w:val="001A2AD4"/>
    <w:rsid w:val="001A312B"/>
    <w:rsid w:val="001A460B"/>
    <w:rsid w:val="001A4CB9"/>
    <w:rsid w:val="001A5B34"/>
    <w:rsid w:val="001A61E6"/>
    <w:rsid w:val="001A6810"/>
    <w:rsid w:val="001B10C6"/>
    <w:rsid w:val="001B1312"/>
    <w:rsid w:val="001B2421"/>
    <w:rsid w:val="001B299A"/>
    <w:rsid w:val="001B3733"/>
    <w:rsid w:val="001B437F"/>
    <w:rsid w:val="001B7005"/>
    <w:rsid w:val="001B756C"/>
    <w:rsid w:val="001C03AA"/>
    <w:rsid w:val="001C0920"/>
    <w:rsid w:val="001C15C4"/>
    <w:rsid w:val="001C19B9"/>
    <w:rsid w:val="001C26BA"/>
    <w:rsid w:val="001C3441"/>
    <w:rsid w:val="001C35F1"/>
    <w:rsid w:val="001C3C5E"/>
    <w:rsid w:val="001C3D01"/>
    <w:rsid w:val="001C450A"/>
    <w:rsid w:val="001C4B30"/>
    <w:rsid w:val="001C57F4"/>
    <w:rsid w:val="001C5A4C"/>
    <w:rsid w:val="001C7CC8"/>
    <w:rsid w:val="001D0855"/>
    <w:rsid w:val="001D2EA8"/>
    <w:rsid w:val="001D3284"/>
    <w:rsid w:val="001D3822"/>
    <w:rsid w:val="001D5490"/>
    <w:rsid w:val="001D60A6"/>
    <w:rsid w:val="001D61C7"/>
    <w:rsid w:val="001D676F"/>
    <w:rsid w:val="001D701C"/>
    <w:rsid w:val="001D7457"/>
    <w:rsid w:val="001D756F"/>
    <w:rsid w:val="001E0695"/>
    <w:rsid w:val="001E0AA8"/>
    <w:rsid w:val="001E1EBB"/>
    <w:rsid w:val="001E2241"/>
    <w:rsid w:val="001E2DAC"/>
    <w:rsid w:val="001E2EB9"/>
    <w:rsid w:val="001E2EF6"/>
    <w:rsid w:val="001E3A02"/>
    <w:rsid w:val="001E3DEB"/>
    <w:rsid w:val="001E50A6"/>
    <w:rsid w:val="001E668F"/>
    <w:rsid w:val="001E6CC2"/>
    <w:rsid w:val="001E763B"/>
    <w:rsid w:val="001E7C9A"/>
    <w:rsid w:val="001F0505"/>
    <w:rsid w:val="001F102C"/>
    <w:rsid w:val="001F1306"/>
    <w:rsid w:val="001F20CD"/>
    <w:rsid w:val="001F2A86"/>
    <w:rsid w:val="001F2AFE"/>
    <w:rsid w:val="001F2C76"/>
    <w:rsid w:val="001F2F77"/>
    <w:rsid w:val="001F3259"/>
    <w:rsid w:val="001F386B"/>
    <w:rsid w:val="001F46B9"/>
    <w:rsid w:val="001F4A90"/>
    <w:rsid w:val="001F4D65"/>
    <w:rsid w:val="001F5089"/>
    <w:rsid w:val="001F553A"/>
    <w:rsid w:val="001F5A47"/>
    <w:rsid w:val="001F6144"/>
    <w:rsid w:val="001F6429"/>
    <w:rsid w:val="002013B6"/>
    <w:rsid w:val="00201513"/>
    <w:rsid w:val="00201774"/>
    <w:rsid w:val="00201992"/>
    <w:rsid w:val="00201BAE"/>
    <w:rsid w:val="00201F3A"/>
    <w:rsid w:val="002026C0"/>
    <w:rsid w:val="00204DC9"/>
    <w:rsid w:val="0020517F"/>
    <w:rsid w:val="00205DEF"/>
    <w:rsid w:val="00205EBF"/>
    <w:rsid w:val="00210B79"/>
    <w:rsid w:val="00211690"/>
    <w:rsid w:val="00213D24"/>
    <w:rsid w:val="00214775"/>
    <w:rsid w:val="0021545C"/>
    <w:rsid w:val="002177E7"/>
    <w:rsid w:val="002208B3"/>
    <w:rsid w:val="002211A9"/>
    <w:rsid w:val="00221D64"/>
    <w:rsid w:val="00222214"/>
    <w:rsid w:val="002236B1"/>
    <w:rsid w:val="00224047"/>
    <w:rsid w:val="00225C03"/>
    <w:rsid w:val="0022623B"/>
    <w:rsid w:val="002262D8"/>
    <w:rsid w:val="002268D3"/>
    <w:rsid w:val="00226A54"/>
    <w:rsid w:val="00226C64"/>
    <w:rsid w:val="0022701F"/>
    <w:rsid w:val="00227BC3"/>
    <w:rsid w:val="00230511"/>
    <w:rsid w:val="002308AD"/>
    <w:rsid w:val="00230C2E"/>
    <w:rsid w:val="0023195B"/>
    <w:rsid w:val="00231A46"/>
    <w:rsid w:val="00232A8A"/>
    <w:rsid w:val="00232B4E"/>
    <w:rsid w:val="00232B7E"/>
    <w:rsid w:val="002331AA"/>
    <w:rsid w:val="0023345B"/>
    <w:rsid w:val="0023473A"/>
    <w:rsid w:val="00236EF5"/>
    <w:rsid w:val="00237C98"/>
    <w:rsid w:val="00240156"/>
    <w:rsid w:val="00240196"/>
    <w:rsid w:val="002414C0"/>
    <w:rsid w:val="00241504"/>
    <w:rsid w:val="00242C82"/>
    <w:rsid w:val="00242CC9"/>
    <w:rsid w:val="002434E4"/>
    <w:rsid w:val="00244818"/>
    <w:rsid w:val="00244DA4"/>
    <w:rsid w:val="002454C2"/>
    <w:rsid w:val="00245BC8"/>
    <w:rsid w:val="002469F4"/>
    <w:rsid w:val="00247A84"/>
    <w:rsid w:val="00251061"/>
    <w:rsid w:val="0025119B"/>
    <w:rsid w:val="00251313"/>
    <w:rsid w:val="00253371"/>
    <w:rsid w:val="00253A6D"/>
    <w:rsid w:val="00253B3A"/>
    <w:rsid w:val="002544D4"/>
    <w:rsid w:val="0025572C"/>
    <w:rsid w:val="00257903"/>
    <w:rsid w:val="002579B2"/>
    <w:rsid w:val="00257E12"/>
    <w:rsid w:val="00260649"/>
    <w:rsid w:val="00262A6F"/>
    <w:rsid w:val="00262F5D"/>
    <w:rsid w:val="00263474"/>
    <w:rsid w:val="00263DAF"/>
    <w:rsid w:val="00264DB9"/>
    <w:rsid w:val="0026527B"/>
    <w:rsid w:val="0026536C"/>
    <w:rsid w:val="00265CF5"/>
    <w:rsid w:val="00265F60"/>
    <w:rsid w:val="00265FBE"/>
    <w:rsid w:val="0026655B"/>
    <w:rsid w:val="00266C65"/>
    <w:rsid w:val="00270124"/>
    <w:rsid w:val="00272B32"/>
    <w:rsid w:val="00273061"/>
    <w:rsid w:val="00273138"/>
    <w:rsid w:val="00273EF8"/>
    <w:rsid w:val="00274DC2"/>
    <w:rsid w:val="002759CD"/>
    <w:rsid w:val="002800D4"/>
    <w:rsid w:val="0028044F"/>
    <w:rsid w:val="00280EF2"/>
    <w:rsid w:val="00281A3A"/>
    <w:rsid w:val="00281AFF"/>
    <w:rsid w:val="00282379"/>
    <w:rsid w:val="00282BC4"/>
    <w:rsid w:val="00283F45"/>
    <w:rsid w:val="0028421B"/>
    <w:rsid w:val="00284267"/>
    <w:rsid w:val="002849E2"/>
    <w:rsid w:val="00287289"/>
    <w:rsid w:val="00287802"/>
    <w:rsid w:val="0029006A"/>
    <w:rsid w:val="002917DE"/>
    <w:rsid w:val="002917EE"/>
    <w:rsid w:val="00291C28"/>
    <w:rsid w:val="0029258B"/>
    <w:rsid w:val="002926E8"/>
    <w:rsid w:val="00294806"/>
    <w:rsid w:val="00295040"/>
    <w:rsid w:val="00295E14"/>
    <w:rsid w:val="002964B5"/>
    <w:rsid w:val="00296745"/>
    <w:rsid w:val="00296A24"/>
    <w:rsid w:val="00297589"/>
    <w:rsid w:val="002A02F2"/>
    <w:rsid w:val="002A209B"/>
    <w:rsid w:val="002A20BB"/>
    <w:rsid w:val="002A256B"/>
    <w:rsid w:val="002A2581"/>
    <w:rsid w:val="002A2B34"/>
    <w:rsid w:val="002A5253"/>
    <w:rsid w:val="002A76EF"/>
    <w:rsid w:val="002A7A31"/>
    <w:rsid w:val="002B012F"/>
    <w:rsid w:val="002B09EF"/>
    <w:rsid w:val="002B116D"/>
    <w:rsid w:val="002B129E"/>
    <w:rsid w:val="002B17C5"/>
    <w:rsid w:val="002B2027"/>
    <w:rsid w:val="002B2CA8"/>
    <w:rsid w:val="002B3D4F"/>
    <w:rsid w:val="002B4784"/>
    <w:rsid w:val="002B6944"/>
    <w:rsid w:val="002B6A04"/>
    <w:rsid w:val="002B714C"/>
    <w:rsid w:val="002B7A16"/>
    <w:rsid w:val="002C082B"/>
    <w:rsid w:val="002C0D88"/>
    <w:rsid w:val="002C10E6"/>
    <w:rsid w:val="002C21DD"/>
    <w:rsid w:val="002C2CE9"/>
    <w:rsid w:val="002C36F7"/>
    <w:rsid w:val="002C47C4"/>
    <w:rsid w:val="002C4DCA"/>
    <w:rsid w:val="002C5401"/>
    <w:rsid w:val="002C580D"/>
    <w:rsid w:val="002C6235"/>
    <w:rsid w:val="002C6FBF"/>
    <w:rsid w:val="002C7959"/>
    <w:rsid w:val="002D039C"/>
    <w:rsid w:val="002D06F5"/>
    <w:rsid w:val="002D24E6"/>
    <w:rsid w:val="002D3196"/>
    <w:rsid w:val="002D333F"/>
    <w:rsid w:val="002D43CE"/>
    <w:rsid w:val="002D54B6"/>
    <w:rsid w:val="002D5A54"/>
    <w:rsid w:val="002D64F2"/>
    <w:rsid w:val="002D7E6B"/>
    <w:rsid w:val="002E1C8C"/>
    <w:rsid w:val="002E38F5"/>
    <w:rsid w:val="002E393B"/>
    <w:rsid w:val="002E413F"/>
    <w:rsid w:val="002E4347"/>
    <w:rsid w:val="002E45BF"/>
    <w:rsid w:val="002E6296"/>
    <w:rsid w:val="002E66B7"/>
    <w:rsid w:val="002E67D1"/>
    <w:rsid w:val="002E7339"/>
    <w:rsid w:val="002E740A"/>
    <w:rsid w:val="002E7F1C"/>
    <w:rsid w:val="002F2214"/>
    <w:rsid w:val="002F2506"/>
    <w:rsid w:val="002F2FC7"/>
    <w:rsid w:val="002F3520"/>
    <w:rsid w:val="002F3616"/>
    <w:rsid w:val="002F3656"/>
    <w:rsid w:val="002F4292"/>
    <w:rsid w:val="002F453C"/>
    <w:rsid w:val="002F463D"/>
    <w:rsid w:val="002F48C9"/>
    <w:rsid w:val="002F497B"/>
    <w:rsid w:val="002F49BA"/>
    <w:rsid w:val="002F4F0E"/>
    <w:rsid w:val="002F6797"/>
    <w:rsid w:val="002F698A"/>
    <w:rsid w:val="002F7FF0"/>
    <w:rsid w:val="00300857"/>
    <w:rsid w:val="00301967"/>
    <w:rsid w:val="003020EE"/>
    <w:rsid w:val="003046E7"/>
    <w:rsid w:val="003057D7"/>
    <w:rsid w:val="00306102"/>
    <w:rsid w:val="003074FA"/>
    <w:rsid w:val="003076AD"/>
    <w:rsid w:val="00311684"/>
    <w:rsid w:val="00311A75"/>
    <w:rsid w:val="00311D8D"/>
    <w:rsid w:val="003139A6"/>
    <w:rsid w:val="00313E01"/>
    <w:rsid w:val="0031421A"/>
    <w:rsid w:val="003155E8"/>
    <w:rsid w:val="00315924"/>
    <w:rsid w:val="0031798E"/>
    <w:rsid w:val="00321B93"/>
    <w:rsid w:val="00321F96"/>
    <w:rsid w:val="00322C89"/>
    <w:rsid w:val="00324024"/>
    <w:rsid w:val="00324519"/>
    <w:rsid w:val="00324D0E"/>
    <w:rsid w:val="0032572E"/>
    <w:rsid w:val="00327102"/>
    <w:rsid w:val="00327C10"/>
    <w:rsid w:val="00327CB6"/>
    <w:rsid w:val="0033037E"/>
    <w:rsid w:val="00331355"/>
    <w:rsid w:val="003316AF"/>
    <w:rsid w:val="003316FE"/>
    <w:rsid w:val="00333EBA"/>
    <w:rsid w:val="00334039"/>
    <w:rsid w:val="0033436D"/>
    <w:rsid w:val="003357C8"/>
    <w:rsid w:val="003402B8"/>
    <w:rsid w:val="00340D3B"/>
    <w:rsid w:val="00340D7E"/>
    <w:rsid w:val="0034297C"/>
    <w:rsid w:val="003457EA"/>
    <w:rsid w:val="003475FE"/>
    <w:rsid w:val="003503AA"/>
    <w:rsid w:val="003519DD"/>
    <w:rsid w:val="00352B1F"/>
    <w:rsid w:val="0035366F"/>
    <w:rsid w:val="00354C79"/>
    <w:rsid w:val="003565E5"/>
    <w:rsid w:val="0035713D"/>
    <w:rsid w:val="003605EE"/>
    <w:rsid w:val="00360B43"/>
    <w:rsid w:val="00360C97"/>
    <w:rsid w:val="00361D57"/>
    <w:rsid w:val="003628A9"/>
    <w:rsid w:val="003632B6"/>
    <w:rsid w:val="00363639"/>
    <w:rsid w:val="00363797"/>
    <w:rsid w:val="0036467C"/>
    <w:rsid w:val="00364E09"/>
    <w:rsid w:val="00367004"/>
    <w:rsid w:val="003674E2"/>
    <w:rsid w:val="003719B0"/>
    <w:rsid w:val="00371FED"/>
    <w:rsid w:val="0037360E"/>
    <w:rsid w:val="00373EA4"/>
    <w:rsid w:val="003743FB"/>
    <w:rsid w:val="003767E1"/>
    <w:rsid w:val="00377508"/>
    <w:rsid w:val="00380249"/>
    <w:rsid w:val="0038065F"/>
    <w:rsid w:val="00380FB6"/>
    <w:rsid w:val="0038140E"/>
    <w:rsid w:val="0038217A"/>
    <w:rsid w:val="00382C0B"/>
    <w:rsid w:val="00384E73"/>
    <w:rsid w:val="00386959"/>
    <w:rsid w:val="003879FB"/>
    <w:rsid w:val="0039023D"/>
    <w:rsid w:val="00390B69"/>
    <w:rsid w:val="00391CBF"/>
    <w:rsid w:val="00391D0F"/>
    <w:rsid w:val="003923C1"/>
    <w:rsid w:val="003925D9"/>
    <w:rsid w:val="0039294D"/>
    <w:rsid w:val="00392F4F"/>
    <w:rsid w:val="003939BD"/>
    <w:rsid w:val="00394400"/>
    <w:rsid w:val="0039538B"/>
    <w:rsid w:val="003953D9"/>
    <w:rsid w:val="00395C65"/>
    <w:rsid w:val="00396593"/>
    <w:rsid w:val="00396613"/>
    <w:rsid w:val="00396745"/>
    <w:rsid w:val="00397067"/>
    <w:rsid w:val="00397A74"/>
    <w:rsid w:val="003A003E"/>
    <w:rsid w:val="003A14E1"/>
    <w:rsid w:val="003A3306"/>
    <w:rsid w:val="003A44E4"/>
    <w:rsid w:val="003A5849"/>
    <w:rsid w:val="003A5BCB"/>
    <w:rsid w:val="003A6857"/>
    <w:rsid w:val="003A771E"/>
    <w:rsid w:val="003A79D7"/>
    <w:rsid w:val="003A7CD9"/>
    <w:rsid w:val="003A7CEA"/>
    <w:rsid w:val="003B0455"/>
    <w:rsid w:val="003B1833"/>
    <w:rsid w:val="003B1959"/>
    <w:rsid w:val="003B25B9"/>
    <w:rsid w:val="003B30ED"/>
    <w:rsid w:val="003B3DB0"/>
    <w:rsid w:val="003B45E3"/>
    <w:rsid w:val="003B4E24"/>
    <w:rsid w:val="003B5A7E"/>
    <w:rsid w:val="003C0081"/>
    <w:rsid w:val="003C15ED"/>
    <w:rsid w:val="003C22A9"/>
    <w:rsid w:val="003C25DE"/>
    <w:rsid w:val="003C2903"/>
    <w:rsid w:val="003C2D5D"/>
    <w:rsid w:val="003C32D2"/>
    <w:rsid w:val="003C3448"/>
    <w:rsid w:val="003C49F5"/>
    <w:rsid w:val="003C6607"/>
    <w:rsid w:val="003D1016"/>
    <w:rsid w:val="003D2655"/>
    <w:rsid w:val="003D2C43"/>
    <w:rsid w:val="003D52DF"/>
    <w:rsid w:val="003D62B1"/>
    <w:rsid w:val="003D6B23"/>
    <w:rsid w:val="003D7066"/>
    <w:rsid w:val="003E0CB3"/>
    <w:rsid w:val="003E0F90"/>
    <w:rsid w:val="003E1656"/>
    <w:rsid w:val="003E3CE2"/>
    <w:rsid w:val="003E5345"/>
    <w:rsid w:val="003E53A0"/>
    <w:rsid w:val="003E5733"/>
    <w:rsid w:val="003E59D7"/>
    <w:rsid w:val="003E6466"/>
    <w:rsid w:val="003E6572"/>
    <w:rsid w:val="003E6F40"/>
    <w:rsid w:val="003E7596"/>
    <w:rsid w:val="003E7CD4"/>
    <w:rsid w:val="003F0114"/>
    <w:rsid w:val="003F084E"/>
    <w:rsid w:val="003F1DCB"/>
    <w:rsid w:val="003F217A"/>
    <w:rsid w:val="003F2567"/>
    <w:rsid w:val="003F31E1"/>
    <w:rsid w:val="003F335A"/>
    <w:rsid w:val="003F3500"/>
    <w:rsid w:val="003F3FE8"/>
    <w:rsid w:val="003F48F1"/>
    <w:rsid w:val="003F5A9E"/>
    <w:rsid w:val="003F5CDE"/>
    <w:rsid w:val="003F5EF0"/>
    <w:rsid w:val="003F65F4"/>
    <w:rsid w:val="003F66B4"/>
    <w:rsid w:val="003F696D"/>
    <w:rsid w:val="003F72CC"/>
    <w:rsid w:val="003F7AA6"/>
    <w:rsid w:val="003F7B06"/>
    <w:rsid w:val="004003CE"/>
    <w:rsid w:val="00400D91"/>
    <w:rsid w:val="00401282"/>
    <w:rsid w:val="004025CC"/>
    <w:rsid w:val="0040276D"/>
    <w:rsid w:val="00403092"/>
    <w:rsid w:val="004047FD"/>
    <w:rsid w:val="00404DFF"/>
    <w:rsid w:val="00405DBB"/>
    <w:rsid w:val="00406E9E"/>
    <w:rsid w:val="00407CD1"/>
    <w:rsid w:val="00411F57"/>
    <w:rsid w:val="0041266E"/>
    <w:rsid w:val="00415B99"/>
    <w:rsid w:val="004162E7"/>
    <w:rsid w:val="004162EA"/>
    <w:rsid w:val="004166D9"/>
    <w:rsid w:val="00417484"/>
    <w:rsid w:val="00417892"/>
    <w:rsid w:val="00417B5C"/>
    <w:rsid w:val="004205AF"/>
    <w:rsid w:val="00420A8A"/>
    <w:rsid w:val="0042109F"/>
    <w:rsid w:val="004214E2"/>
    <w:rsid w:val="00422229"/>
    <w:rsid w:val="00423832"/>
    <w:rsid w:val="00423872"/>
    <w:rsid w:val="00430430"/>
    <w:rsid w:val="00430F57"/>
    <w:rsid w:val="0043160E"/>
    <w:rsid w:val="00431B75"/>
    <w:rsid w:val="004325D6"/>
    <w:rsid w:val="00433146"/>
    <w:rsid w:val="00434645"/>
    <w:rsid w:val="0043464A"/>
    <w:rsid w:val="0043666E"/>
    <w:rsid w:val="00437DE1"/>
    <w:rsid w:val="004419A8"/>
    <w:rsid w:val="0044289B"/>
    <w:rsid w:val="004430C1"/>
    <w:rsid w:val="004440E8"/>
    <w:rsid w:val="00444144"/>
    <w:rsid w:val="0044437C"/>
    <w:rsid w:val="004502DC"/>
    <w:rsid w:val="00450760"/>
    <w:rsid w:val="0045165D"/>
    <w:rsid w:val="00451CE3"/>
    <w:rsid w:val="0045231E"/>
    <w:rsid w:val="00454685"/>
    <w:rsid w:val="00454F3B"/>
    <w:rsid w:val="00455101"/>
    <w:rsid w:val="004558C0"/>
    <w:rsid w:val="0045682D"/>
    <w:rsid w:val="00456F79"/>
    <w:rsid w:val="00457027"/>
    <w:rsid w:val="0045774A"/>
    <w:rsid w:val="0045790E"/>
    <w:rsid w:val="004604B9"/>
    <w:rsid w:val="00460D4C"/>
    <w:rsid w:val="00461390"/>
    <w:rsid w:val="004619B0"/>
    <w:rsid w:val="00461E16"/>
    <w:rsid w:val="00462B1A"/>
    <w:rsid w:val="00462B6C"/>
    <w:rsid w:val="00463318"/>
    <w:rsid w:val="00463FC3"/>
    <w:rsid w:val="00464CC4"/>
    <w:rsid w:val="004662B6"/>
    <w:rsid w:val="00466672"/>
    <w:rsid w:val="00467CBE"/>
    <w:rsid w:val="00470D37"/>
    <w:rsid w:val="00471079"/>
    <w:rsid w:val="004711C0"/>
    <w:rsid w:val="00471211"/>
    <w:rsid w:val="00471C54"/>
    <w:rsid w:val="00471D68"/>
    <w:rsid w:val="004725C1"/>
    <w:rsid w:val="0047499C"/>
    <w:rsid w:val="00475106"/>
    <w:rsid w:val="00475510"/>
    <w:rsid w:val="00475AE8"/>
    <w:rsid w:val="00475D48"/>
    <w:rsid w:val="004766C3"/>
    <w:rsid w:val="00477474"/>
    <w:rsid w:val="004776F5"/>
    <w:rsid w:val="00477ED3"/>
    <w:rsid w:val="00480330"/>
    <w:rsid w:val="0048180B"/>
    <w:rsid w:val="00482077"/>
    <w:rsid w:val="00482F9E"/>
    <w:rsid w:val="00483058"/>
    <w:rsid w:val="0048350A"/>
    <w:rsid w:val="00483BAC"/>
    <w:rsid w:val="00484980"/>
    <w:rsid w:val="00485628"/>
    <w:rsid w:val="00485AC0"/>
    <w:rsid w:val="004861AC"/>
    <w:rsid w:val="00487081"/>
    <w:rsid w:val="004870BF"/>
    <w:rsid w:val="004871E1"/>
    <w:rsid w:val="0048785C"/>
    <w:rsid w:val="004909F7"/>
    <w:rsid w:val="00491805"/>
    <w:rsid w:val="00491A3A"/>
    <w:rsid w:val="00491E11"/>
    <w:rsid w:val="004928C5"/>
    <w:rsid w:val="00492ADE"/>
    <w:rsid w:val="00492BF5"/>
    <w:rsid w:val="004933E6"/>
    <w:rsid w:val="0049585B"/>
    <w:rsid w:val="004A098B"/>
    <w:rsid w:val="004A1A75"/>
    <w:rsid w:val="004A1A79"/>
    <w:rsid w:val="004A1E6D"/>
    <w:rsid w:val="004A219E"/>
    <w:rsid w:val="004A4238"/>
    <w:rsid w:val="004A442B"/>
    <w:rsid w:val="004A6055"/>
    <w:rsid w:val="004A67A9"/>
    <w:rsid w:val="004A692C"/>
    <w:rsid w:val="004B11A9"/>
    <w:rsid w:val="004B1221"/>
    <w:rsid w:val="004B18FB"/>
    <w:rsid w:val="004B225A"/>
    <w:rsid w:val="004B2C80"/>
    <w:rsid w:val="004B33C0"/>
    <w:rsid w:val="004B45DB"/>
    <w:rsid w:val="004B4F15"/>
    <w:rsid w:val="004B4F6F"/>
    <w:rsid w:val="004B5356"/>
    <w:rsid w:val="004B6109"/>
    <w:rsid w:val="004B6B4A"/>
    <w:rsid w:val="004B6B64"/>
    <w:rsid w:val="004C172E"/>
    <w:rsid w:val="004C2C1A"/>
    <w:rsid w:val="004C3C23"/>
    <w:rsid w:val="004C4928"/>
    <w:rsid w:val="004C54A8"/>
    <w:rsid w:val="004C59B0"/>
    <w:rsid w:val="004C6B3D"/>
    <w:rsid w:val="004C74D6"/>
    <w:rsid w:val="004C7E2B"/>
    <w:rsid w:val="004D0047"/>
    <w:rsid w:val="004D049A"/>
    <w:rsid w:val="004D0FC4"/>
    <w:rsid w:val="004D19FC"/>
    <w:rsid w:val="004D1CF5"/>
    <w:rsid w:val="004D2018"/>
    <w:rsid w:val="004D41BE"/>
    <w:rsid w:val="004D424B"/>
    <w:rsid w:val="004D43E0"/>
    <w:rsid w:val="004D449D"/>
    <w:rsid w:val="004D4907"/>
    <w:rsid w:val="004D4C69"/>
    <w:rsid w:val="004D562D"/>
    <w:rsid w:val="004D57AF"/>
    <w:rsid w:val="004D6E37"/>
    <w:rsid w:val="004D7BA4"/>
    <w:rsid w:val="004E0E43"/>
    <w:rsid w:val="004E1ACF"/>
    <w:rsid w:val="004E30EE"/>
    <w:rsid w:val="004E44EF"/>
    <w:rsid w:val="004E5097"/>
    <w:rsid w:val="004E54AB"/>
    <w:rsid w:val="004E6709"/>
    <w:rsid w:val="004E7501"/>
    <w:rsid w:val="004F0692"/>
    <w:rsid w:val="004F42DD"/>
    <w:rsid w:val="004F445A"/>
    <w:rsid w:val="004F471F"/>
    <w:rsid w:val="004F7183"/>
    <w:rsid w:val="00500127"/>
    <w:rsid w:val="005003AF"/>
    <w:rsid w:val="00500849"/>
    <w:rsid w:val="005010DF"/>
    <w:rsid w:val="00501428"/>
    <w:rsid w:val="00501AC0"/>
    <w:rsid w:val="00502053"/>
    <w:rsid w:val="0050234E"/>
    <w:rsid w:val="005024CB"/>
    <w:rsid w:val="005025F4"/>
    <w:rsid w:val="0050308C"/>
    <w:rsid w:val="00505E2B"/>
    <w:rsid w:val="00506918"/>
    <w:rsid w:val="00510CC6"/>
    <w:rsid w:val="0051115E"/>
    <w:rsid w:val="00512239"/>
    <w:rsid w:val="00512DEA"/>
    <w:rsid w:val="00512E75"/>
    <w:rsid w:val="0051338F"/>
    <w:rsid w:val="00513413"/>
    <w:rsid w:val="00514358"/>
    <w:rsid w:val="0051520B"/>
    <w:rsid w:val="00515262"/>
    <w:rsid w:val="0051599F"/>
    <w:rsid w:val="00515CF9"/>
    <w:rsid w:val="005169EC"/>
    <w:rsid w:val="00516D55"/>
    <w:rsid w:val="005177A8"/>
    <w:rsid w:val="00517887"/>
    <w:rsid w:val="00517B45"/>
    <w:rsid w:val="005201CD"/>
    <w:rsid w:val="005202DC"/>
    <w:rsid w:val="00522E7E"/>
    <w:rsid w:val="005232BF"/>
    <w:rsid w:val="00523E30"/>
    <w:rsid w:val="005245D0"/>
    <w:rsid w:val="00524B22"/>
    <w:rsid w:val="00524BBF"/>
    <w:rsid w:val="00525741"/>
    <w:rsid w:val="0052690A"/>
    <w:rsid w:val="00526C77"/>
    <w:rsid w:val="00527068"/>
    <w:rsid w:val="00527397"/>
    <w:rsid w:val="005277AD"/>
    <w:rsid w:val="005313F8"/>
    <w:rsid w:val="005318FA"/>
    <w:rsid w:val="005319BB"/>
    <w:rsid w:val="00531EA6"/>
    <w:rsid w:val="0053246F"/>
    <w:rsid w:val="00532AD2"/>
    <w:rsid w:val="00532B7E"/>
    <w:rsid w:val="00532BCE"/>
    <w:rsid w:val="00532E17"/>
    <w:rsid w:val="005339F6"/>
    <w:rsid w:val="00534A62"/>
    <w:rsid w:val="005358BD"/>
    <w:rsid w:val="00535FA0"/>
    <w:rsid w:val="00536407"/>
    <w:rsid w:val="00536D5A"/>
    <w:rsid w:val="00536E71"/>
    <w:rsid w:val="00537AD1"/>
    <w:rsid w:val="0054020A"/>
    <w:rsid w:val="0054556C"/>
    <w:rsid w:val="00545768"/>
    <w:rsid w:val="00546499"/>
    <w:rsid w:val="0054702A"/>
    <w:rsid w:val="005512E7"/>
    <w:rsid w:val="00551739"/>
    <w:rsid w:val="00552165"/>
    <w:rsid w:val="005537F0"/>
    <w:rsid w:val="00554CA0"/>
    <w:rsid w:val="005573C4"/>
    <w:rsid w:val="00557708"/>
    <w:rsid w:val="00557DCD"/>
    <w:rsid w:val="005607CF"/>
    <w:rsid w:val="00561A93"/>
    <w:rsid w:val="0056353F"/>
    <w:rsid w:val="00563C2F"/>
    <w:rsid w:val="00563D5C"/>
    <w:rsid w:val="005643DB"/>
    <w:rsid w:val="00564D8C"/>
    <w:rsid w:val="00565016"/>
    <w:rsid w:val="00571E92"/>
    <w:rsid w:val="00571F9C"/>
    <w:rsid w:val="0057261A"/>
    <w:rsid w:val="00572B9B"/>
    <w:rsid w:val="0057324E"/>
    <w:rsid w:val="00574614"/>
    <w:rsid w:val="00574C7A"/>
    <w:rsid w:val="00575F10"/>
    <w:rsid w:val="00576710"/>
    <w:rsid w:val="0057672A"/>
    <w:rsid w:val="00577501"/>
    <w:rsid w:val="00577ADD"/>
    <w:rsid w:val="00581DFC"/>
    <w:rsid w:val="005823CB"/>
    <w:rsid w:val="00584249"/>
    <w:rsid w:val="005842E2"/>
    <w:rsid w:val="00584CC9"/>
    <w:rsid w:val="005870CF"/>
    <w:rsid w:val="00587214"/>
    <w:rsid w:val="00587783"/>
    <w:rsid w:val="00590023"/>
    <w:rsid w:val="0059018F"/>
    <w:rsid w:val="0059099E"/>
    <w:rsid w:val="00591088"/>
    <w:rsid w:val="00591536"/>
    <w:rsid w:val="0059162E"/>
    <w:rsid w:val="00593266"/>
    <w:rsid w:val="00593AEE"/>
    <w:rsid w:val="00593C8E"/>
    <w:rsid w:val="005940BE"/>
    <w:rsid w:val="00594443"/>
    <w:rsid w:val="00595620"/>
    <w:rsid w:val="0059702E"/>
    <w:rsid w:val="00597514"/>
    <w:rsid w:val="005A0B92"/>
    <w:rsid w:val="005A120A"/>
    <w:rsid w:val="005A2029"/>
    <w:rsid w:val="005A452F"/>
    <w:rsid w:val="005A4C51"/>
    <w:rsid w:val="005A4D3F"/>
    <w:rsid w:val="005A56BA"/>
    <w:rsid w:val="005B00B3"/>
    <w:rsid w:val="005B0593"/>
    <w:rsid w:val="005B0B9B"/>
    <w:rsid w:val="005B130C"/>
    <w:rsid w:val="005B2B13"/>
    <w:rsid w:val="005B334D"/>
    <w:rsid w:val="005B4FBB"/>
    <w:rsid w:val="005B51C6"/>
    <w:rsid w:val="005B5DA4"/>
    <w:rsid w:val="005B6343"/>
    <w:rsid w:val="005C0133"/>
    <w:rsid w:val="005C02AF"/>
    <w:rsid w:val="005C050A"/>
    <w:rsid w:val="005C2C4F"/>
    <w:rsid w:val="005C2D93"/>
    <w:rsid w:val="005C3D60"/>
    <w:rsid w:val="005C428A"/>
    <w:rsid w:val="005C44AB"/>
    <w:rsid w:val="005C4BBE"/>
    <w:rsid w:val="005C50CC"/>
    <w:rsid w:val="005C61B6"/>
    <w:rsid w:val="005C66DA"/>
    <w:rsid w:val="005C6DB2"/>
    <w:rsid w:val="005C71EA"/>
    <w:rsid w:val="005C76BA"/>
    <w:rsid w:val="005C7DF1"/>
    <w:rsid w:val="005D1280"/>
    <w:rsid w:val="005D1928"/>
    <w:rsid w:val="005D1A7E"/>
    <w:rsid w:val="005D1D9B"/>
    <w:rsid w:val="005D3045"/>
    <w:rsid w:val="005D3AA8"/>
    <w:rsid w:val="005D4576"/>
    <w:rsid w:val="005D4C01"/>
    <w:rsid w:val="005D4EB5"/>
    <w:rsid w:val="005D50DE"/>
    <w:rsid w:val="005D53E3"/>
    <w:rsid w:val="005D5D19"/>
    <w:rsid w:val="005D6A8D"/>
    <w:rsid w:val="005D6D7C"/>
    <w:rsid w:val="005D75C0"/>
    <w:rsid w:val="005D7C6E"/>
    <w:rsid w:val="005E016A"/>
    <w:rsid w:val="005E1608"/>
    <w:rsid w:val="005E31B0"/>
    <w:rsid w:val="005E3A08"/>
    <w:rsid w:val="005E41D5"/>
    <w:rsid w:val="005E5793"/>
    <w:rsid w:val="005E5D6E"/>
    <w:rsid w:val="005E6729"/>
    <w:rsid w:val="005E6C1C"/>
    <w:rsid w:val="005E6EB8"/>
    <w:rsid w:val="005E6F95"/>
    <w:rsid w:val="005E74DB"/>
    <w:rsid w:val="005E7C75"/>
    <w:rsid w:val="005F0C30"/>
    <w:rsid w:val="005F0D50"/>
    <w:rsid w:val="005F26C6"/>
    <w:rsid w:val="005F3C7B"/>
    <w:rsid w:val="005F4319"/>
    <w:rsid w:val="005F5504"/>
    <w:rsid w:val="005F61A8"/>
    <w:rsid w:val="005F6BCE"/>
    <w:rsid w:val="005F72D9"/>
    <w:rsid w:val="0060134B"/>
    <w:rsid w:val="00601359"/>
    <w:rsid w:val="00601435"/>
    <w:rsid w:val="0060209C"/>
    <w:rsid w:val="006027A6"/>
    <w:rsid w:val="0060281F"/>
    <w:rsid w:val="00602C76"/>
    <w:rsid w:val="006032D2"/>
    <w:rsid w:val="00603536"/>
    <w:rsid w:val="00604130"/>
    <w:rsid w:val="0060523B"/>
    <w:rsid w:val="0060545C"/>
    <w:rsid w:val="00605A3B"/>
    <w:rsid w:val="00605D80"/>
    <w:rsid w:val="006124C1"/>
    <w:rsid w:val="00612F33"/>
    <w:rsid w:val="006132BD"/>
    <w:rsid w:val="00613E9A"/>
    <w:rsid w:val="00614A7A"/>
    <w:rsid w:val="00615A5D"/>
    <w:rsid w:val="006162CD"/>
    <w:rsid w:val="00616E80"/>
    <w:rsid w:val="006173A7"/>
    <w:rsid w:val="006175B8"/>
    <w:rsid w:val="006177DD"/>
    <w:rsid w:val="0062192F"/>
    <w:rsid w:val="00623064"/>
    <w:rsid w:val="00623D30"/>
    <w:rsid w:val="00623F61"/>
    <w:rsid w:val="00625D7E"/>
    <w:rsid w:val="0062712C"/>
    <w:rsid w:val="006314F0"/>
    <w:rsid w:val="00632133"/>
    <w:rsid w:val="00633018"/>
    <w:rsid w:val="0063370D"/>
    <w:rsid w:val="006338E5"/>
    <w:rsid w:val="00633C95"/>
    <w:rsid w:val="006353C5"/>
    <w:rsid w:val="006356DC"/>
    <w:rsid w:val="00635B97"/>
    <w:rsid w:val="00636A8B"/>
    <w:rsid w:val="00642309"/>
    <w:rsid w:val="0064230D"/>
    <w:rsid w:val="006429AA"/>
    <w:rsid w:val="00645E41"/>
    <w:rsid w:val="00646CB7"/>
    <w:rsid w:val="006471C9"/>
    <w:rsid w:val="00651600"/>
    <w:rsid w:val="00653A8A"/>
    <w:rsid w:val="0065425E"/>
    <w:rsid w:val="0065566D"/>
    <w:rsid w:val="00655688"/>
    <w:rsid w:val="006560EB"/>
    <w:rsid w:val="00656A53"/>
    <w:rsid w:val="00660038"/>
    <w:rsid w:val="00660B72"/>
    <w:rsid w:val="00660EF7"/>
    <w:rsid w:val="006618BE"/>
    <w:rsid w:val="00661C5E"/>
    <w:rsid w:val="006633B9"/>
    <w:rsid w:val="00664339"/>
    <w:rsid w:val="0066603A"/>
    <w:rsid w:val="0066640C"/>
    <w:rsid w:val="00666BEC"/>
    <w:rsid w:val="00667AA5"/>
    <w:rsid w:val="00667F88"/>
    <w:rsid w:val="00671604"/>
    <w:rsid w:val="0067187C"/>
    <w:rsid w:val="00671A32"/>
    <w:rsid w:val="00672CDB"/>
    <w:rsid w:val="00672E0B"/>
    <w:rsid w:val="006731D1"/>
    <w:rsid w:val="00673DA2"/>
    <w:rsid w:val="006759EA"/>
    <w:rsid w:val="00675ECB"/>
    <w:rsid w:val="00680316"/>
    <w:rsid w:val="00681090"/>
    <w:rsid w:val="006833E5"/>
    <w:rsid w:val="00683FC4"/>
    <w:rsid w:val="0068435A"/>
    <w:rsid w:val="0068515F"/>
    <w:rsid w:val="0068587B"/>
    <w:rsid w:val="00685BA2"/>
    <w:rsid w:val="00686060"/>
    <w:rsid w:val="006865D8"/>
    <w:rsid w:val="00686D3B"/>
    <w:rsid w:val="006871EE"/>
    <w:rsid w:val="006874C4"/>
    <w:rsid w:val="00687845"/>
    <w:rsid w:val="00687D01"/>
    <w:rsid w:val="006903F5"/>
    <w:rsid w:val="00691416"/>
    <w:rsid w:val="00691C69"/>
    <w:rsid w:val="006935B8"/>
    <w:rsid w:val="00693A5D"/>
    <w:rsid w:val="006940CF"/>
    <w:rsid w:val="006941F4"/>
    <w:rsid w:val="006959C6"/>
    <w:rsid w:val="00696BFB"/>
    <w:rsid w:val="006970C6"/>
    <w:rsid w:val="00697747"/>
    <w:rsid w:val="006A0D8F"/>
    <w:rsid w:val="006A0EAA"/>
    <w:rsid w:val="006A25A4"/>
    <w:rsid w:val="006A29E5"/>
    <w:rsid w:val="006A2BBE"/>
    <w:rsid w:val="006A4DEA"/>
    <w:rsid w:val="006A54E4"/>
    <w:rsid w:val="006A5B2A"/>
    <w:rsid w:val="006A6688"/>
    <w:rsid w:val="006A6B85"/>
    <w:rsid w:val="006A7CDD"/>
    <w:rsid w:val="006B0B01"/>
    <w:rsid w:val="006B1E2B"/>
    <w:rsid w:val="006B2664"/>
    <w:rsid w:val="006B2873"/>
    <w:rsid w:val="006B3F58"/>
    <w:rsid w:val="006B4539"/>
    <w:rsid w:val="006B5E4F"/>
    <w:rsid w:val="006B5FDC"/>
    <w:rsid w:val="006B6D67"/>
    <w:rsid w:val="006B7281"/>
    <w:rsid w:val="006C007D"/>
    <w:rsid w:val="006C184E"/>
    <w:rsid w:val="006C1A0D"/>
    <w:rsid w:val="006C2485"/>
    <w:rsid w:val="006C50B9"/>
    <w:rsid w:val="006C6BDE"/>
    <w:rsid w:val="006D00BC"/>
    <w:rsid w:val="006D136B"/>
    <w:rsid w:val="006D1C9A"/>
    <w:rsid w:val="006D22FB"/>
    <w:rsid w:val="006D395F"/>
    <w:rsid w:val="006D3C67"/>
    <w:rsid w:val="006D4ABC"/>
    <w:rsid w:val="006D568E"/>
    <w:rsid w:val="006D5B64"/>
    <w:rsid w:val="006D5DA2"/>
    <w:rsid w:val="006D6260"/>
    <w:rsid w:val="006D6D1E"/>
    <w:rsid w:val="006D7323"/>
    <w:rsid w:val="006D7D37"/>
    <w:rsid w:val="006E0C6A"/>
    <w:rsid w:val="006E0EE0"/>
    <w:rsid w:val="006E12D7"/>
    <w:rsid w:val="006E24F1"/>
    <w:rsid w:val="006E26E4"/>
    <w:rsid w:val="006E36A8"/>
    <w:rsid w:val="006E5D0C"/>
    <w:rsid w:val="006E5F03"/>
    <w:rsid w:val="006E6C15"/>
    <w:rsid w:val="006E7B75"/>
    <w:rsid w:val="006E7BEA"/>
    <w:rsid w:val="006F03A2"/>
    <w:rsid w:val="006F0860"/>
    <w:rsid w:val="006F15F0"/>
    <w:rsid w:val="006F1846"/>
    <w:rsid w:val="006F2A61"/>
    <w:rsid w:val="006F3703"/>
    <w:rsid w:val="006F43FE"/>
    <w:rsid w:val="006F4CA6"/>
    <w:rsid w:val="006F5048"/>
    <w:rsid w:val="006F5EB1"/>
    <w:rsid w:val="006F5F9E"/>
    <w:rsid w:val="006F6B97"/>
    <w:rsid w:val="006F7005"/>
    <w:rsid w:val="006F7083"/>
    <w:rsid w:val="006F757F"/>
    <w:rsid w:val="007007E9"/>
    <w:rsid w:val="00701A39"/>
    <w:rsid w:val="00702D6A"/>
    <w:rsid w:val="007033BB"/>
    <w:rsid w:val="00703D12"/>
    <w:rsid w:val="007044C8"/>
    <w:rsid w:val="007057BB"/>
    <w:rsid w:val="00706091"/>
    <w:rsid w:val="007073CF"/>
    <w:rsid w:val="0071031E"/>
    <w:rsid w:val="0071044D"/>
    <w:rsid w:val="0071094E"/>
    <w:rsid w:val="00710982"/>
    <w:rsid w:val="0071240F"/>
    <w:rsid w:val="007125CB"/>
    <w:rsid w:val="00712784"/>
    <w:rsid w:val="00712828"/>
    <w:rsid w:val="00712CCA"/>
    <w:rsid w:val="00714B71"/>
    <w:rsid w:val="00714D57"/>
    <w:rsid w:val="00715720"/>
    <w:rsid w:val="00715FB0"/>
    <w:rsid w:val="0071665D"/>
    <w:rsid w:val="00716B9E"/>
    <w:rsid w:val="007173F3"/>
    <w:rsid w:val="00720034"/>
    <w:rsid w:val="00720470"/>
    <w:rsid w:val="00720836"/>
    <w:rsid w:val="00720D26"/>
    <w:rsid w:val="0072154C"/>
    <w:rsid w:val="00721DCD"/>
    <w:rsid w:val="0072280A"/>
    <w:rsid w:val="0072394F"/>
    <w:rsid w:val="00723E97"/>
    <w:rsid w:val="00725EC9"/>
    <w:rsid w:val="007260BA"/>
    <w:rsid w:val="00726A9E"/>
    <w:rsid w:val="007329BB"/>
    <w:rsid w:val="00732EDA"/>
    <w:rsid w:val="0073461E"/>
    <w:rsid w:val="007347A0"/>
    <w:rsid w:val="00735BD6"/>
    <w:rsid w:val="00735E67"/>
    <w:rsid w:val="00736824"/>
    <w:rsid w:val="007375DF"/>
    <w:rsid w:val="00737B8B"/>
    <w:rsid w:val="00737F59"/>
    <w:rsid w:val="0074083F"/>
    <w:rsid w:val="007408FE"/>
    <w:rsid w:val="00740E09"/>
    <w:rsid w:val="007411F7"/>
    <w:rsid w:val="007426EF"/>
    <w:rsid w:val="00742C04"/>
    <w:rsid w:val="00742E49"/>
    <w:rsid w:val="00743450"/>
    <w:rsid w:val="00744397"/>
    <w:rsid w:val="007448A9"/>
    <w:rsid w:val="007448ED"/>
    <w:rsid w:val="00745978"/>
    <w:rsid w:val="00747094"/>
    <w:rsid w:val="00747A7F"/>
    <w:rsid w:val="00747ED1"/>
    <w:rsid w:val="007505D0"/>
    <w:rsid w:val="00750D4D"/>
    <w:rsid w:val="00750FCE"/>
    <w:rsid w:val="00751D31"/>
    <w:rsid w:val="007520A4"/>
    <w:rsid w:val="00753747"/>
    <w:rsid w:val="00754CD0"/>
    <w:rsid w:val="007551D0"/>
    <w:rsid w:val="00755E6A"/>
    <w:rsid w:val="0075629E"/>
    <w:rsid w:val="007570D8"/>
    <w:rsid w:val="0075731D"/>
    <w:rsid w:val="00757366"/>
    <w:rsid w:val="007574E8"/>
    <w:rsid w:val="007604F8"/>
    <w:rsid w:val="007609EF"/>
    <w:rsid w:val="00760E0A"/>
    <w:rsid w:val="00761786"/>
    <w:rsid w:val="00761FE1"/>
    <w:rsid w:val="00762280"/>
    <w:rsid w:val="00762449"/>
    <w:rsid w:val="00762B94"/>
    <w:rsid w:val="007632BF"/>
    <w:rsid w:val="00763ED7"/>
    <w:rsid w:val="0076515C"/>
    <w:rsid w:val="00766CD3"/>
    <w:rsid w:val="00770432"/>
    <w:rsid w:val="0077111F"/>
    <w:rsid w:val="00771224"/>
    <w:rsid w:val="007722B1"/>
    <w:rsid w:val="007753C2"/>
    <w:rsid w:val="007757CF"/>
    <w:rsid w:val="00775AA4"/>
    <w:rsid w:val="0077691F"/>
    <w:rsid w:val="00777520"/>
    <w:rsid w:val="00780DAF"/>
    <w:rsid w:val="00782B39"/>
    <w:rsid w:val="00783649"/>
    <w:rsid w:val="00783715"/>
    <w:rsid w:val="00783807"/>
    <w:rsid w:val="00783B5C"/>
    <w:rsid w:val="00783C3F"/>
    <w:rsid w:val="007845EB"/>
    <w:rsid w:val="00784AAF"/>
    <w:rsid w:val="0078655C"/>
    <w:rsid w:val="00786766"/>
    <w:rsid w:val="007869E2"/>
    <w:rsid w:val="00790020"/>
    <w:rsid w:val="007905FE"/>
    <w:rsid w:val="00790C6B"/>
    <w:rsid w:val="0079140B"/>
    <w:rsid w:val="00791875"/>
    <w:rsid w:val="00792E32"/>
    <w:rsid w:val="00793BC8"/>
    <w:rsid w:val="00793C11"/>
    <w:rsid w:val="00793C5A"/>
    <w:rsid w:val="00794A7D"/>
    <w:rsid w:val="007951EB"/>
    <w:rsid w:val="007956F4"/>
    <w:rsid w:val="00797776"/>
    <w:rsid w:val="007A04EE"/>
    <w:rsid w:val="007A10FD"/>
    <w:rsid w:val="007A185E"/>
    <w:rsid w:val="007A2513"/>
    <w:rsid w:val="007A31E2"/>
    <w:rsid w:val="007A3B68"/>
    <w:rsid w:val="007A3D9E"/>
    <w:rsid w:val="007A4355"/>
    <w:rsid w:val="007A4B3D"/>
    <w:rsid w:val="007A65FC"/>
    <w:rsid w:val="007A68FB"/>
    <w:rsid w:val="007A7225"/>
    <w:rsid w:val="007B05C1"/>
    <w:rsid w:val="007B0A8E"/>
    <w:rsid w:val="007B253F"/>
    <w:rsid w:val="007B26AA"/>
    <w:rsid w:val="007B2954"/>
    <w:rsid w:val="007B2E7E"/>
    <w:rsid w:val="007B30DA"/>
    <w:rsid w:val="007B3DF3"/>
    <w:rsid w:val="007B3ECE"/>
    <w:rsid w:val="007B3F00"/>
    <w:rsid w:val="007B426A"/>
    <w:rsid w:val="007B5A3E"/>
    <w:rsid w:val="007B663F"/>
    <w:rsid w:val="007B7746"/>
    <w:rsid w:val="007B78CC"/>
    <w:rsid w:val="007C12DD"/>
    <w:rsid w:val="007C1D8F"/>
    <w:rsid w:val="007C2CEA"/>
    <w:rsid w:val="007C2D24"/>
    <w:rsid w:val="007C4153"/>
    <w:rsid w:val="007C4585"/>
    <w:rsid w:val="007C4973"/>
    <w:rsid w:val="007C4AF2"/>
    <w:rsid w:val="007C6C80"/>
    <w:rsid w:val="007C70BD"/>
    <w:rsid w:val="007C789C"/>
    <w:rsid w:val="007D0A92"/>
    <w:rsid w:val="007D102C"/>
    <w:rsid w:val="007D1FDF"/>
    <w:rsid w:val="007D39F4"/>
    <w:rsid w:val="007D3CE5"/>
    <w:rsid w:val="007D3CE7"/>
    <w:rsid w:val="007D5399"/>
    <w:rsid w:val="007D5614"/>
    <w:rsid w:val="007D5C52"/>
    <w:rsid w:val="007D5F10"/>
    <w:rsid w:val="007D7622"/>
    <w:rsid w:val="007E0D85"/>
    <w:rsid w:val="007E10E9"/>
    <w:rsid w:val="007E2B26"/>
    <w:rsid w:val="007E3490"/>
    <w:rsid w:val="007E349F"/>
    <w:rsid w:val="007E4B5C"/>
    <w:rsid w:val="007E52B4"/>
    <w:rsid w:val="007E621F"/>
    <w:rsid w:val="007E648E"/>
    <w:rsid w:val="007E6614"/>
    <w:rsid w:val="007E79BD"/>
    <w:rsid w:val="007F06FB"/>
    <w:rsid w:val="007F0E6E"/>
    <w:rsid w:val="007F27A0"/>
    <w:rsid w:val="007F2C8A"/>
    <w:rsid w:val="007F32A7"/>
    <w:rsid w:val="007F382C"/>
    <w:rsid w:val="007F448D"/>
    <w:rsid w:val="007F5370"/>
    <w:rsid w:val="007F5C52"/>
    <w:rsid w:val="007F5FA2"/>
    <w:rsid w:val="007F6432"/>
    <w:rsid w:val="007F66EE"/>
    <w:rsid w:val="007F6707"/>
    <w:rsid w:val="007F72D0"/>
    <w:rsid w:val="008000CA"/>
    <w:rsid w:val="00800244"/>
    <w:rsid w:val="008008BC"/>
    <w:rsid w:val="0080262F"/>
    <w:rsid w:val="008029A4"/>
    <w:rsid w:val="00803BF6"/>
    <w:rsid w:val="00803E31"/>
    <w:rsid w:val="00804989"/>
    <w:rsid w:val="00806CB6"/>
    <w:rsid w:val="0080716D"/>
    <w:rsid w:val="00807DD4"/>
    <w:rsid w:val="00810A90"/>
    <w:rsid w:val="00810B1B"/>
    <w:rsid w:val="00811A0B"/>
    <w:rsid w:val="00815441"/>
    <w:rsid w:val="008156C0"/>
    <w:rsid w:val="00816691"/>
    <w:rsid w:val="00817762"/>
    <w:rsid w:val="00820722"/>
    <w:rsid w:val="00820ADC"/>
    <w:rsid w:val="00821969"/>
    <w:rsid w:val="00823168"/>
    <w:rsid w:val="00823453"/>
    <w:rsid w:val="00823615"/>
    <w:rsid w:val="00823A46"/>
    <w:rsid w:val="00823F4F"/>
    <w:rsid w:val="00825403"/>
    <w:rsid w:val="00825462"/>
    <w:rsid w:val="0082560C"/>
    <w:rsid w:val="00825BDD"/>
    <w:rsid w:val="00825E18"/>
    <w:rsid w:val="008266DE"/>
    <w:rsid w:val="00826852"/>
    <w:rsid w:val="00827FCA"/>
    <w:rsid w:val="0083016C"/>
    <w:rsid w:val="008302C8"/>
    <w:rsid w:val="00831C87"/>
    <w:rsid w:val="00832AC4"/>
    <w:rsid w:val="00832EED"/>
    <w:rsid w:val="008333C8"/>
    <w:rsid w:val="00833BAB"/>
    <w:rsid w:val="00833E53"/>
    <w:rsid w:val="008340D5"/>
    <w:rsid w:val="008348E6"/>
    <w:rsid w:val="00834B08"/>
    <w:rsid w:val="0083598D"/>
    <w:rsid w:val="008359A8"/>
    <w:rsid w:val="00835BB7"/>
    <w:rsid w:val="00835E62"/>
    <w:rsid w:val="00836258"/>
    <w:rsid w:val="008363A9"/>
    <w:rsid w:val="008365B4"/>
    <w:rsid w:val="00837FCB"/>
    <w:rsid w:val="00840378"/>
    <w:rsid w:val="0084243D"/>
    <w:rsid w:val="0084317A"/>
    <w:rsid w:val="008437D7"/>
    <w:rsid w:val="00844A09"/>
    <w:rsid w:val="00845455"/>
    <w:rsid w:val="00845E3B"/>
    <w:rsid w:val="00846E87"/>
    <w:rsid w:val="00850B46"/>
    <w:rsid w:val="00850E64"/>
    <w:rsid w:val="0085110B"/>
    <w:rsid w:val="008518C6"/>
    <w:rsid w:val="00851E58"/>
    <w:rsid w:val="008522E6"/>
    <w:rsid w:val="00853736"/>
    <w:rsid w:val="008540B6"/>
    <w:rsid w:val="0085417B"/>
    <w:rsid w:val="008544F1"/>
    <w:rsid w:val="0085471D"/>
    <w:rsid w:val="00854A81"/>
    <w:rsid w:val="00854F99"/>
    <w:rsid w:val="008553FF"/>
    <w:rsid w:val="00855F30"/>
    <w:rsid w:val="00856CE2"/>
    <w:rsid w:val="00857993"/>
    <w:rsid w:val="00857FC7"/>
    <w:rsid w:val="00860484"/>
    <w:rsid w:val="00860556"/>
    <w:rsid w:val="008606BA"/>
    <w:rsid w:val="008614C7"/>
    <w:rsid w:val="008621C0"/>
    <w:rsid w:val="008629FB"/>
    <w:rsid w:val="00863295"/>
    <w:rsid w:val="00863536"/>
    <w:rsid w:val="00864A5E"/>
    <w:rsid w:val="0086723E"/>
    <w:rsid w:val="00867414"/>
    <w:rsid w:val="008675D6"/>
    <w:rsid w:val="00867637"/>
    <w:rsid w:val="0086775F"/>
    <w:rsid w:val="008700B4"/>
    <w:rsid w:val="0087041F"/>
    <w:rsid w:val="00870F4D"/>
    <w:rsid w:val="00871364"/>
    <w:rsid w:val="0087173A"/>
    <w:rsid w:val="00872969"/>
    <w:rsid w:val="00872EF7"/>
    <w:rsid w:val="00873670"/>
    <w:rsid w:val="0087388E"/>
    <w:rsid w:val="00875A60"/>
    <w:rsid w:val="00875D50"/>
    <w:rsid w:val="00876BAA"/>
    <w:rsid w:val="00877F43"/>
    <w:rsid w:val="00880A0D"/>
    <w:rsid w:val="00880EFF"/>
    <w:rsid w:val="008817E2"/>
    <w:rsid w:val="00882F7E"/>
    <w:rsid w:val="00884CA8"/>
    <w:rsid w:val="00884E9A"/>
    <w:rsid w:val="00884EC2"/>
    <w:rsid w:val="00885581"/>
    <w:rsid w:val="00885FC1"/>
    <w:rsid w:val="0089083C"/>
    <w:rsid w:val="00891249"/>
    <w:rsid w:val="0089184B"/>
    <w:rsid w:val="0089195A"/>
    <w:rsid w:val="008926DA"/>
    <w:rsid w:val="00894022"/>
    <w:rsid w:val="00895128"/>
    <w:rsid w:val="008953E7"/>
    <w:rsid w:val="00895B22"/>
    <w:rsid w:val="008962FC"/>
    <w:rsid w:val="00896984"/>
    <w:rsid w:val="008970E2"/>
    <w:rsid w:val="00897216"/>
    <w:rsid w:val="008979AD"/>
    <w:rsid w:val="008A0B8F"/>
    <w:rsid w:val="008A1661"/>
    <w:rsid w:val="008A1816"/>
    <w:rsid w:val="008A1B75"/>
    <w:rsid w:val="008A59D7"/>
    <w:rsid w:val="008A7717"/>
    <w:rsid w:val="008B0417"/>
    <w:rsid w:val="008B0582"/>
    <w:rsid w:val="008B0718"/>
    <w:rsid w:val="008B0EC2"/>
    <w:rsid w:val="008B244B"/>
    <w:rsid w:val="008B374A"/>
    <w:rsid w:val="008B3F5D"/>
    <w:rsid w:val="008B5A39"/>
    <w:rsid w:val="008B680F"/>
    <w:rsid w:val="008B7BA3"/>
    <w:rsid w:val="008B7CED"/>
    <w:rsid w:val="008C1199"/>
    <w:rsid w:val="008C12B6"/>
    <w:rsid w:val="008C27EE"/>
    <w:rsid w:val="008C31D3"/>
    <w:rsid w:val="008C3A44"/>
    <w:rsid w:val="008C3CE1"/>
    <w:rsid w:val="008C424E"/>
    <w:rsid w:val="008C4E29"/>
    <w:rsid w:val="008C51E8"/>
    <w:rsid w:val="008C58CF"/>
    <w:rsid w:val="008C5913"/>
    <w:rsid w:val="008C5E2D"/>
    <w:rsid w:val="008C6C63"/>
    <w:rsid w:val="008C6DDD"/>
    <w:rsid w:val="008C71C2"/>
    <w:rsid w:val="008C73E2"/>
    <w:rsid w:val="008C7505"/>
    <w:rsid w:val="008C7890"/>
    <w:rsid w:val="008C7A18"/>
    <w:rsid w:val="008C7EDE"/>
    <w:rsid w:val="008D378B"/>
    <w:rsid w:val="008D4C53"/>
    <w:rsid w:val="008D55FF"/>
    <w:rsid w:val="008D5941"/>
    <w:rsid w:val="008D73EA"/>
    <w:rsid w:val="008D77FB"/>
    <w:rsid w:val="008E2E7B"/>
    <w:rsid w:val="008E39D2"/>
    <w:rsid w:val="008E40E9"/>
    <w:rsid w:val="008E49E7"/>
    <w:rsid w:val="008E5961"/>
    <w:rsid w:val="008E7242"/>
    <w:rsid w:val="008E79D8"/>
    <w:rsid w:val="008E7DDA"/>
    <w:rsid w:val="008F0392"/>
    <w:rsid w:val="008F0891"/>
    <w:rsid w:val="008F08CA"/>
    <w:rsid w:val="008F31B2"/>
    <w:rsid w:val="008F31DB"/>
    <w:rsid w:val="008F5181"/>
    <w:rsid w:val="008F52DF"/>
    <w:rsid w:val="008F598F"/>
    <w:rsid w:val="008F68A3"/>
    <w:rsid w:val="008F6D51"/>
    <w:rsid w:val="008F7611"/>
    <w:rsid w:val="008F78C7"/>
    <w:rsid w:val="00900AD7"/>
    <w:rsid w:val="009023BD"/>
    <w:rsid w:val="00902F05"/>
    <w:rsid w:val="00905448"/>
    <w:rsid w:val="0090553C"/>
    <w:rsid w:val="00906237"/>
    <w:rsid w:val="00906B02"/>
    <w:rsid w:val="00910914"/>
    <w:rsid w:val="009109D3"/>
    <w:rsid w:val="009112FB"/>
    <w:rsid w:val="0091288A"/>
    <w:rsid w:val="00912EBC"/>
    <w:rsid w:val="00913156"/>
    <w:rsid w:val="009131C0"/>
    <w:rsid w:val="009132D2"/>
    <w:rsid w:val="00913400"/>
    <w:rsid w:val="00913714"/>
    <w:rsid w:val="00913F6B"/>
    <w:rsid w:val="00915AB6"/>
    <w:rsid w:val="00915F1A"/>
    <w:rsid w:val="009173A3"/>
    <w:rsid w:val="00917F7D"/>
    <w:rsid w:val="00920606"/>
    <w:rsid w:val="00920B9B"/>
    <w:rsid w:val="00920F81"/>
    <w:rsid w:val="00923CBB"/>
    <w:rsid w:val="00924CC2"/>
    <w:rsid w:val="00925E68"/>
    <w:rsid w:val="00926CC4"/>
    <w:rsid w:val="00927D37"/>
    <w:rsid w:val="0093060B"/>
    <w:rsid w:val="00930696"/>
    <w:rsid w:val="009310B3"/>
    <w:rsid w:val="0093138E"/>
    <w:rsid w:val="009318B3"/>
    <w:rsid w:val="00931FB9"/>
    <w:rsid w:val="00932624"/>
    <w:rsid w:val="00932B61"/>
    <w:rsid w:val="00932FCC"/>
    <w:rsid w:val="00933D32"/>
    <w:rsid w:val="009347D0"/>
    <w:rsid w:val="00934AFD"/>
    <w:rsid w:val="00934C7E"/>
    <w:rsid w:val="00935824"/>
    <w:rsid w:val="009376E2"/>
    <w:rsid w:val="00937F50"/>
    <w:rsid w:val="00941656"/>
    <w:rsid w:val="00942623"/>
    <w:rsid w:val="00942EF3"/>
    <w:rsid w:val="009436A7"/>
    <w:rsid w:val="00943F5B"/>
    <w:rsid w:val="0094414C"/>
    <w:rsid w:val="009448D0"/>
    <w:rsid w:val="00944A7C"/>
    <w:rsid w:val="009454C3"/>
    <w:rsid w:val="00945DC2"/>
    <w:rsid w:val="00947379"/>
    <w:rsid w:val="00947A3E"/>
    <w:rsid w:val="00947F33"/>
    <w:rsid w:val="009504E8"/>
    <w:rsid w:val="00950B5F"/>
    <w:rsid w:val="00953EAF"/>
    <w:rsid w:val="00954415"/>
    <w:rsid w:val="00954453"/>
    <w:rsid w:val="0095504E"/>
    <w:rsid w:val="0095615C"/>
    <w:rsid w:val="00956955"/>
    <w:rsid w:val="00956DC5"/>
    <w:rsid w:val="00956E7A"/>
    <w:rsid w:val="00957F25"/>
    <w:rsid w:val="00960596"/>
    <w:rsid w:val="009605A4"/>
    <w:rsid w:val="00960856"/>
    <w:rsid w:val="00961BD1"/>
    <w:rsid w:val="00964B1E"/>
    <w:rsid w:val="00964C25"/>
    <w:rsid w:val="00964C46"/>
    <w:rsid w:val="00965200"/>
    <w:rsid w:val="0096535B"/>
    <w:rsid w:val="0096644D"/>
    <w:rsid w:val="009664E8"/>
    <w:rsid w:val="009705D3"/>
    <w:rsid w:val="00970780"/>
    <w:rsid w:val="009718A6"/>
    <w:rsid w:val="00972075"/>
    <w:rsid w:val="0097240A"/>
    <w:rsid w:val="00974AD2"/>
    <w:rsid w:val="00975F77"/>
    <w:rsid w:val="00975FD8"/>
    <w:rsid w:val="00976089"/>
    <w:rsid w:val="009765BE"/>
    <w:rsid w:val="009771C4"/>
    <w:rsid w:val="009778F8"/>
    <w:rsid w:val="00980888"/>
    <w:rsid w:val="00980C31"/>
    <w:rsid w:val="00980EB0"/>
    <w:rsid w:val="00981114"/>
    <w:rsid w:val="009823B1"/>
    <w:rsid w:val="00982559"/>
    <w:rsid w:val="009839FC"/>
    <w:rsid w:val="00984116"/>
    <w:rsid w:val="0098453E"/>
    <w:rsid w:val="00984A2C"/>
    <w:rsid w:val="0098514F"/>
    <w:rsid w:val="009858CD"/>
    <w:rsid w:val="00987180"/>
    <w:rsid w:val="009909A2"/>
    <w:rsid w:val="009917F3"/>
    <w:rsid w:val="00991A83"/>
    <w:rsid w:val="00991D3E"/>
    <w:rsid w:val="00992BC9"/>
    <w:rsid w:val="00993297"/>
    <w:rsid w:val="009935CE"/>
    <w:rsid w:val="00993659"/>
    <w:rsid w:val="00993938"/>
    <w:rsid w:val="00993AAA"/>
    <w:rsid w:val="009942BF"/>
    <w:rsid w:val="00994DDD"/>
    <w:rsid w:val="009950C9"/>
    <w:rsid w:val="00996137"/>
    <w:rsid w:val="00996E37"/>
    <w:rsid w:val="00997252"/>
    <w:rsid w:val="009A1030"/>
    <w:rsid w:val="009A166A"/>
    <w:rsid w:val="009A219D"/>
    <w:rsid w:val="009A2D31"/>
    <w:rsid w:val="009A32F7"/>
    <w:rsid w:val="009A3754"/>
    <w:rsid w:val="009A3C00"/>
    <w:rsid w:val="009A5805"/>
    <w:rsid w:val="009A637C"/>
    <w:rsid w:val="009A6B9C"/>
    <w:rsid w:val="009B1FDF"/>
    <w:rsid w:val="009B330D"/>
    <w:rsid w:val="009B395A"/>
    <w:rsid w:val="009B421F"/>
    <w:rsid w:val="009B4C40"/>
    <w:rsid w:val="009B559D"/>
    <w:rsid w:val="009C0081"/>
    <w:rsid w:val="009C03A3"/>
    <w:rsid w:val="009C1056"/>
    <w:rsid w:val="009C1D90"/>
    <w:rsid w:val="009C2ACC"/>
    <w:rsid w:val="009C2CA6"/>
    <w:rsid w:val="009C391D"/>
    <w:rsid w:val="009C3B8E"/>
    <w:rsid w:val="009C3F05"/>
    <w:rsid w:val="009C4331"/>
    <w:rsid w:val="009C536E"/>
    <w:rsid w:val="009C563B"/>
    <w:rsid w:val="009C5A84"/>
    <w:rsid w:val="009C6629"/>
    <w:rsid w:val="009C669A"/>
    <w:rsid w:val="009C7B86"/>
    <w:rsid w:val="009D09AC"/>
    <w:rsid w:val="009D1096"/>
    <w:rsid w:val="009D290A"/>
    <w:rsid w:val="009D2A34"/>
    <w:rsid w:val="009D318C"/>
    <w:rsid w:val="009D3764"/>
    <w:rsid w:val="009D3886"/>
    <w:rsid w:val="009D3E47"/>
    <w:rsid w:val="009D51A6"/>
    <w:rsid w:val="009D5632"/>
    <w:rsid w:val="009D58D4"/>
    <w:rsid w:val="009D7414"/>
    <w:rsid w:val="009D7601"/>
    <w:rsid w:val="009E2581"/>
    <w:rsid w:val="009E286B"/>
    <w:rsid w:val="009E3811"/>
    <w:rsid w:val="009E3CCF"/>
    <w:rsid w:val="009E4383"/>
    <w:rsid w:val="009E6F9C"/>
    <w:rsid w:val="009E745C"/>
    <w:rsid w:val="009E76E1"/>
    <w:rsid w:val="009E797C"/>
    <w:rsid w:val="009F0105"/>
    <w:rsid w:val="009F05C2"/>
    <w:rsid w:val="009F1578"/>
    <w:rsid w:val="009F1980"/>
    <w:rsid w:val="009F1A6D"/>
    <w:rsid w:val="009F2340"/>
    <w:rsid w:val="009F2EF6"/>
    <w:rsid w:val="009F3142"/>
    <w:rsid w:val="009F399C"/>
    <w:rsid w:val="009F409E"/>
    <w:rsid w:val="009F4BE3"/>
    <w:rsid w:val="009F509A"/>
    <w:rsid w:val="009F5C86"/>
    <w:rsid w:val="009F675D"/>
    <w:rsid w:val="009F7746"/>
    <w:rsid w:val="00A00B7D"/>
    <w:rsid w:val="00A012F4"/>
    <w:rsid w:val="00A01544"/>
    <w:rsid w:val="00A02145"/>
    <w:rsid w:val="00A03BAE"/>
    <w:rsid w:val="00A03E18"/>
    <w:rsid w:val="00A043AB"/>
    <w:rsid w:val="00A04CEC"/>
    <w:rsid w:val="00A05515"/>
    <w:rsid w:val="00A07CE2"/>
    <w:rsid w:val="00A07E0C"/>
    <w:rsid w:val="00A10084"/>
    <w:rsid w:val="00A11430"/>
    <w:rsid w:val="00A12E4D"/>
    <w:rsid w:val="00A1307E"/>
    <w:rsid w:val="00A13FDE"/>
    <w:rsid w:val="00A14130"/>
    <w:rsid w:val="00A1485D"/>
    <w:rsid w:val="00A14AA2"/>
    <w:rsid w:val="00A15197"/>
    <w:rsid w:val="00A15808"/>
    <w:rsid w:val="00A163E4"/>
    <w:rsid w:val="00A165A2"/>
    <w:rsid w:val="00A166BE"/>
    <w:rsid w:val="00A17BFB"/>
    <w:rsid w:val="00A20755"/>
    <w:rsid w:val="00A214FF"/>
    <w:rsid w:val="00A22084"/>
    <w:rsid w:val="00A22492"/>
    <w:rsid w:val="00A23FBE"/>
    <w:rsid w:val="00A24760"/>
    <w:rsid w:val="00A26CA0"/>
    <w:rsid w:val="00A26F66"/>
    <w:rsid w:val="00A324F0"/>
    <w:rsid w:val="00A3318A"/>
    <w:rsid w:val="00A3348C"/>
    <w:rsid w:val="00A34E7B"/>
    <w:rsid w:val="00A36B99"/>
    <w:rsid w:val="00A37C59"/>
    <w:rsid w:val="00A4096E"/>
    <w:rsid w:val="00A41162"/>
    <w:rsid w:val="00A43868"/>
    <w:rsid w:val="00A4449C"/>
    <w:rsid w:val="00A4487E"/>
    <w:rsid w:val="00A454F8"/>
    <w:rsid w:val="00A45ACC"/>
    <w:rsid w:val="00A45B67"/>
    <w:rsid w:val="00A46A30"/>
    <w:rsid w:val="00A46A9D"/>
    <w:rsid w:val="00A46EC7"/>
    <w:rsid w:val="00A47060"/>
    <w:rsid w:val="00A47C91"/>
    <w:rsid w:val="00A51377"/>
    <w:rsid w:val="00A515D7"/>
    <w:rsid w:val="00A51F8E"/>
    <w:rsid w:val="00A54583"/>
    <w:rsid w:val="00A54747"/>
    <w:rsid w:val="00A54832"/>
    <w:rsid w:val="00A54A9A"/>
    <w:rsid w:val="00A54CC7"/>
    <w:rsid w:val="00A5501B"/>
    <w:rsid w:val="00A5694C"/>
    <w:rsid w:val="00A57B6B"/>
    <w:rsid w:val="00A61399"/>
    <w:rsid w:val="00A61C94"/>
    <w:rsid w:val="00A6215D"/>
    <w:rsid w:val="00A62BB8"/>
    <w:rsid w:val="00A62E5A"/>
    <w:rsid w:val="00A635A5"/>
    <w:rsid w:val="00A64545"/>
    <w:rsid w:val="00A64F96"/>
    <w:rsid w:val="00A651C3"/>
    <w:rsid w:val="00A7046B"/>
    <w:rsid w:val="00A71175"/>
    <w:rsid w:val="00A7273A"/>
    <w:rsid w:val="00A72F8B"/>
    <w:rsid w:val="00A73A92"/>
    <w:rsid w:val="00A73B73"/>
    <w:rsid w:val="00A74D26"/>
    <w:rsid w:val="00A74DB0"/>
    <w:rsid w:val="00A754D9"/>
    <w:rsid w:val="00A75C1C"/>
    <w:rsid w:val="00A75E1A"/>
    <w:rsid w:val="00A778E6"/>
    <w:rsid w:val="00A80395"/>
    <w:rsid w:val="00A8072F"/>
    <w:rsid w:val="00A80A39"/>
    <w:rsid w:val="00A80B1C"/>
    <w:rsid w:val="00A81443"/>
    <w:rsid w:val="00A822CF"/>
    <w:rsid w:val="00A8272D"/>
    <w:rsid w:val="00A82C81"/>
    <w:rsid w:val="00A833D3"/>
    <w:rsid w:val="00A835EA"/>
    <w:rsid w:val="00A83865"/>
    <w:rsid w:val="00A847E2"/>
    <w:rsid w:val="00A858AC"/>
    <w:rsid w:val="00A85A25"/>
    <w:rsid w:val="00A86FF0"/>
    <w:rsid w:val="00A872BD"/>
    <w:rsid w:val="00A87903"/>
    <w:rsid w:val="00A87B76"/>
    <w:rsid w:val="00A90C92"/>
    <w:rsid w:val="00A90F5D"/>
    <w:rsid w:val="00A90F9F"/>
    <w:rsid w:val="00A90FEF"/>
    <w:rsid w:val="00A9263E"/>
    <w:rsid w:val="00A92917"/>
    <w:rsid w:val="00A93AC9"/>
    <w:rsid w:val="00A94288"/>
    <w:rsid w:val="00A94C4E"/>
    <w:rsid w:val="00A95028"/>
    <w:rsid w:val="00A95339"/>
    <w:rsid w:val="00A96547"/>
    <w:rsid w:val="00AA0744"/>
    <w:rsid w:val="00AA0ABD"/>
    <w:rsid w:val="00AA0CAB"/>
    <w:rsid w:val="00AA0F70"/>
    <w:rsid w:val="00AA1498"/>
    <w:rsid w:val="00AA2FA0"/>
    <w:rsid w:val="00AA55E0"/>
    <w:rsid w:val="00AB0566"/>
    <w:rsid w:val="00AB09D0"/>
    <w:rsid w:val="00AB0DEC"/>
    <w:rsid w:val="00AB1713"/>
    <w:rsid w:val="00AB1AD5"/>
    <w:rsid w:val="00AB1BA4"/>
    <w:rsid w:val="00AB1C1C"/>
    <w:rsid w:val="00AB304C"/>
    <w:rsid w:val="00AB4946"/>
    <w:rsid w:val="00AB57F4"/>
    <w:rsid w:val="00AB612D"/>
    <w:rsid w:val="00AB61E8"/>
    <w:rsid w:val="00AB7302"/>
    <w:rsid w:val="00AB7A61"/>
    <w:rsid w:val="00AB7AC3"/>
    <w:rsid w:val="00AB7B0C"/>
    <w:rsid w:val="00AC05EF"/>
    <w:rsid w:val="00AC1062"/>
    <w:rsid w:val="00AC1AEE"/>
    <w:rsid w:val="00AC1E9D"/>
    <w:rsid w:val="00AC1EFA"/>
    <w:rsid w:val="00AC1F27"/>
    <w:rsid w:val="00AC2BA4"/>
    <w:rsid w:val="00AC2BD2"/>
    <w:rsid w:val="00AC2C10"/>
    <w:rsid w:val="00AC2CCE"/>
    <w:rsid w:val="00AC4060"/>
    <w:rsid w:val="00AC43FC"/>
    <w:rsid w:val="00AC4702"/>
    <w:rsid w:val="00AC67B4"/>
    <w:rsid w:val="00AC6FB4"/>
    <w:rsid w:val="00AC7490"/>
    <w:rsid w:val="00AD0DF7"/>
    <w:rsid w:val="00AD16AE"/>
    <w:rsid w:val="00AD18E7"/>
    <w:rsid w:val="00AD1E50"/>
    <w:rsid w:val="00AD2D2D"/>
    <w:rsid w:val="00AD3E04"/>
    <w:rsid w:val="00AD3FB5"/>
    <w:rsid w:val="00AD5341"/>
    <w:rsid w:val="00AD6B35"/>
    <w:rsid w:val="00AD6B43"/>
    <w:rsid w:val="00AD74CB"/>
    <w:rsid w:val="00AD7F1E"/>
    <w:rsid w:val="00AE0072"/>
    <w:rsid w:val="00AE012F"/>
    <w:rsid w:val="00AE0A9E"/>
    <w:rsid w:val="00AE0EF9"/>
    <w:rsid w:val="00AE2699"/>
    <w:rsid w:val="00AE28E6"/>
    <w:rsid w:val="00AE4106"/>
    <w:rsid w:val="00AE4C70"/>
    <w:rsid w:val="00AE711F"/>
    <w:rsid w:val="00AE7FE1"/>
    <w:rsid w:val="00AF0B73"/>
    <w:rsid w:val="00AF15FB"/>
    <w:rsid w:val="00AF1601"/>
    <w:rsid w:val="00AF1808"/>
    <w:rsid w:val="00AF1976"/>
    <w:rsid w:val="00AF2906"/>
    <w:rsid w:val="00AF4658"/>
    <w:rsid w:val="00AF4BD6"/>
    <w:rsid w:val="00AF644C"/>
    <w:rsid w:val="00AF6484"/>
    <w:rsid w:val="00AF6637"/>
    <w:rsid w:val="00AF7E17"/>
    <w:rsid w:val="00B002CE"/>
    <w:rsid w:val="00B00530"/>
    <w:rsid w:val="00B00537"/>
    <w:rsid w:val="00B01713"/>
    <w:rsid w:val="00B01C2C"/>
    <w:rsid w:val="00B037CE"/>
    <w:rsid w:val="00B03BE6"/>
    <w:rsid w:val="00B0481A"/>
    <w:rsid w:val="00B050CD"/>
    <w:rsid w:val="00B0527D"/>
    <w:rsid w:val="00B052BD"/>
    <w:rsid w:val="00B07CAE"/>
    <w:rsid w:val="00B07F06"/>
    <w:rsid w:val="00B1122D"/>
    <w:rsid w:val="00B11459"/>
    <w:rsid w:val="00B1168E"/>
    <w:rsid w:val="00B1195D"/>
    <w:rsid w:val="00B12C0A"/>
    <w:rsid w:val="00B12D25"/>
    <w:rsid w:val="00B1543F"/>
    <w:rsid w:val="00B154E7"/>
    <w:rsid w:val="00B1697E"/>
    <w:rsid w:val="00B202B9"/>
    <w:rsid w:val="00B21987"/>
    <w:rsid w:val="00B21BD8"/>
    <w:rsid w:val="00B232A0"/>
    <w:rsid w:val="00B232F1"/>
    <w:rsid w:val="00B233A5"/>
    <w:rsid w:val="00B233F8"/>
    <w:rsid w:val="00B237A1"/>
    <w:rsid w:val="00B25487"/>
    <w:rsid w:val="00B26539"/>
    <w:rsid w:val="00B27F8E"/>
    <w:rsid w:val="00B31004"/>
    <w:rsid w:val="00B31C9D"/>
    <w:rsid w:val="00B31D78"/>
    <w:rsid w:val="00B31E96"/>
    <w:rsid w:val="00B32465"/>
    <w:rsid w:val="00B354BF"/>
    <w:rsid w:val="00B3569C"/>
    <w:rsid w:val="00B35C0E"/>
    <w:rsid w:val="00B3617F"/>
    <w:rsid w:val="00B369AD"/>
    <w:rsid w:val="00B37238"/>
    <w:rsid w:val="00B3784B"/>
    <w:rsid w:val="00B378B3"/>
    <w:rsid w:val="00B4057F"/>
    <w:rsid w:val="00B40F69"/>
    <w:rsid w:val="00B4106B"/>
    <w:rsid w:val="00B4427F"/>
    <w:rsid w:val="00B450AD"/>
    <w:rsid w:val="00B4606A"/>
    <w:rsid w:val="00B46E82"/>
    <w:rsid w:val="00B47D07"/>
    <w:rsid w:val="00B5043A"/>
    <w:rsid w:val="00B528D5"/>
    <w:rsid w:val="00B53025"/>
    <w:rsid w:val="00B54058"/>
    <w:rsid w:val="00B546D3"/>
    <w:rsid w:val="00B54900"/>
    <w:rsid w:val="00B54E0E"/>
    <w:rsid w:val="00B56650"/>
    <w:rsid w:val="00B575A4"/>
    <w:rsid w:val="00B57A9D"/>
    <w:rsid w:val="00B60647"/>
    <w:rsid w:val="00B61A06"/>
    <w:rsid w:val="00B61C92"/>
    <w:rsid w:val="00B63C7F"/>
    <w:rsid w:val="00B647A9"/>
    <w:rsid w:val="00B6539F"/>
    <w:rsid w:val="00B6575E"/>
    <w:rsid w:val="00B65969"/>
    <w:rsid w:val="00B6638E"/>
    <w:rsid w:val="00B66C34"/>
    <w:rsid w:val="00B66DC5"/>
    <w:rsid w:val="00B66E60"/>
    <w:rsid w:val="00B70DDE"/>
    <w:rsid w:val="00B713A9"/>
    <w:rsid w:val="00B71754"/>
    <w:rsid w:val="00B71B64"/>
    <w:rsid w:val="00B71CE2"/>
    <w:rsid w:val="00B72A1A"/>
    <w:rsid w:val="00B72A4B"/>
    <w:rsid w:val="00B72D29"/>
    <w:rsid w:val="00B7481D"/>
    <w:rsid w:val="00B75536"/>
    <w:rsid w:val="00B76F8E"/>
    <w:rsid w:val="00B77359"/>
    <w:rsid w:val="00B807E5"/>
    <w:rsid w:val="00B81532"/>
    <w:rsid w:val="00B81F92"/>
    <w:rsid w:val="00B8205A"/>
    <w:rsid w:val="00B82103"/>
    <w:rsid w:val="00B82477"/>
    <w:rsid w:val="00B82506"/>
    <w:rsid w:val="00B8341D"/>
    <w:rsid w:val="00B867F3"/>
    <w:rsid w:val="00B86B09"/>
    <w:rsid w:val="00B9089F"/>
    <w:rsid w:val="00B90CC5"/>
    <w:rsid w:val="00B92678"/>
    <w:rsid w:val="00B944B0"/>
    <w:rsid w:val="00B9782C"/>
    <w:rsid w:val="00B97CD7"/>
    <w:rsid w:val="00BA051A"/>
    <w:rsid w:val="00BA0D1B"/>
    <w:rsid w:val="00BA1BF7"/>
    <w:rsid w:val="00BA3BAF"/>
    <w:rsid w:val="00BA42B8"/>
    <w:rsid w:val="00BA64B6"/>
    <w:rsid w:val="00BA6AC4"/>
    <w:rsid w:val="00BA6E73"/>
    <w:rsid w:val="00BA7AF9"/>
    <w:rsid w:val="00BB0E22"/>
    <w:rsid w:val="00BB2D22"/>
    <w:rsid w:val="00BB37D8"/>
    <w:rsid w:val="00BB5299"/>
    <w:rsid w:val="00BB586C"/>
    <w:rsid w:val="00BB6775"/>
    <w:rsid w:val="00BB74AC"/>
    <w:rsid w:val="00BC1545"/>
    <w:rsid w:val="00BC1617"/>
    <w:rsid w:val="00BC175F"/>
    <w:rsid w:val="00BC19A7"/>
    <w:rsid w:val="00BC21D5"/>
    <w:rsid w:val="00BC46FB"/>
    <w:rsid w:val="00BC487D"/>
    <w:rsid w:val="00BC4A93"/>
    <w:rsid w:val="00BC4DD0"/>
    <w:rsid w:val="00BC5443"/>
    <w:rsid w:val="00BC5AEB"/>
    <w:rsid w:val="00BC5E0A"/>
    <w:rsid w:val="00BC6797"/>
    <w:rsid w:val="00BC771B"/>
    <w:rsid w:val="00BD05D7"/>
    <w:rsid w:val="00BD1175"/>
    <w:rsid w:val="00BD1196"/>
    <w:rsid w:val="00BD3807"/>
    <w:rsid w:val="00BD4CD7"/>
    <w:rsid w:val="00BD5A16"/>
    <w:rsid w:val="00BD5B15"/>
    <w:rsid w:val="00BD5E26"/>
    <w:rsid w:val="00BD7A50"/>
    <w:rsid w:val="00BE01BB"/>
    <w:rsid w:val="00BE1A60"/>
    <w:rsid w:val="00BE2958"/>
    <w:rsid w:val="00BE2EF0"/>
    <w:rsid w:val="00BE518B"/>
    <w:rsid w:val="00BE6177"/>
    <w:rsid w:val="00BE718F"/>
    <w:rsid w:val="00BE7990"/>
    <w:rsid w:val="00BF003E"/>
    <w:rsid w:val="00BF0936"/>
    <w:rsid w:val="00BF0994"/>
    <w:rsid w:val="00BF0F4E"/>
    <w:rsid w:val="00BF100B"/>
    <w:rsid w:val="00BF1A5C"/>
    <w:rsid w:val="00BF1B49"/>
    <w:rsid w:val="00BF268E"/>
    <w:rsid w:val="00BF3B2E"/>
    <w:rsid w:val="00BF4D8F"/>
    <w:rsid w:val="00BF5CB5"/>
    <w:rsid w:val="00BF6586"/>
    <w:rsid w:val="00BF6664"/>
    <w:rsid w:val="00BF6919"/>
    <w:rsid w:val="00BF6B93"/>
    <w:rsid w:val="00BF6F02"/>
    <w:rsid w:val="00BF7E42"/>
    <w:rsid w:val="00BF7E4A"/>
    <w:rsid w:val="00C0041F"/>
    <w:rsid w:val="00C00496"/>
    <w:rsid w:val="00C00B56"/>
    <w:rsid w:val="00C02656"/>
    <w:rsid w:val="00C02AF8"/>
    <w:rsid w:val="00C02C28"/>
    <w:rsid w:val="00C03132"/>
    <w:rsid w:val="00C031D2"/>
    <w:rsid w:val="00C03E61"/>
    <w:rsid w:val="00C043F2"/>
    <w:rsid w:val="00C05A14"/>
    <w:rsid w:val="00C06760"/>
    <w:rsid w:val="00C07960"/>
    <w:rsid w:val="00C1096D"/>
    <w:rsid w:val="00C12756"/>
    <w:rsid w:val="00C14127"/>
    <w:rsid w:val="00C157CC"/>
    <w:rsid w:val="00C17560"/>
    <w:rsid w:val="00C17E5C"/>
    <w:rsid w:val="00C17F88"/>
    <w:rsid w:val="00C20423"/>
    <w:rsid w:val="00C2128F"/>
    <w:rsid w:val="00C2246C"/>
    <w:rsid w:val="00C22B35"/>
    <w:rsid w:val="00C254EE"/>
    <w:rsid w:val="00C2633E"/>
    <w:rsid w:val="00C26BF7"/>
    <w:rsid w:val="00C26C7F"/>
    <w:rsid w:val="00C30226"/>
    <w:rsid w:val="00C3082A"/>
    <w:rsid w:val="00C3180F"/>
    <w:rsid w:val="00C31D1F"/>
    <w:rsid w:val="00C329AC"/>
    <w:rsid w:val="00C33723"/>
    <w:rsid w:val="00C33B31"/>
    <w:rsid w:val="00C35ADC"/>
    <w:rsid w:val="00C35D73"/>
    <w:rsid w:val="00C364F2"/>
    <w:rsid w:val="00C379F3"/>
    <w:rsid w:val="00C40318"/>
    <w:rsid w:val="00C410E3"/>
    <w:rsid w:val="00C41B40"/>
    <w:rsid w:val="00C420B9"/>
    <w:rsid w:val="00C421E9"/>
    <w:rsid w:val="00C42AD1"/>
    <w:rsid w:val="00C437FD"/>
    <w:rsid w:val="00C4420B"/>
    <w:rsid w:val="00C44CBE"/>
    <w:rsid w:val="00C450B8"/>
    <w:rsid w:val="00C45351"/>
    <w:rsid w:val="00C45467"/>
    <w:rsid w:val="00C46F67"/>
    <w:rsid w:val="00C475F7"/>
    <w:rsid w:val="00C50B79"/>
    <w:rsid w:val="00C51743"/>
    <w:rsid w:val="00C53072"/>
    <w:rsid w:val="00C535AA"/>
    <w:rsid w:val="00C536C1"/>
    <w:rsid w:val="00C5411B"/>
    <w:rsid w:val="00C557CB"/>
    <w:rsid w:val="00C559A8"/>
    <w:rsid w:val="00C56ABF"/>
    <w:rsid w:val="00C57F86"/>
    <w:rsid w:val="00C6076D"/>
    <w:rsid w:val="00C60B50"/>
    <w:rsid w:val="00C61F8A"/>
    <w:rsid w:val="00C62099"/>
    <w:rsid w:val="00C62210"/>
    <w:rsid w:val="00C62ED0"/>
    <w:rsid w:val="00C6310D"/>
    <w:rsid w:val="00C659E9"/>
    <w:rsid w:val="00C66608"/>
    <w:rsid w:val="00C66836"/>
    <w:rsid w:val="00C678F1"/>
    <w:rsid w:val="00C704F4"/>
    <w:rsid w:val="00C726D9"/>
    <w:rsid w:val="00C72AE8"/>
    <w:rsid w:val="00C72D1D"/>
    <w:rsid w:val="00C74096"/>
    <w:rsid w:val="00C74335"/>
    <w:rsid w:val="00C7452F"/>
    <w:rsid w:val="00C7623A"/>
    <w:rsid w:val="00C76BD4"/>
    <w:rsid w:val="00C770EB"/>
    <w:rsid w:val="00C777FA"/>
    <w:rsid w:val="00C80444"/>
    <w:rsid w:val="00C81020"/>
    <w:rsid w:val="00C82DB9"/>
    <w:rsid w:val="00C83388"/>
    <w:rsid w:val="00C83E7A"/>
    <w:rsid w:val="00C83F64"/>
    <w:rsid w:val="00C84770"/>
    <w:rsid w:val="00C848C4"/>
    <w:rsid w:val="00C860E5"/>
    <w:rsid w:val="00C8635F"/>
    <w:rsid w:val="00C86D5A"/>
    <w:rsid w:val="00C871E5"/>
    <w:rsid w:val="00C873E2"/>
    <w:rsid w:val="00C90432"/>
    <w:rsid w:val="00C90492"/>
    <w:rsid w:val="00C90D1F"/>
    <w:rsid w:val="00C90DEA"/>
    <w:rsid w:val="00C91B73"/>
    <w:rsid w:val="00C9224C"/>
    <w:rsid w:val="00C926A1"/>
    <w:rsid w:val="00C93718"/>
    <w:rsid w:val="00C93766"/>
    <w:rsid w:val="00C94736"/>
    <w:rsid w:val="00C94FE6"/>
    <w:rsid w:val="00C96910"/>
    <w:rsid w:val="00C96D9C"/>
    <w:rsid w:val="00CA083C"/>
    <w:rsid w:val="00CA0B2B"/>
    <w:rsid w:val="00CA145A"/>
    <w:rsid w:val="00CA1B9E"/>
    <w:rsid w:val="00CA2687"/>
    <w:rsid w:val="00CA308D"/>
    <w:rsid w:val="00CA30A1"/>
    <w:rsid w:val="00CA3838"/>
    <w:rsid w:val="00CA38B5"/>
    <w:rsid w:val="00CA427C"/>
    <w:rsid w:val="00CA49B0"/>
    <w:rsid w:val="00CA4EC6"/>
    <w:rsid w:val="00CA58D5"/>
    <w:rsid w:val="00CA6A4C"/>
    <w:rsid w:val="00CA7857"/>
    <w:rsid w:val="00CA79D5"/>
    <w:rsid w:val="00CB00FD"/>
    <w:rsid w:val="00CB01D4"/>
    <w:rsid w:val="00CB350B"/>
    <w:rsid w:val="00CB4841"/>
    <w:rsid w:val="00CB4980"/>
    <w:rsid w:val="00CB5B66"/>
    <w:rsid w:val="00CB65F1"/>
    <w:rsid w:val="00CB6DF3"/>
    <w:rsid w:val="00CB76E3"/>
    <w:rsid w:val="00CC01BA"/>
    <w:rsid w:val="00CC16D2"/>
    <w:rsid w:val="00CC1A34"/>
    <w:rsid w:val="00CC27A4"/>
    <w:rsid w:val="00CC2C99"/>
    <w:rsid w:val="00CC3EC8"/>
    <w:rsid w:val="00CC58F4"/>
    <w:rsid w:val="00CC5CAF"/>
    <w:rsid w:val="00CC65B4"/>
    <w:rsid w:val="00CC760A"/>
    <w:rsid w:val="00CD01F7"/>
    <w:rsid w:val="00CD0B3D"/>
    <w:rsid w:val="00CD0B67"/>
    <w:rsid w:val="00CD1FE4"/>
    <w:rsid w:val="00CD2C7D"/>
    <w:rsid w:val="00CD37C6"/>
    <w:rsid w:val="00CD4F3B"/>
    <w:rsid w:val="00CD5972"/>
    <w:rsid w:val="00CD5B67"/>
    <w:rsid w:val="00CD5B95"/>
    <w:rsid w:val="00CD5D01"/>
    <w:rsid w:val="00CD6110"/>
    <w:rsid w:val="00CD6B2F"/>
    <w:rsid w:val="00CD6D45"/>
    <w:rsid w:val="00CD6F35"/>
    <w:rsid w:val="00CE03CF"/>
    <w:rsid w:val="00CE24F8"/>
    <w:rsid w:val="00CE26FC"/>
    <w:rsid w:val="00CE29A0"/>
    <w:rsid w:val="00CE3489"/>
    <w:rsid w:val="00CE371E"/>
    <w:rsid w:val="00CE4C25"/>
    <w:rsid w:val="00CE4E31"/>
    <w:rsid w:val="00CE6132"/>
    <w:rsid w:val="00CE6FA6"/>
    <w:rsid w:val="00CE7D6C"/>
    <w:rsid w:val="00CF0B79"/>
    <w:rsid w:val="00CF183F"/>
    <w:rsid w:val="00CF20B1"/>
    <w:rsid w:val="00CF3D2C"/>
    <w:rsid w:val="00CF3E6A"/>
    <w:rsid w:val="00CF4AFE"/>
    <w:rsid w:val="00CF587B"/>
    <w:rsid w:val="00CF79F1"/>
    <w:rsid w:val="00CF7DCD"/>
    <w:rsid w:val="00D00A36"/>
    <w:rsid w:val="00D00D72"/>
    <w:rsid w:val="00D01F5D"/>
    <w:rsid w:val="00D059C4"/>
    <w:rsid w:val="00D05D21"/>
    <w:rsid w:val="00D06553"/>
    <w:rsid w:val="00D07939"/>
    <w:rsid w:val="00D122D8"/>
    <w:rsid w:val="00D1245B"/>
    <w:rsid w:val="00D13811"/>
    <w:rsid w:val="00D13F94"/>
    <w:rsid w:val="00D14010"/>
    <w:rsid w:val="00D14362"/>
    <w:rsid w:val="00D1490D"/>
    <w:rsid w:val="00D1700B"/>
    <w:rsid w:val="00D174CB"/>
    <w:rsid w:val="00D201A1"/>
    <w:rsid w:val="00D205B2"/>
    <w:rsid w:val="00D208FC"/>
    <w:rsid w:val="00D20B90"/>
    <w:rsid w:val="00D20DC1"/>
    <w:rsid w:val="00D20F52"/>
    <w:rsid w:val="00D21F4A"/>
    <w:rsid w:val="00D226E9"/>
    <w:rsid w:val="00D22F59"/>
    <w:rsid w:val="00D25A48"/>
    <w:rsid w:val="00D264FC"/>
    <w:rsid w:val="00D268A1"/>
    <w:rsid w:val="00D27130"/>
    <w:rsid w:val="00D30D01"/>
    <w:rsid w:val="00D328CE"/>
    <w:rsid w:val="00D32E4A"/>
    <w:rsid w:val="00D33299"/>
    <w:rsid w:val="00D337E5"/>
    <w:rsid w:val="00D33B38"/>
    <w:rsid w:val="00D34351"/>
    <w:rsid w:val="00D34BA6"/>
    <w:rsid w:val="00D352DC"/>
    <w:rsid w:val="00D35B06"/>
    <w:rsid w:val="00D366EF"/>
    <w:rsid w:val="00D3681A"/>
    <w:rsid w:val="00D37BF1"/>
    <w:rsid w:val="00D40715"/>
    <w:rsid w:val="00D41819"/>
    <w:rsid w:val="00D430BF"/>
    <w:rsid w:val="00D4499F"/>
    <w:rsid w:val="00D44D61"/>
    <w:rsid w:val="00D44EB9"/>
    <w:rsid w:val="00D45F47"/>
    <w:rsid w:val="00D46320"/>
    <w:rsid w:val="00D46C07"/>
    <w:rsid w:val="00D47626"/>
    <w:rsid w:val="00D47DF9"/>
    <w:rsid w:val="00D50DC2"/>
    <w:rsid w:val="00D514CD"/>
    <w:rsid w:val="00D51D82"/>
    <w:rsid w:val="00D521B4"/>
    <w:rsid w:val="00D52331"/>
    <w:rsid w:val="00D52B8E"/>
    <w:rsid w:val="00D52CF8"/>
    <w:rsid w:val="00D52E0A"/>
    <w:rsid w:val="00D54705"/>
    <w:rsid w:val="00D55664"/>
    <w:rsid w:val="00D557CB"/>
    <w:rsid w:val="00D55957"/>
    <w:rsid w:val="00D567B7"/>
    <w:rsid w:val="00D5689C"/>
    <w:rsid w:val="00D56A34"/>
    <w:rsid w:val="00D572B2"/>
    <w:rsid w:val="00D602BA"/>
    <w:rsid w:val="00D61737"/>
    <w:rsid w:val="00D617A0"/>
    <w:rsid w:val="00D63386"/>
    <w:rsid w:val="00D63F0C"/>
    <w:rsid w:val="00D64D01"/>
    <w:rsid w:val="00D66AD9"/>
    <w:rsid w:val="00D67955"/>
    <w:rsid w:val="00D71578"/>
    <w:rsid w:val="00D72D3B"/>
    <w:rsid w:val="00D75E61"/>
    <w:rsid w:val="00D7736E"/>
    <w:rsid w:val="00D77E6A"/>
    <w:rsid w:val="00D801D4"/>
    <w:rsid w:val="00D80CD3"/>
    <w:rsid w:val="00D80F49"/>
    <w:rsid w:val="00D80F65"/>
    <w:rsid w:val="00D8214B"/>
    <w:rsid w:val="00D822B4"/>
    <w:rsid w:val="00D83116"/>
    <w:rsid w:val="00D83F50"/>
    <w:rsid w:val="00D8544D"/>
    <w:rsid w:val="00D85AB2"/>
    <w:rsid w:val="00D870E5"/>
    <w:rsid w:val="00D87745"/>
    <w:rsid w:val="00D9016E"/>
    <w:rsid w:val="00D905F8"/>
    <w:rsid w:val="00D91157"/>
    <w:rsid w:val="00D91367"/>
    <w:rsid w:val="00D92B6A"/>
    <w:rsid w:val="00D92D5C"/>
    <w:rsid w:val="00D935D3"/>
    <w:rsid w:val="00D9521E"/>
    <w:rsid w:val="00D95782"/>
    <w:rsid w:val="00D95C80"/>
    <w:rsid w:val="00D96A6F"/>
    <w:rsid w:val="00D9703C"/>
    <w:rsid w:val="00D97E28"/>
    <w:rsid w:val="00DA018E"/>
    <w:rsid w:val="00DA2FBD"/>
    <w:rsid w:val="00DA32B2"/>
    <w:rsid w:val="00DA3324"/>
    <w:rsid w:val="00DA43F4"/>
    <w:rsid w:val="00DA5324"/>
    <w:rsid w:val="00DA5DE8"/>
    <w:rsid w:val="00DA7343"/>
    <w:rsid w:val="00DB14FA"/>
    <w:rsid w:val="00DB2297"/>
    <w:rsid w:val="00DB2710"/>
    <w:rsid w:val="00DB282F"/>
    <w:rsid w:val="00DB294B"/>
    <w:rsid w:val="00DB386E"/>
    <w:rsid w:val="00DB3D82"/>
    <w:rsid w:val="00DB55CB"/>
    <w:rsid w:val="00DB58D3"/>
    <w:rsid w:val="00DB68A8"/>
    <w:rsid w:val="00DC04D1"/>
    <w:rsid w:val="00DC0CD5"/>
    <w:rsid w:val="00DC0DED"/>
    <w:rsid w:val="00DC232E"/>
    <w:rsid w:val="00DC3398"/>
    <w:rsid w:val="00DC3567"/>
    <w:rsid w:val="00DC3DC9"/>
    <w:rsid w:val="00DC4784"/>
    <w:rsid w:val="00DC68BB"/>
    <w:rsid w:val="00DC75B1"/>
    <w:rsid w:val="00DC7838"/>
    <w:rsid w:val="00DC795E"/>
    <w:rsid w:val="00DD05C1"/>
    <w:rsid w:val="00DD1469"/>
    <w:rsid w:val="00DD329B"/>
    <w:rsid w:val="00DD38EB"/>
    <w:rsid w:val="00DD3967"/>
    <w:rsid w:val="00DD3F54"/>
    <w:rsid w:val="00DD4F20"/>
    <w:rsid w:val="00DD5735"/>
    <w:rsid w:val="00DD5F2D"/>
    <w:rsid w:val="00DD6013"/>
    <w:rsid w:val="00DD6F7A"/>
    <w:rsid w:val="00DD719C"/>
    <w:rsid w:val="00DD75F4"/>
    <w:rsid w:val="00DE1419"/>
    <w:rsid w:val="00DE1D6D"/>
    <w:rsid w:val="00DE2F5F"/>
    <w:rsid w:val="00DE3850"/>
    <w:rsid w:val="00DE619A"/>
    <w:rsid w:val="00DE6810"/>
    <w:rsid w:val="00DE6BB3"/>
    <w:rsid w:val="00DF265D"/>
    <w:rsid w:val="00DF2D19"/>
    <w:rsid w:val="00DF4402"/>
    <w:rsid w:val="00DF5065"/>
    <w:rsid w:val="00DF5234"/>
    <w:rsid w:val="00DF5388"/>
    <w:rsid w:val="00DF6296"/>
    <w:rsid w:val="00DF69B4"/>
    <w:rsid w:val="00DF6F12"/>
    <w:rsid w:val="00DF7829"/>
    <w:rsid w:val="00DF7E0F"/>
    <w:rsid w:val="00E00D54"/>
    <w:rsid w:val="00E00F8C"/>
    <w:rsid w:val="00E01465"/>
    <w:rsid w:val="00E01AF0"/>
    <w:rsid w:val="00E01F15"/>
    <w:rsid w:val="00E03374"/>
    <w:rsid w:val="00E03CB2"/>
    <w:rsid w:val="00E04A6B"/>
    <w:rsid w:val="00E04B6E"/>
    <w:rsid w:val="00E05309"/>
    <w:rsid w:val="00E06BE2"/>
    <w:rsid w:val="00E1117B"/>
    <w:rsid w:val="00E12080"/>
    <w:rsid w:val="00E12138"/>
    <w:rsid w:val="00E1335F"/>
    <w:rsid w:val="00E14983"/>
    <w:rsid w:val="00E1581C"/>
    <w:rsid w:val="00E16238"/>
    <w:rsid w:val="00E16941"/>
    <w:rsid w:val="00E169FF"/>
    <w:rsid w:val="00E17593"/>
    <w:rsid w:val="00E207EB"/>
    <w:rsid w:val="00E21F0E"/>
    <w:rsid w:val="00E22AA7"/>
    <w:rsid w:val="00E22B6E"/>
    <w:rsid w:val="00E23D70"/>
    <w:rsid w:val="00E246E2"/>
    <w:rsid w:val="00E24FB7"/>
    <w:rsid w:val="00E25298"/>
    <w:rsid w:val="00E25F14"/>
    <w:rsid w:val="00E26B38"/>
    <w:rsid w:val="00E26B57"/>
    <w:rsid w:val="00E26F1C"/>
    <w:rsid w:val="00E30873"/>
    <w:rsid w:val="00E3087D"/>
    <w:rsid w:val="00E30F10"/>
    <w:rsid w:val="00E3540F"/>
    <w:rsid w:val="00E3545E"/>
    <w:rsid w:val="00E35F37"/>
    <w:rsid w:val="00E360FF"/>
    <w:rsid w:val="00E372C7"/>
    <w:rsid w:val="00E37B7C"/>
    <w:rsid w:val="00E40206"/>
    <w:rsid w:val="00E40F9F"/>
    <w:rsid w:val="00E412C3"/>
    <w:rsid w:val="00E41E47"/>
    <w:rsid w:val="00E46C2A"/>
    <w:rsid w:val="00E47DDA"/>
    <w:rsid w:val="00E506E8"/>
    <w:rsid w:val="00E50D65"/>
    <w:rsid w:val="00E50DE6"/>
    <w:rsid w:val="00E51092"/>
    <w:rsid w:val="00E51515"/>
    <w:rsid w:val="00E517BD"/>
    <w:rsid w:val="00E52AA5"/>
    <w:rsid w:val="00E52FC2"/>
    <w:rsid w:val="00E53687"/>
    <w:rsid w:val="00E53E74"/>
    <w:rsid w:val="00E5478C"/>
    <w:rsid w:val="00E55438"/>
    <w:rsid w:val="00E55D50"/>
    <w:rsid w:val="00E568E8"/>
    <w:rsid w:val="00E56CE0"/>
    <w:rsid w:val="00E613EA"/>
    <w:rsid w:val="00E61E10"/>
    <w:rsid w:val="00E6273B"/>
    <w:rsid w:val="00E62B71"/>
    <w:rsid w:val="00E63AA0"/>
    <w:rsid w:val="00E63C1D"/>
    <w:rsid w:val="00E64748"/>
    <w:rsid w:val="00E652D7"/>
    <w:rsid w:val="00E66033"/>
    <w:rsid w:val="00E66266"/>
    <w:rsid w:val="00E665F9"/>
    <w:rsid w:val="00E6676E"/>
    <w:rsid w:val="00E66FD2"/>
    <w:rsid w:val="00E67586"/>
    <w:rsid w:val="00E711CD"/>
    <w:rsid w:val="00E7170B"/>
    <w:rsid w:val="00E71EC8"/>
    <w:rsid w:val="00E721F2"/>
    <w:rsid w:val="00E7244D"/>
    <w:rsid w:val="00E750CF"/>
    <w:rsid w:val="00E762D0"/>
    <w:rsid w:val="00E7650E"/>
    <w:rsid w:val="00E76B8C"/>
    <w:rsid w:val="00E77398"/>
    <w:rsid w:val="00E7796D"/>
    <w:rsid w:val="00E803E1"/>
    <w:rsid w:val="00E80747"/>
    <w:rsid w:val="00E811A7"/>
    <w:rsid w:val="00E8137D"/>
    <w:rsid w:val="00E85C06"/>
    <w:rsid w:val="00E86316"/>
    <w:rsid w:val="00E8642E"/>
    <w:rsid w:val="00E86466"/>
    <w:rsid w:val="00E8759D"/>
    <w:rsid w:val="00E90683"/>
    <w:rsid w:val="00E91052"/>
    <w:rsid w:val="00E91829"/>
    <w:rsid w:val="00E93BD1"/>
    <w:rsid w:val="00E9447B"/>
    <w:rsid w:val="00E94DFD"/>
    <w:rsid w:val="00E9562F"/>
    <w:rsid w:val="00E9677F"/>
    <w:rsid w:val="00E970D7"/>
    <w:rsid w:val="00E97D83"/>
    <w:rsid w:val="00EA0A62"/>
    <w:rsid w:val="00EA0FFF"/>
    <w:rsid w:val="00EA18AC"/>
    <w:rsid w:val="00EA24A7"/>
    <w:rsid w:val="00EA3209"/>
    <w:rsid w:val="00EA3947"/>
    <w:rsid w:val="00EA3A44"/>
    <w:rsid w:val="00EA3ED9"/>
    <w:rsid w:val="00EA4611"/>
    <w:rsid w:val="00EA4D79"/>
    <w:rsid w:val="00EA53ED"/>
    <w:rsid w:val="00EA57B5"/>
    <w:rsid w:val="00EA671A"/>
    <w:rsid w:val="00EA79B6"/>
    <w:rsid w:val="00EA7D89"/>
    <w:rsid w:val="00EB049E"/>
    <w:rsid w:val="00EB105B"/>
    <w:rsid w:val="00EB226B"/>
    <w:rsid w:val="00EB254F"/>
    <w:rsid w:val="00EB2637"/>
    <w:rsid w:val="00EB2644"/>
    <w:rsid w:val="00EB32D7"/>
    <w:rsid w:val="00EB4182"/>
    <w:rsid w:val="00EB425D"/>
    <w:rsid w:val="00EB42D6"/>
    <w:rsid w:val="00EB4FDE"/>
    <w:rsid w:val="00EB5D4F"/>
    <w:rsid w:val="00EB632F"/>
    <w:rsid w:val="00EB6939"/>
    <w:rsid w:val="00EB6995"/>
    <w:rsid w:val="00EB6C70"/>
    <w:rsid w:val="00EC0308"/>
    <w:rsid w:val="00EC11DA"/>
    <w:rsid w:val="00EC15ED"/>
    <w:rsid w:val="00EC2063"/>
    <w:rsid w:val="00EC28E8"/>
    <w:rsid w:val="00EC3AEA"/>
    <w:rsid w:val="00EC3B6C"/>
    <w:rsid w:val="00EC3D64"/>
    <w:rsid w:val="00EC3DDF"/>
    <w:rsid w:val="00EC3F31"/>
    <w:rsid w:val="00EC4894"/>
    <w:rsid w:val="00EC5245"/>
    <w:rsid w:val="00EC5729"/>
    <w:rsid w:val="00EC63AA"/>
    <w:rsid w:val="00EC66CE"/>
    <w:rsid w:val="00ED10CB"/>
    <w:rsid w:val="00ED1739"/>
    <w:rsid w:val="00ED2645"/>
    <w:rsid w:val="00ED2A7A"/>
    <w:rsid w:val="00ED2F10"/>
    <w:rsid w:val="00ED4151"/>
    <w:rsid w:val="00ED41E0"/>
    <w:rsid w:val="00ED64D8"/>
    <w:rsid w:val="00ED71E3"/>
    <w:rsid w:val="00ED7474"/>
    <w:rsid w:val="00ED76D2"/>
    <w:rsid w:val="00ED7AF0"/>
    <w:rsid w:val="00EE036F"/>
    <w:rsid w:val="00EE03F4"/>
    <w:rsid w:val="00EE0740"/>
    <w:rsid w:val="00EE1004"/>
    <w:rsid w:val="00EE20EA"/>
    <w:rsid w:val="00EE3A25"/>
    <w:rsid w:val="00EE547F"/>
    <w:rsid w:val="00EE5614"/>
    <w:rsid w:val="00EE5706"/>
    <w:rsid w:val="00EE58BF"/>
    <w:rsid w:val="00EE6500"/>
    <w:rsid w:val="00EE7B1F"/>
    <w:rsid w:val="00EF16B2"/>
    <w:rsid w:val="00EF1FCB"/>
    <w:rsid w:val="00EF399B"/>
    <w:rsid w:val="00EF3A1A"/>
    <w:rsid w:val="00EF3B2E"/>
    <w:rsid w:val="00EF76C0"/>
    <w:rsid w:val="00EF7B08"/>
    <w:rsid w:val="00EF7D00"/>
    <w:rsid w:val="00EF7E4F"/>
    <w:rsid w:val="00EF7F58"/>
    <w:rsid w:val="00F00922"/>
    <w:rsid w:val="00F014C4"/>
    <w:rsid w:val="00F01F22"/>
    <w:rsid w:val="00F02103"/>
    <w:rsid w:val="00F0235C"/>
    <w:rsid w:val="00F02FF3"/>
    <w:rsid w:val="00F030AE"/>
    <w:rsid w:val="00F03ECC"/>
    <w:rsid w:val="00F052F6"/>
    <w:rsid w:val="00F0533B"/>
    <w:rsid w:val="00F054B4"/>
    <w:rsid w:val="00F06E39"/>
    <w:rsid w:val="00F06FC6"/>
    <w:rsid w:val="00F112AF"/>
    <w:rsid w:val="00F11A71"/>
    <w:rsid w:val="00F13A25"/>
    <w:rsid w:val="00F13AC6"/>
    <w:rsid w:val="00F143CC"/>
    <w:rsid w:val="00F15DAE"/>
    <w:rsid w:val="00F16607"/>
    <w:rsid w:val="00F16E51"/>
    <w:rsid w:val="00F175DC"/>
    <w:rsid w:val="00F176A8"/>
    <w:rsid w:val="00F20BB5"/>
    <w:rsid w:val="00F20FF6"/>
    <w:rsid w:val="00F217D3"/>
    <w:rsid w:val="00F2254A"/>
    <w:rsid w:val="00F236F4"/>
    <w:rsid w:val="00F23973"/>
    <w:rsid w:val="00F23D8A"/>
    <w:rsid w:val="00F24581"/>
    <w:rsid w:val="00F248A1"/>
    <w:rsid w:val="00F24CF8"/>
    <w:rsid w:val="00F26615"/>
    <w:rsid w:val="00F26773"/>
    <w:rsid w:val="00F26C05"/>
    <w:rsid w:val="00F30258"/>
    <w:rsid w:val="00F303C2"/>
    <w:rsid w:val="00F303DD"/>
    <w:rsid w:val="00F32392"/>
    <w:rsid w:val="00F32DD2"/>
    <w:rsid w:val="00F33258"/>
    <w:rsid w:val="00F33AB4"/>
    <w:rsid w:val="00F33AC4"/>
    <w:rsid w:val="00F3429C"/>
    <w:rsid w:val="00F3454A"/>
    <w:rsid w:val="00F401CF"/>
    <w:rsid w:val="00F4037B"/>
    <w:rsid w:val="00F408CB"/>
    <w:rsid w:val="00F41108"/>
    <w:rsid w:val="00F420E4"/>
    <w:rsid w:val="00F42491"/>
    <w:rsid w:val="00F42914"/>
    <w:rsid w:val="00F4294C"/>
    <w:rsid w:val="00F42F84"/>
    <w:rsid w:val="00F43F3D"/>
    <w:rsid w:val="00F4771B"/>
    <w:rsid w:val="00F47F77"/>
    <w:rsid w:val="00F52D1E"/>
    <w:rsid w:val="00F54965"/>
    <w:rsid w:val="00F55B8B"/>
    <w:rsid w:val="00F564BD"/>
    <w:rsid w:val="00F572EF"/>
    <w:rsid w:val="00F576BD"/>
    <w:rsid w:val="00F57CE2"/>
    <w:rsid w:val="00F603A5"/>
    <w:rsid w:val="00F60442"/>
    <w:rsid w:val="00F6056A"/>
    <w:rsid w:val="00F615FB"/>
    <w:rsid w:val="00F618F5"/>
    <w:rsid w:val="00F61F09"/>
    <w:rsid w:val="00F622F3"/>
    <w:rsid w:val="00F63540"/>
    <w:rsid w:val="00F63634"/>
    <w:rsid w:val="00F65666"/>
    <w:rsid w:val="00F6566A"/>
    <w:rsid w:val="00F6771D"/>
    <w:rsid w:val="00F67F42"/>
    <w:rsid w:val="00F70AA4"/>
    <w:rsid w:val="00F7137F"/>
    <w:rsid w:val="00F71809"/>
    <w:rsid w:val="00F7214C"/>
    <w:rsid w:val="00F72547"/>
    <w:rsid w:val="00F74771"/>
    <w:rsid w:val="00F765BC"/>
    <w:rsid w:val="00F774F1"/>
    <w:rsid w:val="00F800F6"/>
    <w:rsid w:val="00F80D80"/>
    <w:rsid w:val="00F81157"/>
    <w:rsid w:val="00F815A4"/>
    <w:rsid w:val="00F816B5"/>
    <w:rsid w:val="00F81CCF"/>
    <w:rsid w:val="00F8268B"/>
    <w:rsid w:val="00F835C9"/>
    <w:rsid w:val="00F83A1D"/>
    <w:rsid w:val="00F83AA9"/>
    <w:rsid w:val="00F84821"/>
    <w:rsid w:val="00F84A9D"/>
    <w:rsid w:val="00F85AF0"/>
    <w:rsid w:val="00F863F7"/>
    <w:rsid w:val="00F90229"/>
    <w:rsid w:val="00F907C8"/>
    <w:rsid w:val="00F90840"/>
    <w:rsid w:val="00F90A2C"/>
    <w:rsid w:val="00F90A86"/>
    <w:rsid w:val="00F90C43"/>
    <w:rsid w:val="00F9102A"/>
    <w:rsid w:val="00F919AE"/>
    <w:rsid w:val="00F957C3"/>
    <w:rsid w:val="00F969FB"/>
    <w:rsid w:val="00F9780B"/>
    <w:rsid w:val="00FA1047"/>
    <w:rsid w:val="00FA11E9"/>
    <w:rsid w:val="00FA2627"/>
    <w:rsid w:val="00FA2DDF"/>
    <w:rsid w:val="00FA3C29"/>
    <w:rsid w:val="00FA4300"/>
    <w:rsid w:val="00FA4643"/>
    <w:rsid w:val="00FA5831"/>
    <w:rsid w:val="00FA5AFB"/>
    <w:rsid w:val="00FA6310"/>
    <w:rsid w:val="00FA716B"/>
    <w:rsid w:val="00FA7F5B"/>
    <w:rsid w:val="00FB009D"/>
    <w:rsid w:val="00FB0A72"/>
    <w:rsid w:val="00FB201C"/>
    <w:rsid w:val="00FB3961"/>
    <w:rsid w:val="00FB42DF"/>
    <w:rsid w:val="00FB4AB6"/>
    <w:rsid w:val="00FB50A7"/>
    <w:rsid w:val="00FB6327"/>
    <w:rsid w:val="00FB6444"/>
    <w:rsid w:val="00FB6BD7"/>
    <w:rsid w:val="00FB6C47"/>
    <w:rsid w:val="00FC00A1"/>
    <w:rsid w:val="00FC03AC"/>
    <w:rsid w:val="00FC0D51"/>
    <w:rsid w:val="00FC0DCF"/>
    <w:rsid w:val="00FC11CC"/>
    <w:rsid w:val="00FC13EE"/>
    <w:rsid w:val="00FC299A"/>
    <w:rsid w:val="00FC29B7"/>
    <w:rsid w:val="00FC2F38"/>
    <w:rsid w:val="00FC469F"/>
    <w:rsid w:val="00FC4A90"/>
    <w:rsid w:val="00FC4B6C"/>
    <w:rsid w:val="00FC52C6"/>
    <w:rsid w:val="00FC5977"/>
    <w:rsid w:val="00FC60D8"/>
    <w:rsid w:val="00FC727B"/>
    <w:rsid w:val="00FC7FB9"/>
    <w:rsid w:val="00FD0C8E"/>
    <w:rsid w:val="00FD15D3"/>
    <w:rsid w:val="00FD21AA"/>
    <w:rsid w:val="00FD26D8"/>
    <w:rsid w:val="00FD2918"/>
    <w:rsid w:val="00FD3133"/>
    <w:rsid w:val="00FD3BAC"/>
    <w:rsid w:val="00FD704D"/>
    <w:rsid w:val="00FD76F5"/>
    <w:rsid w:val="00FD7F56"/>
    <w:rsid w:val="00FE19A4"/>
    <w:rsid w:val="00FE3A84"/>
    <w:rsid w:val="00FE4474"/>
    <w:rsid w:val="00FE454A"/>
    <w:rsid w:val="00FE455F"/>
    <w:rsid w:val="00FE461B"/>
    <w:rsid w:val="00FE4845"/>
    <w:rsid w:val="00FE4FF6"/>
    <w:rsid w:val="00FE7697"/>
    <w:rsid w:val="00FE7ECE"/>
    <w:rsid w:val="00FF40CF"/>
    <w:rsid w:val="00FF4420"/>
    <w:rsid w:val="00FF5788"/>
    <w:rsid w:val="00FF5B52"/>
    <w:rsid w:val="00FF6604"/>
    <w:rsid w:val="00FF6D63"/>
    <w:rsid w:val="00FF7F4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B8"/>
    <w:pPr>
      <w:framePr w:wrap="auto"/>
      <w:widowControl/>
      <w:autoSpaceDE/>
      <w:autoSpaceDN/>
      <w:adjustRightInd/>
      <w:ind w:left="0" w:right="0"/>
      <w:jc w:val="left"/>
      <w:textAlignment w:val="auto"/>
    </w:pPr>
    <w:rPr>
      <w:rFonts w:ascii="Courier" w:hAnsi="Courier" w:cs="Courier"/>
      <w:sz w:val="24"/>
      <w:szCs w:val="24"/>
      <w:rtl w:val="0"/>
      <w:cs w:val="0"/>
      <w:lang w:val="sk-SK" w:eastAsia="cs-CZ" w:bidi="ar-SA"/>
    </w:rPr>
  </w:style>
  <w:style w:type="paragraph" w:styleId="Heading1">
    <w:name w:val="heading 1"/>
    <w:aliases w:val="Char5 Char,Heading 1 Char Char Char,Heading 1 Char Char Char Char,Heading 1 Char Char Char Char Char,Nadpis 1 Char Char,Čo robí (časť)"/>
    <w:basedOn w:val="Normal"/>
    <w:next w:val="Normal"/>
    <w:link w:val="Nadpis1Char"/>
    <w:uiPriority w:val="99"/>
    <w:qFormat/>
    <w:rsid w:val="006935B8"/>
    <w:pPr>
      <w:keepNext/>
      <w:spacing w:before="240" w:after="60"/>
      <w:jc w:val="left"/>
      <w:outlineLvl w:val="0"/>
    </w:pPr>
    <w:rPr>
      <w:rFonts w:ascii="Arial" w:hAnsi="Arial" w:cs="Arial"/>
      <w:b/>
      <w:bCs/>
      <w:kern w:val="32"/>
      <w:sz w:val="32"/>
      <w:szCs w:val="32"/>
    </w:rPr>
  </w:style>
  <w:style w:type="paragraph" w:styleId="Heading2">
    <w:name w:val="heading 2"/>
    <w:aliases w:val="Nadpis 2 Char Char,Nadpis 2 Char Char Char,Nadpis 2 Char Char Char Char,Úloha"/>
    <w:basedOn w:val="Normal"/>
    <w:next w:val="Normal"/>
    <w:link w:val="Nadpis2Char"/>
    <w:uiPriority w:val="99"/>
    <w:qFormat/>
    <w:rsid w:val="006935B8"/>
    <w:pPr>
      <w:keepNext/>
      <w:spacing w:before="240" w:after="60"/>
      <w:jc w:val="left"/>
      <w:outlineLvl w:val="1"/>
    </w:pPr>
    <w:rPr>
      <w:rFonts w:ascii="Arial" w:hAnsi="Arial" w:cs="Times New Roman"/>
      <w:b/>
      <w:bCs/>
      <w:i/>
      <w:iCs/>
      <w:sz w:val="28"/>
      <w:szCs w:val="28"/>
    </w:rPr>
  </w:style>
  <w:style w:type="paragraph" w:styleId="Heading3">
    <w:name w:val="heading 3"/>
    <w:aliases w:val="Char4 Char,Heading 3 Char Char Char,Nadpis 3 Char Char,Podúloha"/>
    <w:basedOn w:val="Normal"/>
    <w:next w:val="Normal"/>
    <w:link w:val="Nadpis3Char"/>
    <w:uiPriority w:val="99"/>
    <w:qFormat/>
    <w:rsid w:val="00992BC9"/>
    <w:pPr>
      <w:keepNext/>
      <w:spacing w:before="240" w:after="60"/>
      <w:jc w:val="left"/>
      <w:outlineLvl w:val="2"/>
    </w:pPr>
    <w:rPr>
      <w:rFonts w:ascii="Arial" w:hAnsi="Arial" w:cs="Times New Roman"/>
      <w:b/>
      <w:bCs/>
      <w:sz w:val="26"/>
      <w:szCs w:val="26"/>
    </w:rPr>
  </w:style>
  <w:style w:type="paragraph" w:styleId="Heading4">
    <w:name w:val="heading 4"/>
    <w:aliases w:val="Char Char,Heading 4 Char Char Char,Nadpis 4 Char Char,Termín"/>
    <w:basedOn w:val="Normal"/>
    <w:next w:val="Normal"/>
    <w:link w:val="Nadpis4Char"/>
    <w:uiPriority w:val="99"/>
    <w:qFormat/>
    <w:rsid w:val="00992BC9"/>
    <w:pPr>
      <w:keepNext/>
      <w:jc w:val="both"/>
      <w:outlineLvl w:val="3"/>
    </w:pPr>
    <w:rPr>
      <w:rFonts w:ascii="Arial" w:hAnsi="Arial" w:cs="Times New Roman"/>
      <w:b/>
      <w:bCs/>
      <w:sz w:val="20"/>
      <w:szCs w:val="20"/>
    </w:rPr>
  </w:style>
  <w:style w:type="paragraph" w:styleId="Heading5">
    <w:name w:val="heading 5"/>
    <w:basedOn w:val="Normal"/>
    <w:next w:val="Normal"/>
    <w:link w:val="Nadpis5Char"/>
    <w:uiPriority w:val="99"/>
    <w:qFormat/>
    <w:rsid w:val="006F7083"/>
    <w:pPr>
      <w:tabs>
        <w:tab w:val="num" w:pos="3240"/>
      </w:tabs>
      <w:spacing w:before="240" w:after="60"/>
      <w:ind w:left="2880"/>
      <w:jc w:val="left"/>
      <w:outlineLvl w:val="4"/>
    </w:pPr>
    <w:rPr>
      <w:rFonts w:ascii="Times New Roman" w:hAnsi="Times New Roman" w:cs="Times New Roman"/>
      <w:b/>
      <w:bCs/>
      <w:i/>
      <w:iCs/>
      <w:sz w:val="26"/>
      <w:szCs w:val="26"/>
    </w:rPr>
  </w:style>
  <w:style w:type="paragraph" w:styleId="Heading6">
    <w:name w:val="heading 6"/>
    <w:basedOn w:val="Normal"/>
    <w:next w:val="Normal"/>
    <w:link w:val="Nadpis6Char"/>
    <w:uiPriority w:val="99"/>
    <w:qFormat/>
    <w:rsid w:val="006F7083"/>
    <w:pPr>
      <w:tabs>
        <w:tab w:val="num" w:pos="3960"/>
      </w:tabs>
      <w:spacing w:before="240" w:after="60"/>
      <w:ind w:left="3600"/>
      <w:jc w:val="left"/>
      <w:outlineLvl w:val="5"/>
    </w:pPr>
    <w:rPr>
      <w:rFonts w:ascii="Times New Roman" w:hAnsi="Times New Roman" w:cs="Times New Roman"/>
      <w:b/>
      <w:bCs/>
      <w:sz w:val="22"/>
      <w:szCs w:val="22"/>
    </w:rPr>
  </w:style>
  <w:style w:type="paragraph" w:styleId="Heading7">
    <w:name w:val="heading 7"/>
    <w:basedOn w:val="Normal"/>
    <w:next w:val="Normal"/>
    <w:link w:val="Nadpis7Char"/>
    <w:uiPriority w:val="99"/>
    <w:qFormat/>
    <w:rsid w:val="006F7083"/>
    <w:pPr>
      <w:tabs>
        <w:tab w:val="num" w:pos="4680"/>
      </w:tabs>
      <w:spacing w:before="240" w:after="60"/>
      <w:ind w:left="4320"/>
      <w:jc w:val="left"/>
      <w:outlineLvl w:val="6"/>
    </w:pPr>
    <w:rPr>
      <w:rFonts w:ascii="Times New Roman" w:hAnsi="Times New Roman" w:cs="Times New Roman"/>
    </w:rPr>
  </w:style>
  <w:style w:type="paragraph" w:styleId="Heading8">
    <w:name w:val="heading 8"/>
    <w:basedOn w:val="Normal"/>
    <w:next w:val="Normal"/>
    <w:link w:val="Nadpis8Char"/>
    <w:uiPriority w:val="99"/>
    <w:qFormat/>
    <w:rsid w:val="006F7083"/>
    <w:pPr>
      <w:tabs>
        <w:tab w:val="num" w:pos="5400"/>
      </w:tabs>
      <w:spacing w:before="240" w:after="60"/>
      <w:ind w:left="5040"/>
      <w:jc w:val="left"/>
      <w:outlineLvl w:val="7"/>
    </w:pPr>
    <w:rPr>
      <w:rFonts w:ascii="Times New Roman" w:hAnsi="Times New Roman" w:cs="Times New Roman"/>
      <w:i/>
      <w:iCs/>
    </w:rPr>
  </w:style>
  <w:style w:type="paragraph" w:styleId="Heading9">
    <w:name w:val="heading 9"/>
    <w:basedOn w:val="Normal"/>
    <w:next w:val="Normal"/>
    <w:link w:val="Nadpis9Char"/>
    <w:uiPriority w:val="99"/>
    <w:qFormat/>
    <w:rsid w:val="006F7083"/>
    <w:pPr>
      <w:tabs>
        <w:tab w:val="num" w:pos="6120"/>
      </w:tabs>
      <w:spacing w:before="240" w:after="60"/>
      <w:ind w:left="5760"/>
      <w:jc w:val="left"/>
      <w:outlineLvl w:val="8"/>
    </w:pPr>
    <w:rPr>
      <w:rFonts w:ascii="Arial"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Char5 Char Char,Heading 1 Char Char Char Char Char Char,Heading 1 Char Char Char Char Char1,Heading 1 Char Char Char Char1,Nadpis 1 Char Char Char,Čo robí (časť) Char"/>
    <w:basedOn w:val="DefaultParagraphFont"/>
    <w:link w:val="Heading1"/>
    <w:uiPriority w:val="99"/>
    <w:locked/>
    <w:rsid w:val="006935B8"/>
    <w:rPr>
      <w:rFonts w:ascii="Arial" w:hAnsi="Arial" w:cs="Times New Roman"/>
      <w:b/>
      <w:kern w:val="32"/>
      <w:sz w:val="32"/>
      <w:rtl w:val="0"/>
      <w:cs w:val="0"/>
      <w:lang w:val="x-none" w:eastAsia="cs-CZ"/>
    </w:rPr>
  </w:style>
  <w:style w:type="character" w:customStyle="1" w:styleId="Nadpis2Char">
    <w:name w:val="Nadpis 2 Char"/>
    <w:aliases w:val="Nadpis 2 Char Char Char Char Char,Nadpis 2 Char Char Char Char1,Nadpis 2 Char Char Char1,Úloha Char"/>
    <w:basedOn w:val="DefaultParagraphFont"/>
    <w:link w:val="Heading2"/>
    <w:uiPriority w:val="99"/>
    <w:locked/>
    <w:rsid w:val="008C27EE"/>
    <w:rPr>
      <w:rFonts w:ascii="Arial" w:hAnsi="Arial" w:cs="Times New Roman"/>
      <w:b/>
      <w:i/>
      <w:sz w:val="28"/>
      <w:rtl w:val="0"/>
      <w:cs w:val="0"/>
      <w:lang w:val="x-none" w:eastAsia="cs-CZ"/>
    </w:rPr>
  </w:style>
  <w:style w:type="character" w:customStyle="1" w:styleId="Nadpis3Char">
    <w:name w:val="Nadpis 3 Char"/>
    <w:aliases w:val="Char4 Char Char,Heading 3 Char Char Char Char,Nadpis 3 Char Char Char,Podúloha Char"/>
    <w:basedOn w:val="DefaultParagraphFont"/>
    <w:link w:val="Heading3"/>
    <w:uiPriority w:val="99"/>
    <w:locked/>
    <w:rsid w:val="00992BC9"/>
    <w:rPr>
      <w:rFonts w:ascii="Arial" w:hAnsi="Arial" w:cs="Times New Roman"/>
      <w:b/>
      <w:sz w:val="26"/>
      <w:rtl w:val="0"/>
      <w:cs w:val="0"/>
      <w:lang w:val="x-none" w:eastAsia="cs-CZ"/>
    </w:rPr>
  </w:style>
  <w:style w:type="character" w:customStyle="1" w:styleId="Nadpis4Char">
    <w:name w:val="Nadpis 4 Char"/>
    <w:aliases w:val="Char Char Char,Heading 4 Char Char Char Char,Nadpis 4 Char Char Char,Termín Char"/>
    <w:basedOn w:val="DefaultParagraphFont"/>
    <w:link w:val="Heading4"/>
    <w:uiPriority w:val="99"/>
    <w:locked/>
    <w:rsid w:val="00992BC9"/>
    <w:rPr>
      <w:rFonts w:ascii="Arial" w:hAnsi="Arial" w:cs="Times New Roman"/>
      <w:b/>
      <w:rtl w:val="0"/>
      <w:cs w:val="0"/>
    </w:rPr>
  </w:style>
  <w:style w:type="character" w:customStyle="1" w:styleId="Nadpis5Char">
    <w:name w:val="Nadpis 5 Char"/>
    <w:basedOn w:val="DefaultParagraphFont"/>
    <w:link w:val="Heading5"/>
    <w:uiPriority w:val="99"/>
    <w:locked/>
    <w:rsid w:val="006F7083"/>
    <w:rPr>
      <w:rFonts w:cs="Times New Roman"/>
      <w:b/>
      <w:i/>
      <w:sz w:val="26"/>
      <w:rtl w:val="0"/>
      <w:cs w:val="0"/>
      <w:lang w:val="x-none" w:eastAsia="cs-CZ"/>
    </w:rPr>
  </w:style>
  <w:style w:type="character" w:customStyle="1" w:styleId="Nadpis6Char">
    <w:name w:val="Nadpis 6 Char"/>
    <w:basedOn w:val="DefaultParagraphFont"/>
    <w:link w:val="Heading6"/>
    <w:uiPriority w:val="99"/>
    <w:locked/>
    <w:rsid w:val="006F7083"/>
    <w:rPr>
      <w:rFonts w:cs="Times New Roman"/>
      <w:b/>
      <w:sz w:val="22"/>
      <w:rtl w:val="0"/>
      <w:cs w:val="0"/>
      <w:lang w:val="x-none" w:eastAsia="cs-CZ"/>
    </w:rPr>
  </w:style>
  <w:style w:type="character" w:customStyle="1" w:styleId="Nadpis7Char">
    <w:name w:val="Nadpis 7 Char"/>
    <w:basedOn w:val="DefaultParagraphFont"/>
    <w:link w:val="Heading7"/>
    <w:uiPriority w:val="99"/>
    <w:locked/>
    <w:rsid w:val="006F7083"/>
    <w:rPr>
      <w:rFonts w:cs="Times New Roman"/>
      <w:sz w:val="24"/>
      <w:rtl w:val="0"/>
      <w:cs w:val="0"/>
      <w:lang w:val="x-none" w:eastAsia="cs-CZ"/>
    </w:rPr>
  </w:style>
  <w:style w:type="character" w:customStyle="1" w:styleId="Nadpis8Char">
    <w:name w:val="Nadpis 8 Char"/>
    <w:basedOn w:val="DefaultParagraphFont"/>
    <w:link w:val="Heading8"/>
    <w:uiPriority w:val="99"/>
    <w:locked/>
    <w:rsid w:val="006F7083"/>
    <w:rPr>
      <w:rFonts w:cs="Times New Roman"/>
      <w:i/>
      <w:sz w:val="24"/>
      <w:rtl w:val="0"/>
      <w:cs w:val="0"/>
      <w:lang w:val="x-none" w:eastAsia="cs-CZ"/>
    </w:rPr>
  </w:style>
  <w:style w:type="character" w:customStyle="1" w:styleId="Nadpis9Char">
    <w:name w:val="Nadpis 9 Char"/>
    <w:basedOn w:val="DefaultParagraphFont"/>
    <w:link w:val="Heading9"/>
    <w:uiPriority w:val="99"/>
    <w:locked/>
    <w:rsid w:val="006F7083"/>
    <w:rPr>
      <w:rFonts w:ascii="Arial" w:hAnsi="Arial" w:cs="Times New Roman"/>
      <w:sz w:val="22"/>
      <w:rtl w:val="0"/>
      <w:cs w:val="0"/>
      <w:lang w:val="x-none" w:eastAsia="cs-CZ"/>
    </w:rPr>
  </w:style>
  <w:style w:type="paragraph" w:styleId="BodyText">
    <w:name w:val="Body Text"/>
    <w:aliases w:val="Body Text Char Char Char,Body Text Char Char Char Char,Body Text Char Char Char Char Char,Char14 Char,Char14 Char Char,Základný text Char Char"/>
    <w:basedOn w:val="Normal"/>
    <w:link w:val="ZkladntextChar"/>
    <w:uiPriority w:val="99"/>
    <w:rsid w:val="006935B8"/>
    <w:pPr>
      <w:jc w:val="both"/>
    </w:pPr>
  </w:style>
  <w:style w:type="character" w:customStyle="1" w:styleId="ZkladntextChar">
    <w:name w:val="Základný text Char"/>
    <w:aliases w:val="Body Text Char Char Char Char Char Char,Body Text Char Char Char Char Char1,Body Text Char Char Char Char1,Char14 Char Char Char,Char14 Char Char1,Základný text Char Char Char"/>
    <w:basedOn w:val="DefaultParagraphFont"/>
    <w:link w:val="BodyText"/>
    <w:uiPriority w:val="99"/>
    <w:locked/>
    <w:rsid w:val="006935B8"/>
    <w:rPr>
      <w:rFonts w:ascii="Courier" w:hAnsi="Courier" w:cs="Times New Roman"/>
      <w:sz w:val="24"/>
      <w:rtl w:val="0"/>
      <w:cs w:val="0"/>
      <w:lang w:val="sk-SK" w:eastAsia="cs-CZ"/>
    </w:rPr>
  </w:style>
  <w:style w:type="paragraph" w:styleId="BodyTextIndent">
    <w:name w:val="Body Text Indent"/>
    <w:aliases w:val="Char8 Char"/>
    <w:basedOn w:val="Normal"/>
    <w:link w:val="ZarkazkladnhotextuChar"/>
    <w:uiPriority w:val="99"/>
    <w:rsid w:val="006935B8"/>
    <w:pPr>
      <w:spacing w:after="120" w:line="480" w:lineRule="auto"/>
      <w:jc w:val="left"/>
    </w:pPr>
  </w:style>
  <w:style w:type="character" w:customStyle="1" w:styleId="ZarkazkladnhotextuChar">
    <w:name w:val="Zarážka základného textu Char"/>
    <w:aliases w:val="Char8 Char Char"/>
    <w:basedOn w:val="DefaultParagraphFont"/>
    <w:link w:val="BodyTextIndent"/>
    <w:uiPriority w:val="99"/>
    <w:locked/>
    <w:rsid w:val="006935B8"/>
    <w:rPr>
      <w:rFonts w:ascii="Courier" w:hAnsi="Courier" w:cs="Times New Roman"/>
      <w:sz w:val="24"/>
      <w:rtl w:val="0"/>
      <w:cs w:val="0"/>
      <w:lang w:val="sk-SK" w:eastAsia="cs-CZ"/>
    </w:rPr>
  </w:style>
  <w:style w:type="paragraph" w:customStyle="1" w:styleId="Zakladnystyl">
    <w:name w:val="Zakladny styl"/>
    <w:rsid w:val="00C777F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CharCharCharCharChar1">
    <w:name w:val="Char Char Char Char Char1"/>
    <w:basedOn w:val="Normal"/>
    <w:rsid w:val="00390B69"/>
    <w:pPr>
      <w:spacing w:after="160" w:line="240" w:lineRule="exact"/>
      <w:jc w:val="left"/>
    </w:pPr>
    <w:rPr>
      <w:rFonts w:ascii="Tahoma" w:hAnsi="Tahoma" w:cs="Tahoma"/>
      <w:sz w:val="20"/>
      <w:szCs w:val="20"/>
      <w:lang w:val="en-US" w:eastAsia="en-US"/>
    </w:rPr>
  </w:style>
  <w:style w:type="paragraph" w:customStyle="1" w:styleId="Zarkazkladnhotextu1">
    <w:name w:val="Zarážka základného textu1"/>
    <w:basedOn w:val="Normal"/>
    <w:link w:val="BodyTextIndentChar"/>
    <w:rsid w:val="00390B69"/>
    <w:pPr>
      <w:spacing w:after="120"/>
      <w:ind w:left="283"/>
      <w:jc w:val="left"/>
    </w:pPr>
  </w:style>
  <w:style w:type="character" w:customStyle="1" w:styleId="BodyTextIndentChar">
    <w:name w:val="Body Text Indent Char"/>
    <w:link w:val="Zarkazkladnhotextu1"/>
    <w:locked/>
    <w:rsid w:val="00390B69"/>
    <w:rPr>
      <w:rFonts w:ascii="Courier" w:hAnsi="Courier" w:cs="Courier"/>
      <w:sz w:val="24"/>
      <w:lang w:val="x-none" w:eastAsia="cs-CZ"/>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uiPriority w:val="99"/>
    <w:rsid w:val="008333C8"/>
    <w:pPr>
      <w:spacing w:after="160" w:line="240" w:lineRule="exact"/>
      <w:jc w:val="left"/>
    </w:pPr>
    <w:rPr>
      <w:rFonts w:ascii="Tahoma" w:hAnsi="Tahoma" w:cs="Times New Roman"/>
      <w:sz w:val="20"/>
      <w:szCs w:val="20"/>
      <w:lang w:val="en-US" w:eastAsia="en-US"/>
    </w:rPr>
  </w:style>
  <w:style w:type="paragraph" w:customStyle="1" w:styleId="Zarkazkladnhotextu2">
    <w:name w:val="Zarážka základného textu2"/>
    <w:basedOn w:val="Normal"/>
    <w:rsid w:val="000E6159"/>
    <w:pPr>
      <w:spacing w:after="120"/>
      <w:ind w:left="283"/>
      <w:jc w:val="left"/>
    </w:pPr>
  </w:style>
  <w:style w:type="paragraph" w:styleId="BalloonText">
    <w:name w:val="Balloon Text"/>
    <w:aliases w:val="Balloon Text Char Char,Char13 Char,Text bubliny Char Char"/>
    <w:basedOn w:val="Normal"/>
    <w:link w:val="TextbublinyChar"/>
    <w:uiPriority w:val="99"/>
    <w:semiHidden/>
    <w:unhideWhenUsed/>
    <w:rsid w:val="00175AD5"/>
    <w:pPr>
      <w:jc w:val="left"/>
    </w:pPr>
    <w:rPr>
      <w:rFonts w:ascii="Tahoma" w:hAnsi="Tahoma" w:cs="Times New Roman"/>
      <w:sz w:val="16"/>
      <w:szCs w:val="16"/>
    </w:rPr>
  </w:style>
  <w:style w:type="character" w:customStyle="1" w:styleId="TextbublinyChar">
    <w:name w:val="Text bubliny Char"/>
    <w:aliases w:val="Balloon Text Char Char Char,Char13 Char Char,Text bubliny Char Char Char"/>
    <w:basedOn w:val="DefaultParagraphFont"/>
    <w:link w:val="BalloonText"/>
    <w:uiPriority w:val="99"/>
    <w:semiHidden/>
    <w:locked/>
    <w:rsid w:val="00175AD5"/>
    <w:rPr>
      <w:rFonts w:ascii="Tahoma" w:hAnsi="Tahoma" w:cs="Times New Roman"/>
      <w:sz w:val="16"/>
      <w:rtl w:val="0"/>
      <w:cs w:val="0"/>
      <w:lang w:val="x-none" w:eastAsia="cs-CZ"/>
    </w:rPr>
  </w:style>
  <w:style w:type="paragraph" w:styleId="ListParagraph">
    <w:name w:val="List Paragraph"/>
    <w:basedOn w:val="Normal"/>
    <w:uiPriority w:val="99"/>
    <w:qFormat/>
    <w:rsid w:val="00C02AF8"/>
    <w:pPr>
      <w:ind w:left="720"/>
      <w:contextualSpacing/>
      <w:jc w:val="left"/>
    </w:pPr>
  </w:style>
  <w:style w:type="paragraph" w:styleId="Header">
    <w:name w:val="header"/>
    <w:aliases w:val="Hlavička Char Char Char"/>
    <w:basedOn w:val="Normal"/>
    <w:link w:val="HlavikaChar"/>
    <w:uiPriority w:val="99"/>
    <w:unhideWhenUsed/>
    <w:rsid w:val="00686060"/>
    <w:pPr>
      <w:tabs>
        <w:tab w:val="center" w:pos="4536"/>
        <w:tab w:val="right" w:pos="9072"/>
      </w:tabs>
      <w:jc w:val="left"/>
    </w:pPr>
    <w:rPr>
      <w:rFonts w:cs="Times New Roman"/>
    </w:rPr>
  </w:style>
  <w:style w:type="character" w:customStyle="1" w:styleId="HlavikaChar">
    <w:name w:val="Hlavička Char"/>
    <w:aliases w:val="Hlavička Char Char Char Char"/>
    <w:basedOn w:val="DefaultParagraphFont"/>
    <w:link w:val="Header"/>
    <w:uiPriority w:val="99"/>
    <w:locked/>
    <w:rsid w:val="00686060"/>
    <w:rPr>
      <w:rFonts w:ascii="Courier" w:hAnsi="Courier" w:cs="Times New Roman"/>
      <w:sz w:val="24"/>
      <w:rtl w:val="0"/>
      <w:cs w:val="0"/>
      <w:lang w:val="x-none" w:eastAsia="cs-CZ"/>
    </w:rPr>
  </w:style>
  <w:style w:type="paragraph" w:styleId="Footer">
    <w:name w:val="footer"/>
    <w:aliases w:val="Char11 Char,Footer Char Char Char,Päta Char Char"/>
    <w:basedOn w:val="Normal"/>
    <w:link w:val="PtaChar"/>
    <w:uiPriority w:val="99"/>
    <w:unhideWhenUsed/>
    <w:rsid w:val="00686060"/>
    <w:pPr>
      <w:tabs>
        <w:tab w:val="center" w:pos="4536"/>
        <w:tab w:val="right" w:pos="9072"/>
      </w:tabs>
      <w:jc w:val="left"/>
    </w:pPr>
    <w:rPr>
      <w:rFonts w:cs="Times New Roman"/>
    </w:rPr>
  </w:style>
  <w:style w:type="character" w:customStyle="1" w:styleId="PtaChar">
    <w:name w:val="Päta Char"/>
    <w:aliases w:val="Char11 Char Char,Footer Char Char Char Char,Päta Char Char Char"/>
    <w:basedOn w:val="DefaultParagraphFont"/>
    <w:link w:val="Footer"/>
    <w:uiPriority w:val="99"/>
    <w:locked/>
    <w:rsid w:val="00686060"/>
    <w:rPr>
      <w:rFonts w:ascii="Courier" w:hAnsi="Courier" w:cs="Times New Roman"/>
      <w:sz w:val="24"/>
      <w:rtl w:val="0"/>
      <w:cs w:val="0"/>
      <w:lang w:val="x-none" w:eastAsia="cs-CZ"/>
    </w:rPr>
  </w:style>
  <w:style w:type="paragraph" w:customStyle="1" w:styleId="Zkladntext">
    <w:name w:val="Základní text"/>
    <w:rsid w:val="008C27EE"/>
    <w:pPr>
      <w:framePr w:wrap="auto"/>
      <w:widowControl/>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customStyle="1" w:styleId="Default">
    <w:name w:val="Default"/>
    <w:rsid w:val="005D1A7E"/>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
    <w:basedOn w:val="Normal"/>
    <w:link w:val="TextpoznmkypodiarouChar"/>
    <w:uiPriority w:val="99"/>
    <w:unhideWhenUsed/>
    <w:rsid w:val="008C51E8"/>
    <w:pPr>
      <w:jc w:val="left"/>
    </w:pPr>
    <w:rPr>
      <w:rFonts w:ascii="Times New Roman" w:hAnsi="Times New Roman" w:cs="Times New Roman"/>
      <w:sz w:val="20"/>
      <w:szCs w:val="20"/>
      <w:lang w:eastAsia="sk-SK"/>
    </w:rPr>
  </w:style>
  <w:style w:type="character" w:customStyle="1" w:styleId="TextpoznmkypodiarouChar">
    <w:name w:val="Text poznámky pod čiarou Char"/>
    <w:aliases w:val="Footnote Text Char1 Char Char,Footnote Text Char1 Char Char Char Char,Footnote Text Char1 Char1,Footnote Text Char2 Char,Footnote Text Char2 Char Char Char,Footnote Text Char2 Char Char Char Char Char"/>
    <w:basedOn w:val="DefaultParagraphFont"/>
    <w:link w:val="FootnoteText"/>
    <w:uiPriority w:val="99"/>
    <w:locked/>
    <w:rsid w:val="008C51E8"/>
    <w:rPr>
      <w:rFonts w:cs="Times New Roman"/>
      <w:rtl w:val="0"/>
      <w:cs w:val="0"/>
    </w:rPr>
  </w:style>
  <w:style w:type="character" w:styleId="FootnoteReference">
    <w:name w:val="footnote reference"/>
    <w:basedOn w:val="DefaultParagraphFont"/>
    <w:uiPriority w:val="99"/>
    <w:unhideWhenUsed/>
    <w:rsid w:val="008C51E8"/>
    <w:rPr>
      <w:rFonts w:cs="Times New Roman"/>
      <w:vertAlign w:val="superscript"/>
      <w:rtl w:val="0"/>
      <w:cs w:val="0"/>
    </w:rPr>
  </w:style>
  <w:style w:type="paragraph" w:customStyle="1" w:styleId="CharChar2">
    <w:name w:val="Char Char2"/>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styleId="BodyText2">
    <w:name w:val="Body Text 2"/>
    <w:aliases w:val="Body Text 2 Char Char Char,Základný text 2 Char Char"/>
    <w:basedOn w:val="Normal"/>
    <w:link w:val="Zkladntext2Char"/>
    <w:uiPriority w:val="99"/>
    <w:rsid w:val="00992BC9"/>
    <w:pPr>
      <w:spacing w:after="120" w:line="480" w:lineRule="auto"/>
      <w:jc w:val="left"/>
    </w:pPr>
    <w:rPr>
      <w:rFonts w:cs="Times New Roman"/>
    </w:rPr>
  </w:style>
  <w:style w:type="character" w:customStyle="1" w:styleId="Zkladntext2Char">
    <w:name w:val="Základný text 2 Char"/>
    <w:aliases w:val="Body Text 2 Char Char Char Char,Základný text 2 Char Char Char"/>
    <w:basedOn w:val="DefaultParagraphFont"/>
    <w:link w:val="BodyText2"/>
    <w:uiPriority w:val="99"/>
    <w:locked/>
    <w:rsid w:val="00992BC9"/>
    <w:rPr>
      <w:rFonts w:ascii="Courier" w:hAnsi="Courier" w:cs="Times New Roman"/>
      <w:sz w:val="24"/>
      <w:rtl w:val="0"/>
      <w:cs w:val="0"/>
    </w:rPr>
  </w:style>
  <w:style w:type="paragraph" w:customStyle="1" w:styleId="INGBodyText">
    <w:name w:val="ING Body Text"/>
    <w:basedOn w:val="Normal"/>
    <w:uiPriority w:val="99"/>
    <w:rsid w:val="00992BC9"/>
    <w:pPr>
      <w:spacing w:after="160" w:line="280" w:lineRule="exact"/>
      <w:jc w:val="both"/>
    </w:pPr>
    <w:rPr>
      <w:rFonts w:ascii="Arial" w:hAnsi="Arial" w:cs="Arial"/>
      <w:color w:val="000000"/>
      <w:sz w:val="19"/>
      <w:szCs w:val="19"/>
      <w:lang w:val="en-GB" w:eastAsia="en-US"/>
    </w:rPr>
  </w:style>
  <w:style w:type="character" w:styleId="PageNumber">
    <w:name w:val="page number"/>
    <w:basedOn w:val="DefaultParagraphFont"/>
    <w:uiPriority w:val="99"/>
    <w:rsid w:val="00992BC9"/>
    <w:rPr>
      <w:rFonts w:cs="Times New Roman"/>
      <w:rtl w:val="0"/>
      <w:cs w:val="0"/>
    </w:rPr>
  </w:style>
  <w:style w:type="paragraph" w:styleId="BodyTextIndent2">
    <w:name w:val="Body Text Indent 2"/>
    <w:aliases w:val="Body Text Indent 2 Char Char Char,Char10 Char,Zarážka základného textu 2 Char Char"/>
    <w:basedOn w:val="Normal"/>
    <w:link w:val="Zarkazkladnhotextu2Char"/>
    <w:uiPriority w:val="99"/>
    <w:rsid w:val="00992BC9"/>
    <w:pPr>
      <w:spacing w:after="120" w:line="480" w:lineRule="auto"/>
      <w:ind w:left="283"/>
      <w:jc w:val="left"/>
    </w:pPr>
    <w:rPr>
      <w:rFonts w:cs="Times New Roman"/>
    </w:rPr>
  </w:style>
  <w:style w:type="character" w:customStyle="1" w:styleId="Zarkazkladnhotextu2Char">
    <w:name w:val="Zarážka základného textu 2 Char"/>
    <w:aliases w:val="Body Text Indent 2 Char Char Char Char,Char10 Char Char,Zarážka základného textu 2 Char Char Char"/>
    <w:basedOn w:val="DefaultParagraphFont"/>
    <w:link w:val="BodyTextIndent2"/>
    <w:uiPriority w:val="99"/>
    <w:locked/>
    <w:rsid w:val="00992BC9"/>
    <w:rPr>
      <w:rFonts w:ascii="Courier" w:hAnsi="Courier" w:cs="Times New Roman"/>
      <w:sz w:val="24"/>
      <w:rtl w:val="0"/>
      <w:cs w:val="0"/>
    </w:rPr>
  </w:style>
  <w:style w:type="character" w:customStyle="1" w:styleId="truktradokumentuChar">
    <w:name w:val="Štruktúra dokumentu Char"/>
    <w:aliases w:val="Char9 Char Char,Document Map Char Char Char,Štruktúra dokumentu Char Char Char"/>
    <w:link w:val="DocumentMap"/>
    <w:uiPriority w:val="99"/>
    <w:semiHidden/>
    <w:locked/>
    <w:rsid w:val="00992BC9"/>
    <w:rPr>
      <w:rFonts w:ascii="Tahoma" w:hAnsi="Tahoma" w:cs="Tahoma"/>
      <w:sz w:val="24"/>
      <w:shd w:val="clear" w:color="auto" w:fill="000080"/>
    </w:rPr>
  </w:style>
  <w:style w:type="paragraph" w:styleId="DocumentMap">
    <w:name w:val="Document Map"/>
    <w:aliases w:val="Char9 Char,Document Map Char Char,Štruktúra dokumentu Char Char"/>
    <w:basedOn w:val="Normal"/>
    <w:link w:val="truktradokumentuChar"/>
    <w:uiPriority w:val="99"/>
    <w:semiHidden/>
    <w:rsid w:val="00992BC9"/>
    <w:pPr>
      <w:shd w:val="clear" w:color="auto" w:fill="000080"/>
      <w:jc w:val="left"/>
    </w:pPr>
    <w:rPr>
      <w:rFonts w:ascii="Tahoma" w:hAnsi="Tahoma" w:cs="Times New Roman"/>
    </w:rPr>
  </w:style>
  <w:style w:type="character" w:customStyle="1" w:styleId="truktradokumentuChar1">
    <w:name w:val="Štruktúra dokumentu Char1"/>
    <w:aliases w:val="Char9 Char Char1,Document Map Char Char Char1,Štruktúra dokumentu Char Char Char1"/>
    <w:basedOn w:val="DefaultParagraphFont"/>
    <w:uiPriority w:val="99"/>
    <w:semiHidden/>
    <w:rPr>
      <w:rFonts w:ascii="Tahoma" w:hAnsi="Tahoma" w:cs="Tahoma"/>
      <w:sz w:val="16"/>
      <w:szCs w:val="16"/>
      <w:rtl w:val="0"/>
      <w:cs w:val="0"/>
      <w:lang w:val="x-none" w:eastAsia="cs-CZ"/>
    </w:rPr>
  </w:style>
  <w:style w:type="character" w:customStyle="1" w:styleId="truktradokumentuChar1163">
    <w:name w:val="Štruktúra dokumentu Char1163"/>
    <w:aliases w:val="Char9 Char Char1164,Document Map Char Char Char1164,Štruktúra dokumentu Char Char Char1164"/>
    <w:basedOn w:val="DefaultParagraphFont"/>
    <w:uiPriority w:val="99"/>
    <w:semiHidden/>
    <w:rPr>
      <w:rFonts w:ascii="Tahoma" w:hAnsi="Tahoma" w:cs="Tahoma"/>
      <w:sz w:val="16"/>
      <w:szCs w:val="16"/>
      <w:rtl w:val="0"/>
      <w:cs w:val="0"/>
      <w:lang w:val="x-none" w:eastAsia="cs-CZ"/>
    </w:rPr>
  </w:style>
  <w:style w:type="character" w:customStyle="1" w:styleId="truktradokumentuChar1162">
    <w:name w:val="Štruktúra dokumentu Char1162"/>
    <w:aliases w:val="Char9 Char Char1163,Document Map Char Char Char1163,Štruktúra dokumentu Char Char Char1163"/>
    <w:basedOn w:val="DefaultParagraphFont"/>
    <w:uiPriority w:val="99"/>
    <w:semiHidden/>
    <w:rPr>
      <w:rFonts w:ascii="Tahoma" w:hAnsi="Tahoma" w:cs="Tahoma"/>
      <w:sz w:val="16"/>
      <w:szCs w:val="16"/>
      <w:rtl w:val="0"/>
      <w:cs w:val="0"/>
      <w:lang w:val="x-none" w:eastAsia="cs-CZ"/>
    </w:rPr>
  </w:style>
  <w:style w:type="character" w:customStyle="1" w:styleId="truktradokumentuChar1161">
    <w:name w:val="Štruktúra dokumentu Char1161"/>
    <w:aliases w:val="Char9 Char Char1162,Document Map Char Char Char1162,Štruktúra dokumentu Char Char Char1162"/>
    <w:basedOn w:val="DefaultParagraphFont"/>
    <w:uiPriority w:val="99"/>
    <w:semiHidden/>
    <w:rPr>
      <w:rFonts w:ascii="Tahoma" w:hAnsi="Tahoma" w:cs="Tahoma"/>
      <w:sz w:val="16"/>
      <w:szCs w:val="16"/>
      <w:rtl w:val="0"/>
      <w:cs w:val="0"/>
      <w:lang w:val="x-none" w:eastAsia="cs-CZ"/>
    </w:rPr>
  </w:style>
  <w:style w:type="character" w:customStyle="1" w:styleId="truktradokumentuChar1160">
    <w:name w:val="Štruktúra dokumentu Char1160"/>
    <w:aliases w:val="Char9 Char Char1161,Document Map Char Char Char1161,Štruktúra dokumentu Char Char Char1161"/>
    <w:basedOn w:val="DefaultParagraphFont"/>
    <w:uiPriority w:val="99"/>
    <w:semiHidden/>
    <w:rPr>
      <w:rFonts w:ascii="Tahoma" w:hAnsi="Tahoma" w:cs="Tahoma"/>
      <w:sz w:val="16"/>
      <w:szCs w:val="16"/>
      <w:rtl w:val="0"/>
      <w:cs w:val="0"/>
      <w:lang w:val="x-none" w:eastAsia="cs-CZ"/>
    </w:rPr>
  </w:style>
  <w:style w:type="character" w:customStyle="1" w:styleId="truktradokumentuChar1159">
    <w:name w:val="Štruktúra dokumentu Char1159"/>
    <w:aliases w:val="Char9 Char Char1160,Document Map Char Char Char1160,Štruktúra dokumentu Char Char Char1160"/>
    <w:basedOn w:val="DefaultParagraphFont"/>
    <w:uiPriority w:val="99"/>
    <w:semiHidden/>
    <w:rPr>
      <w:rFonts w:ascii="Tahoma" w:hAnsi="Tahoma" w:cs="Tahoma"/>
      <w:sz w:val="16"/>
      <w:szCs w:val="16"/>
      <w:rtl w:val="0"/>
      <w:cs w:val="0"/>
      <w:lang w:val="x-none" w:eastAsia="cs-CZ"/>
    </w:rPr>
  </w:style>
  <w:style w:type="character" w:customStyle="1" w:styleId="truktradokumentuChar1158">
    <w:name w:val="Štruktúra dokumentu Char1158"/>
    <w:aliases w:val="Char9 Char Char1159,Document Map Char Char Char1159,Štruktúra dokumentu Char Char Char1159"/>
    <w:basedOn w:val="DefaultParagraphFont"/>
    <w:uiPriority w:val="99"/>
    <w:semiHidden/>
    <w:rPr>
      <w:rFonts w:ascii="Tahoma" w:hAnsi="Tahoma" w:cs="Tahoma"/>
      <w:sz w:val="16"/>
      <w:szCs w:val="16"/>
      <w:rtl w:val="0"/>
      <w:cs w:val="0"/>
      <w:lang w:val="x-none" w:eastAsia="cs-CZ"/>
    </w:rPr>
  </w:style>
  <w:style w:type="character" w:customStyle="1" w:styleId="truktradokumentuChar1157">
    <w:name w:val="Štruktúra dokumentu Char1157"/>
    <w:aliases w:val="Char9 Char Char1158,Document Map Char Char Char1158,Štruktúra dokumentu Char Char Char1158"/>
    <w:basedOn w:val="DefaultParagraphFont"/>
    <w:uiPriority w:val="99"/>
    <w:semiHidden/>
    <w:rPr>
      <w:rFonts w:ascii="Tahoma" w:hAnsi="Tahoma" w:cs="Tahoma"/>
      <w:sz w:val="16"/>
      <w:szCs w:val="16"/>
      <w:rtl w:val="0"/>
      <w:cs w:val="0"/>
      <w:lang w:val="x-none" w:eastAsia="cs-CZ"/>
    </w:rPr>
  </w:style>
  <w:style w:type="character" w:customStyle="1" w:styleId="truktradokumentuChar1156">
    <w:name w:val="Štruktúra dokumentu Char1156"/>
    <w:aliases w:val="Char9 Char Char1157,Document Map Char Char Char1157,Štruktúra dokumentu Char Char Char1157"/>
    <w:basedOn w:val="DefaultParagraphFont"/>
    <w:uiPriority w:val="99"/>
    <w:semiHidden/>
    <w:rPr>
      <w:rFonts w:ascii="Tahoma" w:hAnsi="Tahoma" w:cs="Tahoma"/>
      <w:sz w:val="16"/>
      <w:szCs w:val="16"/>
      <w:rtl w:val="0"/>
      <w:cs w:val="0"/>
      <w:lang w:val="x-none" w:eastAsia="cs-CZ"/>
    </w:rPr>
  </w:style>
  <w:style w:type="character" w:customStyle="1" w:styleId="truktradokumentuChar1155">
    <w:name w:val="Štruktúra dokumentu Char1155"/>
    <w:aliases w:val="Char9 Char Char1156,Document Map Char Char Char1156,Štruktúra dokumentu Char Char Char1156"/>
    <w:basedOn w:val="DefaultParagraphFont"/>
    <w:uiPriority w:val="99"/>
    <w:semiHidden/>
    <w:rPr>
      <w:rFonts w:ascii="Tahoma" w:hAnsi="Tahoma" w:cs="Tahoma"/>
      <w:sz w:val="16"/>
      <w:szCs w:val="16"/>
      <w:rtl w:val="0"/>
      <w:cs w:val="0"/>
      <w:lang w:val="x-none" w:eastAsia="cs-CZ"/>
    </w:rPr>
  </w:style>
  <w:style w:type="character" w:customStyle="1" w:styleId="truktradokumentuChar1154">
    <w:name w:val="Štruktúra dokumentu Char1154"/>
    <w:aliases w:val="Char9 Char Char1155,Document Map Char Char Char1155,Štruktúra dokumentu Char Char Char1155"/>
    <w:basedOn w:val="DefaultParagraphFont"/>
    <w:uiPriority w:val="99"/>
    <w:semiHidden/>
    <w:rPr>
      <w:rFonts w:ascii="Tahoma" w:hAnsi="Tahoma" w:cs="Tahoma"/>
      <w:sz w:val="16"/>
      <w:szCs w:val="16"/>
      <w:rtl w:val="0"/>
      <w:cs w:val="0"/>
      <w:lang w:val="x-none" w:eastAsia="cs-CZ"/>
    </w:rPr>
  </w:style>
  <w:style w:type="character" w:customStyle="1" w:styleId="truktradokumentuChar1153">
    <w:name w:val="Štruktúra dokumentu Char1153"/>
    <w:aliases w:val="Char9 Char Char1154,Document Map Char Char Char1154,Štruktúra dokumentu Char Char Char1154"/>
    <w:basedOn w:val="DefaultParagraphFont"/>
    <w:uiPriority w:val="99"/>
    <w:semiHidden/>
    <w:rPr>
      <w:rFonts w:ascii="Tahoma" w:hAnsi="Tahoma" w:cs="Tahoma"/>
      <w:sz w:val="16"/>
      <w:szCs w:val="16"/>
      <w:rtl w:val="0"/>
      <w:cs w:val="0"/>
      <w:lang w:val="x-none" w:eastAsia="cs-CZ"/>
    </w:rPr>
  </w:style>
  <w:style w:type="character" w:customStyle="1" w:styleId="truktradokumentuChar1152">
    <w:name w:val="Štruktúra dokumentu Char1152"/>
    <w:aliases w:val="Char9 Char Char1153,Document Map Char Char Char1153,Štruktúra dokumentu Char Char Char1153"/>
    <w:basedOn w:val="DefaultParagraphFont"/>
    <w:uiPriority w:val="99"/>
    <w:semiHidden/>
    <w:rPr>
      <w:rFonts w:ascii="Tahoma" w:hAnsi="Tahoma" w:cs="Tahoma"/>
      <w:sz w:val="16"/>
      <w:szCs w:val="16"/>
      <w:rtl w:val="0"/>
      <w:cs w:val="0"/>
      <w:lang w:val="x-none" w:eastAsia="cs-CZ"/>
    </w:rPr>
  </w:style>
  <w:style w:type="character" w:customStyle="1" w:styleId="truktradokumentuChar1151">
    <w:name w:val="Štruktúra dokumentu Char1151"/>
    <w:aliases w:val="Char9 Char Char1152,Document Map Char Char Char1152,Štruktúra dokumentu Char Char Char1152"/>
    <w:basedOn w:val="DefaultParagraphFont"/>
    <w:uiPriority w:val="99"/>
    <w:semiHidden/>
    <w:rPr>
      <w:rFonts w:ascii="Tahoma" w:hAnsi="Tahoma" w:cs="Tahoma"/>
      <w:sz w:val="16"/>
      <w:szCs w:val="16"/>
      <w:rtl w:val="0"/>
      <w:cs w:val="0"/>
      <w:lang w:val="x-none" w:eastAsia="cs-CZ"/>
    </w:rPr>
  </w:style>
  <w:style w:type="character" w:customStyle="1" w:styleId="truktradokumentuChar1150">
    <w:name w:val="Štruktúra dokumentu Char1150"/>
    <w:aliases w:val="Char9 Char Char1151,Document Map Char Char Char1151,Štruktúra dokumentu Char Char Char1151"/>
    <w:basedOn w:val="DefaultParagraphFont"/>
    <w:uiPriority w:val="99"/>
    <w:semiHidden/>
    <w:rPr>
      <w:rFonts w:ascii="Tahoma" w:hAnsi="Tahoma" w:cs="Tahoma"/>
      <w:sz w:val="16"/>
      <w:szCs w:val="16"/>
      <w:rtl w:val="0"/>
      <w:cs w:val="0"/>
      <w:lang w:val="x-none" w:eastAsia="cs-CZ"/>
    </w:rPr>
  </w:style>
  <w:style w:type="character" w:customStyle="1" w:styleId="truktradokumentuChar1149">
    <w:name w:val="Štruktúra dokumentu Char1149"/>
    <w:aliases w:val="Char9 Char Char1150,Document Map Char Char Char1150,Štruktúra dokumentu Char Char Char1150"/>
    <w:basedOn w:val="DefaultParagraphFont"/>
    <w:uiPriority w:val="99"/>
    <w:semiHidden/>
    <w:rPr>
      <w:rFonts w:ascii="Tahoma" w:hAnsi="Tahoma" w:cs="Tahoma"/>
      <w:sz w:val="16"/>
      <w:szCs w:val="16"/>
      <w:rtl w:val="0"/>
      <w:cs w:val="0"/>
      <w:lang w:val="x-none" w:eastAsia="cs-CZ"/>
    </w:rPr>
  </w:style>
  <w:style w:type="character" w:customStyle="1" w:styleId="truktradokumentuChar1148">
    <w:name w:val="Štruktúra dokumentu Char1148"/>
    <w:aliases w:val="Char9 Char Char1149,Document Map Char Char Char1149,Štruktúra dokumentu Char Char Char1149"/>
    <w:basedOn w:val="DefaultParagraphFont"/>
    <w:uiPriority w:val="99"/>
    <w:semiHidden/>
    <w:rPr>
      <w:rFonts w:ascii="Tahoma" w:hAnsi="Tahoma" w:cs="Tahoma"/>
      <w:sz w:val="16"/>
      <w:szCs w:val="16"/>
      <w:rtl w:val="0"/>
      <w:cs w:val="0"/>
      <w:lang w:val="x-none" w:eastAsia="cs-CZ"/>
    </w:rPr>
  </w:style>
  <w:style w:type="character" w:customStyle="1" w:styleId="truktradokumentuChar1147">
    <w:name w:val="Štruktúra dokumentu Char1147"/>
    <w:aliases w:val="Char9 Char Char1148,Document Map Char Char Char1148,Štruktúra dokumentu Char Char Char1148"/>
    <w:basedOn w:val="DefaultParagraphFont"/>
    <w:uiPriority w:val="99"/>
    <w:semiHidden/>
    <w:rPr>
      <w:rFonts w:ascii="Tahoma" w:hAnsi="Tahoma" w:cs="Tahoma"/>
      <w:sz w:val="16"/>
      <w:szCs w:val="16"/>
      <w:rtl w:val="0"/>
      <w:cs w:val="0"/>
      <w:lang w:val="x-none" w:eastAsia="cs-CZ"/>
    </w:rPr>
  </w:style>
  <w:style w:type="character" w:customStyle="1" w:styleId="truktradokumentuChar1146">
    <w:name w:val="Štruktúra dokumentu Char1146"/>
    <w:aliases w:val="Char9 Char Char1147,Document Map Char Char Char1147,Štruktúra dokumentu Char Char Char1147"/>
    <w:basedOn w:val="DefaultParagraphFont"/>
    <w:uiPriority w:val="99"/>
    <w:semiHidden/>
    <w:rPr>
      <w:rFonts w:ascii="Tahoma" w:hAnsi="Tahoma" w:cs="Tahoma"/>
      <w:sz w:val="16"/>
      <w:szCs w:val="16"/>
      <w:rtl w:val="0"/>
      <w:cs w:val="0"/>
      <w:lang w:val="x-none" w:eastAsia="cs-CZ"/>
    </w:rPr>
  </w:style>
  <w:style w:type="character" w:customStyle="1" w:styleId="truktradokumentuChar1145">
    <w:name w:val="Štruktúra dokumentu Char1145"/>
    <w:aliases w:val="Char9 Char Char1146,Document Map Char Char Char1146,Štruktúra dokumentu Char Char Char1146"/>
    <w:basedOn w:val="DefaultParagraphFont"/>
    <w:uiPriority w:val="99"/>
    <w:semiHidden/>
    <w:rPr>
      <w:rFonts w:ascii="Tahoma" w:hAnsi="Tahoma" w:cs="Tahoma"/>
      <w:sz w:val="16"/>
      <w:szCs w:val="16"/>
      <w:rtl w:val="0"/>
      <w:cs w:val="0"/>
      <w:lang w:val="x-none" w:eastAsia="cs-CZ"/>
    </w:rPr>
  </w:style>
  <w:style w:type="character" w:customStyle="1" w:styleId="truktradokumentuChar1144">
    <w:name w:val="Štruktúra dokumentu Char1144"/>
    <w:aliases w:val="Char9 Char Char1145,Document Map Char Char Char1145,Štruktúra dokumentu Char Char Char1145"/>
    <w:basedOn w:val="DefaultParagraphFont"/>
    <w:uiPriority w:val="99"/>
    <w:semiHidden/>
    <w:rPr>
      <w:rFonts w:ascii="Tahoma" w:hAnsi="Tahoma" w:cs="Tahoma"/>
      <w:sz w:val="16"/>
      <w:szCs w:val="16"/>
      <w:rtl w:val="0"/>
      <w:cs w:val="0"/>
      <w:lang w:val="x-none" w:eastAsia="cs-CZ"/>
    </w:rPr>
  </w:style>
  <w:style w:type="character" w:customStyle="1" w:styleId="truktradokumentuChar1143">
    <w:name w:val="Štruktúra dokumentu Char1143"/>
    <w:aliases w:val="Char9 Char Char1144,Document Map Char Char Char1144,Štruktúra dokumentu Char Char Char1144"/>
    <w:basedOn w:val="DefaultParagraphFont"/>
    <w:uiPriority w:val="99"/>
    <w:semiHidden/>
    <w:rPr>
      <w:rFonts w:ascii="Tahoma" w:hAnsi="Tahoma" w:cs="Tahoma"/>
      <w:sz w:val="16"/>
      <w:szCs w:val="16"/>
      <w:rtl w:val="0"/>
      <w:cs w:val="0"/>
      <w:lang w:val="x-none" w:eastAsia="cs-CZ"/>
    </w:rPr>
  </w:style>
  <w:style w:type="character" w:customStyle="1" w:styleId="truktradokumentuChar1142">
    <w:name w:val="Štruktúra dokumentu Char1142"/>
    <w:aliases w:val="Char9 Char Char1143,Document Map Char Char Char1143,Štruktúra dokumentu Char Char Char1143"/>
    <w:basedOn w:val="DefaultParagraphFont"/>
    <w:uiPriority w:val="99"/>
    <w:semiHidden/>
    <w:rPr>
      <w:rFonts w:ascii="Tahoma" w:hAnsi="Tahoma" w:cs="Tahoma"/>
      <w:sz w:val="16"/>
      <w:szCs w:val="16"/>
      <w:rtl w:val="0"/>
      <w:cs w:val="0"/>
      <w:lang w:val="x-none" w:eastAsia="cs-CZ"/>
    </w:rPr>
  </w:style>
  <w:style w:type="character" w:customStyle="1" w:styleId="truktradokumentuChar1141">
    <w:name w:val="Štruktúra dokumentu Char1141"/>
    <w:aliases w:val="Char9 Char Char1142,Document Map Char Char Char1142,Štruktúra dokumentu Char Char Char1142"/>
    <w:basedOn w:val="DefaultParagraphFont"/>
    <w:uiPriority w:val="99"/>
    <w:semiHidden/>
    <w:rPr>
      <w:rFonts w:ascii="Tahoma" w:hAnsi="Tahoma" w:cs="Tahoma"/>
      <w:sz w:val="16"/>
      <w:szCs w:val="16"/>
      <w:rtl w:val="0"/>
      <w:cs w:val="0"/>
      <w:lang w:val="x-none" w:eastAsia="cs-CZ"/>
    </w:rPr>
  </w:style>
  <w:style w:type="character" w:customStyle="1" w:styleId="truktradokumentuChar1140">
    <w:name w:val="Štruktúra dokumentu Char1140"/>
    <w:aliases w:val="Char9 Char Char1141,Document Map Char Char Char1141,Štruktúra dokumentu Char Char Char1141"/>
    <w:basedOn w:val="DefaultParagraphFont"/>
    <w:uiPriority w:val="99"/>
    <w:semiHidden/>
    <w:rPr>
      <w:rFonts w:ascii="Tahoma" w:hAnsi="Tahoma" w:cs="Tahoma"/>
      <w:sz w:val="16"/>
      <w:szCs w:val="16"/>
      <w:rtl w:val="0"/>
      <w:cs w:val="0"/>
      <w:lang w:val="x-none" w:eastAsia="cs-CZ"/>
    </w:rPr>
  </w:style>
  <w:style w:type="character" w:customStyle="1" w:styleId="truktradokumentuChar1139">
    <w:name w:val="Štruktúra dokumentu Char1139"/>
    <w:aliases w:val="Char9 Char Char1140,Document Map Char Char Char1140,Štruktúra dokumentu Char Char Char1140"/>
    <w:basedOn w:val="DefaultParagraphFont"/>
    <w:uiPriority w:val="99"/>
    <w:semiHidden/>
    <w:rPr>
      <w:rFonts w:ascii="Tahoma" w:hAnsi="Tahoma" w:cs="Tahoma"/>
      <w:sz w:val="16"/>
      <w:szCs w:val="16"/>
      <w:rtl w:val="0"/>
      <w:cs w:val="0"/>
      <w:lang w:val="x-none" w:eastAsia="cs-CZ"/>
    </w:rPr>
  </w:style>
  <w:style w:type="character" w:customStyle="1" w:styleId="truktradokumentuChar1138">
    <w:name w:val="Štruktúra dokumentu Char1138"/>
    <w:aliases w:val="Char9 Char Char1139,Document Map Char Char Char1139,Štruktúra dokumentu Char Char Char1139"/>
    <w:basedOn w:val="DefaultParagraphFont"/>
    <w:uiPriority w:val="99"/>
    <w:semiHidden/>
    <w:rPr>
      <w:rFonts w:ascii="Tahoma" w:hAnsi="Tahoma" w:cs="Tahoma"/>
      <w:sz w:val="16"/>
      <w:szCs w:val="16"/>
      <w:rtl w:val="0"/>
      <w:cs w:val="0"/>
      <w:lang w:val="x-none" w:eastAsia="cs-CZ"/>
    </w:rPr>
  </w:style>
  <w:style w:type="character" w:customStyle="1" w:styleId="truktradokumentuChar1137">
    <w:name w:val="Štruktúra dokumentu Char1137"/>
    <w:aliases w:val="Char9 Char Char1138,Document Map Char Char Char1138,Štruktúra dokumentu Char Char Char1138"/>
    <w:basedOn w:val="DefaultParagraphFont"/>
    <w:uiPriority w:val="99"/>
    <w:semiHidden/>
    <w:rPr>
      <w:rFonts w:ascii="Tahoma" w:hAnsi="Tahoma" w:cs="Tahoma"/>
      <w:sz w:val="16"/>
      <w:szCs w:val="16"/>
      <w:rtl w:val="0"/>
      <w:cs w:val="0"/>
      <w:lang w:val="x-none" w:eastAsia="cs-CZ"/>
    </w:rPr>
  </w:style>
  <w:style w:type="character" w:customStyle="1" w:styleId="truktradokumentuChar1136">
    <w:name w:val="Štruktúra dokumentu Char1136"/>
    <w:aliases w:val="Char9 Char Char1137,Document Map Char Char Char1137,Štruktúra dokumentu Char Char Char1137"/>
    <w:basedOn w:val="DefaultParagraphFont"/>
    <w:uiPriority w:val="99"/>
    <w:semiHidden/>
    <w:rPr>
      <w:rFonts w:ascii="Tahoma" w:hAnsi="Tahoma" w:cs="Tahoma"/>
      <w:sz w:val="16"/>
      <w:szCs w:val="16"/>
      <w:rtl w:val="0"/>
      <w:cs w:val="0"/>
      <w:lang w:val="x-none" w:eastAsia="cs-CZ"/>
    </w:rPr>
  </w:style>
  <w:style w:type="character" w:customStyle="1" w:styleId="truktradokumentuChar1135">
    <w:name w:val="Štruktúra dokumentu Char1135"/>
    <w:aliases w:val="Char9 Char Char1136,Document Map Char Char Char1136,Štruktúra dokumentu Char Char Char1136"/>
    <w:basedOn w:val="DefaultParagraphFont"/>
    <w:uiPriority w:val="99"/>
    <w:semiHidden/>
    <w:rPr>
      <w:rFonts w:ascii="Tahoma" w:hAnsi="Tahoma" w:cs="Tahoma"/>
      <w:sz w:val="16"/>
      <w:szCs w:val="16"/>
      <w:rtl w:val="0"/>
      <w:cs w:val="0"/>
      <w:lang w:val="x-none" w:eastAsia="cs-CZ"/>
    </w:rPr>
  </w:style>
  <w:style w:type="character" w:customStyle="1" w:styleId="truktradokumentuChar1134">
    <w:name w:val="Štruktúra dokumentu Char1134"/>
    <w:aliases w:val="Char9 Char Char1135,Document Map Char Char Char1135,Štruktúra dokumentu Char Char Char1135"/>
    <w:basedOn w:val="DefaultParagraphFont"/>
    <w:uiPriority w:val="99"/>
    <w:semiHidden/>
    <w:rPr>
      <w:rFonts w:ascii="Tahoma" w:hAnsi="Tahoma" w:cs="Tahoma"/>
      <w:sz w:val="16"/>
      <w:szCs w:val="16"/>
      <w:rtl w:val="0"/>
      <w:cs w:val="0"/>
      <w:lang w:val="x-none" w:eastAsia="cs-CZ"/>
    </w:rPr>
  </w:style>
  <w:style w:type="character" w:customStyle="1" w:styleId="truktradokumentuChar1133">
    <w:name w:val="Štruktúra dokumentu Char1133"/>
    <w:aliases w:val="Char9 Char Char1134,Document Map Char Char Char1134,Štruktúra dokumentu Char Char Char1134"/>
    <w:basedOn w:val="DefaultParagraphFont"/>
    <w:uiPriority w:val="99"/>
    <w:semiHidden/>
    <w:rPr>
      <w:rFonts w:ascii="Tahoma" w:hAnsi="Tahoma" w:cs="Tahoma"/>
      <w:sz w:val="16"/>
      <w:szCs w:val="16"/>
      <w:rtl w:val="0"/>
      <w:cs w:val="0"/>
      <w:lang w:val="x-none" w:eastAsia="cs-CZ"/>
    </w:rPr>
  </w:style>
  <w:style w:type="character" w:customStyle="1" w:styleId="truktradokumentuChar1132">
    <w:name w:val="Štruktúra dokumentu Char1132"/>
    <w:aliases w:val="Char9 Char Char1133,Document Map Char Char Char1133,Štruktúra dokumentu Char Char Char1133"/>
    <w:basedOn w:val="DefaultParagraphFont"/>
    <w:uiPriority w:val="99"/>
    <w:semiHidden/>
    <w:rPr>
      <w:rFonts w:ascii="Tahoma" w:hAnsi="Tahoma" w:cs="Tahoma"/>
      <w:sz w:val="16"/>
      <w:szCs w:val="16"/>
      <w:rtl w:val="0"/>
      <w:cs w:val="0"/>
      <w:lang w:val="x-none" w:eastAsia="cs-CZ"/>
    </w:rPr>
  </w:style>
  <w:style w:type="character" w:customStyle="1" w:styleId="truktradokumentuChar1131">
    <w:name w:val="Štruktúra dokumentu Char1131"/>
    <w:aliases w:val="Char9 Char Char1132,Document Map Char Char Char1132,Štruktúra dokumentu Char Char Char1132"/>
    <w:basedOn w:val="DefaultParagraphFont"/>
    <w:uiPriority w:val="99"/>
    <w:semiHidden/>
    <w:rPr>
      <w:rFonts w:ascii="Tahoma" w:hAnsi="Tahoma" w:cs="Tahoma"/>
      <w:sz w:val="16"/>
      <w:szCs w:val="16"/>
      <w:rtl w:val="0"/>
      <w:cs w:val="0"/>
      <w:lang w:val="x-none" w:eastAsia="cs-CZ"/>
    </w:rPr>
  </w:style>
  <w:style w:type="character" w:customStyle="1" w:styleId="truktradokumentuChar1130">
    <w:name w:val="Štruktúra dokumentu Char1130"/>
    <w:aliases w:val="Char9 Char Char1131,Document Map Char Char Char1131,Štruktúra dokumentu Char Char Char1131"/>
    <w:basedOn w:val="DefaultParagraphFont"/>
    <w:uiPriority w:val="99"/>
    <w:semiHidden/>
    <w:rPr>
      <w:rFonts w:ascii="Tahoma" w:hAnsi="Tahoma" w:cs="Tahoma"/>
      <w:sz w:val="16"/>
      <w:szCs w:val="16"/>
      <w:rtl w:val="0"/>
      <w:cs w:val="0"/>
      <w:lang w:val="x-none" w:eastAsia="cs-CZ"/>
    </w:rPr>
  </w:style>
  <w:style w:type="character" w:customStyle="1" w:styleId="truktradokumentuChar1129">
    <w:name w:val="Štruktúra dokumentu Char1129"/>
    <w:aliases w:val="Char9 Char Char1130,Document Map Char Char Char1130,Štruktúra dokumentu Char Char Char1130"/>
    <w:basedOn w:val="DefaultParagraphFont"/>
    <w:uiPriority w:val="99"/>
    <w:semiHidden/>
    <w:rPr>
      <w:rFonts w:ascii="Tahoma" w:hAnsi="Tahoma" w:cs="Tahoma"/>
      <w:sz w:val="16"/>
      <w:szCs w:val="16"/>
      <w:rtl w:val="0"/>
      <w:cs w:val="0"/>
      <w:lang w:val="x-none" w:eastAsia="cs-CZ"/>
    </w:rPr>
  </w:style>
  <w:style w:type="character" w:customStyle="1" w:styleId="truktradokumentuChar1128">
    <w:name w:val="Štruktúra dokumentu Char1128"/>
    <w:aliases w:val="Char9 Char Char1129,Document Map Char Char Char1129,Štruktúra dokumentu Char Char Char1129"/>
    <w:basedOn w:val="DefaultParagraphFont"/>
    <w:uiPriority w:val="99"/>
    <w:semiHidden/>
    <w:rPr>
      <w:rFonts w:ascii="Tahoma" w:hAnsi="Tahoma" w:cs="Tahoma"/>
      <w:sz w:val="16"/>
      <w:szCs w:val="16"/>
      <w:rtl w:val="0"/>
      <w:cs w:val="0"/>
      <w:lang w:val="x-none" w:eastAsia="cs-CZ"/>
    </w:rPr>
  </w:style>
  <w:style w:type="character" w:customStyle="1" w:styleId="truktradokumentuChar1127">
    <w:name w:val="Štruktúra dokumentu Char1127"/>
    <w:aliases w:val="Char9 Char Char1128,Document Map Char Char Char1128,Štruktúra dokumentu Char Char Char1128"/>
    <w:basedOn w:val="DefaultParagraphFont"/>
    <w:uiPriority w:val="99"/>
    <w:semiHidden/>
    <w:rPr>
      <w:rFonts w:ascii="Tahoma" w:hAnsi="Tahoma" w:cs="Tahoma"/>
      <w:sz w:val="16"/>
      <w:szCs w:val="16"/>
      <w:rtl w:val="0"/>
      <w:cs w:val="0"/>
      <w:lang w:val="x-none" w:eastAsia="cs-CZ"/>
    </w:rPr>
  </w:style>
  <w:style w:type="character" w:customStyle="1" w:styleId="truktradokumentuChar1126">
    <w:name w:val="Štruktúra dokumentu Char1126"/>
    <w:aliases w:val="Char9 Char Char1127,Document Map Char Char Char1127,Štruktúra dokumentu Char Char Char1127"/>
    <w:basedOn w:val="DefaultParagraphFont"/>
    <w:uiPriority w:val="99"/>
    <w:semiHidden/>
    <w:rPr>
      <w:rFonts w:ascii="Tahoma" w:hAnsi="Tahoma" w:cs="Tahoma"/>
      <w:sz w:val="16"/>
      <w:szCs w:val="16"/>
      <w:rtl w:val="0"/>
      <w:cs w:val="0"/>
      <w:lang w:val="x-none" w:eastAsia="cs-CZ"/>
    </w:rPr>
  </w:style>
  <w:style w:type="character" w:customStyle="1" w:styleId="truktradokumentuChar1125">
    <w:name w:val="Štruktúra dokumentu Char1125"/>
    <w:aliases w:val="Char9 Char Char1126,Document Map Char Char Char1126,Štruktúra dokumentu Char Char Char1126"/>
    <w:basedOn w:val="DefaultParagraphFont"/>
    <w:uiPriority w:val="99"/>
    <w:semiHidden/>
    <w:rPr>
      <w:rFonts w:ascii="Tahoma" w:hAnsi="Tahoma" w:cs="Tahoma"/>
      <w:sz w:val="16"/>
      <w:szCs w:val="16"/>
      <w:rtl w:val="0"/>
      <w:cs w:val="0"/>
      <w:lang w:val="x-none" w:eastAsia="cs-CZ"/>
    </w:rPr>
  </w:style>
  <w:style w:type="character" w:customStyle="1" w:styleId="truktradokumentuChar1124">
    <w:name w:val="Štruktúra dokumentu Char1124"/>
    <w:aliases w:val="Char9 Char Char1125,Document Map Char Char Char1125,Štruktúra dokumentu Char Char Char1125"/>
    <w:basedOn w:val="DefaultParagraphFont"/>
    <w:uiPriority w:val="99"/>
    <w:semiHidden/>
    <w:rPr>
      <w:rFonts w:ascii="Tahoma" w:hAnsi="Tahoma" w:cs="Tahoma"/>
      <w:sz w:val="16"/>
      <w:szCs w:val="16"/>
      <w:rtl w:val="0"/>
      <w:cs w:val="0"/>
      <w:lang w:val="x-none" w:eastAsia="cs-CZ"/>
    </w:rPr>
  </w:style>
  <w:style w:type="character" w:customStyle="1" w:styleId="truktradokumentuChar1123">
    <w:name w:val="Štruktúra dokumentu Char1123"/>
    <w:aliases w:val="Char9 Char Char1124,Document Map Char Char Char1124,Štruktúra dokumentu Char Char Char1124"/>
    <w:basedOn w:val="DefaultParagraphFont"/>
    <w:uiPriority w:val="99"/>
    <w:semiHidden/>
    <w:rPr>
      <w:rFonts w:ascii="Tahoma" w:hAnsi="Tahoma" w:cs="Tahoma"/>
      <w:sz w:val="16"/>
      <w:szCs w:val="16"/>
      <w:rtl w:val="0"/>
      <w:cs w:val="0"/>
      <w:lang w:val="x-none" w:eastAsia="cs-CZ"/>
    </w:rPr>
  </w:style>
  <w:style w:type="character" w:customStyle="1" w:styleId="truktradokumentuChar1122">
    <w:name w:val="Štruktúra dokumentu Char1122"/>
    <w:aliases w:val="Char9 Char Char1123,Document Map Char Char Char1123,Štruktúra dokumentu Char Char Char1123"/>
    <w:basedOn w:val="DefaultParagraphFont"/>
    <w:uiPriority w:val="99"/>
    <w:semiHidden/>
    <w:rPr>
      <w:rFonts w:ascii="Tahoma" w:hAnsi="Tahoma" w:cs="Tahoma"/>
      <w:sz w:val="16"/>
      <w:szCs w:val="16"/>
      <w:rtl w:val="0"/>
      <w:cs w:val="0"/>
      <w:lang w:val="x-none" w:eastAsia="cs-CZ"/>
    </w:rPr>
  </w:style>
  <w:style w:type="character" w:customStyle="1" w:styleId="truktradokumentuChar1121">
    <w:name w:val="Štruktúra dokumentu Char1121"/>
    <w:aliases w:val="Char9 Char Char1122,Document Map Char Char Char1122,Štruktúra dokumentu Char Char Char1122"/>
    <w:basedOn w:val="DefaultParagraphFont"/>
    <w:uiPriority w:val="99"/>
    <w:semiHidden/>
    <w:rPr>
      <w:rFonts w:ascii="Tahoma" w:hAnsi="Tahoma" w:cs="Tahoma"/>
      <w:sz w:val="16"/>
      <w:szCs w:val="16"/>
      <w:rtl w:val="0"/>
      <w:cs w:val="0"/>
      <w:lang w:val="x-none" w:eastAsia="cs-CZ"/>
    </w:rPr>
  </w:style>
  <w:style w:type="character" w:customStyle="1" w:styleId="truktradokumentuChar1120">
    <w:name w:val="Štruktúra dokumentu Char1120"/>
    <w:aliases w:val="Char9 Char Char1121,Document Map Char Char Char1121,Štruktúra dokumentu Char Char Char1121"/>
    <w:basedOn w:val="DefaultParagraphFont"/>
    <w:uiPriority w:val="99"/>
    <w:semiHidden/>
    <w:rPr>
      <w:rFonts w:ascii="Tahoma" w:hAnsi="Tahoma" w:cs="Tahoma"/>
      <w:sz w:val="16"/>
      <w:szCs w:val="16"/>
      <w:rtl w:val="0"/>
      <w:cs w:val="0"/>
      <w:lang w:val="x-none" w:eastAsia="cs-CZ"/>
    </w:rPr>
  </w:style>
  <w:style w:type="character" w:customStyle="1" w:styleId="truktradokumentuChar1119">
    <w:name w:val="Štruktúra dokumentu Char1119"/>
    <w:aliases w:val="Char9 Char Char1120,Document Map Char Char Char1120,Štruktúra dokumentu Char Char Char1120"/>
    <w:basedOn w:val="DefaultParagraphFont"/>
    <w:uiPriority w:val="99"/>
    <w:semiHidden/>
    <w:rPr>
      <w:rFonts w:ascii="Tahoma" w:hAnsi="Tahoma" w:cs="Tahoma"/>
      <w:sz w:val="16"/>
      <w:szCs w:val="16"/>
      <w:rtl w:val="0"/>
      <w:cs w:val="0"/>
      <w:lang w:val="x-none" w:eastAsia="cs-CZ"/>
    </w:rPr>
  </w:style>
  <w:style w:type="character" w:customStyle="1" w:styleId="truktradokumentuChar1118">
    <w:name w:val="Štruktúra dokumentu Char1118"/>
    <w:aliases w:val="Char9 Char Char1119,Document Map Char Char Char1119,Štruktúra dokumentu Char Char Char1119"/>
    <w:basedOn w:val="DefaultParagraphFont"/>
    <w:uiPriority w:val="99"/>
    <w:semiHidden/>
    <w:rPr>
      <w:rFonts w:ascii="Tahoma" w:hAnsi="Tahoma" w:cs="Tahoma"/>
      <w:sz w:val="16"/>
      <w:szCs w:val="16"/>
      <w:rtl w:val="0"/>
      <w:cs w:val="0"/>
      <w:lang w:val="x-none" w:eastAsia="cs-CZ"/>
    </w:rPr>
  </w:style>
  <w:style w:type="character" w:customStyle="1" w:styleId="truktradokumentuChar1117">
    <w:name w:val="Štruktúra dokumentu Char1117"/>
    <w:aliases w:val="Char9 Char Char1118,Document Map Char Char Char1118,Štruktúra dokumentu Char Char Char1118"/>
    <w:basedOn w:val="DefaultParagraphFont"/>
    <w:uiPriority w:val="99"/>
    <w:semiHidden/>
    <w:rPr>
      <w:rFonts w:ascii="Tahoma" w:hAnsi="Tahoma" w:cs="Tahoma"/>
      <w:sz w:val="16"/>
      <w:szCs w:val="16"/>
      <w:rtl w:val="0"/>
      <w:cs w:val="0"/>
      <w:lang w:val="x-none" w:eastAsia="cs-CZ"/>
    </w:rPr>
  </w:style>
  <w:style w:type="character" w:customStyle="1" w:styleId="truktradokumentuChar1116">
    <w:name w:val="Štruktúra dokumentu Char1116"/>
    <w:aliases w:val="Char9 Char Char1117,Document Map Char Char Char1117,Štruktúra dokumentu Char Char Char1117"/>
    <w:basedOn w:val="DefaultParagraphFont"/>
    <w:uiPriority w:val="99"/>
    <w:semiHidden/>
    <w:rPr>
      <w:rFonts w:ascii="Tahoma" w:hAnsi="Tahoma" w:cs="Tahoma"/>
      <w:sz w:val="16"/>
      <w:szCs w:val="16"/>
      <w:rtl w:val="0"/>
      <w:cs w:val="0"/>
      <w:lang w:val="x-none" w:eastAsia="cs-CZ"/>
    </w:rPr>
  </w:style>
  <w:style w:type="character" w:customStyle="1" w:styleId="truktradokumentuChar1115">
    <w:name w:val="Štruktúra dokumentu Char1115"/>
    <w:aliases w:val="Char9 Char Char1116,Document Map Char Char Char1116,Štruktúra dokumentu Char Char Char1116"/>
    <w:basedOn w:val="DefaultParagraphFont"/>
    <w:uiPriority w:val="99"/>
    <w:semiHidden/>
    <w:rPr>
      <w:rFonts w:ascii="Tahoma" w:hAnsi="Tahoma" w:cs="Tahoma"/>
      <w:sz w:val="16"/>
      <w:szCs w:val="16"/>
      <w:rtl w:val="0"/>
      <w:cs w:val="0"/>
      <w:lang w:val="x-none" w:eastAsia="cs-CZ"/>
    </w:rPr>
  </w:style>
  <w:style w:type="character" w:customStyle="1" w:styleId="truktradokumentuChar1114">
    <w:name w:val="Štruktúra dokumentu Char1114"/>
    <w:aliases w:val="Char9 Char Char1115,Document Map Char Char Char1115,Štruktúra dokumentu Char Char Char1115"/>
    <w:basedOn w:val="DefaultParagraphFont"/>
    <w:uiPriority w:val="99"/>
    <w:semiHidden/>
    <w:rPr>
      <w:rFonts w:ascii="Tahoma" w:hAnsi="Tahoma" w:cs="Tahoma"/>
      <w:sz w:val="16"/>
      <w:szCs w:val="16"/>
      <w:rtl w:val="0"/>
      <w:cs w:val="0"/>
      <w:lang w:val="x-none" w:eastAsia="cs-CZ"/>
    </w:rPr>
  </w:style>
  <w:style w:type="character" w:customStyle="1" w:styleId="truktradokumentuChar1113">
    <w:name w:val="Štruktúra dokumentu Char1113"/>
    <w:aliases w:val="Char9 Char Char1114,Document Map Char Char Char1114,Štruktúra dokumentu Char Char Char1114"/>
    <w:basedOn w:val="DefaultParagraphFont"/>
    <w:uiPriority w:val="99"/>
    <w:semiHidden/>
    <w:rPr>
      <w:rFonts w:ascii="Tahoma" w:hAnsi="Tahoma" w:cs="Tahoma"/>
      <w:sz w:val="16"/>
      <w:szCs w:val="16"/>
      <w:rtl w:val="0"/>
      <w:cs w:val="0"/>
      <w:lang w:val="x-none" w:eastAsia="cs-CZ"/>
    </w:rPr>
  </w:style>
  <w:style w:type="character" w:customStyle="1" w:styleId="truktradokumentuChar1112">
    <w:name w:val="Štruktúra dokumentu Char1112"/>
    <w:aliases w:val="Char9 Char Char1113,Document Map Char Char Char1113,Štruktúra dokumentu Char Char Char1113"/>
    <w:basedOn w:val="DefaultParagraphFont"/>
    <w:uiPriority w:val="99"/>
    <w:semiHidden/>
    <w:rPr>
      <w:rFonts w:ascii="Tahoma" w:hAnsi="Tahoma" w:cs="Tahoma"/>
      <w:sz w:val="16"/>
      <w:szCs w:val="16"/>
      <w:rtl w:val="0"/>
      <w:cs w:val="0"/>
      <w:lang w:val="x-none" w:eastAsia="cs-CZ"/>
    </w:rPr>
  </w:style>
  <w:style w:type="character" w:customStyle="1" w:styleId="truktradokumentuChar1111">
    <w:name w:val="Štruktúra dokumentu Char1111"/>
    <w:aliases w:val="Char9 Char Char1112,Document Map Char Char Char1112,Štruktúra dokumentu Char Char Char1112"/>
    <w:basedOn w:val="DefaultParagraphFont"/>
    <w:uiPriority w:val="99"/>
    <w:semiHidden/>
    <w:rPr>
      <w:rFonts w:ascii="Tahoma" w:hAnsi="Tahoma" w:cs="Tahoma"/>
      <w:sz w:val="16"/>
      <w:szCs w:val="16"/>
      <w:rtl w:val="0"/>
      <w:cs w:val="0"/>
      <w:lang w:val="x-none" w:eastAsia="cs-CZ"/>
    </w:rPr>
  </w:style>
  <w:style w:type="character" w:customStyle="1" w:styleId="truktradokumentuChar1110">
    <w:name w:val="Štruktúra dokumentu Char1110"/>
    <w:aliases w:val="Char9 Char Char1111,Document Map Char Char Char1111,Štruktúra dokumentu Char Char Char1111"/>
    <w:basedOn w:val="DefaultParagraphFont"/>
    <w:uiPriority w:val="99"/>
    <w:semiHidden/>
    <w:rPr>
      <w:rFonts w:ascii="Tahoma" w:hAnsi="Tahoma" w:cs="Tahoma"/>
      <w:sz w:val="16"/>
      <w:szCs w:val="16"/>
      <w:rtl w:val="0"/>
      <w:cs w:val="0"/>
      <w:lang w:val="x-none" w:eastAsia="cs-CZ"/>
    </w:rPr>
  </w:style>
  <w:style w:type="character" w:customStyle="1" w:styleId="truktradokumentuChar1109">
    <w:name w:val="Štruktúra dokumentu Char1109"/>
    <w:aliases w:val="Char9 Char Char1110,Document Map Char Char Char1110,Štruktúra dokumentu Char Char Char1110"/>
    <w:basedOn w:val="DefaultParagraphFont"/>
    <w:uiPriority w:val="99"/>
    <w:semiHidden/>
    <w:rPr>
      <w:rFonts w:ascii="Tahoma" w:hAnsi="Tahoma" w:cs="Tahoma"/>
      <w:sz w:val="16"/>
      <w:szCs w:val="16"/>
      <w:rtl w:val="0"/>
      <w:cs w:val="0"/>
      <w:lang w:val="x-none" w:eastAsia="cs-CZ"/>
    </w:rPr>
  </w:style>
  <w:style w:type="character" w:customStyle="1" w:styleId="truktradokumentuChar1108">
    <w:name w:val="Štruktúra dokumentu Char1108"/>
    <w:aliases w:val="Char9 Char Char1109,Document Map Char Char Char1109,Štruktúra dokumentu Char Char Char1109"/>
    <w:basedOn w:val="DefaultParagraphFont"/>
    <w:uiPriority w:val="99"/>
    <w:semiHidden/>
    <w:rPr>
      <w:rFonts w:ascii="Tahoma" w:hAnsi="Tahoma" w:cs="Tahoma"/>
      <w:sz w:val="16"/>
      <w:szCs w:val="16"/>
      <w:rtl w:val="0"/>
      <w:cs w:val="0"/>
      <w:lang w:val="x-none" w:eastAsia="cs-CZ"/>
    </w:rPr>
  </w:style>
  <w:style w:type="character" w:customStyle="1" w:styleId="truktradokumentuChar1107">
    <w:name w:val="Štruktúra dokumentu Char1107"/>
    <w:aliases w:val="Char9 Char Char1108,Document Map Char Char Char1108,Štruktúra dokumentu Char Char Char1108"/>
    <w:basedOn w:val="DefaultParagraphFont"/>
    <w:uiPriority w:val="99"/>
    <w:semiHidden/>
    <w:rPr>
      <w:rFonts w:ascii="Tahoma" w:hAnsi="Tahoma" w:cs="Tahoma"/>
      <w:sz w:val="16"/>
      <w:szCs w:val="16"/>
      <w:rtl w:val="0"/>
      <w:cs w:val="0"/>
      <w:lang w:val="x-none" w:eastAsia="cs-CZ"/>
    </w:rPr>
  </w:style>
  <w:style w:type="character" w:customStyle="1" w:styleId="truktradokumentuChar1106">
    <w:name w:val="Štruktúra dokumentu Char1106"/>
    <w:aliases w:val="Char9 Char Char1107,Document Map Char Char Char1107,Štruktúra dokumentu Char Char Char1107"/>
    <w:basedOn w:val="DefaultParagraphFont"/>
    <w:uiPriority w:val="99"/>
    <w:semiHidden/>
    <w:rPr>
      <w:rFonts w:ascii="Tahoma" w:hAnsi="Tahoma" w:cs="Tahoma"/>
      <w:sz w:val="16"/>
      <w:szCs w:val="16"/>
      <w:rtl w:val="0"/>
      <w:cs w:val="0"/>
      <w:lang w:val="x-none" w:eastAsia="cs-CZ"/>
    </w:rPr>
  </w:style>
  <w:style w:type="character" w:customStyle="1" w:styleId="truktradokumentuChar1105">
    <w:name w:val="Štruktúra dokumentu Char1105"/>
    <w:aliases w:val="Char9 Char Char1106,Document Map Char Char Char1106,Štruktúra dokumentu Char Char Char1106"/>
    <w:basedOn w:val="DefaultParagraphFont"/>
    <w:uiPriority w:val="99"/>
    <w:semiHidden/>
    <w:rPr>
      <w:rFonts w:ascii="Tahoma" w:hAnsi="Tahoma" w:cs="Tahoma"/>
      <w:sz w:val="16"/>
      <w:szCs w:val="16"/>
      <w:rtl w:val="0"/>
      <w:cs w:val="0"/>
      <w:lang w:val="x-none" w:eastAsia="cs-CZ"/>
    </w:rPr>
  </w:style>
  <w:style w:type="character" w:customStyle="1" w:styleId="truktradokumentuChar1104">
    <w:name w:val="Štruktúra dokumentu Char1104"/>
    <w:aliases w:val="Char9 Char Char1105,Document Map Char Char Char1105,Štruktúra dokumentu Char Char Char1105"/>
    <w:basedOn w:val="DefaultParagraphFont"/>
    <w:uiPriority w:val="99"/>
    <w:semiHidden/>
    <w:rPr>
      <w:rFonts w:ascii="Tahoma" w:hAnsi="Tahoma" w:cs="Tahoma"/>
      <w:sz w:val="16"/>
      <w:szCs w:val="16"/>
      <w:rtl w:val="0"/>
      <w:cs w:val="0"/>
      <w:lang w:val="x-none" w:eastAsia="cs-CZ"/>
    </w:rPr>
  </w:style>
  <w:style w:type="character" w:customStyle="1" w:styleId="truktradokumentuChar1103">
    <w:name w:val="Štruktúra dokumentu Char1103"/>
    <w:aliases w:val="Char9 Char Char1104,Document Map Char Char Char1104,Štruktúra dokumentu Char Char Char1104"/>
    <w:basedOn w:val="DefaultParagraphFont"/>
    <w:uiPriority w:val="99"/>
    <w:semiHidden/>
    <w:rPr>
      <w:rFonts w:ascii="Tahoma" w:hAnsi="Tahoma" w:cs="Tahoma"/>
      <w:sz w:val="16"/>
      <w:szCs w:val="16"/>
      <w:rtl w:val="0"/>
      <w:cs w:val="0"/>
      <w:lang w:val="x-none" w:eastAsia="cs-CZ"/>
    </w:rPr>
  </w:style>
  <w:style w:type="character" w:customStyle="1" w:styleId="truktradokumentuChar1102">
    <w:name w:val="Štruktúra dokumentu Char1102"/>
    <w:aliases w:val="Char9 Char Char1103,Document Map Char Char Char1103,Štruktúra dokumentu Char Char Char1103"/>
    <w:basedOn w:val="DefaultParagraphFont"/>
    <w:uiPriority w:val="99"/>
    <w:semiHidden/>
    <w:rPr>
      <w:rFonts w:ascii="Tahoma" w:hAnsi="Tahoma" w:cs="Tahoma"/>
      <w:sz w:val="16"/>
      <w:szCs w:val="16"/>
      <w:rtl w:val="0"/>
      <w:cs w:val="0"/>
      <w:lang w:val="x-none" w:eastAsia="cs-CZ"/>
    </w:rPr>
  </w:style>
  <w:style w:type="character" w:customStyle="1" w:styleId="truktradokumentuChar1101">
    <w:name w:val="Štruktúra dokumentu Char1101"/>
    <w:aliases w:val="Char9 Char Char1102,Document Map Char Char Char1102,Štruktúra dokumentu Char Char Char1102"/>
    <w:basedOn w:val="DefaultParagraphFont"/>
    <w:uiPriority w:val="99"/>
    <w:semiHidden/>
    <w:rPr>
      <w:rFonts w:ascii="Tahoma" w:hAnsi="Tahoma" w:cs="Tahoma"/>
      <w:sz w:val="16"/>
      <w:szCs w:val="16"/>
      <w:rtl w:val="0"/>
      <w:cs w:val="0"/>
      <w:lang w:val="x-none" w:eastAsia="cs-CZ"/>
    </w:rPr>
  </w:style>
  <w:style w:type="character" w:customStyle="1" w:styleId="truktradokumentuChar1100">
    <w:name w:val="Štruktúra dokumentu Char1100"/>
    <w:aliases w:val="Char9 Char Char1101,Document Map Char Char Char1101,Štruktúra dokumentu Char Char Char1101"/>
    <w:basedOn w:val="DefaultParagraphFont"/>
    <w:uiPriority w:val="99"/>
    <w:semiHidden/>
    <w:rPr>
      <w:rFonts w:ascii="Tahoma" w:hAnsi="Tahoma" w:cs="Tahoma"/>
      <w:sz w:val="16"/>
      <w:szCs w:val="16"/>
      <w:rtl w:val="0"/>
      <w:cs w:val="0"/>
      <w:lang w:val="x-none" w:eastAsia="cs-CZ"/>
    </w:rPr>
  </w:style>
  <w:style w:type="character" w:customStyle="1" w:styleId="truktradokumentuChar199">
    <w:name w:val="Štruktúra dokumentu Char199"/>
    <w:aliases w:val="Char9 Char Char1100,Document Map Char Char Char1100,Štruktúra dokumentu Char Char Char1100"/>
    <w:basedOn w:val="DefaultParagraphFont"/>
    <w:uiPriority w:val="99"/>
    <w:semiHidden/>
    <w:rPr>
      <w:rFonts w:ascii="Tahoma" w:hAnsi="Tahoma" w:cs="Tahoma"/>
      <w:sz w:val="16"/>
      <w:szCs w:val="16"/>
      <w:rtl w:val="0"/>
      <w:cs w:val="0"/>
      <w:lang w:val="x-none" w:eastAsia="cs-CZ"/>
    </w:rPr>
  </w:style>
  <w:style w:type="character" w:customStyle="1" w:styleId="truktradokumentuChar198">
    <w:name w:val="Štruktúra dokumentu Char198"/>
    <w:aliases w:val="Char9 Char Char199,Document Map Char Char Char199,Štruktúra dokumentu Char Char Char199"/>
    <w:basedOn w:val="DefaultParagraphFont"/>
    <w:uiPriority w:val="99"/>
    <w:semiHidden/>
    <w:rPr>
      <w:rFonts w:ascii="Tahoma" w:hAnsi="Tahoma" w:cs="Tahoma"/>
      <w:sz w:val="16"/>
      <w:szCs w:val="16"/>
      <w:rtl w:val="0"/>
      <w:cs w:val="0"/>
      <w:lang w:val="x-none" w:eastAsia="cs-CZ"/>
    </w:rPr>
  </w:style>
  <w:style w:type="character" w:customStyle="1" w:styleId="truktradokumentuChar197">
    <w:name w:val="Štruktúra dokumentu Char197"/>
    <w:aliases w:val="Char9 Char Char198,Document Map Char Char Char198,Štruktúra dokumentu Char Char Char198"/>
    <w:basedOn w:val="DefaultParagraphFont"/>
    <w:uiPriority w:val="99"/>
    <w:semiHidden/>
    <w:rPr>
      <w:rFonts w:ascii="Tahoma" w:hAnsi="Tahoma" w:cs="Tahoma"/>
      <w:sz w:val="16"/>
      <w:szCs w:val="16"/>
      <w:rtl w:val="0"/>
      <w:cs w:val="0"/>
      <w:lang w:val="x-none" w:eastAsia="cs-CZ"/>
    </w:rPr>
  </w:style>
  <w:style w:type="character" w:customStyle="1" w:styleId="truktradokumentuChar196">
    <w:name w:val="Štruktúra dokumentu Char196"/>
    <w:aliases w:val="Char9 Char Char197,Document Map Char Char Char197,Štruktúra dokumentu Char Char Char197"/>
    <w:basedOn w:val="DefaultParagraphFont"/>
    <w:uiPriority w:val="99"/>
    <w:semiHidden/>
    <w:rPr>
      <w:rFonts w:ascii="Tahoma" w:hAnsi="Tahoma" w:cs="Tahoma"/>
      <w:sz w:val="16"/>
      <w:szCs w:val="16"/>
      <w:rtl w:val="0"/>
      <w:cs w:val="0"/>
      <w:lang w:val="x-none" w:eastAsia="cs-CZ"/>
    </w:rPr>
  </w:style>
  <w:style w:type="character" w:customStyle="1" w:styleId="truktradokumentuChar195">
    <w:name w:val="Štruktúra dokumentu Char195"/>
    <w:aliases w:val="Char9 Char Char196,Document Map Char Char Char196,Štruktúra dokumentu Char Char Char196"/>
    <w:basedOn w:val="DefaultParagraphFont"/>
    <w:uiPriority w:val="99"/>
    <w:semiHidden/>
    <w:rPr>
      <w:rFonts w:ascii="Tahoma" w:hAnsi="Tahoma" w:cs="Tahoma"/>
      <w:sz w:val="16"/>
      <w:szCs w:val="16"/>
      <w:rtl w:val="0"/>
      <w:cs w:val="0"/>
      <w:lang w:val="x-none" w:eastAsia="cs-CZ"/>
    </w:rPr>
  </w:style>
  <w:style w:type="character" w:customStyle="1" w:styleId="truktradokumentuChar194">
    <w:name w:val="Štruktúra dokumentu Char194"/>
    <w:aliases w:val="Char9 Char Char195,Document Map Char Char Char195,Štruktúra dokumentu Char Char Char195"/>
    <w:basedOn w:val="DefaultParagraphFont"/>
    <w:uiPriority w:val="99"/>
    <w:semiHidden/>
    <w:rPr>
      <w:rFonts w:ascii="Tahoma" w:hAnsi="Tahoma" w:cs="Tahoma"/>
      <w:sz w:val="16"/>
      <w:szCs w:val="16"/>
      <w:rtl w:val="0"/>
      <w:cs w:val="0"/>
      <w:lang w:val="x-none" w:eastAsia="cs-CZ"/>
    </w:rPr>
  </w:style>
  <w:style w:type="character" w:customStyle="1" w:styleId="truktradokumentuChar193">
    <w:name w:val="Štruktúra dokumentu Char193"/>
    <w:aliases w:val="Char9 Char Char194,Document Map Char Char Char194,Štruktúra dokumentu Char Char Char194"/>
    <w:basedOn w:val="DefaultParagraphFont"/>
    <w:uiPriority w:val="99"/>
    <w:semiHidden/>
    <w:rPr>
      <w:rFonts w:ascii="Tahoma" w:hAnsi="Tahoma" w:cs="Tahoma"/>
      <w:sz w:val="16"/>
      <w:szCs w:val="16"/>
      <w:rtl w:val="0"/>
      <w:cs w:val="0"/>
      <w:lang w:val="x-none" w:eastAsia="cs-CZ"/>
    </w:rPr>
  </w:style>
  <w:style w:type="character" w:customStyle="1" w:styleId="truktradokumentuChar192">
    <w:name w:val="Štruktúra dokumentu Char192"/>
    <w:aliases w:val="Char9 Char Char193,Document Map Char Char Char193,Štruktúra dokumentu Char Char Char193"/>
    <w:basedOn w:val="DefaultParagraphFont"/>
    <w:uiPriority w:val="99"/>
    <w:semiHidden/>
    <w:rPr>
      <w:rFonts w:ascii="Tahoma" w:hAnsi="Tahoma" w:cs="Tahoma"/>
      <w:sz w:val="16"/>
      <w:szCs w:val="16"/>
      <w:rtl w:val="0"/>
      <w:cs w:val="0"/>
      <w:lang w:val="x-none" w:eastAsia="cs-CZ"/>
    </w:rPr>
  </w:style>
  <w:style w:type="character" w:customStyle="1" w:styleId="truktradokumentuChar191">
    <w:name w:val="Štruktúra dokumentu Char191"/>
    <w:aliases w:val="Char9 Char Char192,Document Map Char Char Char192,Štruktúra dokumentu Char Char Char192"/>
    <w:basedOn w:val="DefaultParagraphFont"/>
    <w:uiPriority w:val="99"/>
    <w:semiHidden/>
    <w:rPr>
      <w:rFonts w:ascii="Tahoma" w:hAnsi="Tahoma" w:cs="Tahoma"/>
      <w:sz w:val="16"/>
      <w:szCs w:val="16"/>
      <w:rtl w:val="0"/>
      <w:cs w:val="0"/>
      <w:lang w:val="x-none" w:eastAsia="cs-CZ"/>
    </w:rPr>
  </w:style>
  <w:style w:type="character" w:customStyle="1" w:styleId="truktradokumentuChar190">
    <w:name w:val="Štruktúra dokumentu Char190"/>
    <w:aliases w:val="Char9 Char Char191,Document Map Char Char Char191,Štruktúra dokumentu Char Char Char191"/>
    <w:basedOn w:val="DefaultParagraphFont"/>
    <w:uiPriority w:val="99"/>
    <w:semiHidden/>
    <w:rPr>
      <w:rFonts w:ascii="Tahoma" w:hAnsi="Tahoma" w:cs="Tahoma"/>
      <w:sz w:val="16"/>
      <w:szCs w:val="16"/>
      <w:rtl w:val="0"/>
      <w:cs w:val="0"/>
      <w:lang w:val="x-none" w:eastAsia="cs-CZ"/>
    </w:rPr>
  </w:style>
  <w:style w:type="character" w:customStyle="1" w:styleId="truktradokumentuChar189">
    <w:name w:val="Štruktúra dokumentu Char189"/>
    <w:aliases w:val="Char9 Char Char190,Document Map Char Char Char190,Štruktúra dokumentu Char Char Char190"/>
    <w:basedOn w:val="DefaultParagraphFont"/>
    <w:uiPriority w:val="99"/>
    <w:semiHidden/>
    <w:rPr>
      <w:rFonts w:ascii="Tahoma" w:hAnsi="Tahoma" w:cs="Tahoma"/>
      <w:sz w:val="16"/>
      <w:szCs w:val="16"/>
      <w:rtl w:val="0"/>
      <w:cs w:val="0"/>
      <w:lang w:val="x-none" w:eastAsia="cs-CZ"/>
    </w:rPr>
  </w:style>
  <w:style w:type="character" w:customStyle="1" w:styleId="truktradokumentuChar188">
    <w:name w:val="Štruktúra dokumentu Char188"/>
    <w:aliases w:val="Char9 Char Char189,Document Map Char Char Char189,Štruktúra dokumentu Char Char Char189"/>
    <w:basedOn w:val="DefaultParagraphFont"/>
    <w:uiPriority w:val="99"/>
    <w:semiHidden/>
    <w:rPr>
      <w:rFonts w:ascii="Tahoma" w:hAnsi="Tahoma" w:cs="Tahoma"/>
      <w:sz w:val="16"/>
      <w:szCs w:val="16"/>
      <w:rtl w:val="0"/>
      <w:cs w:val="0"/>
      <w:lang w:val="x-none" w:eastAsia="cs-CZ"/>
    </w:rPr>
  </w:style>
  <w:style w:type="character" w:customStyle="1" w:styleId="truktradokumentuChar187">
    <w:name w:val="Štruktúra dokumentu Char187"/>
    <w:aliases w:val="Char9 Char Char188,Document Map Char Char Char188,Štruktúra dokumentu Char Char Char188"/>
    <w:basedOn w:val="DefaultParagraphFont"/>
    <w:uiPriority w:val="99"/>
    <w:semiHidden/>
    <w:rPr>
      <w:rFonts w:ascii="Tahoma" w:hAnsi="Tahoma" w:cs="Tahoma"/>
      <w:sz w:val="16"/>
      <w:szCs w:val="16"/>
      <w:rtl w:val="0"/>
      <w:cs w:val="0"/>
      <w:lang w:val="x-none" w:eastAsia="cs-CZ"/>
    </w:rPr>
  </w:style>
  <w:style w:type="character" w:customStyle="1" w:styleId="truktradokumentuChar186">
    <w:name w:val="Štruktúra dokumentu Char186"/>
    <w:aliases w:val="Char9 Char Char187,Document Map Char Char Char187,Štruktúra dokumentu Char Char Char187"/>
    <w:basedOn w:val="DefaultParagraphFont"/>
    <w:uiPriority w:val="99"/>
    <w:semiHidden/>
    <w:rPr>
      <w:rFonts w:ascii="Tahoma" w:hAnsi="Tahoma" w:cs="Tahoma"/>
      <w:sz w:val="16"/>
      <w:szCs w:val="16"/>
      <w:rtl w:val="0"/>
      <w:cs w:val="0"/>
      <w:lang w:val="x-none" w:eastAsia="cs-CZ"/>
    </w:rPr>
  </w:style>
  <w:style w:type="character" w:customStyle="1" w:styleId="truktradokumentuChar185">
    <w:name w:val="Štruktúra dokumentu Char185"/>
    <w:aliases w:val="Char9 Char Char186,Document Map Char Char Char186,Štruktúra dokumentu Char Char Char186"/>
    <w:basedOn w:val="DefaultParagraphFont"/>
    <w:uiPriority w:val="99"/>
    <w:semiHidden/>
    <w:rPr>
      <w:rFonts w:ascii="Tahoma" w:hAnsi="Tahoma" w:cs="Tahoma"/>
      <w:sz w:val="16"/>
      <w:szCs w:val="16"/>
      <w:rtl w:val="0"/>
      <w:cs w:val="0"/>
      <w:lang w:val="x-none" w:eastAsia="cs-CZ"/>
    </w:rPr>
  </w:style>
  <w:style w:type="character" w:customStyle="1" w:styleId="truktradokumentuChar184">
    <w:name w:val="Štruktúra dokumentu Char184"/>
    <w:aliases w:val="Char9 Char Char185,Document Map Char Char Char185,Štruktúra dokumentu Char Char Char185"/>
    <w:basedOn w:val="DefaultParagraphFont"/>
    <w:uiPriority w:val="99"/>
    <w:semiHidden/>
    <w:rPr>
      <w:rFonts w:ascii="Tahoma" w:hAnsi="Tahoma" w:cs="Tahoma"/>
      <w:sz w:val="16"/>
      <w:szCs w:val="16"/>
      <w:rtl w:val="0"/>
      <w:cs w:val="0"/>
      <w:lang w:val="x-none" w:eastAsia="cs-CZ"/>
    </w:rPr>
  </w:style>
  <w:style w:type="character" w:customStyle="1" w:styleId="truktradokumentuChar183">
    <w:name w:val="Štruktúra dokumentu Char183"/>
    <w:aliases w:val="Char9 Char Char184,Document Map Char Char Char184,Štruktúra dokumentu Char Char Char184"/>
    <w:basedOn w:val="DefaultParagraphFont"/>
    <w:uiPriority w:val="99"/>
    <w:semiHidden/>
    <w:rPr>
      <w:rFonts w:ascii="Tahoma" w:hAnsi="Tahoma" w:cs="Tahoma"/>
      <w:sz w:val="16"/>
      <w:szCs w:val="16"/>
      <w:rtl w:val="0"/>
      <w:cs w:val="0"/>
      <w:lang w:val="x-none" w:eastAsia="cs-CZ"/>
    </w:rPr>
  </w:style>
  <w:style w:type="character" w:customStyle="1" w:styleId="truktradokumentuChar182">
    <w:name w:val="Štruktúra dokumentu Char182"/>
    <w:aliases w:val="Char9 Char Char183,Document Map Char Char Char183,Štruktúra dokumentu Char Char Char183"/>
    <w:basedOn w:val="DefaultParagraphFont"/>
    <w:uiPriority w:val="99"/>
    <w:semiHidden/>
    <w:rPr>
      <w:rFonts w:ascii="Tahoma" w:hAnsi="Tahoma" w:cs="Tahoma"/>
      <w:sz w:val="16"/>
      <w:szCs w:val="16"/>
      <w:rtl w:val="0"/>
      <w:cs w:val="0"/>
      <w:lang w:val="x-none" w:eastAsia="cs-CZ"/>
    </w:rPr>
  </w:style>
  <w:style w:type="character" w:customStyle="1" w:styleId="truktradokumentuChar181">
    <w:name w:val="Štruktúra dokumentu Char181"/>
    <w:aliases w:val="Char9 Char Char182,Document Map Char Char Char182,Štruktúra dokumentu Char Char Char182"/>
    <w:basedOn w:val="DefaultParagraphFont"/>
    <w:uiPriority w:val="99"/>
    <w:semiHidden/>
    <w:rPr>
      <w:rFonts w:ascii="Tahoma" w:hAnsi="Tahoma" w:cs="Tahoma"/>
      <w:sz w:val="16"/>
      <w:szCs w:val="16"/>
      <w:rtl w:val="0"/>
      <w:cs w:val="0"/>
      <w:lang w:val="x-none" w:eastAsia="cs-CZ"/>
    </w:rPr>
  </w:style>
  <w:style w:type="character" w:customStyle="1" w:styleId="truktradokumentuChar180">
    <w:name w:val="Štruktúra dokumentu Char180"/>
    <w:aliases w:val="Char9 Char Char181,Document Map Char Char Char181,Štruktúra dokumentu Char Char Char181"/>
    <w:basedOn w:val="DefaultParagraphFont"/>
    <w:uiPriority w:val="99"/>
    <w:semiHidden/>
    <w:rPr>
      <w:rFonts w:ascii="Tahoma" w:hAnsi="Tahoma" w:cs="Tahoma"/>
      <w:sz w:val="16"/>
      <w:szCs w:val="16"/>
      <w:rtl w:val="0"/>
      <w:cs w:val="0"/>
      <w:lang w:val="x-none" w:eastAsia="cs-CZ"/>
    </w:rPr>
  </w:style>
  <w:style w:type="character" w:customStyle="1" w:styleId="truktradokumentuChar179">
    <w:name w:val="Štruktúra dokumentu Char179"/>
    <w:aliases w:val="Char9 Char Char180,Document Map Char Char Char180,Štruktúra dokumentu Char Char Char180"/>
    <w:basedOn w:val="DefaultParagraphFont"/>
    <w:uiPriority w:val="99"/>
    <w:semiHidden/>
    <w:rPr>
      <w:rFonts w:ascii="Tahoma" w:hAnsi="Tahoma" w:cs="Tahoma"/>
      <w:sz w:val="16"/>
      <w:szCs w:val="16"/>
      <w:rtl w:val="0"/>
      <w:cs w:val="0"/>
      <w:lang w:val="x-none" w:eastAsia="cs-CZ"/>
    </w:rPr>
  </w:style>
  <w:style w:type="character" w:customStyle="1" w:styleId="truktradokumentuChar178">
    <w:name w:val="Štruktúra dokumentu Char178"/>
    <w:aliases w:val="Char9 Char Char179,Document Map Char Char Char179,Štruktúra dokumentu Char Char Char179"/>
    <w:basedOn w:val="DefaultParagraphFont"/>
    <w:uiPriority w:val="99"/>
    <w:semiHidden/>
    <w:rPr>
      <w:rFonts w:ascii="Tahoma" w:hAnsi="Tahoma" w:cs="Tahoma"/>
      <w:sz w:val="16"/>
      <w:szCs w:val="16"/>
      <w:rtl w:val="0"/>
      <w:cs w:val="0"/>
      <w:lang w:val="x-none" w:eastAsia="cs-CZ"/>
    </w:rPr>
  </w:style>
  <w:style w:type="character" w:customStyle="1" w:styleId="truktradokumentuChar177">
    <w:name w:val="Štruktúra dokumentu Char177"/>
    <w:aliases w:val="Char9 Char Char178,Document Map Char Char Char178,Štruktúra dokumentu Char Char Char178"/>
    <w:basedOn w:val="DefaultParagraphFont"/>
    <w:uiPriority w:val="99"/>
    <w:semiHidden/>
    <w:rPr>
      <w:rFonts w:ascii="Tahoma" w:hAnsi="Tahoma" w:cs="Tahoma"/>
      <w:sz w:val="16"/>
      <w:szCs w:val="16"/>
      <w:rtl w:val="0"/>
      <w:cs w:val="0"/>
      <w:lang w:val="x-none" w:eastAsia="cs-CZ"/>
    </w:rPr>
  </w:style>
  <w:style w:type="character" w:customStyle="1" w:styleId="truktradokumentuChar176">
    <w:name w:val="Štruktúra dokumentu Char176"/>
    <w:aliases w:val="Char9 Char Char177,Document Map Char Char Char177,Štruktúra dokumentu Char Char Char177"/>
    <w:basedOn w:val="DefaultParagraphFont"/>
    <w:uiPriority w:val="99"/>
    <w:semiHidden/>
    <w:rPr>
      <w:rFonts w:ascii="Tahoma" w:hAnsi="Tahoma" w:cs="Tahoma"/>
      <w:sz w:val="16"/>
      <w:szCs w:val="16"/>
      <w:rtl w:val="0"/>
      <w:cs w:val="0"/>
      <w:lang w:val="x-none" w:eastAsia="cs-CZ"/>
    </w:rPr>
  </w:style>
  <w:style w:type="character" w:customStyle="1" w:styleId="truktradokumentuChar175">
    <w:name w:val="Štruktúra dokumentu Char175"/>
    <w:aliases w:val="Char9 Char Char176,Document Map Char Char Char176,Štruktúra dokumentu Char Char Char176"/>
    <w:basedOn w:val="DefaultParagraphFont"/>
    <w:uiPriority w:val="99"/>
    <w:semiHidden/>
    <w:rPr>
      <w:rFonts w:ascii="Tahoma" w:hAnsi="Tahoma" w:cs="Tahoma"/>
      <w:sz w:val="16"/>
      <w:szCs w:val="16"/>
      <w:rtl w:val="0"/>
      <w:cs w:val="0"/>
      <w:lang w:val="x-none" w:eastAsia="cs-CZ"/>
    </w:rPr>
  </w:style>
  <w:style w:type="character" w:customStyle="1" w:styleId="truktradokumentuChar174">
    <w:name w:val="Štruktúra dokumentu Char174"/>
    <w:aliases w:val="Char9 Char Char175,Document Map Char Char Char175,Štruktúra dokumentu Char Char Char175"/>
    <w:basedOn w:val="DefaultParagraphFont"/>
    <w:uiPriority w:val="99"/>
    <w:semiHidden/>
    <w:rPr>
      <w:rFonts w:ascii="Tahoma" w:hAnsi="Tahoma" w:cs="Tahoma"/>
      <w:sz w:val="16"/>
      <w:szCs w:val="16"/>
      <w:rtl w:val="0"/>
      <w:cs w:val="0"/>
      <w:lang w:val="x-none" w:eastAsia="cs-CZ"/>
    </w:rPr>
  </w:style>
  <w:style w:type="character" w:customStyle="1" w:styleId="truktradokumentuChar173">
    <w:name w:val="Štruktúra dokumentu Char173"/>
    <w:aliases w:val="Char9 Char Char174,Document Map Char Char Char174,Štruktúra dokumentu Char Char Char174"/>
    <w:basedOn w:val="DefaultParagraphFont"/>
    <w:uiPriority w:val="99"/>
    <w:semiHidden/>
    <w:rPr>
      <w:rFonts w:ascii="Tahoma" w:hAnsi="Tahoma" w:cs="Tahoma"/>
      <w:sz w:val="16"/>
      <w:szCs w:val="16"/>
      <w:rtl w:val="0"/>
      <w:cs w:val="0"/>
      <w:lang w:val="x-none" w:eastAsia="cs-CZ"/>
    </w:rPr>
  </w:style>
  <w:style w:type="character" w:customStyle="1" w:styleId="truktradokumentuChar172">
    <w:name w:val="Štruktúra dokumentu Char172"/>
    <w:aliases w:val="Char9 Char Char173,Document Map Char Char Char173,Štruktúra dokumentu Char Char Char173"/>
    <w:basedOn w:val="DefaultParagraphFont"/>
    <w:uiPriority w:val="99"/>
    <w:semiHidden/>
    <w:rPr>
      <w:rFonts w:ascii="Tahoma" w:hAnsi="Tahoma" w:cs="Tahoma"/>
      <w:sz w:val="16"/>
      <w:szCs w:val="16"/>
      <w:rtl w:val="0"/>
      <w:cs w:val="0"/>
      <w:lang w:val="x-none" w:eastAsia="cs-CZ"/>
    </w:rPr>
  </w:style>
  <w:style w:type="character" w:customStyle="1" w:styleId="truktradokumentuChar171">
    <w:name w:val="Štruktúra dokumentu Char171"/>
    <w:aliases w:val="Char9 Char Char172,Document Map Char Char Char172,Štruktúra dokumentu Char Char Char172"/>
    <w:basedOn w:val="DefaultParagraphFont"/>
    <w:uiPriority w:val="99"/>
    <w:semiHidden/>
    <w:rPr>
      <w:rFonts w:ascii="Tahoma" w:hAnsi="Tahoma" w:cs="Tahoma"/>
      <w:sz w:val="16"/>
      <w:szCs w:val="16"/>
      <w:rtl w:val="0"/>
      <w:cs w:val="0"/>
      <w:lang w:val="x-none" w:eastAsia="cs-CZ"/>
    </w:rPr>
  </w:style>
  <w:style w:type="character" w:customStyle="1" w:styleId="truktradokumentuChar170">
    <w:name w:val="Štruktúra dokumentu Char170"/>
    <w:aliases w:val="Char9 Char Char171,Document Map Char Char Char171,Štruktúra dokumentu Char Char Char171"/>
    <w:basedOn w:val="DefaultParagraphFont"/>
    <w:uiPriority w:val="99"/>
    <w:semiHidden/>
    <w:rPr>
      <w:rFonts w:ascii="Tahoma" w:hAnsi="Tahoma" w:cs="Tahoma"/>
      <w:sz w:val="16"/>
      <w:szCs w:val="16"/>
      <w:rtl w:val="0"/>
      <w:cs w:val="0"/>
      <w:lang w:val="x-none" w:eastAsia="cs-CZ"/>
    </w:rPr>
  </w:style>
  <w:style w:type="character" w:customStyle="1" w:styleId="truktradokumentuChar169">
    <w:name w:val="Štruktúra dokumentu Char169"/>
    <w:aliases w:val="Char9 Char Char170,Document Map Char Char Char170,Štruktúra dokumentu Char Char Char170"/>
    <w:basedOn w:val="DefaultParagraphFont"/>
    <w:uiPriority w:val="99"/>
    <w:semiHidden/>
    <w:rPr>
      <w:rFonts w:ascii="Tahoma" w:hAnsi="Tahoma" w:cs="Tahoma"/>
      <w:sz w:val="16"/>
      <w:szCs w:val="16"/>
      <w:rtl w:val="0"/>
      <w:cs w:val="0"/>
      <w:lang w:val="x-none" w:eastAsia="cs-CZ"/>
    </w:rPr>
  </w:style>
  <w:style w:type="character" w:customStyle="1" w:styleId="truktradokumentuChar168">
    <w:name w:val="Štruktúra dokumentu Char168"/>
    <w:aliases w:val="Char9 Char Char169,Document Map Char Char Char169,Štruktúra dokumentu Char Char Char169"/>
    <w:basedOn w:val="DefaultParagraphFont"/>
    <w:uiPriority w:val="99"/>
    <w:semiHidden/>
    <w:rPr>
      <w:rFonts w:ascii="Tahoma" w:hAnsi="Tahoma" w:cs="Tahoma"/>
      <w:sz w:val="16"/>
      <w:szCs w:val="16"/>
      <w:rtl w:val="0"/>
      <w:cs w:val="0"/>
      <w:lang w:val="x-none" w:eastAsia="cs-CZ"/>
    </w:rPr>
  </w:style>
  <w:style w:type="character" w:customStyle="1" w:styleId="truktradokumentuChar167">
    <w:name w:val="Štruktúra dokumentu Char167"/>
    <w:aliases w:val="Char9 Char Char168,Document Map Char Char Char168,Štruktúra dokumentu Char Char Char168"/>
    <w:basedOn w:val="DefaultParagraphFont"/>
    <w:uiPriority w:val="99"/>
    <w:semiHidden/>
    <w:rPr>
      <w:rFonts w:ascii="Tahoma" w:hAnsi="Tahoma" w:cs="Tahoma"/>
      <w:sz w:val="16"/>
      <w:szCs w:val="16"/>
      <w:rtl w:val="0"/>
      <w:cs w:val="0"/>
      <w:lang w:val="x-none" w:eastAsia="cs-CZ"/>
    </w:rPr>
  </w:style>
  <w:style w:type="character" w:customStyle="1" w:styleId="truktradokumentuChar166">
    <w:name w:val="Štruktúra dokumentu Char166"/>
    <w:aliases w:val="Char9 Char Char167,Document Map Char Char Char167,Štruktúra dokumentu Char Char Char167"/>
    <w:basedOn w:val="DefaultParagraphFont"/>
    <w:uiPriority w:val="99"/>
    <w:semiHidden/>
    <w:rPr>
      <w:rFonts w:ascii="Tahoma" w:hAnsi="Tahoma" w:cs="Tahoma"/>
      <w:sz w:val="16"/>
      <w:szCs w:val="16"/>
      <w:rtl w:val="0"/>
      <w:cs w:val="0"/>
      <w:lang w:val="x-none" w:eastAsia="cs-CZ"/>
    </w:rPr>
  </w:style>
  <w:style w:type="character" w:customStyle="1" w:styleId="truktradokumentuChar165">
    <w:name w:val="Štruktúra dokumentu Char165"/>
    <w:aliases w:val="Char9 Char Char166,Document Map Char Char Char166,Štruktúra dokumentu Char Char Char166"/>
    <w:basedOn w:val="DefaultParagraphFont"/>
    <w:uiPriority w:val="99"/>
    <w:semiHidden/>
    <w:rPr>
      <w:rFonts w:ascii="Tahoma" w:hAnsi="Tahoma" w:cs="Tahoma"/>
      <w:sz w:val="16"/>
      <w:szCs w:val="16"/>
      <w:rtl w:val="0"/>
      <w:cs w:val="0"/>
      <w:lang w:val="x-none" w:eastAsia="cs-CZ"/>
    </w:rPr>
  </w:style>
  <w:style w:type="character" w:customStyle="1" w:styleId="truktradokumentuChar164">
    <w:name w:val="Štruktúra dokumentu Char164"/>
    <w:aliases w:val="Char9 Char Char165,Document Map Char Char Char165,Štruktúra dokumentu Char Char Char165"/>
    <w:basedOn w:val="DefaultParagraphFont"/>
    <w:uiPriority w:val="99"/>
    <w:semiHidden/>
    <w:rPr>
      <w:rFonts w:ascii="Tahoma" w:hAnsi="Tahoma" w:cs="Tahoma"/>
      <w:sz w:val="16"/>
      <w:szCs w:val="16"/>
      <w:rtl w:val="0"/>
      <w:cs w:val="0"/>
      <w:lang w:val="x-none" w:eastAsia="cs-CZ"/>
    </w:rPr>
  </w:style>
  <w:style w:type="character" w:customStyle="1" w:styleId="truktradokumentuChar163">
    <w:name w:val="Štruktúra dokumentu Char163"/>
    <w:aliases w:val="Char9 Char Char164,Document Map Char Char Char164,Štruktúra dokumentu Char Char Char164"/>
    <w:basedOn w:val="DefaultParagraphFont"/>
    <w:uiPriority w:val="99"/>
    <w:semiHidden/>
    <w:rPr>
      <w:rFonts w:ascii="Tahoma" w:hAnsi="Tahoma" w:cs="Tahoma"/>
      <w:sz w:val="16"/>
      <w:szCs w:val="16"/>
      <w:rtl w:val="0"/>
      <w:cs w:val="0"/>
      <w:lang w:val="x-none" w:eastAsia="cs-CZ"/>
    </w:rPr>
  </w:style>
  <w:style w:type="character" w:customStyle="1" w:styleId="truktradokumentuChar162">
    <w:name w:val="Štruktúra dokumentu Char162"/>
    <w:aliases w:val="Char9 Char Char163,Document Map Char Char Char163,Štruktúra dokumentu Char Char Char163"/>
    <w:basedOn w:val="DefaultParagraphFont"/>
    <w:uiPriority w:val="99"/>
    <w:semiHidden/>
    <w:rPr>
      <w:rFonts w:ascii="Tahoma" w:hAnsi="Tahoma" w:cs="Tahoma"/>
      <w:sz w:val="16"/>
      <w:szCs w:val="16"/>
      <w:rtl w:val="0"/>
      <w:cs w:val="0"/>
      <w:lang w:val="x-none" w:eastAsia="cs-CZ"/>
    </w:rPr>
  </w:style>
  <w:style w:type="character" w:customStyle="1" w:styleId="truktradokumentuChar161">
    <w:name w:val="Štruktúra dokumentu Char161"/>
    <w:aliases w:val="Char9 Char Char162,Document Map Char Char Char162,Štruktúra dokumentu Char Char Char162"/>
    <w:basedOn w:val="DefaultParagraphFont"/>
    <w:uiPriority w:val="99"/>
    <w:semiHidden/>
    <w:rPr>
      <w:rFonts w:ascii="Tahoma" w:hAnsi="Tahoma" w:cs="Tahoma"/>
      <w:sz w:val="16"/>
      <w:szCs w:val="16"/>
      <w:rtl w:val="0"/>
      <w:cs w:val="0"/>
      <w:lang w:val="x-none" w:eastAsia="cs-CZ"/>
    </w:rPr>
  </w:style>
  <w:style w:type="character" w:customStyle="1" w:styleId="truktradokumentuChar160">
    <w:name w:val="Štruktúra dokumentu Char160"/>
    <w:aliases w:val="Char9 Char Char161,Document Map Char Char Char161,Štruktúra dokumentu Char Char Char161"/>
    <w:basedOn w:val="DefaultParagraphFont"/>
    <w:uiPriority w:val="99"/>
    <w:semiHidden/>
    <w:rPr>
      <w:rFonts w:ascii="Tahoma" w:hAnsi="Tahoma" w:cs="Tahoma"/>
      <w:sz w:val="16"/>
      <w:szCs w:val="16"/>
      <w:rtl w:val="0"/>
      <w:cs w:val="0"/>
      <w:lang w:val="x-none" w:eastAsia="cs-CZ"/>
    </w:rPr>
  </w:style>
  <w:style w:type="character" w:customStyle="1" w:styleId="truktradokumentuChar159">
    <w:name w:val="Štruktúra dokumentu Char159"/>
    <w:aliases w:val="Char9 Char Char160,Document Map Char Char Char160,Štruktúra dokumentu Char Char Char160"/>
    <w:basedOn w:val="DefaultParagraphFont"/>
    <w:uiPriority w:val="99"/>
    <w:semiHidden/>
    <w:rPr>
      <w:rFonts w:ascii="Tahoma" w:hAnsi="Tahoma" w:cs="Tahoma"/>
      <w:sz w:val="16"/>
      <w:szCs w:val="16"/>
      <w:rtl w:val="0"/>
      <w:cs w:val="0"/>
      <w:lang w:val="x-none" w:eastAsia="cs-CZ"/>
    </w:rPr>
  </w:style>
  <w:style w:type="character" w:customStyle="1" w:styleId="truktradokumentuChar158">
    <w:name w:val="Štruktúra dokumentu Char158"/>
    <w:aliases w:val="Char9 Char Char159,Document Map Char Char Char159,Štruktúra dokumentu Char Char Char159"/>
    <w:basedOn w:val="DefaultParagraphFont"/>
    <w:uiPriority w:val="99"/>
    <w:semiHidden/>
    <w:rPr>
      <w:rFonts w:ascii="Tahoma" w:hAnsi="Tahoma" w:cs="Tahoma"/>
      <w:sz w:val="16"/>
      <w:szCs w:val="16"/>
      <w:rtl w:val="0"/>
      <w:cs w:val="0"/>
      <w:lang w:val="x-none" w:eastAsia="cs-CZ"/>
    </w:rPr>
  </w:style>
  <w:style w:type="character" w:customStyle="1" w:styleId="truktradokumentuChar157">
    <w:name w:val="Štruktúra dokumentu Char157"/>
    <w:aliases w:val="Char9 Char Char158,Document Map Char Char Char158,Štruktúra dokumentu Char Char Char158"/>
    <w:basedOn w:val="DefaultParagraphFont"/>
    <w:uiPriority w:val="99"/>
    <w:semiHidden/>
    <w:rPr>
      <w:rFonts w:ascii="Tahoma" w:hAnsi="Tahoma" w:cs="Tahoma"/>
      <w:sz w:val="16"/>
      <w:szCs w:val="16"/>
      <w:rtl w:val="0"/>
      <w:cs w:val="0"/>
      <w:lang w:val="x-none" w:eastAsia="cs-CZ"/>
    </w:rPr>
  </w:style>
  <w:style w:type="character" w:customStyle="1" w:styleId="truktradokumentuChar156">
    <w:name w:val="Štruktúra dokumentu Char156"/>
    <w:aliases w:val="Char9 Char Char157,Document Map Char Char Char157,Štruktúra dokumentu Char Char Char157"/>
    <w:basedOn w:val="DefaultParagraphFont"/>
    <w:uiPriority w:val="99"/>
    <w:semiHidden/>
    <w:rPr>
      <w:rFonts w:ascii="Tahoma" w:hAnsi="Tahoma" w:cs="Tahoma"/>
      <w:sz w:val="16"/>
      <w:szCs w:val="16"/>
      <w:rtl w:val="0"/>
      <w:cs w:val="0"/>
      <w:lang w:val="x-none" w:eastAsia="cs-CZ"/>
    </w:rPr>
  </w:style>
  <w:style w:type="character" w:customStyle="1" w:styleId="truktradokumentuChar155">
    <w:name w:val="Štruktúra dokumentu Char155"/>
    <w:aliases w:val="Char9 Char Char156,Document Map Char Char Char156,Štruktúra dokumentu Char Char Char156"/>
    <w:basedOn w:val="DefaultParagraphFont"/>
    <w:uiPriority w:val="99"/>
    <w:semiHidden/>
    <w:rPr>
      <w:rFonts w:ascii="Tahoma" w:hAnsi="Tahoma" w:cs="Tahoma"/>
      <w:sz w:val="16"/>
      <w:szCs w:val="16"/>
      <w:rtl w:val="0"/>
      <w:cs w:val="0"/>
      <w:lang w:val="x-none" w:eastAsia="cs-CZ"/>
    </w:rPr>
  </w:style>
  <w:style w:type="character" w:customStyle="1" w:styleId="truktradokumentuChar154">
    <w:name w:val="Štruktúra dokumentu Char154"/>
    <w:aliases w:val="Char9 Char Char155,Document Map Char Char Char155,Štruktúra dokumentu Char Char Char155"/>
    <w:basedOn w:val="DefaultParagraphFont"/>
    <w:uiPriority w:val="99"/>
    <w:semiHidden/>
    <w:rPr>
      <w:rFonts w:ascii="Tahoma" w:hAnsi="Tahoma" w:cs="Tahoma"/>
      <w:sz w:val="16"/>
      <w:szCs w:val="16"/>
      <w:rtl w:val="0"/>
      <w:cs w:val="0"/>
      <w:lang w:val="x-none" w:eastAsia="cs-CZ"/>
    </w:rPr>
  </w:style>
  <w:style w:type="character" w:customStyle="1" w:styleId="truktradokumentuChar153">
    <w:name w:val="Štruktúra dokumentu Char153"/>
    <w:aliases w:val="Char9 Char Char154,Document Map Char Char Char154,Štruktúra dokumentu Char Char Char154"/>
    <w:basedOn w:val="DefaultParagraphFont"/>
    <w:uiPriority w:val="99"/>
    <w:semiHidden/>
    <w:rPr>
      <w:rFonts w:ascii="Tahoma" w:hAnsi="Tahoma" w:cs="Tahoma"/>
      <w:sz w:val="16"/>
      <w:szCs w:val="16"/>
      <w:rtl w:val="0"/>
      <w:cs w:val="0"/>
      <w:lang w:val="x-none" w:eastAsia="cs-CZ"/>
    </w:rPr>
  </w:style>
  <w:style w:type="character" w:customStyle="1" w:styleId="truktradokumentuChar152">
    <w:name w:val="Štruktúra dokumentu Char152"/>
    <w:aliases w:val="Char9 Char Char153,Document Map Char Char Char153,Štruktúra dokumentu Char Char Char153"/>
    <w:basedOn w:val="DefaultParagraphFont"/>
    <w:uiPriority w:val="99"/>
    <w:semiHidden/>
    <w:rPr>
      <w:rFonts w:ascii="Tahoma" w:hAnsi="Tahoma" w:cs="Tahoma"/>
      <w:sz w:val="16"/>
      <w:szCs w:val="16"/>
      <w:rtl w:val="0"/>
      <w:cs w:val="0"/>
      <w:lang w:val="x-none" w:eastAsia="cs-CZ"/>
    </w:rPr>
  </w:style>
  <w:style w:type="character" w:customStyle="1" w:styleId="truktradokumentuChar151">
    <w:name w:val="Štruktúra dokumentu Char151"/>
    <w:aliases w:val="Char9 Char Char152,Document Map Char Char Char152,Štruktúra dokumentu Char Char Char152"/>
    <w:basedOn w:val="DefaultParagraphFont"/>
    <w:uiPriority w:val="99"/>
    <w:semiHidden/>
    <w:rPr>
      <w:rFonts w:ascii="Tahoma" w:hAnsi="Tahoma" w:cs="Tahoma"/>
      <w:sz w:val="16"/>
      <w:szCs w:val="16"/>
      <w:rtl w:val="0"/>
      <w:cs w:val="0"/>
      <w:lang w:val="x-none" w:eastAsia="cs-CZ"/>
    </w:rPr>
  </w:style>
  <w:style w:type="character" w:customStyle="1" w:styleId="truktradokumentuChar150">
    <w:name w:val="Štruktúra dokumentu Char150"/>
    <w:aliases w:val="Char9 Char Char151,Document Map Char Char Char151,Štruktúra dokumentu Char Char Char151"/>
    <w:basedOn w:val="DefaultParagraphFont"/>
    <w:uiPriority w:val="99"/>
    <w:semiHidden/>
    <w:rPr>
      <w:rFonts w:ascii="Tahoma" w:hAnsi="Tahoma" w:cs="Tahoma"/>
      <w:sz w:val="16"/>
      <w:szCs w:val="16"/>
      <w:rtl w:val="0"/>
      <w:cs w:val="0"/>
      <w:lang w:val="x-none" w:eastAsia="cs-CZ"/>
    </w:rPr>
  </w:style>
  <w:style w:type="character" w:customStyle="1" w:styleId="truktradokumentuChar149">
    <w:name w:val="Štruktúra dokumentu Char149"/>
    <w:aliases w:val="Char9 Char Char150,Document Map Char Char Char150,Štruktúra dokumentu Char Char Char150"/>
    <w:basedOn w:val="DefaultParagraphFont"/>
    <w:uiPriority w:val="99"/>
    <w:semiHidden/>
    <w:rPr>
      <w:rFonts w:ascii="Tahoma" w:hAnsi="Tahoma" w:cs="Tahoma"/>
      <w:sz w:val="16"/>
      <w:szCs w:val="16"/>
      <w:rtl w:val="0"/>
      <w:cs w:val="0"/>
      <w:lang w:val="x-none" w:eastAsia="cs-CZ"/>
    </w:rPr>
  </w:style>
  <w:style w:type="character" w:customStyle="1" w:styleId="truktradokumentuChar148">
    <w:name w:val="Štruktúra dokumentu Char148"/>
    <w:aliases w:val="Char9 Char Char149,Document Map Char Char Char149,Štruktúra dokumentu Char Char Char149"/>
    <w:basedOn w:val="DefaultParagraphFont"/>
    <w:uiPriority w:val="99"/>
    <w:semiHidden/>
    <w:rPr>
      <w:rFonts w:ascii="Tahoma" w:hAnsi="Tahoma" w:cs="Tahoma"/>
      <w:sz w:val="16"/>
      <w:szCs w:val="16"/>
      <w:rtl w:val="0"/>
      <w:cs w:val="0"/>
      <w:lang w:val="x-none" w:eastAsia="cs-CZ"/>
    </w:rPr>
  </w:style>
  <w:style w:type="character" w:customStyle="1" w:styleId="truktradokumentuChar147">
    <w:name w:val="Štruktúra dokumentu Char147"/>
    <w:aliases w:val="Char9 Char Char148,Document Map Char Char Char148,Štruktúra dokumentu Char Char Char148"/>
    <w:basedOn w:val="DefaultParagraphFont"/>
    <w:uiPriority w:val="99"/>
    <w:semiHidden/>
    <w:rPr>
      <w:rFonts w:ascii="Tahoma" w:hAnsi="Tahoma" w:cs="Tahoma"/>
      <w:sz w:val="16"/>
      <w:szCs w:val="16"/>
      <w:rtl w:val="0"/>
      <w:cs w:val="0"/>
      <w:lang w:val="x-none" w:eastAsia="cs-CZ"/>
    </w:rPr>
  </w:style>
  <w:style w:type="character" w:customStyle="1" w:styleId="truktradokumentuChar146">
    <w:name w:val="Štruktúra dokumentu Char146"/>
    <w:aliases w:val="Char9 Char Char147,Document Map Char Char Char147,Štruktúra dokumentu Char Char Char147"/>
    <w:basedOn w:val="DefaultParagraphFont"/>
    <w:uiPriority w:val="99"/>
    <w:semiHidden/>
    <w:rPr>
      <w:rFonts w:ascii="Tahoma" w:hAnsi="Tahoma" w:cs="Tahoma"/>
      <w:sz w:val="16"/>
      <w:szCs w:val="16"/>
      <w:rtl w:val="0"/>
      <w:cs w:val="0"/>
      <w:lang w:val="x-none" w:eastAsia="cs-CZ"/>
    </w:rPr>
  </w:style>
  <w:style w:type="character" w:customStyle="1" w:styleId="truktradokumentuChar145">
    <w:name w:val="Štruktúra dokumentu Char145"/>
    <w:aliases w:val="Char9 Char Char146,Document Map Char Char Char146,Štruktúra dokumentu Char Char Char146"/>
    <w:basedOn w:val="DefaultParagraphFont"/>
    <w:uiPriority w:val="99"/>
    <w:semiHidden/>
    <w:rPr>
      <w:rFonts w:ascii="Tahoma" w:hAnsi="Tahoma" w:cs="Tahoma"/>
      <w:sz w:val="16"/>
      <w:szCs w:val="16"/>
      <w:rtl w:val="0"/>
      <w:cs w:val="0"/>
      <w:lang w:val="x-none" w:eastAsia="cs-CZ"/>
    </w:rPr>
  </w:style>
  <w:style w:type="character" w:customStyle="1" w:styleId="truktradokumentuChar144">
    <w:name w:val="Štruktúra dokumentu Char144"/>
    <w:aliases w:val="Char9 Char Char145,Document Map Char Char Char145,Štruktúra dokumentu Char Char Char145"/>
    <w:basedOn w:val="DefaultParagraphFont"/>
    <w:uiPriority w:val="99"/>
    <w:semiHidden/>
    <w:rPr>
      <w:rFonts w:ascii="Tahoma" w:hAnsi="Tahoma" w:cs="Tahoma"/>
      <w:sz w:val="16"/>
      <w:szCs w:val="16"/>
      <w:rtl w:val="0"/>
      <w:cs w:val="0"/>
      <w:lang w:val="x-none" w:eastAsia="cs-CZ"/>
    </w:rPr>
  </w:style>
  <w:style w:type="character" w:customStyle="1" w:styleId="truktradokumentuChar143">
    <w:name w:val="Štruktúra dokumentu Char143"/>
    <w:aliases w:val="Char9 Char Char144,Document Map Char Char Char144,Štruktúra dokumentu Char Char Char144"/>
    <w:basedOn w:val="DefaultParagraphFont"/>
    <w:uiPriority w:val="99"/>
    <w:semiHidden/>
    <w:rPr>
      <w:rFonts w:ascii="Tahoma" w:hAnsi="Tahoma" w:cs="Tahoma"/>
      <w:sz w:val="16"/>
      <w:szCs w:val="16"/>
      <w:rtl w:val="0"/>
      <w:cs w:val="0"/>
      <w:lang w:val="x-none" w:eastAsia="cs-CZ"/>
    </w:rPr>
  </w:style>
  <w:style w:type="character" w:customStyle="1" w:styleId="truktradokumentuChar142">
    <w:name w:val="Štruktúra dokumentu Char142"/>
    <w:aliases w:val="Char9 Char Char143,Document Map Char Char Char143,Štruktúra dokumentu Char Char Char143"/>
    <w:basedOn w:val="DefaultParagraphFont"/>
    <w:uiPriority w:val="99"/>
    <w:semiHidden/>
    <w:rPr>
      <w:rFonts w:ascii="Tahoma" w:hAnsi="Tahoma" w:cs="Tahoma"/>
      <w:sz w:val="16"/>
      <w:szCs w:val="16"/>
      <w:rtl w:val="0"/>
      <w:cs w:val="0"/>
      <w:lang w:val="x-none" w:eastAsia="cs-CZ"/>
    </w:rPr>
  </w:style>
  <w:style w:type="character" w:customStyle="1" w:styleId="truktradokumentuChar141">
    <w:name w:val="Štruktúra dokumentu Char141"/>
    <w:aliases w:val="Char9 Char Char142,Document Map Char Char Char142,Štruktúra dokumentu Char Char Char142"/>
    <w:basedOn w:val="DefaultParagraphFont"/>
    <w:uiPriority w:val="99"/>
    <w:semiHidden/>
    <w:rPr>
      <w:rFonts w:ascii="Tahoma" w:hAnsi="Tahoma" w:cs="Tahoma"/>
      <w:sz w:val="16"/>
      <w:szCs w:val="16"/>
      <w:rtl w:val="0"/>
      <w:cs w:val="0"/>
      <w:lang w:val="x-none" w:eastAsia="cs-CZ"/>
    </w:rPr>
  </w:style>
  <w:style w:type="character" w:customStyle="1" w:styleId="truktradokumentuChar140">
    <w:name w:val="Štruktúra dokumentu Char140"/>
    <w:aliases w:val="Char9 Char Char141,Document Map Char Char Char141,Štruktúra dokumentu Char Char Char141"/>
    <w:basedOn w:val="DefaultParagraphFont"/>
    <w:uiPriority w:val="99"/>
    <w:semiHidden/>
    <w:rPr>
      <w:rFonts w:ascii="Tahoma" w:hAnsi="Tahoma" w:cs="Tahoma"/>
      <w:sz w:val="16"/>
      <w:szCs w:val="16"/>
      <w:rtl w:val="0"/>
      <w:cs w:val="0"/>
      <w:lang w:val="x-none" w:eastAsia="cs-CZ"/>
    </w:rPr>
  </w:style>
  <w:style w:type="character" w:customStyle="1" w:styleId="truktradokumentuChar139">
    <w:name w:val="Štruktúra dokumentu Char139"/>
    <w:aliases w:val="Char9 Char Char140,Document Map Char Char Char140,Štruktúra dokumentu Char Char Char140"/>
    <w:basedOn w:val="DefaultParagraphFont"/>
    <w:uiPriority w:val="99"/>
    <w:semiHidden/>
    <w:rPr>
      <w:rFonts w:ascii="Tahoma" w:hAnsi="Tahoma" w:cs="Tahoma"/>
      <w:sz w:val="16"/>
      <w:szCs w:val="16"/>
      <w:rtl w:val="0"/>
      <w:cs w:val="0"/>
      <w:lang w:val="x-none" w:eastAsia="cs-CZ"/>
    </w:rPr>
  </w:style>
  <w:style w:type="character" w:customStyle="1" w:styleId="truktradokumentuChar138">
    <w:name w:val="Štruktúra dokumentu Char138"/>
    <w:aliases w:val="Char9 Char Char139,Document Map Char Char Char139,Štruktúra dokumentu Char Char Char139"/>
    <w:basedOn w:val="DefaultParagraphFont"/>
    <w:uiPriority w:val="99"/>
    <w:semiHidden/>
    <w:rPr>
      <w:rFonts w:ascii="Tahoma" w:hAnsi="Tahoma" w:cs="Tahoma"/>
      <w:sz w:val="16"/>
      <w:szCs w:val="16"/>
      <w:rtl w:val="0"/>
      <w:cs w:val="0"/>
      <w:lang w:val="x-none" w:eastAsia="cs-CZ"/>
    </w:rPr>
  </w:style>
  <w:style w:type="character" w:customStyle="1" w:styleId="truktradokumentuChar137">
    <w:name w:val="Štruktúra dokumentu Char137"/>
    <w:aliases w:val="Char9 Char Char138,Document Map Char Char Char138,Štruktúra dokumentu Char Char Char138"/>
    <w:basedOn w:val="DefaultParagraphFont"/>
    <w:uiPriority w:val="99"/>
    <w:semiHidden/>
    <w:rPr>
      <w:rFonts w:ascii="Tahoma" w:hAnsi="Tahoma" w:cs="Tahoma"/>
      <w:sz w:val="16"/>
      <w:szCs w:val="16"/>
      <w:rtl w:val="0"/>
      <w:cs w:val="0"/>
      <w:lang w:val="x-none" w:eastAsia="cs-CZ"/>
    </w:rPr>
  </w:style>
  <w:style w:type="character" w:customStyle="1" w:styleId="truktradokumentuChar136">
    <w:name w:val="Štruktúra dokumentu Char136"/>
    <w:aliases w:val="Char9 Char Char137,Document Map Char Char Char137,Štruktúra dokumentu Char Char Char137"/>
    <w:basedOn w:val="DefaultParagraphFont"/>
    <w:uiPriority w:val="99"/>
    <w:semiHidden/>
    <w:rPr>
      <w:rFonts w:ascii="Tahoma" w:hAnsi="Tahoma" w:cs="Tahoma"/>
      <w:sz w:val="16"/>
      <w:szCs w:val="16"/>
      <w:rtl w:val="0"/>
      <w:cs w:val="0"/>
      <w:lang w:val="x-none" w:eastAsia="cs-CZ"/>
    </w:rPr>
  </w:style>
  <w:style w:type="character" w:customStyle="1" w:styleId="truktradokumentuChar135">
    <w:name w:val="Štruktúra dokumentu Char135"/>
    <w:aliases w:val="Char9 Char Char136,Document Map Char Char Char136,Štruktúra dokumentu Char Char Char136"/>
    <w:basedOn w:val="DefaultParagraphFont"/>
    <w:uiPriority w:val="99"/>
    <w:semiHidden/>
    <w:rPr>
      <w:rFonts w:ascii="Tahoma" w:hAnsi="Tahoma" w:cs="Tahoma"/>
      <w:sz w:val="16"/>
      <w:szCs w:val="16"/>
      <w:rtl w:val="0"/>
      <w:cs w:val="0"/>
      <w:lang w:val="x-none" w:eastAsia="cs-CZ"/>
    </w:rPr>
  </w:style>
  <w:style w:type="character" w:customStyle="1" w:styleId="truktradokumentuChar134">
    <w:name w:val="Štruktúra dokumentu Char134"/>
    <w:aliases w:val="Char9 Char Char135,Document Map Char Char Char135,Štruktúra dokumentu Char Char Char135"/>
    <w:basedOn w:val="DefaultParagraphFont"/>
    <w:uiPriority w:val="99"/>
    <w:semiHidden/>
    <w:rPr>
      <w:rFonts w:ascii="Tahoma" w:hAnsi="Tahoma" w:cs="Tahoma"/>
      <w:sz w:val="16"/>
      <w:szCs w:val="16"/>
      <w:rtl w:val="0"/>
      <w:cs w:val="0"/>
      <w:lang w:val="x-none" w:eastAsia="cs-CZ"/>
    </w:rPr>
  </w:style>
  <w:style w:type="character" w:customStyle="1" w:styleId="truktradokumentuChar133">
    <w:name w:val="Štruktúra dokumentu Char133"/>
    <w:aliases w:val="Char9 Char Char134,Document Map Char Char Char134,Štruktúra dokumentu Char Char Char134"/>
    <w:basedOn w:val="DefaultParagraphFont"/>
    <w:uiPriority w:val="99"/>
    <w:semiHidden/>
    <w:rPr>
      <w:rFonts w:ascii="Tahoma" w:hAnsi="Tahoma" w:cs="Tahoma"/>
      <w:sz w:val="16"/>
      <w:szCs w:val="16"/>
      <w:rtl w:val="0"/>
      <w:cs w:val="0"/>
      <w:lang w:val="x-none" w:eastAsia="cs-CZ"/>
    </w:rPr>
  </w:style>
  <w:style w:type="character" w:customStyle="1" w:styleId="truktradokumentuChar132">
    <w:name w:val="Štruktúra dokumentu Char132"/>
    <w:aliases w:val="Char9 Char Char133,Document Map Char Char Char133,Štruktúra dokumentu Char Char Char133"/>
    <w:basedOn w:val="DefaultParagraphFont"/>
    <w:uiPriority w:val="99"/>
    <w:semiHidden/>
    <w:rPr>
      <w:rFonts w:ascii="Tahoma" w:hAnsi="Tahoma" w:cs="Tahoma"/>
      <w:sz w:val="16"/>
      <w:szCs w:val="16"/>
      <w:rtl w:val="0"/>
      <w:cs w:val="0"/>
      <w:lang w:val="x-none" w:eastAsia="cs-CZ"/>
    </w:rPr>
  </w:style>
  <w:style w:type="character" w:customStyle="1" w:styleId="truktradokumentuChar131">
    <w:name w:val="Štruktúra dokumentu Char131"/>
    <w:aliases w:val="Char9 Char Char132,Document Map Char Char Char132,Štruktúra dokumentu Char Char Char132"/>
    <w:basedOn w:val="DefaultParagraphFont"/>
    <w:uiPriority w:val="99"/>
    <w:semiHidden/>
    <w:rPr>
      <w:rFonts w:ascii="Tahoma" w:hAnsi="Tahoma" w:cs="Tahoma"/>
      <w:sz w:val="16"/>
      <w:szCs w:val="16"/>
      <w:rtl w:val="0"/>
      <w:cs w:val="0"/>
      <w:lang w:val="x-none" w:eastAsia="cs-CZ"/>
    </w:rPr>
  </w:style>
  <w:style w:type="character" w:customStyle="1" w:styleId="truktradokumentuChar130">
    <w:name w:val="Štruktúra dokumentu Char130"/>
    <w:aliases w:val="Char9 Char Char131,Document Map Char Char Char131,Štruktúra dokumentu Char Char Char131"/>
    <w:basedOn w:val="DefaultParagraphFont"/>
    <w:uiPriority w:val="99"/>
    <w:semiHidden/>
    <w:rPr>
      <w:rFonts w:ascii="Tahoma" w:hAnsi="Tahoma" w:cs="Tahoma"/>
      <w:sz w:val="16"/>
      <w:szCs w:val="16"/>
      <w:rtl w:val="0"/>
      <w:cs w:val="0"/>
      <w:lang w:val="x-none" w:eastAsia="cs-CZ"/>
    </w:rPr>
  </w:style>
  <w:style w:type="character" w:customStyle="1" w:styleId="truktradokumentuChar129">
    <w:name w:val="Štruktúra dokumentu Char129"/>
    <w:aliases w:val="Char9 Char Char130,Document Map Char Char Char130,Štruktúra dokumentu Char Char Char130"/>
    <w:basedOn w:val="DefaultParagraphFont"/>
    <w:uiPriority w:val="99"/>
    <w:semiHidden/>
    <w:rPr>
      <w:rFonts w:ascii="Tahoma" w:hAnsi="Tahoma" w:cs="Tahoma"/>
      <w:sz w:val="16"/>
      <w:szCs w:val="16"/>
      <w:rtl w:val="0"/>
      <w:cs w:val="0"/>
      <w:lang w:val="x-none" w:eastAsia="cs-CZ"/>
    </w:rPr>
  </w:style>
  <w:style w:type="character" w:customStyle="1" w:styleId="truktradokumentuChar128">
    <w:name w:val="Štruktúra dokumentu Char128"/>
    <w:aliases w:val="Char9 Char Char129,Document Map Char Char Char129,Štruktúra dokumentu Char Char Char129"/>
    <w:basedOn w:val="DefaultParagraphFont"/>
    <w:uiPriority w:val="99"/>
    <w:semiHidden/>
    <w:rPr>
      <w:rFonts w:ascii="Tahoma" w:hAnsi="Tahoma" w:cs="Tahoma"/>
      <w:sz w:val="16"/>
      <w:szCs w:val="16"/>
      <w:rtl w:val="0"/>
      <w:cs w:val="0"/>
      <w:lang w:val="x-none" w:eastAsia="cs-CZ"/>
    </w:rPr>
  </w:style>
  <w:style w:type="character" w:customStyle="1" w:styleId="truktradokumentuChar127">
    <w:name w:val="Štruktúra dokumentu Char127"/>
    <w:aliases w:val="Char9 Char Char128,Document Map Char Char Char128,Štruktúra dokumentu Char Char Char128"/>
    <w:basedOn w:val="DefaultParagraphFont"/>
    <w:uiPriority w:val="99"/>
    <w:semiHidden/>
    <w:rPr>
      <w:rFonts w:ascii="Tahoma" w:hAnsi="Tahoma" w:cs="Tahoma"/>
      <w:sz w:val="16"/>
      <w:szCs w:val="16"/>
      <w:rtl w:val="0"/>
      <w:cs w:val="0"/>
      <w:lang w:val="x-none" w:eastAsia="cs-CZ"/>
    </w:rPr>
  </w:style>
  <w:style w:type="character" w:customStyle="1" w:styleId="truktradokumentuChar126">
    <w:name w:val="Štruktúra dokumentu Char126"/>
    <w:aliases w:val="Char9 Char Char127,Document Map Char Char Char127,Štruktúra dokumentu Char Char Char127"/>
    <w:basedOn w:val="DefaultParagraphFont"/>
    <w:uiPriority w:val="99"/>
    <w:semiHidden/>
    <w:rPr>
      <w:rFonts w:ascii="Tahoma" w:hAnsi="Tahoma" w:cs="Tahoma"/>
      <w:sz w:val="16"/>
      <w:szCs w:val="16"/>
      <w:rtl w:val="0"/>
      <w:cs w:val="0"/>
      <w:lang w:val="x-none" w:eastAsia="cs-CZ"/>
    </w:rPr>
  </w:style>
  <w:style w:type="character" w:customStyle="1" w:styleId="truktradokumentuChar125">
    <w:name w:val="Štruktúra dokumentu Char125"/>
    <w:aliases w:val="Char9 Char Char126,Document Map Char Char Char126,Štruktúra dokumentu Char Char Char126"/>
    <w:basedOn w:val="DefaultParagraphFont"/>
    <w:uiPriority w:val="99"/>
    <w:semiHidden/>
    <w:rPr>
      <w:rFonts w:ascii="Tahoma" w:hAnsi="Tahoma" w:cs="Tahoma"/>
      <w:sz w:val="16"/>
      <w:szCs w:val="16"/>
      <w:rtl w:val="0"/>
      <w:cs w:val="0"/>
      <w:lang w:val="x-none" w:eastAsia="cs-CZ"/>
    </w:rPr>
  </w:style>
  <w:style w:type="character" w:customStyle="1" w:styleId="truktradokumentuChar124">
    <w:name w:val="Štruktúra dokumentu Char124"/>
    <w:aliases w:val="Char9 Char Char125,Document Map Char Char Char125,Štruktúra dokumentu Char Char Char125"/>
    <w:basedOn w:val="DefaultParagraphFont"/>
    <w:uiPriority w:val="99"/>
    <w:semiHidden/>
    <w:rPr>
      <w:rFonts w:ascii="Tahoma" w:hAnsi="Tahoma" w:cs="Tahoma"/>
      <w:sz w:val="16"/>
      <w:szCs w:val="16"/>
      <w:rtl w:val="0"/>
      <w:cs w:val="0"/>
      <w:lang w:val="x-none" w:eastAsia="cs-CZ"/>
    </w:rPr>
  </w:style>
  <w:style w:type="character" w:customStyle="1" w:styleId="truktradokumentuChar123">
    <w:name w:val="Štruktúra dokumentu Char123"/>
    <w:aliases w:val="Char9 Char Char124,Document Map Char Char Char124,Štruktúra dokumentu Char Char Char124"/>
    <w:basedOn w:val="DefaultParagraphFont"/>
    <w:uiPriority w:val="99"/>
    <w:semiHidden/>
    <w:rPr>
      <w:rFonts w:ascii="Tahoma" w:hAnsi="Tahoma" w:cs="Tahoma"/>
      <w:sz w:val="16"/>
      <w:szCs w:val="16"/>
      <w:rtl w:val="0"/>
      <w:cs w:val="0"/>
      <w:lang w:val="x-none" w:eastAsia="cs-CZ"/>
    </w:rPr>
  </w:style>
  <w:style w:type="character" w:customStyle="1" w:styleId="truktradokumentuChar122">
    <w:name w:val="Štruktúra dokumentu Char122"/>
    <w:aliases w:val="Char9 Char Char123,Document Map Char Char Char123,Štruktúra dokumentu Char Char Char123"/>
    <w:basedOn w:val="DefaultParagraphFont"/>
    <w:uiPriority w:val="99"/>
    <w:semiHidden/>
    <w:rPr>
      <w:rFonts w:ascii="Tahoma" w:hAnsi="Tahoma" w:cs="Tahoma"/>
      <w:sz w:val="16"/>
      <w:szCs w:val="16"/>
      <w:rtl w:val="0"/>
      <w:cs w:val="0"/>
      <w:lang w:val="x-none" w:eastAsia="cs-CZ"/>
    </w:rPr>
  </w:style>
  <w:style w:type="character" w:customStyle="1" w:styleId="truktradokumentuChar121">
    <w:name w:val="Štruktúra dokumentu Char121"/>
    <w:aliases w:val="Char9 Char Char122,Document Map Char Char Char122,Štruktúra dokumentu Char Char Char122"/>
    <w:basedOn w:val="DefaultParagraphFont"/>
    <w:uiPriority w:val="99"/>
    <w:semiHidden/>
    <w:rPr>
      <w:rFonts w:ascii="Tahoma" w:hAnsi="Tahoma" w:cs="Tahoma"/>
      <w:sz w:val="16"/>
      <w:szCs w:val="16"/>
      <w:rtl w:val="0"/>
      <w:cs w:val="0"/>
      <w:lang w:val="x-none" w:eastAsia="cs-CZ"/>
    </w:rPr>
  </w:style>
  <w:style w:type="character" w:customStyle="1" w:styleId="truktradokumentuChar120">
    <w:name w:val="Štruktúra dokumentu Char120"/>
    <w:aliases w:val="Char9 Char Char121,Document Map Char Char Char121,Štruktúra dokumentu Char Char Char121"/>
    <w:basedOn w:val="DefaultParagraphFont"/>
    <w:uiPriority w:val="99"/>
    <w:semiHidden/>
    <w:rPr>
      <w:rFonts w:ascii="Tahoma" w:hAnsi="Tahoma" w:cs="Tahoma"/>
      <w:sz w:val="16"/>
      <w:szCs w:val="16"/>
      <w:rtl w:val="0"/>
      <w:cs w:val="0"/>
      <w:lang w:val="x-none" w:eastAsia="cs-CZ"/>
    </w:rPr>
  </w:style>
  <w:style w:type="character" w:customStyle="1" w:styleId="truktradokumentuChar119">
    <w:name w:val="Štruktúra dokumentu Char119"/>
    <w:aliases w:val="Char9 Char Char120,Document Map Char Char Char120,Štruktúra dokumentu Char Char Char120"/>
    <w:basedOn w:val="DefaultParagraphFont"/>
    <w:uiPriority w:val="99"/>
    <w:semiHidden/>
    <w:rPr>
      <w:rFonts w:ascii="Tahoma" w:hAnsi="Tahoma" w:cs="Tahoma"/>
      <w:sz w:val="16"/>
      <w:szCs w:val="16"/>
      <w:rtl w:val="0"/>
      <w:cs w:val="0"/>
      <w:lang w:val="x-none" w:eastAsia="cs-CZ"/>
    </w:rPr>
  </w:style>
  <w:style w:type="character" w:customStyle="1" w:styleId="truktradokumentuChar118">
    <w:name w:val="Štruktúra dokumentu Char118"/>
    <w:aliases w:val="Char9 Char Char119,Document Map Char Char Char119,Štruktúra dokumentu Char Char Char119"/>
    <w:basedOn w:val="DefaultParagraphFont"/>
    <w:uiPriority w:val="99"/>
    <w:semiHidden/>
    <w:rPr>
      <w:rFonts w:ascii="Tahoma" w:hAnsi="Tahoma" w:cs="Tahoma"/>
      <w:sz w:val="16"/>
      <w:szCs w:val="16"/>
      <w:rtl w:val="0"/>
      <w:cs w:val="0"/>
      <w:lang w:val="x-none" w:eastAsia="cs-CZ"/>
    </w:rPr>
  </w:style>
  <w:style w:type="character" w:customStyle="1" w:styleId="truktradokumentuChar117">
    <w:name w:val="Štruktúra dokumentu Char117"/>
    <w:aliases w:val="Char9 Char Char118,Document Map Char Char Char118,Štruktúra dokumentu Char Char Char118"/>
    <w:basedOn w:val="DefaultParagraphFont"/>
    <w:uiPriority w:val="99"/>
    <w:semiHidden/>
    <w:rPr>
      <w:rFonts w:ascii="Tahoma" w:hAnsi="Tahoma" w:cs="Tahoma"/>
      <w:sz w:val="16"/>
      <w:szCs w:val="16"/>
      <w:rtl w:val="0"/>
      <w:cs w:val="0"/>
      <w:lang w:val="x-none" w:eastAsia="cs-CZ"/>
    </w:rPr>
  </w:style>
  <w:style w:type="character" w:customStyle="1" w:styleId="truktradokumentuChar116">
    <w:name w:val="Štruktúra dokumentu Char116"/>
    <w:aliases w:val="Char9 Char Char117,Document Map Char Char Char117,Štruktúra dokumentu Char Char Char117"/>
    <w:basedOn w:val="DefaultParagraphFont"/>
    <w:uiPriority w:val="99"/>
    <w:semiHidden/>
    <w:rPr>
      <w:rFonts w:ascii="Tahoma" w:hAnsi="Tahoma" w:cs="Tahoma"/>
      <w:sz w:val="16"/>
      <w:szCs w:val="16"/>
      <w:rtl w:val="0"/>
      <w:cs w:val="0"/>
      <w:lang w:val="x-none" w:eastAsia="cs-CZ"/>
    </w:rPr>
  </w:style>
  <w:style w:type="character" w:customStyle="1" w:styleId="truktradokumentuChar115">
    <w:name w:val="Štruktúra dokumentu Char115"/>
    <w:aliases w:val="Char9 Char Char116,Document Map Char Char Char116,Štruktúra dokumentu Char Char Char116"/>
    <w:basedOn w:val="DefaultParagraphFont"/>
    <w:uiPriority w:val="99"/>
    <w:semiHidden/>
    <w:rPr>
      <w:rFonts w:ascii="Tahoma" w:hAnsi="Tahoma" w:cs="Tahoma"/>
      <w:sz w:val="16"/>
      <w:szCs w:val="16"/>
      <w:rtl w:val="0"/>
      <w:cs w:val="0"/>
      <w:lang w:val="x-none" w:eastAsia="cs-CZ"/>
    </w:rPr>
  </w:style>
  <w:style w:type="character" w:customStyle="1" w:styleId="truktradokumentuChar114">
    <w:name w:val="Štruktúra dokumentu Char114"/>
    <w:aliases w:val="Char9 Char Char115,Document Map Char Char Char115,Štruktúra dokumentu Char Char Char115"/>
    <w:basedOn w:val="DefaultParagraphFont"/>
    <w:uiPriority w:val="99"/>
    <w:semiHidden/>
    <w:rPr>
      <w:rFonts w:ascii="Tahoma" w:hAnsi="Tahoma" w:cs="Tahoma"/>
      <w:sz w:val="16"/>
      <w:szCs w:val="16"/>
      <w:rtl w:val="0"/>
      <w:cs w:val="0"/>
      <w:lang w:val="x-none" w:eastAsia="cs-CZ"/>
    </w:rPr>
  </w:style>
  <w:style w:type="character" w:customStyle="1" w:styleId="truktradokumentuChar113">
    <w:name w:val="Štruktúra dokumentu Char113"/>
    <w:aliases w:val="Char9 Char Char114,Document Map Char Char Char114,Štruktúra dokumentu Char Char Char114"/>
    <w:basedOn w:val="DefaultParagraphFont"/>
    <w:uiPriority w:val="99"/>
    <w:semiHidden/>
    <w:rPr>
      <w:rFonts w:ascii="Tahoma" w:hAnsi="Tahoma" w:cs="Tahoma"/>
      <w:sz w:val="16"/>
      <w:szCs w:val="16"/>
      <w:rtl w:val="0"/>
      <w:cs w:val="0"/>
      <w:lang w:val="x-none" w:eastAsia="cs-CZ"/>
    </w:rPr>
  </w:style>
  <w:style w:type="character" w:customStyle="1" w:styleId="truktradokumentuChar112">
    <w:name w:val="Štruktúra dokumentu Char112"/>
    <w:aliases w:val="Char9 Char Char113,Document Map Char Char Char113,Štruktúra dokumentu Char Char Char113"/>
    <w:basedOn w:val="DefaultParagraphFont"/>
    <w:uiPriority w:val="99"/>
    <w:semiHidden/>
    <w:rPr>
      <w:rFonts w:ascii="Tahoma" w:hAnsi="Tahoma" w:cs="Tahoma"/>
      <w:sz w:val="16"/>
      <w:szCs w:val="16"/>
      <w:rtl w:val="0"/>
      <w:cs w:val="0"/>
      <w:lang w:val="x-none" w:eastAsia="cs-CZ"/>
    </w:rPr>
  </w:style>
  <w:style w:type="character" w:customStyle="1" w:styleId="truktradokumentuChar111">
    <w:name w:val="Štruktúra dokumentu Char111"/>
    <w:aliases w:val="Char9 Char Char112,Document Map Char Char Char112,Štruktúra dokumentu Char Char Char112"/>
    <w:basedOn w:val="DefaultParagraphFont"/>
    <w:uiPriority w:val="99"/>
    <w:semiHidden/>
    <w:rPr>
      <w:rFonts w:ascii="Tahoma" w:hAnsi="Tahoma" w:cs="Tahoma"/>
      <w:sz w:val="16"/>
      <w:szCs w:val="16"/>
      <w:rtl w:val="0"/>
      <w:cs w:val="0"/>
      <w:lang w:val="x-none" w:eastAsia="cs-CZ"/>
    </w:rPr>
  </w:style>
  <w:style w:type="character" w:customStyle="1" w:styleId="truktradokumentuChar110">
    <w:name w:val="Štruktúra dokumentu Char110"/>
    <w:aliases w:val="Char9 Char Char110,Document Map Char Char Char110,Štruktúra dokumentu Char Char Char110"/>
    <w:basedOn w:val="DefaultParagraphFont"/>
    <w:uiPriority w:val="99"/>
    <w:semiHidden/>
    <w:rPr>
      <w:rFonts w:ascii="Tahoma" w:hAnsi="Tahoma" w:cs="Tahoma"/>
      <w:sz w:val="16"/>
      <w:szCs w:val="16"/>
      <w:rtl w:val="0"/>
      <w:cs w:val="0"/>
      <w:lang w:val="x-none" w:eastAsia="cs-CZ"/>
    </w:rPr>
  </w:style>
  <w:style w:type="character" w:customStyle="1" w:styleId="truktradokumentuChar19">
    <w:name w:val="Štruktúra dokumentu Char19"/>
    <w:aliases w:val="Char9 Char Char19,Document Map Char Char Char19,Štruktúra dokumentu Char Char Char19"/>
    <w:basedOn w:val="DefaultParagraphFont"/>
    <w:uiPriority w:val="99"/>
    <w:semiHidden/>
    <w:rPr>
      <w:rFonts w:ascii="Tahoma" w:hAnsi="Tahoma" w:cs="Tahoma"/>
      <w:sz w:val="16"/>
      <w:szCs w:val="16"/>
      <w:rtl w:val="0"/>
      <w:cs w:val="0"/>
      <w:lang w:val="x-none" w:eastAsia="cs-CZ"/>
    </w:rPr>
  </w:style>
  <w:style w:type="character" w:customStyle="1" w:styleId="truktradokumentuChar18">
    <w:name w:val="Štruktúra dokumentu Char18"/>
    <w:aliases w:val="Char9 Char Char18,Document Map Char Char Char18,Štruktúra dokumentu Char Char Char18"/>
    <w:basedOn w:val="DefaultParagraphFont"/>
    <w:uiPriority w:val="99"/>
    <w:semiHidden/>
    <w:rPr>
      <w:rFonts w:ascii="Tahoma" w:hAnsi="Tahoma" w:cs="Tahoma"/>
      <w:sz w:val="16"/>
      <w:szCs w:val="16"/>
      <w:rtl w:val="0"/>
      <w:cs w:val="0"/>
      <w:lang w:val="x-none" w:eastAsia="cs-CZ"/>
    </w:rPr>
  </w:style>
  <w:style w:type="character" w:customStyle="1" w:styleId="truktradokumentuChar17">
    <w:name w:val="Štruktúra dokumentu Char17"/>
    <w:aliases w:val="Char9 Char Char17,Document Map Char Char Char17,Štruktúra dokumentu Char Char Char17"/>
    <w:basedOn w:val="DefaultParagraphFont"/>
    <w:uiPriority w:val="99"/>
    <w:semiHidden/>
    <w:rPr>
      <w:rFonts w:ascii="Tahoma" w:hAnsi="Tahoma" w:cs="Tahoma"/>
      <w:sz w:val="16"/>
      <w:szCs w:val="16"/>
      <w:rtl w:val="0"/>
      <w:cs w:val="0"/>
      <w:lang w:val="x-none" w:eastAsia="cs-CZ"/>
    </w:rPr>
  </w:style>
  <w:style w:type="character" w:customStyle="1" w:styleId="truktradokumentuChar16">
    <w:name w:val="Štruktúra dokumentu Char16"/>
    <w:aliases w:val="Char9 Char Char16,Document Map Char Char Char16,Štruktúra dokumentu Char Char Char16"/>
    <w:basedOn w:val="DefaultParagraphFont"/>
    <w:uiPriority w:val="99"/>
    <w:semiHidden/>
    <w:rPr>
      <w:rFonts w:ascii="Tahoma" w:hAnsi="Tahoma" w:cs="Tahoma"/>
      <w:sz w:val="16"/>
      <w:szCs w:val="16"/>
      <w:rtl w:val="0"/>
      <w:cs w:val="0"/>
      <w:lang w:val="x-none" w:eastAsia="cs-CZ"/>
    </w:rPr>
  </w:style>
  <w:style w:type="character" w:customStyle="1" w:styleId="truktradokumentuChar15">
    <w:name w:val="Štruktúra dokumentu Char15"/>
    <w:aliases w:val="Char9 Char Char15,Document Map Char Char Char15,Štruktúra dokumentu Char Char Char15"/>
    <w:basedOn w:val="DefaultParagraphFont"/>
    <w:uiPriority w:val="99"/>
    <w:semiHidden/>
    <w:rPr>
      <w:rFonts w:ascii="Tahoma" w:hAnsi="Tahoma" w:cs="Tahoma"/>
      <w:sz w:val="16"/>
      <w:szCs w:val="16"/>
      <w:rtl w:val="0"/>
      <w:cs w:val="0"/>
      <w:lang w:val="x-none" w:eastAsia="cs-CZ"/>
    </w:rPr>
  </w:style>
  <w:style w:type="character" w:customStyle="1" w:styleId="truktradokumentuChar14">
    <w:name w:val="Štruktúra dokumentu Char14"/>
    <w:aliases w:val="Char9 Char Char14,Document Map Char Char Char14,Štruktúra dokumentu Char Char Char14"/>
    <w:basedOn w:val="DefaultParagraphFont"/>
    <w:uiPriority w:val="99"/>
    <w:semiHidden/>
    <w:rPr>
      <w:rFonts w:ascii="Tahoma" w:hAnsi="Tahoma" w:cs="Tahoma"/>
      <w:sz w:val="16"/>
      <w:szCs w:val="16"/>
      <w:rtl w:val="0"/>
      <w:cs w:val="0"/>
      <w:lang w:val="x-none" w:eastAsia="cs-CZ"/>
    </w:rPr>
  </w:style>
  <w:style w:type="character" w:customStyle="1" w:styleId="truktradokumentuChar13">
    <w:name w:val="Štruktúra dokumentu Char13"/>
    <w:aliases w:val="Char9 Char Char13,Document Map Char Char Char13,Štruktúra dokumentu Char Char Char13"/>
    <w:basedOn w:val="DefaultParagraphFont"/>
    <w:uiPriority w:val="99"/>
    <w:semiHidden/>
    <w:rPr>
      <w:rFonts w:ascii="Tahoma" w:hAnsi="Tahoma" w:cs="Tahoma"/>
      <w:sz w:val="16"/>
      <w:szCs w:val="16"/>
      <w:rtl w:val="0"/>
      <w:cs w:val="0"/>
      <w:lang w:val="x-none" w:eastAsia="cs-CZ"/>
    </w:rPr>
  </w:style>
  <w:style w:type="character" w:customStyle="1" w:styleId="truktradokumentuChar12">
    <w:name w:val="Štruktúra dokumentu Char12"/>
    <w:aliases w:val="Char9 Char Char12,Document Map Char Char Char12,Štruktúra dokumentu Char Char Char12"/>
    <w:basedOn w:val="DefaultParagraphFont"/>
    <w:uiPriority w:val="99"/>
    <w:semiHidden/>
    <w:rPr>
      <w:rFonts w:ascii="Tahoma" w:hAnsi="Tahoma" w:cs="Tahoma"/>
      <w:sz w:val="16"/>
      <w:szCs w:val="16"/>
      <w:rtl w:val="0"/>
      <w:cs w:val="0"/>
      <w:lang w:val="x-none" w:eastAsia="cs-CZ"/>
    </w:rPr>
  </w:style>
  <w:style w:type="character" w:customStyle="1" w:styleId="truktradokumentuChar11">
    <w:name w:val="Štruktúra dokumentu Char11"/>
    <w:aliases w:val="Char9 Char Char11,Char9 Char Char111,Document Map Char Char Char11,Document Map Char Char Char111,Štruktúra dokumentu Char Char Char11,Štruktúra dokumentu Char Char Char111"/>
    <w:uiPriority w:val="99"/>
    <w:semiHidden/>
    <w:rsid w:val="00992BC9"/>
    <w:rPr>
      <w:rFonts w:ascii="Tahoma" w:hAnsi="Tahoma" w:cs="Tahoma"/>
      <w:sz w:val="16"/>
      <w:lang w:val="x-none" w:eastAsia="cs-CZ"/>
    </w:rPr>
  </w:style>
  <w:style w:type="paragraph" w:customStyle="1" w:styleId="CharCharCharCharCharCharCharCharCharCharCharCharCharCharCharCharCharCharCharCharCharCharChar1CharCharCharCharChar">
    <w:name w:val="Char Char Char Char Char Char Char Char Char Char Char Char Char Char Char Char Char Char Char Char Char Char Char1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CharCharCharCharChar">
    <w:name w:val="Char Char Char2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
    <w:name w:val="Char Char Char2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character" w:customStyle="1" w:styleId="TextkomentraChar">
    <w:name w:val="Text komentára Char"/>
    <w:aliases w:val="Char7 Char Char,Comment Text Char Char Char,Text komentára Char Char Char"/>
    <w:link w:val="CommentText"/>
    <w:uiPriority w:val="99"/>
    <w:semiHidden/>
    <w:locked/>
    <w:rsid w:val="00992BC9"/>
    <w:rPr>
      <w:rFonts w:ascii="Courier" w:hAnsi="Courier" w:cs="Courier"/>
    </w:rPr>
  </w:style>
  <w:style w:type="paragraph" w:styleId="CommentText">
    <w:name w:val="annotation text"/>
    <w:aliases w:val="Char7 Char,Comment Text Char Char,Text komentára Char Char"/>
    <w:basedOn w:val="Normal"/>
    <w:link w:val="TextkomentraChar"/>
    <w:uiPriority w:val="99"/>
    <w:semiHidden/>
    <w:rsid w:val="00992BC9"/>
    <w:pPr>
      <w:jc w:val="left"/>
    </w:pPr>
    <w:rPr>
      <w:rFonts w:cs="Times New Roman"/>
      <w:sz w:val="20"/>
      <w:szCs w:val="20"/>
    </w:rPr>
  </w:style>
  <w:style w:type="character" w:customStyle="1" w:styleId="TextkomentraChar1">
    <w:name w:val="Text komentára Char1"/>
    <w:aliases w:val="Char7 Char Char1,Comment Text Char Char Char1,Text komentára Char Char Char1"/>
    <w:basedOn w:val="DefaultParagraphFont"/>
    <w:uiPriority w:val="99"/>
    <w:semiHidden/>
    <w:rPr>
      <w:rFonts w:ascii="Courier" w:hAnsi="Courier" w:cs="Courier"/>
      <w:rtl w:val="0"/>
      <w:cs w:val="0"/>
      <w:lang w:val="x-none" w:eastAsia="cs-CZ"/>
    </w:rPr>
  </w:style>
  <w:style w:type="character" w:customStyle="1" w:styleId="TextkomentraChar1163">
    <w:name w:val="Text komentára Char1163"/>
    <w:aliases w:val="Char7 Char Char1164,Comment Text Char Char Char1164,Text komentára Char Char Char1164"/>
    <w:basedOn w:val="DefaultParagraphFont"/>
    <w:uiPriority w:val="99"/>
    <w:semiHidden/>
    <w:rPr>
      <w:rFonts w:ascii="Courier" w:hAnsi="Courier" w:cs="Courier"/>
      <w:rtl w:val="0"/>
      <w:cs w:val="0"/>
      <w:lang w:val="x-none" w:eastAsia="cs-CZ"/>
    </w:rPr>
  </w:style>
  <w:style w:type="character" w:customStyle="1" w:styleId="TextkomentraChar1162">
    <w:name w:val="Text komentára Char1162"/>
    <w:aliases w:val="Char7 Char Char1163,Comment Text Char Char Char1163,Text komentára Char Char Char1163"/>
    <w:basedOn w:val="DefaultParagraphFont"/>
    <w:uiPriority w:val="99"/>
    <w:semiHidden/>
    <w:rPr>
      <w:rFonts w:ascii="Courier" w:hAnsi="Courier" w:cs="Courier"/>
      <w:rtl w:val="0"/>
      <w:cs w:val="0"/>
      <w:lang w:val="x-none" w:eastAsia="cs-CZ"/>
    </w:rPr>
  </w:style>
  <w:style w:type="character" w:customStyle="1" w:styleId="TextkomentraChar1161">
    <w:name w:val="Text komentára Char1161"/>
    <w:aliases w:val="Char7 Char Char1162,Comment Text Char Char Char1162,Text komentára Char Char Char1162"/>
    <w:basedOn w:val="DefaultParagraphFont"/>
    <w:uiPriority w:val="99"/>
    <w:semiHidden/>
    <w:rPr>
      <w:rFonts w:ascii="Courier" w:hAnsi="Courier" w:cs="Courier"/>
      <w:rtl w:val="0"/>
      <w:cs w:val="0"/>
      <w:lang w:val="x-none" w:eastAsia="cs-CZ"/>
    </w:rPr>
  </w:style>
  <w:style w:type="character" w:customStyle="1" w:styleId="TextkomentraChar1160">
    <w:name w:val="Text komentára Char1160"/>
    <w:aliases w:val="Char7 Char Char1161,Comment Text Char Char Char1161,Text komentára Char Char Char1161"/>
    <w:basedOn w:val="DefaultParagraphFont"/>
    <w:uiPriority w:val="99"/>
    <w:semiHidden/>
    <w:rPr>
      <w:rFonts w:ascii="Courier" w:hAnsi="Courier" w:cs="Courier"/>
      <w:rtl w:val="0"/>
      <w:cs w:val="0"/>
      <w:lang w:val="x-none" w:eastAsia="cs-CZ"/>
    </w:rPr>
  </w:style>
  <w:style w:type="character" w:customStyle="1" w:styleId="TextkomentraChar1159">
    <w:name w:val="Text komentára Char1159"/>
    <w:aliases w:val="Char7 Char Char1160,Comment Text Char Char Char1160,Text komentára Char Char Char1160"/>
    <w:basedOn w:val="DefaultParagraphFont"/>
    <w:uiPriority w:val="99"/>
    <w:semiHidden/>
    <w:rPr>
      <w:rFonts w:ascii="Courier" w:hAnsi="Courier" w:cs="Courier"/>
      <w:rtl w:val="0"/>
      <w:cs w:val="0"/>
      <w:lang w:val="x-none" w:eastAsia="cs-CZ"/>
    </w:rPr>
  </w:style>
  <w:style w:type="character" w:customStyle="1" w:styleId="TextkomentraChar1158">
    <w:name w:val="Text komentára Char1158"/>
    <w:aliases w:val="Char7 Char Char1159,Comment Text Char Char Char1159,Text komentára Char Char Char1159"/>
    <w:basedOn w:val="DefaultParagraphFont"/>
    <w:uiPriority w:val="99"/>
    <w:semiHidden/>
    <w:rPr>
      <w:rFonts w:ascii="Courier" w:hAnsi="Courier" w:cs="Courier"/>
      <w:rtl w:val="0"/>
      <w:cs w:val="0"/>
      <w:lang w:val="x-none" w:eastAsia="cs-CZ"/>
    </w:rPr>
  </w:style>
  <w:style w:type="character" w:customStyle="1" w:styleId="TextkomentraChar1157">
    <w:name w:val="Text komentára Char1157"/>
    <w:aliases w:val="Char7 Char Char1158,Comment Text Char Char Char1158,Text komentára Char Char Char1158"/>
    <w:basedOn w:val="DefaultParagraphFont"/>
    <w:uiPriority w:val="99"/>
    <w:semiHidden/>
    <w:rPr>
      <w:rFonts w:ascii="Courier" w:hAnsi="Courier" w:cs="Courier"/>
      <w:rtl w:val="0"/>
      <w:cs w:val="0"/>
      <w:lang w:val="x-none" w:eastAsia="cs-CZ"/>
    </w:rPr>
  </w:style>
  <w:style w:type="character" w:customStyle="1" w:styleId="TextkomentraChar1156">
    <w:name w:val="Text komentára Char1156"/>
    <w:aliases w:val="Char7 Char Char1157,Comment Text Char Char Char1157,Text komentára Char Char Char1157"/>
    <w:basedOn w:val="DefaultParagraphFont"/>
    <w:uiPriority w:val="99"/>
    <w:semiHidden/>
    <w:rPr>
      <w:rFonts w:ascii="Courier" w:hAnsi="Courier" w:cs="Courier"/>
      <w:rtl w:val="0"/>
      <w:cs w:val="0"/>
      <w:lang w:val="x-none" w:eastAsia="cs-CZ"/>
    </w:rPr>
  </w:style>
  <w:style w:type="character" w:customStyle="1" w:styleId="TextkomentraChar1155">
    <w:name w:val="Text komentára Char1155"/>
    <w:aliases w:val="Char7 Char Char1156,Comment Text Char Char Char1156,Text komentára Char Char Char1156"/>
    <w:basedOn w:val="DefaultParagraphFont"/>
    <w:uiPriority w:val="99"/>
    <w:semiHidden/>
    <w:rPr>
      <w:rFonts w:ascii="Courier" w:hAnsi="Courier" w:cs="Courier"/>
      <w:rtl w:val="0"/>
      <w:cs w:val="0"/>
      <w:lang w:val="x-none" w:eastAsia="cs-CZ"/>
    </w:rPr>
  </w:style>
  <w:style w:type="character" w:customStyle="1" w:styleId="TextkomentraChar1154">
    <w:name w:val="Text komentára Char1154"/>
    <w:aliases w:val="Char7 Char Char1155,Comment Text Char Char Char1155,Text komentára Char Char Char1155"/>
    <w:basedOn w:val="DefaultParagraphFont"/>
    <w:uiPriority w:val="99"/>
    <w:semiHidden/>
    <w:rPr>
      <w:rFonts w:ascii="Courier" w:hAnsi="Courier" w:cs="Courier"/>
      <w:rtl w:val="0"/>
      <w:cs w:val="0"/>
      <w:lang w:val="x-none" w:eastAsia="cs-CZ"/>
    </w:rPr>
  </w:style>
  <w:style w:type="character" w:customStyle="1" w:styleId="TextkomentraChar1153">
    <w:name w:val="Text komentára Char1153"/>
    <w:aliases w:val="Char7 Char Char1154,Comment Text Char Char Char1154,Text komentára Char Char Char1154"/>
    <w:basedOn w:val="DefaultParagraphFont"/>
    <w:uiPriority w:val="99"/>
    <w:semiHidden/>
    <w:rPr>
      <w:rFonts w:ascii="Courier" w:hAnsi="Courier" w:cs="Courier"/>
      <w:rtl w:val="0"/>
      <w:cs w:val="0"/>
      <w:lang w:val="x-none" w:eastAsia="cs-CZ"/>
    </w:rPr>
  </w:style>
  <w:style w:type="character" w:customStyle="1" w:styleId="TextkomentraChar1152">
    <w:name w:val="Text komentára Char1152"/>
    <w:aliases w:val="Char7 Char Char1153,Comment Text Char Char Char1153,Text komentára Char Char Char1153"/>
    <w:basedOn w:val="DefaultParagraphFont"/>
    <w:uiPriority w:val="99"/>
    <w:semiHidden/>
    <w:rPr>
      <w:rFonts w:ascii="Courier" w:hAnsi="Courier" w:cs="Courier"/>
      <w:rtl w:val="0"/>
      <w:cs w:val="0"/>
      <w:lang w:val="x-none" w:eastAsia="cs-CZ"/>
    </w:rPr>
  </w:style>
  <w:style w:type="character" w:customStyle="1" w:styleId="TextkomentraChar1151">
    <w:name w:val="Text komentára Char1151"/>
    <w:aliases w:val="Char7 Char Char1152,Comment Text Char Char Char1152,Text komentára Char Char Char1152"/>
    <w:basedOn w:val="DefaultParagraphFont"/>
    <w:uiPriority w:val="99"/>
    <w:semiHidden/>
    <w:rPr>
      <w:rFonts w:ascii="Courier" w:hAnsi="Courier" w:cs="Courier"/>
      <w:rtl w:val="0"/>
      <w:cs w:val="0"/>
      <w:lang w:val="x-none" w:eastAsia="cs-CZ"/>
    </w:rPr>
  </w:style>
  <w:style w:type="character" w:customStyle="1" w:styleId="TextkomentraChar1150">
    <w:name w:val="Text komentára Char1150"/>
    <w:aliases w:val="Char7 Char Char1151,Comment Text Char Char Char1151,Text komentára Char Char Char1151"/>
    <w:basedOn w:val="DefaultParagraphFont"/>
    <w:uiPriority w:val="99"/>
    <w:semiHidden/>
    <w:rPr>
      <w:rFonts w:ascii="Courier" w:hAnsi="Courier" w:cs="Courier"/>
      <w:rtl w:val="0"/>
      <w:cs w:val="0"/>
      <w:lang w:val="x-none" w:eastAsia="cs-CZ"/>
    </w:rPr>
  </w:style>
  <w:style w:type="character" w:customStyle="1" w:styleId="TextkomentraChar1149">
    <w:name w:val="Text komentára Char1149"/>
    <w:aliases w:val="Char7 Char Char1150,Comment Text Char Char Char1150,Text komentára Char Char Char1150"/>
    <w:basedOn w:val="DefaultParagraphFont"/>
    <w:uiPriority w:val="99"/>
    <w:semiHidden/>
    <w:rPr>
      <w:rFonts w:ascii="Courier" w:hAnsi="Courier" w:cs="Courier"/>
      <w:rtl w:val="0"/>
      <w:cs w:val="0"/>
      <w:lang w:val="x-none" w:eastAsia="cs-CZ"/>
    </w:rPr>
  </w:style>
  <w:style w:type="character" w:customStyle="1" w:styleId="TextkomentraChar1148">
    <w:name w:val="Text komentára Char1148"/>
    <w:aliases w:val="Char7 Char Char1149,Comment Text Char Char Char1149,Text komentára Char Char Char1149"/>
    <w:basedOn w:val="DefaultParagraphFont"/>
    <w:uiPriority w:val="99"/>
    <w:semiHidden/>
    <w:rPr>
      <w:rFonts w:ascii="Courier" w:hAnsi="Courier" w:cs="Courier"/>
      <w:rtl w:val="0"/>
      <w:cs w:val="0"/>
      <w:lang w:val="x-none" w:eastAsia="cs-CZ"/>
    </w:rPr>
  </w:style>
  <w:style w:type="character" w:customStyle="1" w:styleId="TextkomentraChar1147">
    <w:name w:val="Text komentára Char1147"/>
    <w:aliases w:val="Char7 Char Char1148,Comment Text Char Char Char1148,Text komentára Char Char Char1148"/>
    <w:basedOn w:val="DefaultParagraphFont"/>
    <w:uiPriority w:val="99"/>
    <w:semiHidden/>
    <w:rPr>
      <w:rFonts w:ascii="Courier" w:hAnsi="Courier" w:cs="Courier"/>
      <w:rtl w:val="0"/>
      <w:cs w:val="0"/>
      <w:lang w:val="x-none" w:eastAsia="cs-CZ"/>
    </w:rPr>
  </w:style>
  <w:style w:type="character" w:customStyle="1" w:styleId="TextkomentraChar1146">
    <w:name w:val="Text komentára Char1146"/>
    <w:aliases w:val="Char7 Char Char1147,Comment Text Char Char Char1147,Text komentára Char Char Char1147"/>
    <w:basedOn w:val="DefaultParagraphFont"/>
    <w:uiPriority w:val="99"/>
    <w:semiHidden/>
    <w:rPr>
      <w:rFonts w:ascii="Courier" w:hAnsi="Courier" w:cs="Courier"/>
      <w:rtl w:val="0"/>
      <w:cs w:val="0"/>
      <w:lang w:val="x-none" w:eastAsia="cs-CZ"/>
    </w:rPr>
  </w:style>
  <w:style w:type="character" w:customStyle="1" w:styleId="TextkomentraChar1145">
    <w:name w:val="Text komentára Char1145"/>
    <w:aliases w:val="Char7 Char Char1146,Comment Text Char Char Char1146,Text komentára Char Char Char1146"/>
    <w:basedOn w:val="DefaultParagraphFont"/>
    <w:uiPriority w:val="99"/>
    <w:semiHidden/>
    <w:rPr>
      <w:rFonts w:ascii="Courier" w:hAnsi="Courier" w:cs="Courier"/>
      <w:rtl w:val="0"/>
      <w:cs w:val="0"/>
      <w:lang w:val="x-none" w:eastAsia="cs-CZ"/>
    </w:rPr>
  </w:style>
  <w:style w:type="character" w:customStyle="1" w:styleId="TextkomentraChar1144">
    <w:name w:val="Text komentára Char1144"/>
    <w:aliases w:val="Char7 Char Char1145,Comment Text Char Char Char1145,Text komentára Char Char Char1145"/>
    <w:basedOn w:val="DefaultParagraphFont"/>
    <w:uiPriority w:val="99"/>
    <w:semiHidden/>
    <w:rPr>
      <w:rFonts w:ascii="Courier" w:hAnsi="Courier" w:cs="Courier"/>
      <w:rtl w:val="0"/>
      <w:cs w:val="0"/>
      <w:lang w:val="x-none" w:eastAsia="cs-CZ"/>
    </w:rPr>
  </w:style>
  <w:style w:type="character" w:customStyle="1" w:styleId="TextkomentraChar1143">
    <w:name w:val="Text komentára Char1143"/>
    <w:aliases w:val="Char7 Char Char1144,Comment Text Char Char Char1144,Text komentára Char Char Char1144"/>
    <w:basedOn w:val="DefaultParagraphFont"/>
    <w:uiPriority w:val="99"/>
    <w:semiHidden/>
    <w:rPr>
      <w:rFonts w:ascii="Courier" w:hAnsi="Courier" w:cs="Courier"/>
      <w:rtl w:val="0"/>
      <w:cs w:val="0"/>
      <w:lang w:val="x-none" w:eastAsia="cs-CZ"/>
    </w:rPr>
  </w:style>
  <w:style w:type="character" w:customStyle="1" w:styleId="TextkomentraChar1142">
    <w:name w:val="Text komentára Char1142"/>
    <w:aliases w:val="Char7 Char Char1143,Comment Text Char Char Char1143,Text komentára Char Char Char1143"/>
    <w:basedOn w:val="DefaultParagraphFont"/>
    <w:uiPriority w:val="99"/>
    <w:semiHidden/>
    <w:rPr>
      <w:rFonts w:ascii="Courier" w:hAnsi="Courier" w:cs="Courier"/>
      <w:rtl w:val="0"/>
      <w:cs w:val="0"/>
      <w:lang w:val="x-none" w:eastAsia="cs-CZ"/>
    </w:rPr>
  </w:style>
  <w:style w:type="character" w:customStyle="1" w:styleId="TextkomentraChar1141">
    <w:name w:val="Text komentára Char1141"/>
    <w:aliases w:val="Char7 Char Char1142,Comment Text Char Char Char1142,Text komentára Char Char Char1142"/>
    <w:basedOn w:val="DefaultParagraphFont"/>
    <w:uiPriority w:val="99"/>
    <w:semiHidden/>
    <w:rPr>
      <w:rFonts w:ascii="Courier" w:hAnsi="Courier" w:cs="Courier"/>
      <w:rtl w:val="0"/>
      <w:cs w:val="0"/>
      <w:lang w:val="x-none" w:eastAsia="cs-CZ"/>
    </w:rPr>
  </w:style>
  <w:style w:type="character" w:customStyle="1" w:styleId="TextkomentraChar1140">
    <w:name w:val="Text komentára Char1140"/>
    <w:aliases w:val="Char7 Char Char1141,Comment Text Char Char Char1141,Text komentára Char Char Char1141"/>
    <w:basedOn w:val="DefaultParagraphFont"/>
    <w:uiPriority w:val="99"/>
    <w:semiHidden/>
    <w:rPr>
      <w:rFonts w:ascii="Courier" w:hAnsi="Courier" w:cs="Courier"/>
      <w:rtl w:val="0"/>
      <w:cs w:val="0"/>
      <w:lang w:val="x-none" w:eastAsia="cs-CZ"/>
    </w:rPr>
  </w:style>
  <w:style w:type="character" w:customStyle="1" w:styleId="TextkomentraChar1139">
    <w:name w:val="Text komentára Char1139"/>
    <w:aliases w:val="Char7 Char Char1140,Comment Text Char Char Char1140,Text komentára Char Char Char1140"/>
    <w:basedOn w:val="DefaultParagraphFont"/>
    <w:uiPriority w:val="99"/>
    <w:semiHidden/>
    <w:rPr>
      <w:rFonts w:ascii="Courier" w:hAnsi="Courier" w:cs="Courier"/>
      <w:rtl w:val="0"/>
      <w:cs w:val="0"/>
      <w:lang w:val="x-none" w:eastAsia="cs-CZ"/>
    </w:rPr>
  </w:style>
  <w:style w:type="character" w:customStyle="1" w:styleId="TextkomentraChar1138">
    <w:name w:val="Text komentára Char1138"/>
    <w:aliases w:val="Char7 Char Char1139,Comment Text Char Char Char1139,Text komentára Char Char Char1139"/>
    <w:basedOn w:val="DefaultParagraphFont"/>
    <w:uiPriority w:val="99"/>
    <w:semiHidden/>
    <w:rPr>
      <w:rFonts w:ascii="Courier" w:hAnsi="Courier" w:cs="Courier"/>
      <w:rtl w:val="0"/>
      <w:cs w:val="0"/>
      <w:lang w:val="x-none" w:eastAsia="cs-CZ"/>
    </w:rPr>
  </w:style>
  <w:style w:type="character" w:customStyle="1" w:styleId="TextkomentraChar1137">
    <w:name w:val="Text komentára Char1137"/>
    <w:aliases w:val="Char7 Char Char1138,Comment Text Char Char Char1138,Text komentára Char Char Char1138"/>
    <w:basedOn w:val="DefaultParagraphFont"/>
    <w:uiPriority w:val="99"/>
    <w:semiHidden/>
    <w:rPr>
      <w:rFonts w:ascii="Courier" w:hAnsi="Courier" w:cs="Courier"/>
      <w:rtl w:val="0"/>
      <w:cs w:val="0"/>
      <w:lang w:val="x-none" w:eastAsia="cs-CZ"/>
    </w:rPr>
  </w:style>
  <w:style w:type="character" w:customStyle="1" w:styleId="TextkomentraChar1136">
    <w:name w:val="Text komentára Char1136"/>
    <w:aliases w:val="Char7 Char Char1137,Comment Text Char Char Char1137,Text komentára Char Char Char1137"/>
    <w:basedOn w:val="DefaultParagraphFont"/>
    <w:uiPriority w:val="99"/>
    <w:semiHidden/>
    <w:rPr>
      <w:rFonts w:ascii="Courier" w:hAnsi="Courier" w:cs="Courier"/>
      <w:rtl w:val="0"/>
      <w:cs w:val="0"/>
      <w:lang w:val="x-none" w:eastAsia="cs-CZ"/>
    </w:rPr>
  </w:style>
  <w:style w:type="character" w:customStyle="1" w:styleId="TextkomentraChar1135">
    <w:name w:val="Text komentára Char1135"/>
    <w:aliases w:val="Char7 Char Char1136,Comment Text Char Char Char1136,Text komentára Char Char Char1136"/>
    <w:basedOn w:val="DefaultParagraphFont"/>
    <w:uiPriority w:val="99"/>
    <w:semiHidden/>
    <w:rPr>
      <w:rFonts w:ascii="Courier" w:hAnsi="Courier" w:cs="Courier"/>
      <w:rtl w:val="0"/>
      <w:cs w:val="0"/>
      <w:lang w:val="x-none" w:eastAsia="cs-CZ"/>
    </w:rPr>
  </w:style>
  <w:style w:type="character" w:customStyle="1" w:styleId="TextkomentraChar1134">
    <w:name w:val="Text komentára Char1134"/>
    <w:aliases w:val="Char7 Char Char1135,Comment Text Char Char Char1135,Text komentára Char Char Char1135"/>
    <w:basedOn w:val="DefaultParagraphFont"/>
    <w:uiPriority w:val="99"/>
    <w:semiHidden/>
    <w:rPr>
      <w:rFonts w:ascii="Courier" w:hAnsi="Courier" w:cs="Courier"/>
      <w:rtl w:val="0"/>
      <w:cs w:val="0"/>
      <w:lang w:val="x-none" w:eastAsia="cs-CZ"/>
    </w:rPr>
  </w:style>
  <w:style w:type="character" w:customStyle="1" w:styleId="TextkomentraChar1133">
    <w:name w:val="Text komentára Char1133"/>
    <w:aliases w:val="Char7 Char Char1134,Comment Text Char Char Char1134,Text komentára Char Char Char1134"/>
    <w:basedOn w:val="DefaultParagraphFont"/>
    <w:uiPriority w:val="99"/>
    <w:semiHidden/>
    <w:rPr>
      <w:rFonts w:ascii="Courier" w:hAnsi="Courier" w:cs="Courier"/>
      <w:rtl w:val="0"/>
      <w:cs w:val="0"/>
      <w:lang w:val="x-none" w:eastAsia="cs-CZ"/>
    </w:rPr>
  </w:style>
  <w:style w:type="character" w:customStyle="1" w:styleId="TextkomentraChar1132">
    <w:name w:val="Text komentára Char1132"/>
    <w:aliases w:val="Char7 Char Char1133,Comment Text Char Char Char1133,Text komentára Char Char Char1133"/>
    <w:basedOn w:val="DefaultParagraphFont"/>
    <w:uiPriority w:val="99"/>
    <w:semiHidden/>
    <w:rPr>
      <w:rFonts w:ascii="Courier" w:hAnsi="Courier" w:cs="Courier"/>
      <w:rtl w:val="0"/>
      <w:cs w:val="0"/>
      <w:lang w:val="x-none" w:eastAsia="cs-CZ"/>
    </w:rPr>
  </w:style>
  <w:style w:type="character" w:customStyle="1" w:styleId="TextkomentraChar1131">
    <w:name w:val="Text komentára Char1131"/>
    <w:aliases w:val="Char7 Char Char1132,Comment Text Char Char Char1132,Text komentára Char Char Char1132"/>
    <w:basedOn w:val="DefaultParagraphFont"/>
    <w:uiPriority w:val="99"/>
    <w:semiHidden/>
    <w:rPr>
      <w:rFonts w:ascii="Courier" w:hAnsi="Courier" w:cs="Courier"/>
      <w:rtl w:val="0"/>
      <w:cs w:val="0"/>
      <w:lang w:val="x-none" w:eastAsia="cs-CZ"/>
    </w:rPr>
  </w:style>
  <w:style w:type="character" w:customStyle="1" w:styleId="TextkomentraChar1130">
    <w:name w:val="Text komentára Char1130"/>
    <w:aliases w:val="Char7 Char Char1131,Comment Text Char Char Char1131,Text komentára Char Char Char1131"/>
    <w:basedOn w:val="DefaultParagraphFont"/>
    <w:uiPriority w:val="99"/>
    <w:semiHidden/>
    <w:rPr>
      <w:rFonts w:ascii="Courier" w:hAnsi="Courier" w:cs="Courier"/>
      <w:rtl w:val="0"/>
      <w:cs w:val="0"/>
      <w:lang w:val="x-none" w:eastAsia="cs-CZ"/>
    </w:rPr>
  </w:style>
  <w:style w:type="character" w:customStyle="1" w:styleId="TextkomentraChar1129">
    <w:name w:val="Text komentára Char1129"/>
    <w:aliases w:val="Char7 Char Char1130,Comment Text Char Char Char1130,Text komentára Char Char Char1130"/>
    <w:basedOn w:val="DefaultParagraphFont"/>
    <w:uiPriority w:val="99"/>
    <w:semiHidden/>
    <w:rPr>
      <w:rFonts w:ascii="Courier" w:hAnsi="Courier" w:cs="Courier"/>
      <w:rtl w:val="0"/>
      <w:cs w:val="0"/>
      <w:lang w:val="x-none" w:eastAsia="cs-CZ"/>
    </w:rPr>
  </w:style>
  <w:style w:type="character" w:customStyle="1" w:styleId="TextkomentraChar1128">
    <w:name w:val="Text komentára Char1128"/>
    <w:aliases w:val="Char7 Char Char1129,Comment Text Char Char Char1129,Text komentára Char Char Char1129"/>
    <w:basedOn w:val="DefaultParagraphFont"/>
    <w:uiPriority w:val="99"/>
    <w:semiHidden/>
    <w:rPr>
      <w:rFonts w:ascii="Courier" w:hAnsi="Courier" w:cs="Courier"/>
      <w:rtl w:val="0"/>
      <w:cs w:val="0"/>
      <w:lang w:val="x-none" w:eastAsia="cs-CZ"/>
    </w:rPr>
  </w:style>
  <w:style w:type="character" w:customStyle="1" w:styleId="TextkomentraChar1127">
    <w:name w:val="Text komentára Char1127"/>
    <w:aliases w:val="Char7 Char Char1128,Comment Text Char Char Char1128,Text komentára Char Char Char1128"/>
    <w:basedOn w:val="DefaultParagraphFont"/>
    <w:uiPriority w:val="99"/>
    <w:semiHidden/>
    <w:rPr>
      <w:rFonts w:ascii="Courier" w:hAnsi="Courier" w:cs="Courier"/>
      <w:rtl w:val="0"/>
      <w:cs w:val="0"/>
      <w:lang w:val="x-none" w:eastAsia="cs-CZ"/>
    </w:rPr>
  </w:style>
  <w:style w:type="character" w:customStyle="1" w:styleId="TextkomentraChar1126">
    <w:name w:val="Text komentára Char1126"/>
    <w:aliases w:val="Char7 Char Char1127,Comment Text Char Char Char1127,Text komentára Char Char Char1127"/>
    <w:basedOn w:val="DefaultParagraphFont"/>
    <w:uiPriority w:val="99"/>
    <w:semiHidden/>
    <w:rPr>
      <w:rFonts w:ascii="Courier" w:hAnsi="Courier" w:cs="Courier"/>
      <w:rtl w:val="0"/>
      <w:cs w:val="0"/>
      <w:lang w:val="x-none" w:eastAsia="cs-CZ"/>
    </w:rPr>
  </w:style>
  <w:style w:type="character" w:customStyle="1" w:styleId="TextkomentraChar1125">
    <w:name w:val="Text komentára Char1125"/>
    <w:aliases w:val="Char7 Char Char1126,Comment Text Char Char Char1126,Text komentára Char Char Char1126"/>
    <w:basedOn w:val="DefaultParagraphFont"/>
    <w:uiPriority w:val="99"/>
    <w:semiHidden/>
    <w:rPr>
      <w:rFonts w:ascii="Courier" w:hAnsi="Courier" w:cs="Courier"/>
      <w:rtl w:val="0"/>
      <w:cs w:val="0"/>
      <w:lang w:val="x-none" w:eastAsia="cs-CZ"/>
    </w:rPr>
  </w:style>
  <w:style w:type="character" w:customStyle="1" w:styleId="TextkomentraChar1124">
    <w:name w:val="Text komentára Char1124"/>
    <w:aliases w:val="Char7 Char Char1125,Comment Text Char Char Char1125,Text komentára Char Char Char1125"/>
    <w:basedOn w:val="DefaultParagraphFont"/>
    <w:uiPriority w:val="99"/>
    <w:semiHidden/>
    <w:rPr>
      <w:rFonts w:ascii="Courier" w:hAnsi="Courier" w:cs="Courier"/>
      <w:rtl w:val="0"/>
      <w:cs w:val="0"/>
      <w:lang w:val="x-none" w:eastAsia="cs-CZ"/>
    </w:rPr>
  </w:style>
  <w:style w:type="character" w:customStyle="1" w:styleId="TextkomentraChar1123">
    <w:name w:val="Text komentára Char1123"/>
    <w:aliases w:val="Char7 Char Char1124,Comment Text Char Char Char1124,Text komentára Char Char Char1124"/>
    <w:basedOn w:val="DefaultParagraphFont"/>
    <w:uiPriority w:val="99"/>
    <w:semiHidden/>
    <w:rPr>
      <w:rFonts w:ascii="Courier" w:hAnsi="Courier" w:cs="Courier"/>
      <w:rtl w:val="0"/>
      <w:cs w:val="0"/>
      <w:lang w:val="x-none" w:eastAsia="cs-CZ"/>
    </w:rPr>
  </w:style>
  <w:style w:type="character" w:customStyle="1" w:styleId="TextkomentraChar1122">
    <w:name w:val="Text komentára Char1122"/>
    <w:aliases w:val="Char7 Char Char1123,Comment Text Char Char Char1123,Text komentára Char Char Char1123"/>
    <w:basedOn w:val="DefaultParagraphFont"/>
    <w:uiPriority w:val="99"/>
    <w:semiHidden/>
    <w:rPr>
      <w:rFonts w:ascii="Courier" w:hAnsi="Courier" w:cs="Courier"/>
      <w:rtl w:val="0"/>
      <w:cs w:val="0"/>
      <w:lang w:val="x-none" w:eastAsia="cs-CZ"/>
    </w:rPr>
  </w:style>
  <w:style w:type="character" w:customStyle="1" w:styleId="TextkomentraChar1121">
    <w:name w:val="Text komentára Char1121"/>
    <w:aliases w:val="Char7 Char Char1122,Comment Text Char Char Char1122,Text komentára Char Char Char1122"/>
    <w:basedOn w:val="DefaultParagraphFont"/>
    <w:uiPriority w:val="99"/>
    <w:semiHidden/>
    <w:rPr>
      <w:rFonts w:ascii="Courier" w:hAnsi="Courier" w:cs="Courier"/>
      <w:rtl w:val="0"/>
      <w:cs w:val="0"/>
      <w:lang w:val="x-none" w:eastAsia="cs-CZ"/>
    </w:rPr>
  </w:style>
  <w:style w:type="character" w:customStyle="1" w:styleId="TextkomentraChar1120">
    <w:name w:val="Text komentára Char1120"/>
    <w:aliases w:val="Char7 Char Char1121,Comment Text Char Char Char1121,Text komentára Char Char Char1121"/>
    <w:basedOn w:val="DefaultParagraphFont"/>
    <w:uiPriority w:val="99"/>
    <w:semiHidden/>
    <w:rPr>
      <w:rFonts w:ascii="Courier" w:hAnsi="Courier" w:cs="Courier"/>
      <w:rtl w:val="0"/>
      <w:cs w:val="0"/>
      <w:lang w:val="x-none" w:eastAsia="cs-CZ"/>
    </w:rPr>
  </w:style>
  <w:style w:type="character" w:customStyle="1" w:styleId="TextkomentraChar1119">
    <w:name w:val="Text komentára Char1119"/>
    <w:aliases w:val="Char7 Char Char1120,Comment Text Char Char Char1120,Text komentára Char Char Char1120"/>
    <w:basedOn w:val="DefaultParagraphFont"/>
    <w:uiPriority w:val="99"/>
    <w:semiHidden/>
    <w:rPr>
      <w:rFonts w:ascii="Courier" w:hAnsi="Courier" w:cs="Courier"/>
      <w:rtl w:val="0"/>
      <w:cs w:val="0"/>
      <w:lang w:val="x-none" w:eastAsia="cs-CZ"/>
    </w:rPr>
  </w:style>
  <w:style w:type="character" w:customStyle="1" w:styleId="TextkomentraChar1118">
    <w:name w:val="Text komentára Char1118"/>
    <w:aliases w:val="Char7 Char Char1119,Comment Text Char Char Char1119,Text komentára Char Char Char1119"/>
    <w:basedOn w:val="DefaultParagraphFont"/>
    <w:uiPriority w:val="99"/>
    <w:semiHidden/>
    <w:rPr>
      <w:rFonts w:ascii="Courier" w:hAnsi="Courier" w:cs="Courier"/>
      <w:rtl w:val="0"/>
      <w:cs w:val="0"/>
      <w:lang w:val="x-none" w:eastAsia="cs-CZ"/>
    </w:rPr>
  </w:style>
  <w:style w:type="character" w:customStyle="1" w:styleId="TextkomentraChar1117">
    <w:name w:val="Text komentára Char1117"/>
    <w:aliases w:val="Char7 Char Char1118,Comment Text Char Char Char1118,Text komentára Char Char Char1118"/>
    <w:basedOn w:val="DefaultParagraphFont"/>
    <w:uiPriority w:val="99"/>
    <w:semiHidden/>
    <w:rPr>
      <w:rFonts w:ascii="Courier" w:hAnsi="Courier" w:cs="Courier"/>
      <w:rtl w:val="0"/>
      <w:cs w:val="0"/>
      <w:lang w:val="x-none" w:eastAsia="cs-CZ"/>
    </w:rPr>
  </w:style>
  <w:style w:type="character" w:customStyle="1" w:styleId="TextkomentraChar1116">
    <w:name w:val="Text komentára Char1116"/>
    <w:aliases w:val="Char7 Char Char1117,Comment Text Char Char Char1117,Text komentára Char Char Char1117"/>
    <w:basedOn w:val="DefaultParagraphFont"/>
    <w:uiPriority w:val="99"/>
    <w:semiHidden/>
    <w:rPr>
      <w:rFonts w:ascii="Courier" w:hAnsi="Courier" w:cs="Courier"/>
      <w:rtl w:val="0"/>
      <w:cs w:val="0"/>
      <w:lang w:val="x-none" w:eastAsia="cs-CZ"/>
    </w:rPr>
  </w:style>
  <w:style w:type="character" w:customStyle="1" w:styleId="TextkomentraChar1115">
    <w:name w:val="Text komentára Char1115"/>
    <w:aliases w:val="Char7 Char Char1116,Comment Text Char Char Char1116,Text komentára Char Char Char1116"/>
    <w:basedOn w:val="DefaultParagraphFont"/>
    <w:uiPriority w:val="99"/>
    <w:semiHidden/>
    <w:rPr>
      <w:rFonts w:ascii="Courier" w:hAnsi="Courier" w:cs="Courier"/>
      <w:rtl w:val="0"/>
      <w:cs w:val="0"/>
      <w:lang w:val="x-none" w:eastAsia="cs-CZ"/>
    </w:rPr>
  </w:style>
  <w:style w:type="character" w:customStyle="1" w:styleId="TextkomentraChar1114">
    <w:name w:val="Text komentára Char1114"/>
    <w:aliases w:val="Char7 Char Char1115,Comment Text Char Char Char1115,Text komentára Char Char Char1115"/>
    <w:basedOn w:val="DefaultParagraphFont"/>
    <w:uiPriority w:val="99"/>
    <w:semiHidden/>
    <w:rPr>
      <w:rFonts w:ascii="Courier" w:hAnsi="Courier" w:cs="Courier"/>
      <w:rtl w:val="0"/>
      <w:cs w:val="0"/>
      <w:lang w:val="x-none" w:eastAsia="cs-CZ"/>
    </w:rPr>
  </w:style>
  <w:style w:type="character" w:customStyle="1" w:styleId="TextkomentraChar1113">
    <w:name w:val="Text komentára Char1113"/>
    <w:aliases w:val="Char7 Char Char1114,Comment Text Char Char Char1114,Text komentára Char Char Char1114"/>
    <w:basedOn w:val="DefaultParagraphFont"/>
    <w:uiPriority w:val="99"/>
    <w:semiHidden/>
    <w:rPr>
      <w:rFonts w:ascii="Courier" w:hAnsi="Courier" w:cs="Courier"/>
      <w:rtl w:val="0"/>
      <w:cs w:val="0"/>
      <w:lang w:val="x-none" w:eastAsia="cs-CZ"/>
    </w:rPr>
  </w:style>
  <w:style w:type="character" w:customStyle="1" w:styleId="TextkomentraChar1112">
    <w:name w:val="Text komentára Char1112"/>
    <w:aliases w:val="Char7 Char Char1113,Comment Text Char Char Char1113,Text komentára Char Char Char1113"/>
    <w:basedOn w:val="DefaultParagraphFont"/>
    <w:uiPriority w:val="99"/>
    <w:semiHidden/>
    <w:rPr>
      <w:rFonts w:ascii="Courier" w:hAnsi="Courier" w:cs="Courier"/>
      <w:rtl w:val="0"/>
      <w:cs w:val="0"/>
      <w:lang w:val="x-none" w:eastAsia="cs-CZ"/>
    </w:rPr>
  </w:style>
  <w:style w:type="character" w:customStyle="1" w:styleId="TextkomentraChar1111">
    <w:name w:val="Text komentára Char1111"/>
    <w:aliases w:val="Char7 Char Char1112,Comment Text Char Char Char1112,Text komentára Char Char Char1112"/>
    <w:basedOn w:val="DefaultParagraphFont"/>
    <w:uiPriority w:val="99"/>
    <w:semiHidden/>
    <w:rPr>
      <w:rFonts w:ascii="Courier" w:hAnsi="Courier" w:cs="Courier"/>
      <w:rtl w:val="0"/>
      <w:cs w:val="0"/>
      <w:lang w:val="x-none" w:eastAsia="cs-CZ"/>
    </w:rPr>
  </w:style>
  <w:style w:type="character" w:customStyle="1" w:styleId="TextkomentraChar1110">
    <w:name w:val="Text komentára Char1110"/>
    <w:aliases w:val="Char7 Char Char1111,Comment Text Char Char Char1111,Text komentára Char Char Char1111"/>
    <w:basedOn w:val="DefaultParagraphFont"/>
    <w:uiPriority w:val="99"/>
    <w:semiHidden/>
    <w:rPr>
      <w:rFonts w:ascii="Courier" w:hAnsi="Courier" w:cs="Courier"/>
      <w:rtl w:val="0"/>
      <w:cs w:val="0"/>
      <w:lang w:val="x-none" w:eastAsia="cs-CZ"/>
    </w:rPr>
  </w:style>
  <w:style w:type="character" w:customStyle="1" w:styleId="TextkomentraChar1109">
    <w:name w:val="Text komentára Char1109"/>
    <w:aliases w:val="Char7 Char Char1110,Comment Text Char Char Char1110,Text komentára Char Char Char1110"/>
    <w:basedOn w:val="DefaultParagraphFont"/>
    <w:uiPriority w:val="99"/>
    <w:semiHidden/>
    <w:rPr>
      <w:rFonts w:ascii="Courier" w:hAnsi="Courier" w:cs="Courier"/>
      <w:rtl w:val="0"/>
      <w:cs w:val="0"/>
      <w:lang w:val="x-none" w:eastAsia="cs-CZ"/>
    </w:rPr>
  </w:style>
  <w:style w:type="character" w:customStyle="1" w:styleId="TextkomentraChar1108">
    <w:name w:val="Text komentára Char1108"/>
    <w:aliases w:val="Char7 Char Char1109,Comment Text Char Char Char1109,Text komentára Char Char Char1109"/>
    <w:basedOn w:val="DefaultParagraphFont"/>
    <w:uiPriority w:val="99"/>
    <w:semiHidden/>
    <w:rPr>
      <w:rFonts w:ascii="Courier" w:hAnsi="Courier" w:cs="Courier"/>
      <w:rtl w:val="0"/>
      <w:cs w:val="0"/>
      <w:lang w:val="x-none" w:eastAsia="cs-CZ"/>
    </w:rPr>
  </w:style>
  <w:style w:type="character" w:customStyle="1" w:styleId="TextkomentraChar1107">
    <w:name w:val="Text komentára Char1107"/>
    <w:aliases w:val="Char7 Char Char1108,Comment Text Char Char Char1108,Text komentára Char Char Char1108"/>
    <w:basedOn w:val="DefaultParagraphFont"/>
    <w:uiPriority w:val="99"/>
    <w:semiHidden/>
    <w:rPr>
      <w:rFonts w:ascii="Courier" w:hAnsi="Courier" w:cs="Courier"/>
      <w:rtl w:val="0"/>
      <w:cs w:val="0"/>
      <w:lang w:val="x-none" w:eastAsia="cs-CZ"/>
    </w:rPr>
  </w:style>
  <w:style w:type="character" w:customStyle="1" w:styleId="TextkomentraChar1106">
    <w:name w:val="Text komentára Char1106"/>
    <w:aliases w:val="Char7 Char Char1107,Comment Text Char Char Char1107,Text komentára Char Char Char1107"/>
    <w:basedOn w:val="DefaultParagraphFont"/>
    <w:uiPriority w:val="99"/>
    <w:semiHidden/>
    <w:rPr>
      <w:rFonts w:ascii="Courier" w:hAnsi="Courier" w:cs="Courier"/>
      <w:rtl w:val="0"/>
      <w:cs w:val="0"/>
      <w:lang w:val="x-none" w:eastAsia="cs-CZ"/>
    </w:rPr>
  </w:style>
  <w:style w:type="character" w:customStyle="1" w:styleId="TextkomentraChar1105">
    <w:name w:val="Text komentára Char1105"/>
    <w:aliases w:val="Char7 Char Char1106,Comment Text Char Char Char1106,Text komentára Char Char Char1106"/>
    <w:basedOn w:val="DefaultParagraphFont"/>
    <w:uiPriority w:val="99"/>
    <w:semiHidden/>
    <w:rPr>
      <w:rFonts w:ascii="Courier" w:hAnsi="Courier" w:cs="Courier"/>
      <w:rtl w:val="0"/>
      <w:cs w:val="0"/>
      <w:lang w:val="x-none" w:eastAsia="cs-CZ"/>
    </w:rPr>
  </w:style>
  <w:style w:type="character" w:customStyle="1" w:styleId="TextkomentraChar1104">
    <w:name w:val="Text komentára Char1104"/>
    <w:aliases w:val="Char7 Char Char1105,Comment Text Char Char Char1105,Text komentára Char Char Char1105"/>
    <w:basedOn w:val="DefaultParagraphFont"/>
    <w:uiPriority w:val="99"/>
    <w:semiHidden/>
    <w:rPr>
      <w:rFonts w:ascii="Courier" w:hAnsi="Courier" w:cs="Courier"/>
      <w:rtl w:val="0"/>
      <w:cs w:val="0"/>
      <w:lang w:val="x-none" w:eastAsia="cs-CZ"/>
    </w:rPr>
  </w:style>
  <w:style w:type="character" w:customStyle="1" w:styleId="TextkomentraChar1103">
    <w:name w:val="Text komentára Char1103"/>
    <w:aliases w:val="Char7 Char Char1104,Comment Text Char Char Char1104,Text komentára Char Char Char1104"/>
    <w:basedOn w:val="DefaultParagraphFont"/>
    <w:uiPriority w:val="99"/>
    <w:semiHidden/>
    <w:rPr>
      <w:rFonts w:ascii="Courier" w:hAnsi="Courier" w:cs="Courier"/>
      <w:rtl w:val="0"/>
      <w:cs w:val="0"/>
      <w:lang w:val="x-none" w:eastAsia="cs-CZ"/>
    </w:rPr>
  </w:style>
  <w:style w:type="character" w:customStyle="1" w:styleId="TextkomentraChar1102">
    <w:name w:val="Text komentára Char1102"/>
    <w:aliases w:val="Char7 Char Char1103,Comment Text Char Char Char1103,Text komentára Char Char Char1103"/>
    <w:basedOn w:val="DefaultParagraphFont"/>
    <w:uiPriority w:val="99"/>
    <w:semiHidden/>
    <w:rPr>
      <w:rFonts w:ascii="Courier" w:hAnsi="Courier" w:cs="Courier"/>
      <w:rtl w:val="0"/>
      <w:cs w:val="0"/>
      <w:lang w:val="x-none" w:eastAsia="cs-CZ"/>
    </w:rPr>
  </w:style>
  <w:style w:type="character" w:customStyle="1" w:styleId="TextkomentraChar1101">
    <w:name w:val="Text komentára Char1101"/>
    <w:aliases w:val="Char7 Char Char1102,Comment Text Char Char Char1102,Text komentára Char Char Char1102"/>
    <w:basedOn w:val="DefaultParagraphFont"/>
    <w:uiPriority w:val="99"/>
    <w:semiHidden/>
    <w:rPr>
      <w:rFonts w:ascii="Courier" w:hAnsi="Courier" w:cs="Courier"/>
      <w:rtl w:val="0"/>
      <w:cs w:val="0"/>
      <w:lang w:val="x-none" w:eastAsia="cs-CZ"/>
    </w:rPr>
  </w:style>
  <w:style w:type="character" w:customStyle="1" w:styleId="TextkomentraChar1100">
    <w:name w:val="Text komentára Char1100"/>
    <w:aliases w:val="Char7 Char Char1101,Comment Text Char Char Char1101,Text komentára Char Char Char1101"/>
    <w:basedOn w:val="DefaultParagraphFont"/>
    <w:uiPriority w:val="99"/>
    <w:semiHidden/>
    <w:rPr>
      <w:rFonts w:ascii="Courier" w:hAnsi="Courier" w:cs="Courier"/>
      <w:rtl w:val="0"/>
      <w:cs w:val="0"/>
      <w:lang w:val="x-none" w:eastAsia="cs-CZ"/>
    </w:rPr>
  </w:style>
  <w:style w:type="character" w:customStyle="1" w:styleId="TextkomentraChar199">
    <w:name w:val="Text komentára Char199"/>
    <w:aliases w:val="Char7 Char Char1100,Comment Text Char Char Char1100,Text komentára Char Char Char1100"/>
    <w:basedOn w:val="DefaultParagraphFont"/>
    <w:uiPriority w:val="99"/>
    <w:semiHidden/>
    <w:rPr>
      <w:rFonts w:ascii="Courier" w:hAnsi="Courier" w:cs="Courier"/>
      <w:rtl w:val="0"/>
      <w:cs w:val="0"/>
      <w:lang w:val="x-none" w:eastAsia="cs-CZ"/>
    </w:rPr>
  </w:style>
  <w:style w:type="character" w:customStyle="1" w:styleId="TextkomentraChar198">
    <w:name w:val="Text komentára Char198"/>
    <w:aliases w:val="Char7 Char Char199,Comment Text Char Char Char199,Text komentára Char Char Char199"/>
    <w:basedOn w:val="DefaultParagraphFont"/>
    <w:uiPriority w:val="99"/>
    <w:semiHidden/>
    <w:rPr>
      <w:rFonts w:ascii="Courier" w:hAnsi="Courier" w:cs="Courier"/>
      <w:rtl w:val="0"/>
      <w:cs w:val="0"/>
      <w:lang w:val="x-none" w:eastAsia="cs-CZ"/>
    </w:rPr>
  </w:style>
  <w:style w:type="character" w:customStyle="1" w:styleId="TextkomentraChar197">
    <w:name w:val="Text komentára Char197"/>
    <w:aliases w:val="Char7 Char Char198,Comment Text Char Char Char198,Text komentára Char Char Char198"/>
    <w:basedOn w:val="DefaultParagraphFont"/>
    <w:uiPriority w:val="99"/>
    <w:semiHidden/>
    <w:rPr>
      <w:rFonts w:ascii="Courier" w:hAnsi="Courier" w:cs="Courier"/>
      <w:rtl w:val="0"/>
      <w:cs w:val="0"/>
      <w:lang w:val="x-none" w:eastAsia="cs-CZ"/>
    </w:rPr>
  </w:style>
  <w:style w:type="character" w:customStyle="1" w:styleId="TextkomentraChar196">
    <w:name w:val="Text komentára Char196"/>
    <w:aliases w:val="Char7 Char Char197,Comment Text Char Char Char197,Text komentára Char Char Char197"/>
    <w:basedOn w:val="DefaultParagraphFont"/>
    <w:uiPriority w:val="99"/>
    <w:semiHidden/>
    <w:rPr>
      <w:rFonts w:ascii="Courier" w:hAnsi="Courier" w:cs="Courier"/>
      <w:rtl w:val="0"/>
      <w:cs w:val="0"/>
      <w:lang w:val="x-none" w:eastAsia="cs-CZ"/>
    </w:rPr>
  </w:style>
  <w:style w:type="character" w:customStyle="1" w:styleId="TextkomentraChar195">
    <w:name w:val="Text komentára Char195"/>
    <w:aliases w:val="Char7 Char Char196,Comment Text Char Char Char196,Text komentára Char Char Char196"/>
    <w:basedOn w:val="DefaultParagraphFont"/>
    <w:uiPriority w:val="99"/>
    <w:semiHidden/>
    <w:rPr>
      <w:rFonts w:ascii="Courier" w:hAnsi="Courier" w:cs="Courier"/>
      <w:rtl w:val="0"/>
      <w:cs w:val="0"/>
      <w:lang w:val="x-none" w:eastAsia="cs-CZ"/>
    </w:rPr>
  </w:style>
  <w:style w:type="character" w:customStyle="1" w:styleId="TextkomentraChar194">
    <w:name w:val="Text komentára Char194"/>
    <w:aliases w:val="Char7 Char Char195,Comment Text Char Char Char195,Text komentára Char Char Char195"/>
    <w:basedOn w:val="DefaultParagraphFont"/>
    <w:uiPriority w:val="99"/>
    <w:semiHidden/>
    <w:rPr>
      <w:rFonts w:ascii="Courier" w:hAnsi="Courier" w:cs="Courier"/>
      <w:rtl w:val="0"/>
      <w:cs w:val="0"/>
      <w:lang w:val="x-none" w:eastAsia="cs-CZ"/>
    </w:rPr>
  </w:style>
  <w:style w:type="character" w:customStyle="1" w:styleId="TextkomentraChar193">
    <w:name w:val="Text komentára Char193"/>
    <w:aliases w:val="Char7 Char Char194,Comment Text Char Char Char194,Text komentára Char Char Char194"/>
    <w:basedOn w:val="DefaultParagraphFont"/>
    <w:uiPriority w:val="99"/>
    <w:semiHidden/>
    <w:rPr>
      <w:rFonts w:ascii="Courier" w:hAnsi="Courier" w:cs="Courier"/>
      <w:rtl w:val="0"/>
      <w:cs w:val="0"/>
      <w:lang w:val="x-none" w:eastAsia="cs-CZ"/>
    </w:rPr>
  </w:style>
  <w:style w:type="character" w:customStyle="1" w:styleId="TextkomentraChar192">
    <w:name w:val="Text komentára Char192"/>
    <w:aliases w:val="Char7 Char Char193,Comment Text Char Char Char193,Text komentára Char Char Char193"/>
    <w:basedOn w:val="DefaultParagraphFont"/>
    <w:uiPriority w:val="99"/>
    <w:semiHidden/>
    <w:rPr>
      <w:rFonts w:ascii="Courier" w:hAnsi="Courier" w:cs="Courier"/>
      <w:rtl w:val="0"/>
      <w:cs w:val="0"/>
      <w:lang w:val="x-none" w:eastAsia="cs-CZ"/>
    </w:rPr>
  </w:style>
  <w:style w:type="character" w:customStyle="1" w:styleId="TextkomentraChar191">
    <w:name w:val="Text komentára Char191"/>
    <w:aliases w:val="Char7 Char Char192,Comment Text Char Char Char192,Text komentára Char Char Char192"/>
    <w:basedOn w:val="DefaultParagraphFont"/>
    <w:uiPriority w:val="99"/>
    <w:semiHidden/>
    <w:rPr>
      <w:rFonts w:ascii="Courier" w:hAnsi="Courier" w:cs="Courier"/>
      <w:rtl w:val="0"/>
      <w:cs w:val="0"/>
      <w:lang w:val="x-none" w:eastAsia="cs-CZ"/>
    </w:rPr>
  </w:style>
  <w:style w:type="character" w:customStyle="1" w:styleId="TextkomentraChar190">
    <w:name w:val="Text komentára Char190"/>
    <w:aliases w:val="Char7 Char Char191,Comment Text Char Char Char191,Text komentára Char Char Char191"/>
    <w:basedOn w:val="DefaultParagraphFont"/>
    <w:uiPriority w:val="99"/>
    <w:semiHidden/>
    <w:rPr>
      <w:rFonts w:ascii="Courier" w:hAnsi="Courier" w:cs="Courier"/>
      <w:rtl w:val="0"/>
      <w:cs w:val="0"/>
      <w:lang w:val="x-none" w:eastAsia="cs-CZ"/>
    </w:rPr>
  </w:style>
  <w:style w:type="character" w:customStyle="1" w:styleId="TextkomentraChar189">
    <w:name w:val="Text komentára Char189"/>
    <w:aliases w:val="Char7 Char Char190,Comment Text Char Char Char190,Text komentára Char Char Char190"/>
    <w:basedOn w:val="DefaultParagraphFont"/>
    <w:uiPriority w:val="99"/>
    <w:semiHidden/>
    <w:rPr>
      <w:rFonts w:ascii="Courier" w:hAnsi="Courier" w:cs="Courier"/>
      <w:rtl w:val="0"/>
      <w:cs w:val="0"/>
      <w:lang w:val="x-none" w:eastAsia="cs-CZ"/>
    </w:rPr>
  </w:style>
  <w:style w:type="character" w:customStyle="1" w:styleId="TextkomentraChar188">
    <w:name w:val="Text komentára Char188"/>
    <w:aliases w:val="Char7 Char Char189,Comment Text Char Char Char189,Text komentára Char Char Char189"/>
    <w:basedOn w:val="DefaultParagraphFont"/>
    <w:uiPriority w:val="99"/>
    <w:semiHidden/>
    <w:rPr>
      <w:rFonts w:ascii="Courier" w:hAnsi="Courier" w:cs="Courier"/>
      <w:rtl w:val="0"/>
      <w:cs w:val="0"/>
      <w:lang w:val="x-none" w:eastAsia="cs-CZ"/>
    </w:rPr>
  </w:style>
  <w:style w:type="character" w:customStyle="1" w:styleId="TextkomentraChar187">
    <w:name w:val="Text komentára Char187"/>
    <w:aliases w:val="Char7 Char Char188,Comment Text Char Char Char188,Text komentára Char Char Char188"/>
    <w:basedOn w:val="DefaultParagraphFont"/>
    <w:uiPriority w:val="99"/>
    <w:semiHidden/>
    <w:rPr>
      <w:rFonts w:ascii="Courier" w:hAnsi="Courier" w:cs="Courier"/>
      <w:rtl w:val="0"/>
      <w:cs w:val="0"/>
      <w:lang w:val="x-none" w:eastAsia="cs-CZ"/>
    </w:rPr>
  </w:style>
  <w:style w:type="character" w:customStyle="1" w:styleId="TextkomentraChar186">
    <w:name w:val="Text komentára Char186"/>
    <w:aliases w:val="Char7 Char Char187,Comment Text Char Char Char187,Text komentára Char Char Char187"/>
    <w:basedOn w:val="DefaultParagraphFont"/>
    <w:uiPriority w:val="99"/>
    <w:semiHidden/>
    <w:rPr>
      <w:rFonts w:ascii="Courier" w:hAnsi="Courier" w:cs="Courier"/>
      <w:rtl w:val="0"/>
      <w:cs w:val="0"/>
      <w:lang w:val="x-none" w:eastAsia="cs-CZ"/>
    </w:rPr>
  </w:style>
  <w:style w:type="character" w:customStyle="1" w:styleId="TextkomentraChar185">
    <w:name w:val="Text komentára Char185"/>
    <w:aliases w:val="Char7 Char Char186,Comment Text Char Char Char186,Text komentára Char Char Char186"/>
    <w:basedOn w:val="DefaultParagraphFont"/>
    <w:uiPriority w:val="99"/>
    <w:semiHidden/>
    <w:rPr>
      <w:rFonts w:ascii="Courier" w:hAnsi="Courier" w:cs="Courier"/>
      <w:rtl w:val="0"/>
      <w:cs w:val="0"/>
      <w:lang w:val="x-none" w:eastAsia="cs-CZ"/>
    </w:rPr>
  </w:style>
  <w:style w:type="character" w:customStyle="1" w:styleId="TextkomentraChar184">
    <w:name w:val="Text komentára Char184"/>
    <w:aliases w:val="Char7 Char Char185,Comment Text Char Char Char185,Text komentára Char Char Char185"/>
    <w:basedOn w:val="DefaultParagraphFont"/>
    <w:uiPriority w:val="99"/>
    <w:semiHidden/>
    <w:rPr>
      <w:rFonts w:ascii="Courier" w:hAnsi="Courier" w:cs="Courier"/>
      <w:rtl w:val="0"/>
      <w:cs w:val="0"/>
      <w:lang w:val="x-none" w:eastAsia="cs-CZ"/>
    </w:rPr>
  </w:style>
  <w:style w:type="character" w:customStyle="1" w:styleId="TextkomentraChar183">
    <w:name w:val="Text komentára Char183"/>
    <w:aliases w:val="Char7 Char Char184,Comment Text Char Char Char184,Text komentára Char Char Char184"/>
    <w:basedOn w:val="DefaultParagraphFont"/>
    <w:uiPriority w:val="99"/>
    <w:semiHidden/>
    <w:rPr>
      <w:rFonts w:ascii="Courier" w:hAnsi="Courier" w:cs="Courier"/>
      <w:rtl w:val="0"/>
      <w:cs w:val="0"/>
      <w:lang w:val="x-none" w:eastAsia="cs-CZ"/>
    </w:rPr>
  </w:style>
  <w:style w:type="character" w:customStyle="1" w:styleId="TextkomentraChar182">
    <w:name w:val="Text komentára Char182"/>
    <w:aliases w:val="Char7 Char Char183,Comment Text Char Char Char183,Text komentára Char Char Char183"/>
    <w:basedOn w:val="DefaultParagraphFont"/>
    <w:uiPriority w:val="99"/>
    <w:semiHidden/>
    <w:rPr>
      <w:rFonts w:ascii="Courier" w:hAnsi="Courier" w:cs="Courier"/>
      <w:rtl w:val="0"/>
      <w:cs w:val="0"/>
      <w:lang w:val="x-none" w:eastAsia="cs-CZ"/>
    </w:rPr>
  </w:style>
  <w:style w:type="character" w:customStyle="1" w:styleId="TextkomentraChar181">
    <w:name w:val="Text komentára Char181"/>
    <w:aliases w:val="Char7 Char Char182,Comment Text Char Char Char182,Text komentára Char Char Char182"/>
    <w:basedOn w:val="DefaultParagraphFont"/>
    <w:uiPriority w:val="99"/>
    <w:semiHidden/>
    <w:rPr>
      <w:rFonts w:ascii="Courier" w:hAnsi="Courier" w:cs="Courier"/>
      <w:rtl w:val="0"/>
      <w:cs w:val="0"/>
      <w:lang w:val="x-none" w:eastAsia="cs-CZ"/>
    </w:rPr>
  </w:style>
  <w:style w:type="character" w:customStyle="1" w:styleId="TextkomentraChar180">
    <w:name w:val="Text komentára Char180"/>
    <w:aliases w:val="Char7 Char Char181,Comment Text Char Char Char181,Text komentára Char Char Char181"/>
    <w:basedOn w:val="DefaultParagraphFont"/>
    <w:uiPriority w:val="99"/>
    <w:semiHidden/>
    <w:rPr>
      <w:rFonts w:ascii="Courier" w:hAnsi="Courier" w:cs="Courier"/>
      <w:rtl w:val="0"/>
      <w:cs w:val="0"/>
      <w:lang w:val="x-none" w:eastAsia="cs-CZ"/>
    </w:rPr>
  </w:style>
  <w:style w:type="character" w:customStyle="1" w:styleId="TextkomentraChar179">
    <w:name w:val="Text komentára Char179"/>
    <w:aliases w:val="Char7 Char Char180,Comment Text Char Char Char180,Text komentára Char Char Char180"/>
    <w:basedOn w:val="DefaultParagraphFont"/>
    <w:uiPriority w:val="99"/>
    <w:semiHidden/>
    <w:rPr>
      <w:rFonts w:ascii="Courier" w:hAnsi="Courier" w:cs="Courier"/>
      <w:rtl w:val="0"/>
      <w:cs w:val="0"/>
      <w:lang w:val="x-none" w:eastAsia="cs-CZ"/>
    </w:rPr>
  </w:style>
  <w:style w:type="character" w:customStyle="1" w:styleId="TextkomentraChar178">
    <w:name w:val="Text komentára Char178"/>
    <w:aliases w:val="Char7 Char Char179,Comment Text Char Char Char179,Text komentára Char Char Char179"/>
    <w:basedOn w:val="DefaultParagraphFont"/>
    <w:uiPriority w:val="99"/>
    <w:semiHidden/>
    <w:rPr>
      <w:rFonts w:ascii="Courier" w:hAnsi="Courier" w:cs="Courier"/>
      <w:rtl w:val="0"/>
      <w:cs w:val="0"/>
      <w:lang w:val="x-none" w:eastAsia="cs-CZ"/>
    </w:rPr>
  </w:style>
  <w:style w:type="character" w:customStyle="1" w:styleId="TextkomentraChar177">
    <w:name w:val="Text komentára Char177"/>
    <w:aliases w:val="Char7 Char Char178,Comment Text Char Char Char178,Text komentára Char Char Char178"/>
    <w:basedOn w:val="DefaultParagraphFont"/>
    <w:uiPriority w:val="99"/>
    <w:semiHidden/>
    <w:rPr>
      <w:rFonts w:ascii="Courier" w:hAnsi="Courier" w:cs="Courier"/>
      <w:rtl w:val="0"/>
      <w:cs w:val="0"/>
      <w:lang w:val="x-none" w:eastAsia="cs-CZ"/>
    </w:rPr>
  </w:style>
  <w:style w:type="character" w:customStyle="1" w:styleId="TextkomentraChar176">
    <w:name w:val="Text komentára Char176"/>
    <w:aliases w:val="Char7 Char Char177,Comment Text Char Char Char177,Text komentára Char Char Char177"/>
    <w:basedOn w:val="DefaultParagraphFont"/>
    <w:uiPriority w:val="99"/>
    <w:semiHidden/>
    <w:rPr>
      <w:rFonts w:ascii="Courier" w:hAnsi="Courier" w:cs="Courier"/>
      <w:rtl w:val="0"/>
      <w:cs w:val="0"/>
      <w:lang w:val="x-none" w:eastAsia="cs-CZ"/>
    </w:rPr>
  </w:style>
  <w:style w:type="character" w:customStyle="1" w:styleId="TextkomentraChar175">
    <w:name w:val="Text komentára Char175"/>
    <w:aliases w:val="Char7 Char Char176,Comment Text Char Char Char176,Text komentára Char Char Char176"/>
    <w:basedOn w:val="DefaultParagraphFont"/>
    <w:uiPriority w:val="99"/>
    <w:semiHidden/>
    <w:rPr>
      <w:rFonts w:ascii="Courier" w:hAnsi="Courier" w:cs="Courier"/>
      <w:rtl w:val="0"/>
      <w:cs w:val="0"/>
      <w:lang w:val="x-none" w:eastAsia="cs-CZ"/>
    </w:rPr>
  </w:style>
  <w:style w:type="character" w:customStyle="1" w:styleId="TextkomentraChar174">
    <w:name w:val="Text komentára Char174"/>
    <w:aliases w:val="Char7 Char Char175,Comment Text Char Char Char175,Text komentára Char Char Char175"/>
    <w:basedOn w:val="DefaultParagraphFont"/>
    <w:uiPriority w:val="99"/>
    <w:semiHidden/>
    <w:rPr>
      <w:rFonts w:ascii="Courier" w:hAnsi="Courier" w:cs="Courier"/>
      <w:rtl w:val="0"/>
      <w:cs w:val="0"/>
      <w:lang w:val="x-none" w:eastAsia="cs-CZ"/>
    </w:rPr>
  </w:style>
  <w:style w:type="character" w:customStyle="1" w:styleId="TextkomentraChar173">
    <w:name w:val="Text komentára Char173"/>
    <w:aliases w:val="Char7 Char Char174,Comment Text Char Char Char174,Text komentára Char Char Char174"/>
    <w:basedOn w:val="DefaultParagraphFont"/>
    <w:uiPriority w:val="99"/>
    <w:semiHidden/>
    <w:rPr>
      <w:rFonts w:ascii="Courier" w:hAnsi="Courier" w:cs="Courier"/>
      <w:rtl w:val="0"/>
      <w:cs w:val="0"/>
      <w:lang w:val="x-none" w:eastAsia="cs-CZ"/>
    </w:rPr>
  </w:style>
  <w:style w:type="character" w:customStyle="1" w:styleId="TextkomentraChar172">
    <w:name w:val="Text komentára Char172"/>
    <w:aliases w:val="Char7 Char Char173,Comment Text Char Char Char173,Text komentára Char Char Char173"/>
    <w:basedOn w:val="DefaultParagraphFont"/>
    <w:uiPriority w:val="99"/>
    <w:semiHidden/>
    <w:rPr>
      <w:rFonts w:ascii="Courier" w:hAnsi="Courier" w:cs="Courier"/>
      <w:rtl w:val="0"/>
      <w:cs w:val="0"/>
      <w:lang w:val="x-none" w:eastAsia="cs-CZ"/>
    </w:rPr>
  </w:style>
  <w:style w:type="character" w:customStyle="1" w:styleId="TextkomentraChar171">
    <w:name w:val="Text komentára Char171"/>
    <w:aliases w:val="Char7 Char Char172,Comment Text Char Char Char172,Text komentára Char Char Char172"/>
    <w:basedOn w:val="DefaultParagraphFont"/>
    <w:uiPriority w:val="99"/>
    <w:semiHidden/>
    <w:rPr>
      <w:rFonts w:ascii="Courier" w:hAnsi="Courier" w:cs="Courier"/>
      <w:rtl w:val="0"/>
      <w:cs w:val="0"/>
      <w:lang w:val="x-none" w:eastAsia="cs-CZ"/>
    </w:rPr>
  </w:style>
  <w:style w:type="character" w:customStyle="1" w:styleId="TextkomentraChar170">
    <w:name w:val="Text komentára Char170"/>
    <w:aliases w:val="Char7 Char Char171,Comment Text Char Char Char171,Text komentára Char Char Char171"/>
    <w:basedOn w:val="DefaultParagraphFont"/>
    <w:uiPriority w:val="99"/>
    <w:semiHidden/>
    <w:rPr>
      <w:rFonts w:ascii="Courier" w:hAnsi="Courier" w:cs="Courier"/>
      <w:rtl w:val="0"/>
      <w:cs w:val="0"/>
      <w:lang w:val="x-none" w:eastAsia="cs-CZ"/>
    </w:rPr>
  </w:style>
  <w:style w:type="character" w:customStyle="1" w:styleId="TextkomentraChar169">
    <w:name w:val="Text komentára Char169"/>
    <w:aliases w:val="Char7 Char Char170,Comment Text Char Char Char170,Text komentára Char Char Char170"/>
    <w:basedOn w:val="DefaultParagraphFont"/>
    <w:uiPriority w:val="99"/>
    <w:semiHidden/>
    <w:rPr>
      <w:rFonts w:ascii="Courier" w:hAnsi="Courier" w:cs="Courier"/>
      <w:rtl w:val="0"/>
      <w:cs w:val="0"/>
      <w:lang w:val="x-none" w:eastAsia="cs-CZ"/>
    </w:rPr>
  </w:style>
  <w:style w:type="character" w:customStyle="1" w:styleId="TextkomentraChar168">
    <w:name w:val="Text komentára Char168"/>
    <w:aliases w:val="Char7 Char Char169,Comment Text Char Char Char169,Text komentára Char Char Char169"/>
    <w:basedOn w:val="DefaultParagraphFont"/>
    <w:uiPriority w:val="99"/>
    <w:semiHidden/>
    <w:rPr>
      <w:rFonts w:ascii="Courier" w:hAnsi="Courier" w:cs="Courier"/>
      <w:rtl w:val="0"/>
      <w:cs w:val="0"/>
      <w:lang w:val="x-none" w:eastAsia="cs-CZ"/>
    </w:rPr>
  </w:style>
  <w:style w:type="character" w:customStyle="1" w:styleId="TextkomentraChar167">
    <w:name w:val="Text komentára Char167"/>
    <w:aliases w:val="Char7 Char Char168,Comment Text Char Char Char168,Text komentára Char Char Char168"/>
    <w:basedOn w:val="DefaultParagraphFont"/>
    <w:uiPriority w:val="99"/>
    <w:semiHidden/>
    <w:rPr>
      <w:rFonts w:ascii="Courier" w:hAnsi="Courier" w:cs="Courier"/>
      <w:rtl w:val="0"/>
      <w:cs w:val="0"/>
      <w:lang w:val="x-none" w:eastAsia="cs-CZ"/>
    </w:rPr>
  </w:style>
  <w:style w:type="character" w:customStyle="1" w:styleId="TextkomentraChar166">
    <w:name w:val="Text komentára Char166"/>
    <w:aliases w:val="Char7 Char Char167,Comment Text Char Char Char167,Text komentára Char Char Char167"/>
    <w:basedOn w:val="DefaultParagraphFont"/>
    <w:uiPriority w:val="99"/>
    <w:semiHidden/>
    <w:rPr>
      <w:rFonts w:ascii="Courier" w:hAnsi="Courier" w:cs="Courier"/>
      <w:rtl w:val="0"/>
      <w:cs w:val="0"/>
      <w:lang w:val="x-none" w:eastAsia="cs-CZ"/>
    </w:rPr>
  </w:style>
  <w:style w:type="character" w:customStyle="1" w:styleId="TextkomentraChar165">
    <w:name w:val="Text komentára Char165"/>
    <w:aliases w:val="Char7 Char Char166,Comment Text Char Char Char166,Text komentára Char Char Char166"/>
    <w:basedOn w:val="DefaultParagraphFont"/>
    <w:uiPriority w:val="99"/>
    <w:semiHidden/>
    <w:rPr>
      <w:rFonts w:ascii="Courier" w:hAnsi="Courier" w:cs="Courier"/>
      <w:rtl w:val="0"/>
      <w:cs w:val="0"/>
      <w:lang w:val="x-none" w:eastAsia="cs-CZ"/>
    </w:rPr>
  </w:style>
  <w:style w:type="character" w:customStyle="1" w:styleId="TextkomentraChar164">
    <w:name w:val="Text komentára Char164"/>
    <w:aliases w:val="Char7 Char Char165,Comment Text Char Char Char165,Text komentára Char Char Char165"/>
    <w:basedOn w:val="DefaultParagraphFont"/>
    <w:uiPriority w:val="99"/>
    <w:semiHidden/>
    <w:rPr>
      <w:rFonts w:ascii="Courier" w:hAnsi="Courier" w:cs="Courier"/>
      <w:rtl w:val="0"/>
      <w:cs w:val="0"/>
      <w:lang w:val="x-none" w:eastAsia="cs-CZ"/>
    </w:rPr>
  </w:style>
  <w:style w:type="character" w:customStyle="1" w:styleId="TextkomentraChar163">
    <w:name w:val="Text komentára Char163"/>
    <w:aliases w:val="Char7 Char Char164,Comment Text Char Char Char164,Text komentára Char Char Char164"/>
    <w:basedOn w:val="DefaultParagraphFont"/>
    <w:uiPriority w:val="99"/>
    <w:semiHidden/>
    <w:rPr>
      <w:rFonts w:ascii="Courier" w:hAnsi="Courier" w:cs="Courier"/>
      <w:rtl w:val="0"/>
      <w:cs w:val="0"/>
      <w:lang w:val="x-none" w:eastAsia="cs-CZ"/>
    </w:rPr>
  </w:style>
  <w:style w:type="character" w:customStyle="1" w:styleId="TextkomentraChar162">
    <w:name w:val="Text komentára Char162"/>
    <w:aliases w:val="Char7 Char Char163,Comment Text Char Char Char163,Text komentára Char Char Char163"/>
    <w:basedOn w:val="DefaultParagraphFont"/>
    <w:uiPriority w:val="99"/>
    <w:semiHidden/>
    <w:rPr>
      <w:rFonts w:ascii="Courier" w:hAnsi="Courier" w:cs="Courier"/>
      <w:rtl w:val="0"/>
      <w:cs w:val="0"/>
      <w:lang w:val="x-none" w:eastAsia="cs-CZ"/>
    </w:rPr>
  </w:style>
  <w:style w:type="character" w:customStyle="1" w:styleId="TextkomentraChar161">
    <w:name w:val="Text komentára Char161"/>
    <w:aliases w:val="Char7 Char Char162,Comment Text Char Char Char162,Text komentára Char Char Char162"/>
    <w:basedOn w:val="DefaultParagraphFont"/>
    <w:uiPriority w:val="99"/>
    <w:semiHidden/>
    <w:rPr>
      <w:rFonts w:ascii="Courier" w:hAnsi="Courier" w:cs="Courier"/>
      <w:rtl w:val="0"/>
      <w:cs w:val="0"/>
      <w:lang w:val="x-none" w:eastAsia="cs-CZ"/>
    </w:rPr>
  </w:style>
  <w:style w:type="character" w:customStyle="1" w:styleId="TextkomentraChar160">
    <w:name w:val="Text komentára Char160"/>
    <w:aliases w:val="Char7 Char Char161,Comment Text Char Char Char161,Text komentára Char Char Char161"/>
    <w:basedOn w:val="DefaultParagraphFont"/>
    <w:uiPriority w:val="99"/>
    <w:semiHidden/>
    <w:rPr>
      <w:rFonts w:ascii="Courier" w:hAnsi="Courier" w:cs="Courier"/>
      <w:rtl w:val="0"/>
      <w:cs w:val="0"/>
      <w:lang w:val="x-none" w:eastAsia="cs-CZ"/>
    </w:rPr>
  </w:style>
  <w:style w:type="character" w:customStyle="1" w:styleId="TextkomentraChar159">
    <w:name w:val="Text komentára Char159"/>
    <w:aliases w:val="Char7 Char Char160,Comment Text Char Char Char160,Text komentára Char Char Char160"/>
    <w:basedOn w:val="DefaultParagraphFont"/>
    <w:uiPriority w:val="99"/>
    <w:semiHidden/>
    <w:rPr>
      <w:rFonts w:ascii="Courier" w:hAnsi="Courier" w:cs="Courier"/>
      <w:rtl w:val="0"/>
      <w:cs w:val="0"/>
      <w:lang w:val="x-none" w:eastAsia="cs-CZ"/>
    </w:rPr>
  </w:style>
  <w:style w:type="character" w:customStyle="1" w:styleId="TextkomentraChar158">
    <w:name w:val="Text komentára Char158"/>
    <w:aliases w:val="Char7 Char Char159,Comment Text Char Char Char159,Text komentára Char Char Char159"/>
    <w:basedOn w:val="DefaultParagraphFont"/>
    <w:uiPriority w:val="99"/>
    <w:semiHidden/>
    <w:rPr>
      <w:rFonts w:ascii="Courier" w:hAnsi="Courier" w:cs="Courier"/>
      <w:rtl w:val="0"/>
      <w:cs w:val="0"/>
      <w:lang w:val="x-none" w:eastAsia="cs-CZ"/>
    </w:rPr>
  </w:style>
  <w:style w:type="character" w:customStyle="1" w:styleId="TextkomentraChar157">
    <w:name w:val="Text komentára Char157"/>
    <w:aliases w:val="Char7 Char Char158,Comment Text Char Char Char158,Text komentára Char Char Char158"/>
    <w:basedOn w:val="DefaultParagraphFont"/>
    <w:uiPriority w:val="99"/>
    <w:semiHidden/>
    <w:rPr>
      <w:rFonts w:ascii="Courier" w:hAnsi="Courier" w:cs="Courier"/>
      <w:rtl w:val="0"/>
      <w:cs w:val="0"/>
      <w:lang w:val="x-none" w:eastAsia="cs-CZ"/>
    </w:rPr>
  </w:style>
  <w:style w:type="character" w:customStyle="1" w:styleId="TextkomentraChar156">
    <w:name w:val="Text komentára Char156"/>
    <w:aliases w:val="Char7 Char Char157,Comment Text Char Char Char157,Text komentára Char Char Char157"/>
    <w:basedOn w:val="DefaultParagraphFont"/>
    <w:uiPriority w:val="99"/>
    <w:semiHidden/>
    <w:rPr>
      <w:rFonts w:ascii="Courier" w:hAnsi="Courier" w:cs="Courier"/>
      <w:rtl w:val="0"/>
      <w:cs w:val="0"/>
      <w:lang w:val="x-none" w:eastAsia="cs-CZ"/>
    </w:rPr>
  </w:style>
  <w:style w:type="character" w:customStyle="1" w:styleId="TextkomentraChar155">
    <w:name w:val="Text komentára Char155"/>
    <w:aliases w:val="Char7 Char Char156,Comment Text Char Char Char156,Text komentára Char Char Char156"/>
    <w:basedOn w:val="DefaultParagraphFont"/>
    <w:uiPriority w:val="99"/>
    <w:semiHidden/>
    <w:rPr>
      <w:rFonts w:ascii="Courier" w:hAnsi="Courier" w:cs="Courier"/>
      <w:rtl w:val="0"/>
      <w:cs w:val="0"/>
      <w:lang w:val="x-none" w:eastAsia="cs-CZ"/>
    </w:rPr>
  </w:style>
  <w:style w:type="character" w:customStyle="1" w:styleId="TextkomentraChar154">
    <w:name w:val="Text komentára Char154"/>
    <w:aliases w:val="Char7 Char Char155,Comment Text Char Char Char155,Text komentára Char Char Char155"/>
    <w:basedOn w:val="DefaultParagraphFont"/>
    <w:uiPriority w:val="99"/>
    <w:semiHidden/>
    <w:rPr>
      <w:rFonts w:ascii="Courier" w:hAnsi="Courier" w:cs="Courier"/>
      <w:rtl w:val="0"/>
      <w:cs w:val="0"/>
      <w:lang w:val="x-none" w:eastAsia="cs-CZ"/>
    </w:rPr>
  </w:style>
  <w:style w:type="character" w:customStyle="1" w:styleId="TextkomentraChar153">
    <w:name w:val="Text komentára Char153"/>
    <w:aliases w:val="Char7 Char Char154,Comment Text Char Char Char154,Text komentára Char Char Char154"/>
    <w:basedOn w:val="DefaultParagraphFont"/>
    <w:uiPriority w:val="99"/>
    <w:semiHidden/>
    <w:rPr>
      <w:rFonts w:ascii="Courier" w:hAnsi="Courier" w:cs="Courier"/>
      <w:rtl w:val="0"/>
      <w:cs w:val="0"/>
      <w:lang w:val="x-none" w:eastAsia="cs-CZ"/>
    </w:rPr>
  </w:style>
  <w:style w:type="character" w:customStyle="1" w:styleId="TextkomentraChar152">
    <w:name w:val="Text komentára Char152"/>
    <w:aliases w:val="Char7 Char Char153,Comment Text Char Char Char153,Text komentára Char Char Char153"/>
    <w:basedOn w:val="DefaultParagraphFont"/>
    <w:uiPriority w:val="99"/>
    <w:semiHidden/>
    <w:rPr>
      <w:rFonts w:ascii="Courier" w:hAnsi="Courier" w:cs="Courier"/>
      <w:rtl w:val="0"/>
      <w:cs w:val="0"/>
      <w:lang w:val="x-none" w:eastAsia="cs-CZ"/>
    </w:rPr>
  </w:style>
  <w:style w:type="character" w:customStyle="1" w:styleId="TextkomentraChar151">
    <w:name w:val="Text komentára Char151"/>
    <w:aliases w:val="Char7 Char Char152,Comment Text Char Char Char152,Text komentára Char Char Char152"/>
    <w:basedOn w:val="DefaultParagraphFont"/>
    <w:uiPriority w:val="99"/>
    <w:semiHidden/>
    <w:rPr>
      <w:rFonts w:ascii="Courier" w:hAnsi="Courier" w:cs="Courier"/>
      <w:rtl w:val="0"/>
      <w:cs w:val="0"/>
      <w:lang w:val="x-none" w:eastAsia="cs-CZ"/>
    </w:rPr>
  </w:style>
  <w:style w:type="character" w:customStyle="1" w:styleId="TextkomentraChar150">
    <w:name w:val="Text komentára Char150"/>
    <w:aliases w:val="Char7 Char Char151,Comment Text Char Char Char151,Text komentára Char Char Char151"/>
    <w:basedOn w:val="DefaultParagraphFont"/>
    <w:uiPriority w:val="99"/>
    <w:semiHidden/>
    <w:rPr>
      <w:rFonts w:ascii="Courier" w:hAnsi="Courier" w:cs="Courier"/>
      <w:rtl w:val="0"/>
      <w:cs w:val="0"/>
      <w:lang w:val="x-none" w:eastAsia="cs-CZ"/>
    </w:rPr>
  </w:style>
  <w:style w:type="character" w:customStyle="1" w:styleId="TextkomentraChar149">
    <w:name w:val="Text komentára Char149"/>
    <w:aliases w:val="Char7 Char Char150,Comment Text Char Char Char150,Text komentára Char Char Char150"/>
    <w:basedOn w:val="DefaultParagraphFont"/>
    <w:uiPriority w:val="99"/>
    <w:semiHidden/>
    <w:rPr>
      <w:rFonts w:ascii="Courier" w:hAnsi="Courier" w:cs="Courier"/>
      <w:rtl w:val="0"/>
      <w:cs w:val="0"/>
      <w:lang w:val="x-none" w:eastAsia="cs-CZ"/>
    </w:rPr>
  </w:style>
  <w:style w:type="character" w:customStyle="1" w:styleId="TextkomentraChar148">
    <w:name w:val="Text komentára Char148"/>
    <w:aliases w:val="Char7 Char Char149,Comment Text Char Char Char149,Text komentára Char Char Char149"/>
    <w:basedOn w:val="DefaultParagraphFont"/>
    <w:uiPriority w:val="99"/>
    <w:semiHidden/>
    <w:rPr>
      <w:rFonts w:ascii="Courier" w:hAnsi="Courier" w:cs="Courier"/>
      <w:rtl w:val="0"/>
      <w:cs w:val="0"/>
      <w:lang w:val="x-none" w:eastAsia="cs-CZ"/>
    </w:rPr>
  </w:style>
  <w:style w:type="character" w:customStyle="1" w:styleId="TextkomentraChar147">
    <w:name w:val="Text komentára Char147"/>
    <w:aliases w:val="Char7 Char Char148,Comment Text Char Char Char148,Text komentára Char Char Char148"/>
    <w:basedOn w:val="DefaultParagraphFont"/>
    <w:uiPriority w:val="99"/>
    <w:semiHidden/>
    <w:rPr>
      <w:rFonts w:ascii="Courier" w:hAnsi="Courier" w:cs="Courier"/>
      <w:rtl w:val="0"/>
      <w:cs w:val="0"/>
      <w:lang w:val="x-none" w:eastAsia="cs-CZ"/>
    </w:rPr>
  </w:style>
  <w:style w:type="character" w:customStyle="1" w:styleId="TextkomentraChar146">
    <w:name w:val="Text komentára Char146"/>
    <w:aliases w:val="Char7 Char Char147,Comment Text Char Char Char147,Text komentára Char Char Char147"/>
    <w:basedOn w:val="DefaultParagraphFont"/>
    <w:uiPriority w:val="99"/>
    <w:semiHidden/>
    <w:rPr>
      <w:rFonts w:ascii="Courier" w:hAnsi="Courier" w:cs="Courier"/>
      <w:rtl w:val="0"/>
      <w:cs w:val="0"/>
      <w:lang w:val="x-none" w:eastAsia="cs-CZ"/>
    </w:rPr>
  </w:style>
  <w:style w:type="character" w:customStyle="1" w:styleId="TextkomentraChar145">
    <w:name w:val="Text komentára Char145"/>
    <w:aliases w:val="Char7 Char Char146,Comment Text Char Char Char146,Text komentára Char Char Char146"/>
    <w:basedOn w:val="DefaultParagraphFont"/>
    <w:uiPriority w:val="99"/>
    <w:semiHidden/>
    <w:rPr>
      <w:rFonts w:ascii="Courier" w:hAnsi="Courier" w:cs="Courier"/>
      <w:rtl w:val="0"/>
      <w:cs w:val="0"/>
      <w:lang w:val="x-none" w:eastAsia="cs-CZ"/>
    </w:rPr>
  </w:style>
  <w:style w:type="character" w:customStyle="1" w:styleId="TextkomentraChar144">
    <w:name w:val="Text komentára Char144"/>
    <w:aliases w:val="Char7 Char Char145,Comment Text Char Char Char145,Text komentára Char Char Char145"/>
    <w:basedOn w:val="DefaultParagraphFont"/>
    <w:uiPriority w:val="99"/>
    <w:semiHidden/>
    <w:rPr>
      <w:rFonts w:ascii="Courier" w:hAnsi="Courier" w:cs="Courier"/>
      <w:rtl w:val="0"/>
      <w:cs w:val="0"/>
      <w:lang w:val="x-none" w:eastAsia="cs-CZ"/>
    </w:rPr>
  </w:style>
  <w:style w:type="character" w:customStyle="1" w:styleId="TextkomentraChar143">
    <w:name w:val="Text komentára Char143"/>
    <w:aliases w:val="Char7 Char Char144,Comment Text Char Char Char144,Text komentára Char Char Char144"/>
    <w:basedOn w:val="DefaultParagraphFont"/>
    <w:uiPriority w:val="99"/>
    <w:semiHidden/>
    <w:rPr>
      <w:rFonts w:ascii="Courier" w:hAnsi="Courier" w:cs="Courier"/>
      <w:rtl w:val="0"/>
      <w:cs w:val="0"/>
      <w:lang w:val="x-none" w:eastAsia="cs-CZ"/>
    </w:rPr>
  </w:style>
  <w:style w:type="character" w:customStyle="1" w:styleId="TextkomentraChar142">
    <w:name w:val="Text komentára Char142"/>
    <w:aliases w:val="Char7 Char Char143,Comment Text Char Char Char143,Text komentára Char Char Char143"/>
    <w:basedOn w:val="DefaultParagraphFont"/>
    <w:uiPriority w:val="99"/>
    <w:semiHidden/>
    <w:rPr>
      <w:rFonts w:ascii="Courier" w:hAnsi="Courier" w:cs="Courier"/>
      <w:rtl w:val="0"/>
      <w:cs w:val="0"/>
      <w:lang w:val="x-none" w:eastAsia="cs-CZ"/>
    </w:rPr>
  </w:style>
  <w:style w:type="character" w:customStyle="1" w:styleId="TextkomentraChar141">
    <w:name w:val="Text komentára Char141"/>
    <w:aliases w:val="Char7 Char Char142,Comment Text Char Char Char142,Text komentára Char Char Char142"/>
    <w:basedOn w:val="DefaultParagraphFont"/>
    <w:uiPriority w:val="99"/>
    <w:semiHidden/>
    <w:rPr>
      <w:rFonts w:ascii="Courier" w:hAnsi="Courier" w:cs="Courier"/>
      <w:rtl w:val="0"/>
      <w:cs w:val="0"/>
      <w:lang w:val="x-none" w:eastAsia="cs-CZ"/>
    </w:rPr>
  </w:style>
  <w:style w:type="character" w:customStyle="1" w:styleId="TextkomentraChar140">
    <w:name w:val="Text komentára Char140"/>
    <w:aliases w:val="Char7 Char Char141,Comment Text Char Char Char141,Text komentára Char Char Char141"/>
    <w:basedOn w:val="DefaultParagraphFont"/>
    <w:uiPriority w:val="99"/>
    <w:semiHidden/>
    <w:rPr>
      <w:rFonts w:ascii="Courier" w:hAnsi="Courier" w:cs="Courier"/>
      <w:rtl w:val="0"/>
      <w:cs w:val="0"/>
      <w:lang w:val="x-none" w:eastAsia="cs-CZ"/>
    </w:rPr>
  </w:style>
  <w:style w:type="character" w:customStyle="1" w:styleId="TextkomentraChar139">
    <w:name w:val="Text komentára Char139"/>
    <w:aliases w:val="Char7 Char Char140,Comment Text Char Char Char140,Text komentára Char Char Char140"/>
    <w:basedOn w:val="DefaultParagraphFont"/>
    <w:uiPriority w:val="99"/>
    <w:semiHidden/>
    <w:rPr>
      <w:rFonts w:ascii="Courier" w:hAnsi="Courier" w:cs="Courier"/>
      <w:rtl w:val="0"/>
      <w:cs w:val="0"/>
      <w:lang w:val="x-none" w:eastAsia="cs-CZ"/>
    </w:rPr>
  </w:style>
  <w:style w:type="character" w:customStyle="1" w:styleId="TextkomentraChar138">
    <w:name w:val="Text komentára Char138"/>
    <w:aliases w:val="Char7 Char Char139,Comment Text Char Char Char139,Text komentára Char Char Char139"/>
    <w:basedOn w:val="DefaultParagraphFont"/>
    <w:uiPriority w:val="99"/>
    <w:semiHidden/>
    <w:rPr>
      <w:rFonts w:ascii="Courier" w:hAnsi="Courier" w:cs="Courier"/>
      <w:rtl w:val="0"/>
      <w:cs w:val="0"/>
      <w:lang w:val="x-none" w:eastAsia="cs-CZ"/>
    </w:rPr>
  </w:style>
  <w:style w:type="character" w:customStyle="1" w:styleId="TextkomentraChar137">
    <w:name w:val="Text komentára Char137"/>
    <w:aliases w:val="Char7 Char Char138,Comment Text Char Char Char138,Text komentára Char Char Char138"/>
    <w:basedOn w:val="DefaultParagraphFont"/>
    <w:uiPriority w:val="99"/>
    <w:semiHidden/>
    <w:rPr>
      <w:rFonts w:ascii="Courier" w:hAnsi="Courier" w:cs="Courier"/>
      <w:rtl w:val="0"/>
      <w:cs w:val="0"/>
      <w:lang w:val="x-none" w:eastAsia="cs-CZ"/>
    </w:rPr>
  </w:style>
  <w:style w:type="character" w:customStyle="1" w:styleId="TextkomentraChar136">
    <w:name w:val="Text komentára Char136"/>
    <w:aliases w:val="Char7 Char Char137,Comment Text Char Char Char137,Text komentára Char Char Char137"/>
    <w:basedOn w:val="DefaultParagraphFont"/>
    <w:uiPriority w:val="99"/>
    <w:semiHidden/>
    <w:rPr>
      <w:rFonts w:ascii="Courier" w:hAnsi="Courier" w:cs="Courier"/>
      <w:rtl w:val="0"/>
      <w:cs w:val="0"/>
      <w:lang w:val="x-none" w:eastAsia="cs-CZ"/>
    </w:rPr>
  </w:style>
  <w:style w:type="character" w:customStyle="1" w:styleId="TextkomentraChar135">
    <w:name w:val="Text komentára Char135"/>
    <w:aliases w:val="Char7 Char Char136,Comment Text Char Char Char136,Text komentára Char Char Char136"/>
    <w:basedOn w:val="DefaultParagraphFont"/>
    <w:uiPriority w:val="99"/>
    <w:semiHidden/>
    <w:rPr>
      <w:rFonts w:ascii="Courier" w:hAnsi="Courier" w:cs="Courier"/>
      <w:rtl w:val="0"/>
      <w:cs w:val="0"/>
      <w:lang w:val="x-none" w:eastAsia="cs-CZ"/>
    </w:rPr>
  </w:style>
  <w:style w:type="character" w:customStyle="1" w:styleId="TextkomentraChar134">
    <w:name w:val="Text komentára Char134"/>
    <w:aliases w:val="Char7 Char Char135,Comment Text Char Char Char135,Text komentára Char Char Char135"/>
    <w:basedOn w:val="DefaultParagraphFont"/>
    <w:uiPriority w:val="99"/>
    <w:semiHidden/>
    <w:rPr>
      <w:rFonts w:ascii="Courier" w:hAnsi="Courier" w:cs="Courier"/>
      <w:rtl w:val="0"/>
      <w:cs w:val="0"/>
      <w:lang w:val="x-none" w:eastAsia="cs-CZ"/>
    </w:rPr>
  </w:style>
  <w:style w:type="character" w:customStyle="1" w:styleId="TextkomentraChar133">
    <w:name w:val="Text komentára Char133"/>
    <w:aliases w:val="Char7 Char Char134,Comment Text Char Char Char134,Text komentára Char Char Char134"/>
    <w:basedOn w:val="DefaultParagraphFont"/>
    <w:uiPriority w:val="99"/>
    <w:semiHidden/>
    <w:rPr>
      <w:rFonts w:ascii="Courier" w:hAnsi="Courier" w:cs="Courier"/>
      <w:rtl w:val="0"/>
      <w:cs w:val="0"/>
      <w:lang w:val="x-none" w:eastAsia="cs-CZ"/>
    </w:rPr>
  </w:style>
  <w:style w:type="character" w:customStyle="1" w:styleId="TextkomentraChar132">
    <w:name w:val="Text komentára Char132"/>
    <w:aliases w:val="Char7 Char Char133,Comment Text Char Char Char133,Text komentára Char Char Char133"/>
    <w:basedOn w:val="DefaultParagraphFont"/>
    <w:uiPriority w:val="99"/>
    <w:semiHidden/>
    <w:rPr>
      <w:rFonts w:ascii="Courier" w:hAnsi="Courier" w:cs="Courier"/>
      <w:rtl w:val="0"/>
      <w:cs w:val="0"/>
      <w:lang w:val="x-none" w:eastAsia="cs-CZ"/>
    </w:rPr>
  </w:style>
  <w:style w:type="character" w:customStyle="1" w:styleId="TextkomentraChar131">
    <w:name w:val="Text komentára Char131"/>
    <w:aliases w:val="Char7 Char Char132,Comment Text Char Char Char132,Text komentára Char Char Char132"/>
    <w:basedOn w:val="DefaultParagraphFont"/>
    <w:uiPriority w:val="99"/>
    <w:semiHidden/>
    <w:rPr>
      <w:rFonts w:ascii="Courier" w:hAnsi="Courier" w:cs="Courier"/>
      <w:rtl w:val="0"/>
      <w:cs w:val="0"/>
      <w:lang w:val="x-none" w:eastAsia="cs-CZ"/>
    </w:rPr>
  </w:style>
  <w:style w:type="character" w:customStyle="1" w:styleId="TextkomentraChar130">
    <w:name w:val="Text komentára Char130"/>
    <w:aliases w:val="Char7 Char Char131,Comment Text Char Char Char131,Text komentára Char Char Char131"/>
    <w:basedOn w:val="DefaultParagraphFont"/>
    <w:uiPriority w:val="99"/>
    <w:semiHidden/>
    <w:rPr>
      <w:rFonts w:ascii="Courier" w:hAnsi="Courier" w:cs="Courier"/>
      <w:rtl w:val="0"/>
      <w:cs w:val="0"/>
      <w:lang w:val="x-none" w:eastAsia="cs-CZ"/>
    </w:rPr>
  </w:style>
  <w:style w:type="character" w:customStyle="1" w:styleId="TextkomentraChar129">
    <w:name w:val="Text komentára Char129"/>
    <w:aliases w:val="Char7 Char Char130,Comment Text Char Char Char130,Text komentára Char Char Char130"/>
    <w:basedOn w:val="DefaultParagraphFont"/>
    <w:uiPriority w:val="99"/>
    <w:semiHidden/>
    <w:rPr>
      <w:rFonts w:ascii="Courier" w:hAnsi="Courier" w:cs="Courier"/>
      <w:rtl w:val="0"/>
      <w:cs w:val="0"/>
      <w:lang w:val="x-none" w:eastAsia="cs-CZ"/>
    </w:rPr>
  </w:style>
  <w:style w:type="character" w:customStyle="1" w:styleId="TextkomentraChar128">
    <w:name w:val="Text komentára Char128"/>
    <w:aliases w:val="Char7 Char Char129,Comment Text Char Char Char129,Text komentára Char Char Char129"/>
    <w:basedOn w:val="DefaultParagraphFont"/>
    <w:uiPriority w:val="99"/>
    <w:semiHidden/>
    <w:rPr>
      <w:rFonts w:ascii="Courier" w:hAnsi="Courier" w:cs="Courier"/>
      <w:rtl w:val="0"/>
      <w:cs w:val="0"/>
      <w:lang w:val="x-none" w:eastAsia="cs-CZ"/>
    </w:rPr>
  </w:style>
  <w:style w:type="character" w:customStyle="1" w:styleId="TextkomentraChar127">
    <w:name w:val="Text komentára Char127"/>
    <w:aliases w:val="Char7 Char Char128,Comment Text Char Char Char128,Text komentára Char Char Char128"/>
    <w:basedOn w:val="DefaultParagraphFont"/>
    <w:uiPriority w:val="99"/>
    <w:semiHidden/>
    <w:rPr>
      <w:rFonts w:ascii="Courier" w:hAnsi="Courier" w:cs="Courier"/>
      <w:rtl w:val="0"/>
      <w:cs w:val="0"/>
      <w:lang w:val="x-none" w:eastAsia="cs-CZ"/>
    </w:rPr>
  </w:style>
  <w:style w:type="character" w:customStyle="1" w:styleId="TextkomentraChar126">
    <w:name w:val="Text komentára Char126"/>
    <w:aliases w:val="Char7 Char Char127,Comment Text Char Char Char127,Text komentára Char Char Char127"/>
    <w:basedOn w:val="DefaultParagraphFont"/>
    <w:uiPriority w:val="99"/>
    <w:semiHidden/>
    <w:rPr>
      <w:rFonts w:ascii="Courier" w:hAnsi="Courier" w:cs="Courier"/>
      <w:rtl w:val="0"/>
      <w:cs w:val="0"/>
      <w:lang w:val="x-none" w:eastAsia="cs-CZ"/>
    </w:rPr>
  </w:style>
  <w:style w:type="character" w:customStyle="1" w:styleId="TextkomentraChar125">
    <w:name w:val="Text komentára Char125"/>
    <w:aliases w:val="Char7 Char Char126,Comment Text Char Char Char126,Text komentára Char Char Char126"/>
    <w:basedOn w:val="DefaultParagraphFont"/>
    <w:uiPriority w:val="99"/>
    <w:semiHidden/>
    <w:rPr>
      <w:rFonts w:ascii="Courier" w:hAnsi="Courier" w:cs="Courier"/>
      <w:rtl w:val="0"/>
      <w:cs w:val="0"/>
      <w:lang w:val="x-none" w:eastAsia="cs-CZ"/>
    </w:rPr>
  </w:style>
  <w:style w:type="character" w:customStyle="1" w:styleId="TextkomentraChar124">
    <w:name w:val="Text komentára Char124"/>
    <w:aliases w:val="Char7 Char Char125,Comment Text Char Char Char125,Text komentára Char Char Char125"/>
    <w:basedOn w:val="DefaultParagraphFont"/>
    <w:uiPriority w:val="99"/>
    <w:semiHidden/>
    <w:rPr>
      <w:rFonts w:ascii="Courier" w:hAnsi="Courier" w:cs="Courier"/>
      <w:rtl w:val="0"/>
      <w:cs w:val="0"/>
      <w:lang w:val="x-none" w:eastAsia="cs-CZ"/>
    </w:rPr>
  </w:style>
  <w:style w:type="character" w:customStyle="1" w:styleId="TextkomentraChar123">
    <w:name w:val="Text komentára Char123"/>
    <w:aliases w:val="Char7 Char Char124,Comment Text Char Char Char124,Text komentára Char Char Char124"/>
    <w:basedOn w:val="DefaultParagraphFont"/>
    <w:uiPriority w:val="99"/>
    <w:semiHidden/>
    <w:rPr>
      <w:rFonts w:ascii="Courier" w:hAnsi="Courier" w:cs="Courier"/>
      <w:rtl w:val="0"/>
      <w:cs w:val="0"/>
      <w:lang w:val="x-none" w:eastAsia="cs-CZ"/>
    </w:rPr>
  </w:style>
  <w:style w:type="character" w:customStyle="1" w:styleId="TextkomentraChar122">
    <w:name w:val="Text komentára Char122"/>
    <w:aliases w:val="Char7 Char Char123,Comment Text Char Char Char123,Text komentára Char Char Char123"/>
    <w:basedOn w:val="DefaultParagraphFont"/>
    <w:uiPriority w:val="99"/>
    <w:semiHidden/>
    <w:rPr>
      <w:rFonts w:ascii="Courier" w:hAnsi="Courier" w:cs="Courier"/>
      <w:rtl w:val="0"/>
      <w:cs w:val="0"/>
      <w:lang w:val="x-none" w:eastAsia="cs-CZ"/>
    </w:rPr>
  </w:style>
  <w:style w:type="character" w:customStyle="1" w:styleId="TextkomentraChar121">
    <w:name w:val="Text komentára Char121"/>
    <w:aliases w:val="Char7 Char Char122,Comment Text Char Char Char122,Text komentára Char Char Char122"/>
    <w:basedOn w:val="DefaultParagraphFont"/>
    <w:uiPriority w:val="99"/>
    <w:semiHidden/>
    <w:rPr>
      <w:rFonts w:ascii="Courier" w:hAnsi="Courier" w:cs="Courier"/>
      <w:rtl w:val="0"/>
      <w:cs w:val="0"/>
      <w:lang w:val="x-none" w:eastAsia="cs-CZ"/>
    </w:rPr>
  </w:style>
  <w:style w:type="character" w:customStyle="1" w:styleId="TextkomentraChar120">
    <w:name w:val="Text komentára Char120"/>
    <w:aliases w:val="Char7 Char Char121,Comment Text Char Char Char121,Text komentára Char Char Char121"/>
    <w:basedOn w:val="DefaultParagraphFont"/>
    <w:uiPriority w:val="99"/>
    <w:semiHidden/>
    <w:rPr>
      <w:rFonts w:ascii="Courier" w:hAnsi="Courier" w:cs="Courier"/>
      <w:rtl w:val="0"/>
      <w:cs w:val="0"/>
      <w:lang w:val="x-none" w:eastAsia="cs-CZ"/>
    </w:rPr>
  </w:style>
  <w:style w:type="character" w:customStyle="1" w:styleId="TextkomentraChar119">
    <w:name w:val="Text komentára Char119"/>
    <w:aliases w:val="Char7 Char Char120,Comment Text Char Char Char120,Text komentára Char Char Char120"/>
    <w:basedOn w:val="DefaultParagraphFont"/>
    <w:uiPriority w:val="99"/>
    <w:semiHidden/>
    <w:rPr>
      <w:rFonts w:ascii="Courier" w:hAnsi="Courier" w:cs="Courier"/>
      <w:rtl w:val="0"/>
      <w:cs w:val="0"/>
      <w:lang w:val="x-none" w:eastAsia="cs-CZ"/>
    </w:rPr>
  </w:style>
  <w:style w:type="character" w:customStyle="1" w:styleId="TextkomentraChar118">
    <w:name w:val="Text komentára Char118"/>
    <w:aliases w:val="Char7 Char Char119,Comment Text Char Char Char119,Text komentára Char Char Char119"/>
    <w:basedOn w:val="DefaultParagraphFont"/>
    <w:uiPriority w:val="99"/>
    <w:semiHidden/>
    <w:rPr>
      <w:rFonts w:ascii="Courier" w:hAnsi="Courier" w:cs="Courier"/>
      <w:rtl w:val="0"/>
      <w:cs w:val="0"/>
      <w:lang w:val="x-none" w:eastAsia="cs-CZ"/>
    </w:rPr>
  </w:style>
  <w:style w:type="character" w:customStyle="1" w:styleId="TextkomentraChar117">
    <w:name w:val="Text komentára Char117"/>
    <w:aliases w:val="Char7 Char Char118,Comment Text Char Char Char118,Text komentára Char Char Char118"/>
    <w:basedOn w:val="DefaultParagraphFont"/>
    <w:uiPriority w:val="99"/>
    <w:semiHidden/>
    <w:rPr>
      <w:rFonts w:ascii="Courier" w:hAnsi="Courier" w:cs="Courier"/>
      <w:rtl w:val="0"/>
      <w:cs w:val="0"/>
      <w:lang w:val="x-none" w:eastAsia="cs-CZ"/>
    </w:rPr>
  </w:style>
  <w:style w:type="character" w:customStyle="1" w:styleId="TextkomentraChar116">
    <w:name w:val="Text komentára Char116"/>
    <w:aliases w:val="Char7 Char Char117,Comment Text Char Char Char117,Text komentára Char Char Char117"/>
    <w:basedOn w:val="DefaultParagraphFont"/>
    <w:uiPriority w:val="99"/>
    <w:semiHidden/>
    <w:rPr>
      <w:rFonts w:ascii="Courier" w:hAnsi="Courier" w:cs="Courier"/>
      <w:rtl w:val="0"/>
      <w:cs w:val="0"/>
      <w:lang w:val="x-none" w:eastAsia="cs-CZ"/>
    </w:rPr>
  </w:style>
  <w:style w:type="character" w:customStyle="1" w:styleId="TextkomentraChar115">
    <w:name w:val="Text komentára Char115"/>
    <w:aliases w:val="Char7 Char Char116,Comment Text Char Char Char116,Text komentára Char Char Char116"/>
    <w:basedOn w:val="DefaultParagraphFont"/>
    <w:uiPriority w:val="99"/>
    <w:semiHidden/>
    <w:rPr>
      <w:rFonts w:ascii="Courier" w:hAnsi="Courier" w:cs="Courier"/>
      <w:rtl w:val="0"/>
      <w:cs w:val="0"/>
      <w:lang w:val="x-none" w:eastAsia="cs-CZ"/>
    </w:rPr>
  </w:style>
  <w:style w:type="character" w:customStyle="1" w:styleId="TextkomentraChar114">
    <w:name w:val="Text komentára Char114"/>
    <w:aliases w:val="Char7 Char Char115,Comment Text Char Char Char115,Text komentára Char Char Char115"/>
    <w:basedOn w:val="DefaultParagraphFont"/>
    <w:uiPriority w:val="99"/>
    <w:semiHidden/>
    <w:rPr>
      <w:rFonts w:ascii="Courier" w:hAnsi="Courier" w:cs="Courier"/>
      <w:rtl w:val="0"/>
      <w:cs w:val="0"/>
      <w:lang w:val="x-none" w:eastAsia="cs-CZ"/>
    </w:rPr>
  </w:style>
  <w:style w:type="character" w:customStyle="1" w:styleId="TextkomentraChar113">
    <w:name w:val="Text komentára Char113"/>
    <w:aliases w:val="Char7 Char Char114,Comment Text Char Char Char114,Text komentára Char Char Char114"/>
    <w:basedOn w:val="DefaultParagraphFont"/>
    <w:uiPriority w:val="99"/>
    <w:semiHidden/>
    <w:rPr>
      <w:rFonts w:ascii="Courier" w:hAnsi="Courier" w:cs="Courier"/>
      <w:rtl w:val="0"/>
      <w:cs w:val="0"/>
      <w:lang w:val="x-none" w:eastAsia="cs-CZ"/>
    </w:rPr>
  </w:style>
  <w:style w:type="character" w:customStyle="1" w:styleId="TextkomentraChar112">
    <w:name w:val="Text komentára Char112"/>
    <w:aliases w:val="Char7 Char Char113,Comment Text Char Char Char113,Text komentára Char Char Char113"/>
    <w:basedOn w:val="DefaultParagraphFont"/>
    <w:uiPriority w:val="99"/>
    <w:semiHidden/>
    <w:rPr>
      <w:rFonts w:ascii="Courier" w:hAnsi="Courier" w:cs="Courier"/>
      <w:rtl w:val="0"/>
      <w:cs w:val="0"/>
      <w:lang w:val="x-none" w:eastAsia="cs-CZ"/>
    </w:rPr>
  </w:style>
  <w:style w:type="character" w:customStyle="1" w:styleId="TextkomentraChar111">
    <w:name w:val="Text komentára Char111"/>
    <w:aliases w:val="Char7 Char Char112,Comment Text Char Char Char112,Text komentára Char Char Char112"/>
    <w:basedOn w:val="DefaultParagraphFont"/>
    <w:uiPriority w:val="99"/>
    <w:semiHidden/>
    <w:rPr>
      <w:rFonts w:ascii="Courier" w:hAnsi="Courier" w:cs="Courier"/>
      <w:rtl w:val="0"/>
      <w:cs w:val="0"/>
      <w:lang w:val="x-none" w:eastAsia="cs-CZ"/>
    </w:rPr>
  </w:style>
  <w:style w:type="character" w:customStyle="1" w:styleId="TextkomentraChar110">
    <w:name w:val="Text komentára Char110"/>
    <w:aliases w:val="Char7 Char Char110,Comment Text Char Char Char110,Text komentára Char Char Char110"/>
    <w:basedOn w:val="DefaultParagraphFont"/>
    <w:uiPriority w:val="99"/>
    <w:semiHidden/>
    <w:rPr>
      <w:rFonts w:ascii="Courier" w:hAnsi="Courier" w:cs="Courier"/>
      <w:rtl w:val="0"/>
      <w:cs w:val="0"/>
      <w:lang w:val="x-none" w:eastAsia="cs-CZ"/>
    </w:rPr>
  </w:style>
  <w:style w:type="character" w:customStyle="1" w:styleId="TextkomentraChar19">
    <w:name w:val="Text komentára Char19"/>
    <w:aliases w:val="Char7 Char Char19,Comment Text Char Char Char19,Text komentára Char Char Char19"/>
    <w:basedOn w:val="DefaultParagraphFont"/>
    <w:uiPriority w:val="99"/>
    <w:semiHidden/>
    <w:rPr>
      <w:rFonts w:ascii="Courier" w:hAnsi="Courier" w:cs="Courier"/>
      <w:rtl w:val="0"/>
      <w:cs w:val="0"/>
      <w:lang w:val="x-none" w:eastAsia="cs-CZ"/>
    </w:rPr>
  </w:style>
  <w:style w:type="character" w:customStyle="1" w:styleId="TextkomentraChar18">
    <w:name w:val="Text komentára Char18"/>
    <w:aliases w:val="Char7 Char Char18,Comment Text Char Char Char18,Text komentára Char Char Char18"/>
    <w:basedOn w:val="DefaultParagraphFont"/>
    <w:uiPriority w:val="99"/>
    <w:semiHidden/>
    <w:rPr>
      <w:rFonts w:ascii="Courier" w:hAnsi="Courier" w:cs="Courier"/>
      <w:rtl w:val="0"/>
      <w:cs w:val="0"/>
      <w:lang w:val="x-none" w:eastAsia="cs-CZ"/>
    </w:rPr>
  </w:style>
  <w:style w:type="character" w:customStyle="1" w:styleId="TextkomentraChar17">
    <w:name w:val="Text komentára Char17"/>
    <w:aliases w:val="Char7 Char Char17,Comment Text Char Char Char17,Text komentára Char Char Char17"/>
    <w:basedOn w:val="DefaultParagraphFont"/>
    <w:uiPriority w:val="99"/>
    <w:semiHidden/>
    <w:rPr>
      <w:rFonts w:ascii="Courier" w:hAnsi="Courier" w:cs="Courier"/>
      <w:rtl w:val="0"/>
      <w:cs w:val="0"/>
      <w:lang w:val="x-none" w:eastAsia="cs-CZ"/>
    </w:rPr>
  </w:style>
  <w:style w:type="character" w:customStyle="1" w:styleId="TextkomentraChar16">
    <w:name w:val="Text komentára Char16"/>
    <w:aliases w:val="Char7 Char Char16,Comment Text Char Char Char16,Text komentára Char Char Char16"/>
    <w:basedOn w:val="DefaultParagraphFont"/>
    <w:uiPriority w:val="99"/>
    <w:semiHidden/>
    <w:rPr>
      <w:rFonts w:ascii="Courier" w:hAnsi="Courier" w:cs="Courier"/>
      <w:rtl w:val="0"/>
      <w:cs w:val="0"/>
      <w:lang w:val="x-none" w:eastAsia="cs-CZ"/>
    </w:rPr>
  </w:style>
  <w:style w:type="character" w:customStyle="1" w:styleId="TextkomentraChar15">
    <w:name w:val="Text komentára Char15"/>
    <w:aliases w:val="Char7 Char Char15,Comment Text Char Char Char15,Text komentára Char Char Char15"/>
    <w:basedOn w:val="DefaultParagraphFont"/>
    <w:uiPriority w:val="99"/>
    <w:semiHidden/>
    <w:rPr>
      <w:rFonts w:ascii="Courier" w:hAnsi="Courier" w:cs="Courier"/>
      <w:rtl w:val="0"/>
      <w:cs w:val="0"/>
      <w:lang w:val="x-none" w:eastAsia="cs-CZ"/>
    </w:rPr>
  </w:style>
  <w:style w:type="character" w:customStyle="1" w:styleId="TextkomentraChar14">
    <w:name w:val="Text komentára Char14"/>
    <w:aliases w:val="Char7 Char Char14,Comment Text Char Char Char14,Text komentára Char Char Char14"/>
    <w:basedOn w:val="DefaultParagraphFont"/>
    <w:uiPriority w:val="99"/>
    <w:semiHidden/>
    <w:rPr>
      <w:rFonts w:ascii="Courier" w:hAnsi="Courier" w:cs="Courier"/>
      <w:rtl w:val="0"/>
      <w:cs w:val="0"/>
      <w:lang w:val="x-none" w:eastAsia="cs-CZ"/>
    </w:rPr>
  </w:style>
  <w:style w:type="character" w:customStyle="1" w:styleId="TextkomentraChar13">
    <w:name w:val="Text komentára Char13"/>
    <w:aliases w:val="Char7 Char Char13,Comment Text Char Char Char13,Text komentára Char Char Char13"/>
    <w:basedOn w:val="DefaultParagraphFont"/>
    <w:uiPriority w:val="99"/>
    <w:semiHidden/>
    <w:rPr>
      <w:rFonts w:ascii="Courier" w:hAnsi="Courier" w:cs="Courier"/>
      <w:rtl w:val="0"/>
      <w:cs w:val="0"/>
      <w:lang w:val="x-none" w:eastAsia="cs-CZ"/>
    </w:rPr>
  </w:style>
  <w:style w:type="character" w:customStyle="1" w:styleId="TextkomentraChar12">
    <w:name w:val="Text komentára Char12"/>
    <w:aliases w:val="Char7 Char Char12,Comment Text Char Char Char12,Text komentára Char Char Char12"/>
    <w:basedOn w:val="DefaultParagraphFont"/>
    <w:uiPriority w:val="99"/>
    <w:semiHidden/>
    <w:rPr>
      <w:rFonts w:ascii="Courier" w:hAnsi="Courier" w:cs="Courier"/>
      <w:rtl w:val="0"/>
      <w:cs w:val="0"/>
      <w:lang w:val="x-none" w:eastAsia="cs-CZ"/>
    </w:rPr>
  </w:style>
  <w:style w:type="character" w:customStyle="1" w:styleId="TextkomentraChar11">
    <w:name w:val="Text komentára Char11"/>
    <w:aliases w:val="Char7 Char Char11,Char7 Char Char111,Comment Text Char Char Char11,Comment Text Char Char Char111,Text komentára Char Char Char11,Text komentára Char Char Char111"/>
    <w:uiPriority w:val="99"/>
    <w:semiHidden/>
    <w:rsid w:val="00992BC9"/>
    <w:rPr>
      <w:rFonts w:ascii="Courier" w:hAnsi="Courier" w:cs="Courier"/>
      <w:lang w:val="x-none" w:eastAsia="cs-CZ"/>
    </w:rPr>
  </w:style>
  <w:style w:type="character" w:customStyle="1" w:styleId="PredmetkomentraChar">
    <w:name w:val="Predmet komentára Char"/>
    <w:aliases w:val="Char6 Char Char,Comment Subject Char Char Char,Predmet komentára Char Char Char"/>
    <w:link w:val="CommentSubject"/>
    <w:uiPriority w:val="99"/>
    <w:semiHidden/>
    <w:locked/>
    <w:rsid w:val="00992BC9"/>
    <w:rPr>
      <w:rFonts w:ascii="Courier" w:hAnsi="Courier" w:cs="Courier"/>
      <w:b/>
    </w:rPr>
  </w:style>
  <w:style w:type="paragraph" w:styleId="CommentSubject">
    <w:name w:val="annotation subject"/>
    <w:aliases w:val="Char6 Char,Comment Subject Char Char,Predmet komentára Char Char"/>
    <w:basedOn w:val="CommentText"/>
    <w:next w:val="CommentText"/>
    <w:link w:val="PredmetkomentraChar"/>
    <w:uiPriority w:val="99"/>
    <w:semiHidden/>
    <w:rsid w:val="00992BC9"/>
    <w:pPr>
      <w:jc w:val="left"/>
    </w:pPr>
    <w:rPr>
      <w:b/>
      <w:bCs/>
    </w:rPr>
  </w:style>
  <w:style w:type="character" w:customStyle="1" w:styleId="PredmetkomentraChar1">
    <w:name w:val="Predmet komentára Char1"/>
    <w:aliases w:val="Char6 Char Char1,Comment Subject Char Char Char1,Predmet komentára Char Char Char1"/>
    <w:basedOn w:val="TextkomentraChar"/>
    <w:uiPriority w:val="99"/>
    <w:semiHidden/>
    <w:rPr>
      <w:b/>
      <w:bCs/>
      <w:rtl w:val="0"/>
      <w:cs w:val="0"/>
      <w:lang w:val="x-none" w:eastAsia="cs-CZ"/>
    </w:rPr>
  </w:style>
  <w:style w:type="character" w:customStyle="1" w:styleId="PredmetkomentraChar1163">
    <w:name w:val="Predmet komentára Char1163"/>
    <w:aliases w:val="Char6 Char Char1164,Comment Subject Char Char Char1164,Predmet komentára Char Char Char1164"/>
    <w:uiPriority w:val="99"/>
    <w:semiHidden/>
    <w:rPr>
      <w:rFonts w:ascii="Courier" w:hAnsi="Courier" w:cs="Courier"/>
      <w:b/>
      <w:lang w:val="x-none" w:eastAsia="cs-CZ"/>
    </w:rPr>
  </w:style>
  <w:style w:type="character" w:customStyle="1" w:styleId="PredmetkomentraChar1162">
    <w:name w:val="Predmet komentára Char1162"/>
    <w:aliases w:val="Char6 Char Char1163,Comment Subject Char Char Char1163,Predmet komentára Char Char Char1163"/>
    <w:uiPriority w:val="99"/>
    <w:semiHidden/>
    <w:rPr>
      <w:rFonts w:ascii="Courier" w:hAnsi="Courier" w:cs="Courier"/>
      <w:b/>
      <w:lang w:val="x-none" w:eastAsia="cs-CZ"/>
    </w:rPr>
  </w:style>
  <w:style w:type="character" w:customStyle="1" w:styleId="PredmetkomentraChar1161">
    <w:name w:val="Predmet komentára Char1161"/>
    <w:aliases w:val="Char6 Char Char1162,Comment Subject Char Char Char1162,Predmet komentára Char Char Char1162"/>
    <w:uiPriority w:val="99"/>
    <w:semiHidden/>
    <w:rPr>
      <w:rFonts w:ascii="Courier" w:hAnsi="Courier" w:cs="Courier"/>
      <w:b/>
      <w:lang w:val="x-none" w:eastAsia="cs-CZ"/>
    </w:rPr>
  </w:style>
  <w:style w:type="character" w:customStyle="1" w:styleId="PredmetkomentraChar1160">
    <w:name w:val="Predmet komentára Char1160"/>
    <w:aliases w:val="Char6 Char Char1161,Comment Subject Char Char Char1161,Predmet komentára Char Char Char1161"/>
    <w:uiPriority w:val="99"/>
    <w:semiHidden/>
    <w:rPr>
      <w:rFonts w:ascii="Courier" w:hAnsi="Courier" w:cs="Courier"/>
      <w:b/>
      <w:lang w:val="x-none" w:eastAsia="cs-CZ"/>
    </w:rPr>
  </w:style>
  <w:style w:type="character" w:customStyle="1" w:styleId="PredmetkomentraChar1159">
    <w:name w:val="Predmet komentára Char1159"/>
    <w:aliases w:val="Char6 Char Char1160,Comment Subject Char Char Char1160,Predmet komentára Char Char Char1160"/>
    <w:uiPriority w:val="99"/>
    <w:semiHidden/>
    <w:rPr>
      <w:rFonts w:ascii="Courier" w:hAnsi="Courier" w:cs="Courier"/>
      <w:b/>
      <w:lang w:val="x-none" w:eastAsia="cs-CZ"/>
    </w:rPr>
  </w:style>
  <w:style w:type="character" w:customStyle="1" w:styleId="PredmetkomentraChar1158">
    <w:name w:val="Predmet komentára Char1158"/>
    <w:aliases w:val="Char6 Char Char1159,Comment Subject Char Char Char1159,Predmet komentára Char Char Char1159"/>
    <w:uiPriority w:val="99"/>
    <w:semiHidden/>
    <w:rPr>
      <w:rFonts w:ascii="Courier" w:hAnsi="Courier" w:cs="Courier"/>
      <w:b/>
      <w:lang w:val="x-none" w:eastAsia="cs-CZ"/>
    </w:rPr>
  </w:style>
  <w:style w:type="character" w:customStyle="1" w:styleId="PredmetkomentraChar1157">
    <w:name w:val="Predmet komentára Char1157"/>
    <w:aliases w:val="Char6 Char Char1158,Comment Subject Char Char Char1158,Predmet komentára Char Char Char1158"/>
    <w:uiPriority w:val="99"/>
    <w:semiHidden/>
    <w:rPr>
      <w:rFonts w:ascii="Courier" w:hAnsi="Courier" w:cs="Courier"/>
      <w:b/>
      <w:lang w:val="x-none" w:eastAsia="cs-CZ"/>
    </w:rPr>
  </w:style>
  <w:style w:type="character" w:customStyle="1" w:styleId="PredmetkomentraChar1156">
    <w:name w:val="Predmet komentára Char1156"/>
    <w:aliases w:val="Char6 Char Char1157,Comment Subject Char Char Char1157,Predmet komentára Char Char Char1157"/>
    <w:uiPriority w:val="99"/>
    <w:semiHidden/>
    <w:rPr>
      <w:rFonts w:ascii="Courier" w:hAnsi="Courier" w:cs="Courier"/>
      <w:b/>
      <w:lang w:val="x-none" w:eastAsia="cs-CZ"/>
    </w:rPr>
  </w:style>
  <w:style w:type="character" w:customStyle="1" w:styleId="PredmetkomentraChar1155">
    <w:name w:val="Predmet komentára Char1155"/>
    <w:aliases w:val="Char6 Char Char1156,Comment Subject Char Char Char1156,Predmet komentára Char Char Char1156"/>
    <w:uiPriority w:val="99"/>
    <w:semiHidden/>
    <w:rPr>
      <w:rFonts w:ascii="Courier" w:hAnsi="Courier" w:cs="Courier"/>
      <w:b/>
      <w:lang w:val="x-none" w:eastAsia="cs-CZ"/>
    </w:rPr>
  </w:style>
  <w:style w:type="character" w:customStyle="1" w:styleId="PredmetkomentraChar1154">
    <w:name w:val="Predmet komentára Char1154"/>
    <w:aliases w:val="Char6 Char Char1155,Comment Subject Char Char Char1155,Predmet komentára Char Char Char1155"/>
    <w:uiPriority w:val="99"/>
    <w:semiHidden/>
    <w:rPr>
      <w:rFonts w:ascii="Courier" w:hAnsi="Courier" w:cs="Courier"/>
      <w:b/>
      <w:lang w:val="x-none" w:eastAsia="cs-CZ"/>
    </w:rPr>
  </w:style>
  <w:style w:type="character" w:customStyle="1" w:styleId="PredmetkomentraChar1153">
    <w:name w:val="Predmet komentára Char1153"/>
    <w:aliases w:val="Char6 Char Char1154,Comment Subject Char Char Char1154,Predmet komentára Char Char Char1154"/>
    <w:uiPriority w:val="99"/>
    <w:semiHidden/>
    <w:rPr>
      <w:rFonts w:ascii="Courier" w:hAnsi="Courier" w:cs="Courier"/>
      <w:b/>
      <w:lang w:val="x-none" w:eastAsia="cs-CZ"/>
    </w:rPr>
  </w:style>
  <w:style w:type="character" w:customStyle="1" w:styleId="PredmetkomentraChar1152">
    <w:name w:val="Predmet komentára Char1152"/>
    <w:aliases w:val="Char6 Char Char1153,Comment Subject Char Char Char1153,Predmet komentára Char Char Char1153"/>
    <w:uiPriority w:val="99"/>
    <w:semiHidden/>
    <w:rPr>
      <w:rFonts w:ascii="Courier" w:hAnsi="Courier" w:cs="Courier"/>
      <w:b/>
      <w:lang w:val="x-none" w:eastAsia="cs-CZ"/>
    </w:rPr>
  </w:style>
  <w:style w:type="character" w:customStyle="1" w:styleId="PredmetkomentraChar1151">
    <w:name w:val="Predmet komentára Char1151"/>
    <w:aliases w:val="Char6 Char Char1152,Comment Subject Char Char Char1152,Predmet komentára Char Char Char1152"/>
    <w:uiPriority w:val="99"/>
    <w:semiHidden/>
    <w:rPr>
      <w:rFonts w:ascii="Courier" w:hAnsi="Courier" w:cs="Courier"/>
      <w:b/>
      <w:lang w:val="x-none" w:eastAsia="cs-CZ"/>
    </w:rPr>
  </w:style>
  <w:style w:type="character" w:customStyle="1" w:styleId="PredmetkomentraChar1150">
    <w:name w:val="Predmet komentára Char1150"/>
    <w:aliases w:val="Char6 Char Char1151,Comment Subject Char Char Char1151,Predmet komentára Char Char Char1151"/>
    <w:uiPriority w:val="99"/>
    <w:semiHidden/>
    <w:rPr>
      <w:rFonts w:ascii="Courier" w:hAnsi="Courier" w:cs="Courier"/>
      <w:b/>
      <w:lang w:val="x-none" w:eastAsia="cs-CZ"/>
    </w:rPr>
  </w:style>
  <w:style w:type="character" w:customStyle="1" w:styleId="PredmetkomentraChar1149">
    <w:name w:val="Predmet komentára Char1149"/>
    <w:aliases w:val="Char6 Char Char1150,Comment Subject Char Char Char1150,Predmet komentára Char Char Char1150"/>
    <w:uiPriority w:val="99"/>
    <w:semiHidden/>
    <w:rPr>
      <w:rFonts w:ascii="Courier" w:hAnsi="Courier" w:cs="Courier"/>
      <w:b/>
      <w:lang w:val="x-none" w:eastAsia="cs-CZ"/>
    </w:rPr>
  </w:style>
  <w:style w:type="character" w:customStyle="1" w:styleId="PredmetkomentraChar1148">
    <w:name w:val="Predmet komentára Char1148"/>
    <w:aliases w:val="Char6 Char Char1149,Comment Subject Char Char Char1149,Predmet komentára Char Char Char1149"/>
    <w:uiPriority w:val="99"/>
    <w:semiHidden/>
    <w:rPr>
      <w:rFonts w:ascii="Courier" w:hAnsi="Courier" w:cs="Courier"/>
      <w:b/>
      <w:lang w:val="x-none" w:eastAsia="cs-CZ"/>
    </w:rPr>
  </w:style>
  <w:style w:type="character" w:customStyle="1" w:styleId="PredmetkomentraChar1147">
    <w:name w:val="Predmet komentára Char1147"/>
    <w:aliases w:val="Char6 Char Char1148,Comment Subject Char Char Char1148,Predmet komentára Char Char Char1148"/>
    <w:uiPriority w:val="99"/>
    <w:semiHidden/>
    <w:rPr>
      <w:rFonts w:ascii="Courier" w:hAnsi="Courier" w:cs="Courier"/>
      <w:b/>
      <w:lang w:val="x-none" w:eastAsia="cs-CZ"/>
    </w:rPr>
  </w:style>
  <w:style w:type="character" w:customStyle="1" w:styleId="PredmetkomentraChar1146">
    <w:name w:val="Predmet komentára Char1146"/>
    <w:aliases w:val="Char6 Char Char1147,Comment Subject Char Char Char1147,Predmet komentára Char Char Char1147"/>
    <w:uiPriority w:val="99"/>
    <w:semiHidden/>
    <w:rPr>
      <w:rFonts w:ascii="Courier" w:hAnsi="Courier" w:cs="Courier"/>
      <w:b/>
      <w:lang w:val="x-none" w:eastAsia="cs-CZ"/>
    </w:rPr>
  </w:style>
  <w:style w:type="character" w:customStyle="1" w:styleId="PredmetkomentraChar1145">
    <w:name w:val="Predmet komentára Char1145"/>
    <w:aliases w:val="Char6 Char Char1146,Comment Subject Char Char Char1146,Predmet komentára Char Char Char1146"/>
    <w:uiPriority w:val="99"/>
    <w:semiHidden/>
    <w:rPr>
      <w:rFonts w:ascii="Courier" w:hAnsi="Courier" w:cs="Courier"/>
      <w:b/>
      <w:lang w:val="x-none" w:eastAsia="cs-CZ"/>
    </w:rPr>
  </w:style>
  <w:style w:type="character" w:customStyle="1" w:styleId="PredmetkomentraChar1144">
    <w:name w:val="Predmet komentára Char1144"/>
    <w:aliases w:val="Char6 Char Char1145,Comment Subject Char Char Char1145,Predmet komentára Char Char Char1145"/>
    <w:uiPriority w:val="99"/>
    <w:semiHidden/>
    <w:rPr>
      <w:rFonts w:ascii="Courier" w:hAnsi="Courier" w:cs="Courier"/>
      <w:b/>
      <w:lang w:val="x-none" w:eastAsia="cs-CZ"/>
    </w:rPr>
  </w:style>
  <w:style w:type="character" w:customStyle="1" w:styleId="PredmetkomentraChar1143">
    <w:name w:val="Predmet komentára Char1143"/>
    <w:aliases w:val="Char6 Char Char1144,Comment Subject Char Char Char1144,Predmet komentára Char Char Char1144"/>
    <w:uiPriority w:val="99"/>
    <w:semiHidden/>
    <w:rPr>
      <w:rFonts w:ascii="Courier" w:hAnsi="Courier" w:cs="Courier"/>
      <w:b/>
      <w:lang w:val="x-none" w:eastAsia="cs-CZ"/>
    </w:rPr>
  </w:style>
  <w:style w:type="character" w:customStyle="1" w:styleId="PredmetkomentraChar1142">
    <w:name w:val="Predmet komentára Char1142"/>
    <w:aliases w:val="Char6 Char Char1143,Comment Subject Char Char Char1143,Predmet komentára Char Char Char1143"/>
    <w:uiPriority w:val="99"/>
    <w:semiHidden/>
    <w:rPr>
      <w:rFonts w:ascii="Courier" w:hAnsi="Courier" w:cs="Courier"/>
      <w:b/>
      <w:lang w:val="x-none" w:eastAsia="cs-CZ"/>
    </w:rPr>
  </w:style>
  <w:style w:type="character" w:customStyle="1" w:styleId="PredmetkomentraChar1141">
    <w:name w:val="Predmet komentára Char1141"/>
    <w:aliases w:val="Char6 Char Char1142,Comment Subject Char Char Char1142,Predmet komentára Char Char Char1142"/>
    <w:uiPriority w:val="99"/>
    <w:semiHidden/>
    <w:rPr>
      <w:rFonts w:ascii="Courier" w:hAnsi="Courier" w:cs="Courier"/>
      <w:b/>
      <w:lang w:val="x-none" w:eastAsia="cs-CZ"/>
    </w:rPr>
  </w:style>
  <w:style w:type="character" w:customStyle="1" w:styleId="PredmetkomentraChar1140">
    <w:name w:val="Predmet komentára Char1140"/>
    <w:aliases w:val="Char6 Char Char1141,Comment Subject Char Char Char1141,Predmet komentára Char Char Char1141"/>
    <w:uiPriority w:val="99"/>
    <w:semiHidden/>
    <w:rPr>
      <w:rFonts w:ascii="Courier" w:hAnsi="Courier" w:cs="Courier"/>
      <w:b/>
      <w:lang w:val="x-none" w:eastAsia="cs-CZ"/>
    </w:rPr>
  </w:style>
  <w:style w:type="character" w:customStyle="1" w:styleId="PredmetkomentraChar1139">
    <w:name w:val="Predmet komentára Char1139"/>
    <w:aliases w:val="Char6 Char Char1140,Comment Subject Char Char Char1140,Predmet komentára Char Char Char1140"/>
    <w:uiPriority w:val="99"/>
    <w:semiHidden/>
    <w:rPr>
      <w:rFonts w:ascii="Courier" w:hAnsi="Courier" w:cs="Courier"/>
      <w:b/>
      <w:lang w:val="x-none" w:eastAsia="cs-CZ"/>
    </w:rPr>
  </w:style>
  <w:style w:type="character" w:customStyle="1" w:styleId="PredmetkomentraChar1138">
    <w:name w:val="Predmet komentára Char1138"/>
    <w:aliases w:val="Char6 Char Char1139,Comment Subject Char Char Char1139,Predmet komentára Char Char Char1139"/>
    <w:uiPriority w:val="99"/>
    <w:semiHidden/>
    <w:rPr>
      <w:rFonts w:ascii="Courier" w:hAnsi="Courier" w:cs="Courier"/>
      <w:b/>
      <w:lang w:val="x-none" w:eastAsia="cs-CZ"/>
    </w:rPr>
  </w:style>
  <w:style w:type="character" w:customStyle="1" w:styleId="PredmetkomentraChar1137">
    <w:name w:val="Predmet komentára Char1137"/>
    <w:aliases w:val="Char6 Char Char1138,Comment Subject Char Char Char1138,Predmet komentára Char Char Char1138"/>
    <w:uiPriority w:val="99"/>
    <w:semiHidden/>
    <w:rPr>
      <w:rFonts w:ascii="Courier" w:hAnsi="Courier" w:cs="Courier"/>
      <w:b/>
      <w:lang w:val="x-none" w:eastAsia="cs-CZ"/>
    </w:rPr>
  </w:style>
  <w:style w:type="character" w:customStyle="1" w:styleId="PredmetkomentraChar1136">
    <w:name w:val="Predmet komentára Char1136"/>
    <w:aliases w:val="Char6 Char Char1137,Comment Subject Char Char Char1137,Predmet komentára Char Char Char1137"/>
    <w:uiPriority w:val="99"/>
    <w:semiHidden/>
    <w:rPr>
      <w:rFonts w:ascii="Courier" w:hAnsi="Courier" w:cs="Courier"/>
      <w:b/>
      <w:lang w:val="x-none" w:eastAsia="cs-CZ"/>
    </w:rPr>
  </w:style>
  <w:style w:type="character" w:customStyle="1" w:styleId="PredmetkomentraChar1135">
    <w:name w:val="Predmet komentára Char1135"/>
    <w:aliases w:val="Char6 Char Char1136,Comment Subject Char Char Char1136,Predmet komentára Char Char Char1136"/>
    <w:uiPriority w:val="99"/>
    <w:semiHidden/>
    <w:rPr>
      <w:rFonts w:ascii="Courier" w:hAnsi="Courier" w:cs="Courier"/>
      <w:b/>
      <w:lang w:val="x-none" w:eastAsia="cs-CZ"/>
    </w:rPr>
  </w:style>
  <w:style w:type="character" w:customStyle="1" w:styleId="PredmetkomentraChar1134">
    <w:name w:val="Predmet komentára Char1134"/>
    <w:aliases w:val="Char6 Char Char1135,Comment Subject Char Char Char1135,Predmet komentára Char Char Char1135"/>
    <w:uiPriority w:val="99"/>
    <w:semiHidden/>
    <w:rPr>
      <w:rFonts w:ascii="Courier" w:hAnsi="Courier" w:cs="Courier"/>
      <w:b/>
      <w:lang w:val="x-none" w:eastAsia="cs-CZ"/>
    </w:rPr>
  </w:style>
  <w:style w:type="character" w:customStyle="1" w:styleId="PredmetkomentraChar1133">
    <w:name w:val="Predmet komentára Char1133"/>
    <w:aliases w:val="Char6 Char Char1134,Comment Subject Char Char Char1134,Predmet komentára Char Char Char1134"/>
    <w:uiPriority w:val="99"/>
    <w:semiHidden/>
    <w:rPr>
      <w:rFonts w:ascii="Courier" w:hAnsi="Courier" w:cs="Courier"/>
      <w:b/>
      <w:lang w:val="x-none" w:eastAsia="cs-CZ"/>
    </w:rPr>
  </w:style>
  <w:style w:type="character" w:customStyle="1" w:styleId="PredmetkomentraChar1132">
    <w:name w:val="Predmet komentára Char1132"/>
    <w:aliases w:val="Char6 Char Char1133,Comment Subject Char Char Char1133,Predmet komentára Char Char Char1133"/>
    <w:uiPriority w:val="99"/>
    <w:semiHidden/>
    <w:rPr>
      <w:rFonts w:ascii="Courier" w:hAnsi="Courier" w:cs="Courier"/>
      <w:b/>
      <w:lang w:val="x-none" w:eastAsia="cs-CZ"/>
    </w:rPr>
  </w:style>
  <w:style w:type="character" w:customStyle="1" w:styleId="PredmetkomentraChar1131">
    <w:name w:val="Predmet komentára Char1131"/>
    <w:aliases w:val="Char6 Char Char1132,Comment Subject Char Char Char1132,Predmet komentára Char Char Char1132"/>
    <w:uiPriority w:val="99"/>
    <w:semiHidden/>
    <w:rPr>
      <w:rFonts w:ascii="Courier" w:hAnsi="Courier" w:cs="Courier"/>
      <w:b/>
      <w:lang w:val="x-none" w:eastAsia="cs-CZ"/>
    </w:rPr>
  </w:style>
  <w:style w:type="character" w:customStyle="1" w:styleId="PredmetkomentraChar1130">
    <w:name w:val="Predmet komentára Char1130"/>
    <w:aliases w:val="Char6 Char Char1131,Comment Subject Char Char Char1131,Predmet komentára Char Char Char1131"/>
    <w:uiPriority w:val="99"/>
    <w:semiHidden/>
    <w:rPr>
      <w:rFonts w:ascii="Courier" w:hAnsi="Courier" w:cs="Courier"/>
      <w:b/>
      <w:lang w:val="x-none" w:eastAsia="cs-CZ"/>
    </w:rPr>
  </w:style>
  <w:style w:type="character" w:customStyle="1" w:styleId="PredmetkomentraChar1129">
    <w:name w:val="Predmet komentára Char1129"/>
    <w:aliases w:val="Char6 Char Char1130,Comment Subject Char Char Char1130,Predmet komentára Char Char Char1130"/>
    <w:uiPriority w:val="99"/>
    <w:semiHidden/>
    <w:rPr>
      <w:rFonts w:ascii="Courier" w:hAnsi="Courier" w:cs="Courier"/>
      <w:b/>
      <w:lang w:val="x-none" w:eastAsia="cs-CZ"/>
    </w:rPr>
  </w:style>
  <w:style w:type="character" w:customStyle="1" w:styleId="PredmetkomentraChar1128">
    <w:name w:val="Predmet komentára Char1128"/>
    <w:aliases w:val="Char6 Char Char1129,Comment Subject Char Char Char1129,Predmet komentára Char Char Char1129"/>
    <w:uiPriority w:val="99"/>
    <w:semiHidden/>
    <w:rPr>
      <w:rFonts w:ascii="Courier" w:hAnsi="Courier" w:cs="Courier"/>
      <w:b/>
      <w:lang w:val="x-none" w:eastAsia="cs-CZ"/>
    </w:rPr>
  </w:style>
  <w:style w:type="character" w:customStyle="1" w:styleId="PredmetkomentraChar1127">
    <w:name w:val="Predmet komentára Char1127"/>
    <w:aliases w:val="Char6 Char Char1128,Comment Subject Char Char Char1128,Predmet komentára Char Char Char1128"/>
    <w:uiPriority w:val="99"/>
    <w:semiHidden/>
    <w:rPr>
      <w:rFonts w:ascii="Courier" w:hAnsi="Courier" w:cs="Courier"/>
      <w:b/>
      <w:lang w:val="x-none" w:eastAsia="cs-CZ"/>
    </w:rPr>
  </w:style>
  <w:style w:type="character" w:customStyle="1" w:styleId="PredmetkomentraChar1126">
    <w:name w:val="Predmet komentára Char1126"/>
    <w:aliases w:val="Char6 Char Char1127,Comment Subject Char Char Char1127,Predmet komentára Char Char Char1127"/>
    <w:uiPriority w:val="99"/>
    <w:semiHidden/>
    <w:rPr>
      <w:rFonts w:ascii="Courier" w:hAnsi="Courier" w:cs="Courier"/>
      <w:b/>
      <w:lang w:val="x-none" w:eastAsia="cs-CZ"/>
    </w:rPr>
  </w:style>
  <w:style w:type="character" w:customStyle="1" w:styleId="PredmetkomentraChar1125">
    <w:name w:val="Predmet komentára Char1125"/>
    <w:aliases w:val="Char6 Char Char1126,Comment Subject Char Char Char1126,Predmet komentára Char Char Char1126"/>
    <w:uiPriority w:val="99"/>
    <w:semiHidden/>
    <w:rPr>
      <w:rFonts w:ascii="Courier" w:hAnsi="Courier" w:cs="Courier"/>
      <w:b/>
      <w:lang w:val="x-none" w:eastAsia="cs-CZ"/>
    </w:rPr>
  </w:style>
  <w:style w:type="character" w:customStyle="1" w:styleId="PredmetkomentraChar1124">
    <w:name w:val="Predmet komentára Char1124"/>
    <w:aliases w:val="Char6 Char Char1125,Comment Subject Char Char Char1125,Predmet komentára Char Char Char1125"/>
    <w:uiPriority w:val="99"/>
    <w:semiHidden/>
    <w:rPr>
      <w:rFonts w:ascii="Courier" w:hAnsi="Courier" w:cs="Courier"/>
      <w:b/>
      <w:lang w:val="x-none" w:eastAsia="cs-CZ"/>
    </w:rPr>
  </w:style>
  <w:style w:type="character" w:customStyle="1" w:styleId="PredmetkomentraChar1123">
    <w:name w:val="Predmet komentára Char1123"/>
    <w:aliases w:val="Char6 Char Char1124,Comment Subject Char Char Char1124,Predmet komentára Char Char Char1124"/>
    <w:uiPriority w:val="99"/>
    <w:semiHidden/>
    <w:rPr>
      <w:rFonts w:ascii="Courier" w:hAnsi="Courier" w:cs="Courier"/>
      <w:b/>
      <w:lang w:val="x-none" w:eastAsia="cs-CZ"/>
    </w:rPr>
  </w:style>
  <w:style w:type="character" w:customStyle="1" w:styleId="PredmetkomentraChar1122">
    <w:name w:val="Predmet komentára Char1122"/>
    <w:aliases w:val="Char6 Char Char1123,Comment Subject Char Char Char1123,Predmet komentára Char Char Char1123"/>
    <w:uiPriority w:val="99"/>
    <w:semiHidden/>
    <w:rPr>
      <w:rFonts w:ascii="Courier" w:hAnsi="Courier" w:cs="Courier"/>
      <w:b/>
      <w:lang w:val="x-none" w:eastAsia="cs-CZ"/>
    </w:rPr>
  </w:style>
  <w:style w:type="character" w:customStyle="1" w:styleId="PredmetkomentraChar1121">
    <w:name w:val="Predmet komentára Char1121"/>
    <w:aliases w:val="Char6 Char Char1122,Comment Subject Char Char Char1122,Predmet komentára Char Char Char1122"/>
    <w:uiPriority w:val="99"/>
    <w:semiHidden/>
    <w:rPr>
      <w:rFonts w:ascii="Courier" w:hAnsi="Courier" w:cs="Courier"/>
      <w:b/>
      <w:lang w:val="x-none" w:eastAsia="cs-CZ"/>
    </w:rPr>
  </w:style>
  <w:style w:type="character" w:customStyle="1" w:styleId="PredmetkomentraChar1120">
    <w:name w:val="Predmet komentára Char1120"/>
    <w:aliases w:val="Char6 Char Char1121,Comment Subject Char Char Char1121,Predmet komentára Char Char Char1121"/>
    <w:uiPriority w:val="99"/>
    <w:semiHidden/>
    <w:rPr>
      <w:rFonts w:ascii="Courier" w:hAnsi="Courier" w:cs="Courier"/>
      <w:b/>
      <w:lang w:val="x-none" w:eastAsia="cs-CZ"/>
    </w:rPr>
  </w:style>
  <w:style w:type="character" w:customStyle="1" w:styleId="PredmetkomentraChar1119">
    <w:name w:val="Predmet komentára Char1119"/>
    <w:aliases w:val="Char6 Char Char1120,Comment Subject Char Char Char1120,Predmet komentára Char Char Char1120"/>
    <w:uiPriority w:val="99"/>
    <w:semiHidden/>
    <w:rPr>
      <w:rFonts w:ascii="Courier" w:hAnsi="Courier" w:cs="Courier"/>
      <w:b/>
      <w:lang w:val="x-none" w:eastAsia="cs-CZ"/>
    </w:rPr>
  </w:style>
  <w:style w:type="character" w:customStyle="1" w:styleId="PredmetkomentraChar1118">
    <w:name w:val="Predmet komentára Char1118"/>
    <w:aliases w:val="Char6 Char Char1119,Comment Subject Char Char Char1119,Predmet komentára Char Char Char1119"/>
    <w:uiPriority w:val="99"/>
    <w:semiHidden/>
    <w:rPr>
      <w:rFonts w:ascii="Courier" w:hAnsi="Courier" w:cs="Courier"/>
      <w:b/>
      <w:lang w:val="x-none" w:eastAsia="cs-CZ"/>
    </w:rPr>
  </w:style>
  <w:style w:type="character" w:customStyle="1" w:styleId="PredmetkomentraChar1117">
    <w:name w:val="Predmet komentára Char1117"/>
    <w:aliases w:val="Char6 Char Char1118,Comment Subject Char Char Char1118,Predmet komentára Char Char Char1118"/>
    <w:uiPriority w:val="99"/>
    <w:semiHidden/>
    <w:rPr>
      <w:rFonts w:ascii="Courier" w:hAnsi="Courier" w:cs="Courier"/>
      <w:b/>
      <w:lang w:val="x-none" w:eastAsia="cs-CZ"/>
    </w:rPr>
  </w:style>
  <w:style w:type="character" w:customStyle="1" w:styleId="PredmetkomentraChar1116">
    <w:name w:val="Predmet komentára Char1116"/>
    <w:aliases w:val="Char6 Char Char1117,Comment Subject Char Char Char1117,Predmet komentára Char Char Char1117"/>
    <w:uiPriority w:val="99"/>
    <w:semiHidden/>
    <w:rPr>
      <w:rFonts w:ascii="Courier" w:hAnsi="Courier" w:cs="Courier"/>
      <w:b/>
      <w:lang w:val="x-none" w:eastAsia="cs-CZ"/>
    </w:rPr>
  </w:style>
  <w:style w:type="character" w:customStyle="1" w:styleId="PredmetkomentraChar1115">
    <w:name w:val="Predmet komentára Char1115"/>
    <w:aliases w:val="Char6 Char Char1116,Comment Subject Char Char Char1116,Predmet komentára Char Char Char1116"/>
    <w:uiPriority w:val="99"/>
    <w:semiHidden/>
    <w:rPr>
      <w:rFonts w:ascii="Courier" w:hAnsi="Courier" w:cs="Courier"/>
      <w:b/>
      <w:lang w:val="x-none" w:eastAsia="cs-CZ"/>
    </w:rPr>
  </w:style>
  <w:style w:type="character" w:customStyle="1" w:styleId="PredmetkomentraChar1114">
    <w:name w:val="Predmet komentára Char1114"/>
    <w:aliases w:val="Char6 Char Char1115,Comment Subject Char Char Char1115,Predmet komentára Char Char Char1115"/>
    <w:uiPriority w:val="99"/>
    <w:semiHidden/>
    <w:rPr>
      <w:rFonts w:ascii="Courier" w:hAnsi="Courier" w:cs="Courier"/>
      <w:b/>
      <w:lang w:val="x-none" w:eastAsia="cs-CZ"/>
    </w:rPr>
  </w:style>
  <w:style w:type="character" w:customStyle="1" w:styleId="PredmetkomentraChar1113">
    <w:name w:val="Predmet komentára Char1113"/>
    <w:aliases w:val="Char6 Char Char1114,Comment Subject Char Char Char1114,Predmet komentára Char Char Char1114"/>
    <w:uiPriority w:val="99"/>
    <w:semiHidden/>
    <w:rPr>
      <w:rFonts w:ascii="Courier" w:hAnsi="Courier" w:cs="Courier"/>
      <w:b/>
      <w:lang w:val="x-none" w:eastAsia="cs-CZ"/>
    </w:rPr>
  </w:style>
  <w:style w:type="character" w:customStyle="1" w:styleId="PredmetkomentraChar1112">
    <w:name w:val="Predmet komentára Char1112"/>
    <w:aliases w:val="Char6 Char Char1113,Comment Subject Char Char Char1113,Predmet komentára Char Char Char1113"/>
    <w:uiPriority w:val="99"/>
    <w:semiHidden/>
    <w:rPr>
      <w:rFonts w:ascii="Courier" w:hAnsi="Courier" w:cs="Courier"/>
      <w:b/>
      <w:lang w:val="x-none" w:eastAsia="cs-CZ"/>
    </w:rPr>
  </w:style>
  <w:style w:type="character" w:customStyle="1" w:styleId="PredmetkomentraChar1111">
    <w:name w:val="Predmet komentára Char1111"/>
    <w:aliases w:val="Char6 Char Char1112,Comment Subject Char Char Char1112,Predmet komentára Char Char Char1112"/>
    <w:uiPriority w:val="99"/>
    <w:semiHidden/>
    <w:rPr>
      <w:rFonts w:ascii="Courier" w:hAnsi="Courier" w:cs="Courier"/>
      <w:b/>
      <w:lang w:val="x-none" w:eastAsia="cs-CZ"/>
    </w:rPr>
  </w:style>
  <w:style w:type="character" w:customStyle="1" w:styleId="PredmetkomentraChar1110">
    <w:name w:val="Predmet komentára Char1110"/>
    <w:aliases w:val="Char6 Char Char1111,Comment Subject Char Char Char1111,Predmet komentára Char Char Char1111"/>
    <w:uiPriority w:val="99"/>
    <w:semiHidden/>
    <w:rPr>
      <w:rFonts w:ascii="Courier" w:hAnsi="Courier" w:cs="Courier"/>
      <w:b/>
      <w:lang w:val="x-none" w:eastAsia="cs-CZ"/>
    </w:rPr>
  </w:style>
  <w:style w:type="character" w:customStyle="1" w:styleId="PredmetkomentraChar1109">
    <w:name w:val="Predmet komentára Char1109"/>
    <w:aliases w:val="Char6 Char Char1110,Comment Subject Char Char Char1110,Predmet komentára Char Char Char1110"/>
    <w:uiPriority w:val="99"/>
    <w:semiHidden/>
    <w:rPr>
      <w:rFonts w:ascii="Courier" w:hAnsi="Courier" w:cs="Courier"/>
      <w:b/>
      <w:lang w:val="x-none" w:eastAsia="cs-CZ"/>
    </w:rPr>
  </w:style>
  <w:style w:type="character" w:customStyle="1" w:styleId="PredmetkomentraChar1108">
    <w:name w:val="Predmet komentára Char1108"/>
    <w:aliases w:val="Char6 Char Char1109,Comment Subject Char Char Char1109,Predmet komentára Char Char Char1109"/>
    <w:uiPriority w:val="99"/>
    <w:semiHidden/>
    <w:rPr>
      <w:rFonts w:ascii="Courier" w:hAnsi="Courier" w:cs="Courier"/>
      <w:b/>
      <w:lang w:val="x-none" w:eastAsia="cs-CZ"/>
    </w:rPr>
  </w:style>
  <w:style w:type="character" w:customStyle="1" w:styleId="PredmetkomentraChar1107">
    <w:name w:val="Predmet komentára Char1107"/>
    <w:aliases w:val="Char6 Char Char1108,Comment Subject Char Char Char1108,Predmet komentára Char Char Char1108"/>
    <w:uiPriority w:val="99"/>
    <w:semiHidden/>
    <w:rPr>
      <w:rFonts w:ascii="Courier" w:hAnsi="Courier" w:cs="Courier"/>
      <w:b/>
      <w:lang w:val="x-none" w:eastAsia="cs-CZ"/>
    </w:rPr>
  </w:style>
  <w:style w:type="character" w:customStyle="1" w:styleId="PredmetkomentraChar1106">
    <w:name w:val="Predmet komentára Char1106"/>
    <w:aliases w:val="Char6 Char Char1107,Comment Subject Char Char Char1107,Predmet komentára Char Char Char1107"/>
    <w:uiPriority w:val="99"/>
    <w:semiHidden/>
    <w:rPr>
      <w:rFonts w:ascii="Courier" w:hAnsi="Courier" w:cs="Courier"/>
      <w:b/>
      <w:lang w:val="x-none" w:eastAsia="cs-CZ"/>
    </w:rPr>
  </w:style>
  <w:style w:type="character" w:customStyle="1" w:styleId="PredmetkomentraChar1105">
    <w:name w:val="Predmet komentára Char1105"/>
    <w:aliases w:val="Char6 Char Char1106,Comment Subject Char Char Char1106,Predmet komentára Char Char Char1106"/>
    <w:uiPriority w:val="99"/>
    <w:semiHidden/>
    <w:rPr>
      <w:rFonts w:ascii="Courier" w:hAnsi="Courier" w:cs="Courier"/>
      <w:b/>
      <w:lang w:val="x-none" w:eastAsia="cs-CZ"/>
    </w:rPr>
  </w:style>
  <w:style w:type="character" w:customStyle="1" w:styleId="PredmetkomentraChar1104">
    <w:name w:val="Predmet komentára Char1104"/>
    <w:aliases w:val="Char6 Char Char1105,Comment Subject Char Char Char1105,Predmet komentára Char Char Char1105"/>
    <w:uiPriority w:val="99"/>
    <w:semiHidden/>
    <w:rPr>
      <w:rFonts w:ascii="Courier" w:hAnsi="Courier" w:cs="Courier"/>
      <w:b/>
      <w:lang w:val="x-none" w:eastAsia="cs-CZ"/>
    </w:rPr>
  </w:style>
  <w:style w:type="character" w:customStyle="1" w:styleId="PredmetkomentraChar1103">
    <w:name w:val="Predmet komentára Char1103"/>
    <w:aliases w:val="Char6 Char Char1104,Comment Subject Char Char Char1104,Predmet komentára Char Char Char1104"/>
    <w:uiPriority w:val="99"/>
    <w:semiHidden/>
    <w:rPr>
      <w:rFonts w:ascii="Courier" w:hAnsi="Courier" w:cs="Courier"/>
      <w:b/>
      <w:lang w:val="x-none" w:eastAsia="cs-CZ"/>
    </w:rPr>
  </w:style>
  <w:style w:type="character" w:customStyle="1" w:styleId="PredmetkomentraChar1102">
    <w:name w:val="Predmet komentára Char1102"/>
    <w:aliases w:val="Char6 Char Char1103,Comment Subject Char Char Char1103,Predmet komentára Char Char Char1103"/>
    <w:uiPriority w:val="99"/>
    <w:semiHidden/>
    <w:rPr>
      <w:rFonts w:ascii="Courier" w:hAnsi="Courier" w:cs="Courier"/>
      <w:b/>
      <w:lang w:val="x-none" w:eastAsia="cs-CZ"/>
    </w:rPr>
  </w:style>
  <w:style w:type="character" w:customStyle="1" w:styleId="PredmetkomentraChar1101">
    <w:name w:val="Predmet komentára Char1101"/>
    <w:aliases w:val="Char6 Char Char1102,Comment Subject Char Char Char1102,Predmet komentára Char Char Char1102"/>
    <w:uiPriority w:val="99"/>
    <w:semiHidden/>
    <w:rPr>
      <w:rFonts w:ascii="Courier" w:hAnsi="Courier" w:cs="Courier"/>
      <w:b/>
      <w:lang w:val="x-none" w:eastAsia="cs-CZ"/>
    </w:rPr>
  </w:style>
  <w:style w:type="character" w:customStyle="1" w:styleId="PredmetkomentraChar1100">
    <w:name w:val="Predmet komentára Char1100"/>
    <w:aliases w:val="Char6 Char Char1101,Comment Subject Char Char Char1101,Predmet komentára Char Char Char1101"/>
    <w:uiPriority w:val="99"/>
    <w:semiHidden/>
    <w:rPr>
      <w:rFonts w:ascii="Courier" w:hAnsi="Courier" w:cs="Courier"/>
      <w:b/>
      <w:lang w:val="x-none" w:eastAsia="cs-CZ"/>
    </w:rPr>
  </w:style>
  <w:style w:type="character" w:customStyle="1" w:styleId="PredmetkomentraChar199">
    <w:name w:val="Predmet komentára Char199"/>
    <w:aliases w:val="Char6 Char Char1100,Comment Subject Char Char Char1100,Predmet komentára Char Char Char1100"/>
    <w:uiPriority w:val="99"/>
    <w:semiHidden/>
    <w:rPr>
      <w:rFonts w:ascii="Courier" w:hAnsi="Courier" w:cs="Courier"/>
      <w:b/>
      <w:lang w:val="x-none" w:eastAsia="cs-CZ"/>
    </w:rPr>
  </w:style>
  <w:style w:type="character" w:customStyle="1" w:styleId="PredmetkomentraChar198">
    <w:name w:val="Predmet komentára Char198"/>
    <w:aliases w:val="Char6 Char Char199,Comment Subject Char Char Char199,Predmet komentára Char Char Char199"/>
    <w:uiPriority w:val="99"/>
    <w:semiHidden/>
    <w:rPr>
      <w:rFonts w:ascii="Courier" w:hAnsi="Courier" w:cs="Courier"/>
      <w:b/>
      <w:lang w:val="x-none" w:eastAsia="cs-CZ"/>
    </w:rPr>
  </w:style>
  <w:style w:type="character" w:customStyle="1" w:styleId="PredmetkomentraChar197">
    <w:name w:val="Predmet komentára Char197"/>
    <w:aliases w:val="Char6 Char Char198,Comment Subject Char Char Char198,Predmet komentára Char Char Char198"/>
    <w:uiPriority w:val="99"/>
    <w:semiHidden/>
    <w:rPr>
      <w:rFonts w:ascii="Courier" w:hAnsi="Courier" w:cs="Courier"/>
      <w:b/>
      <w:lang w:val="x-none" w:eastAsia="cs-CZ"/>
    </w:rPr>
  </w:style>
  <w:style w:type="character" w:customStyle="1" w:styleId="PredmetkomentraChar196">
    <w:name w:val="Predmet komentára Char196"/>
    <w:aliases w:val="Char6 Char Char197,Comment Subject Char Char Char197,Predmet komentára Char Char Char197"/>
    <w:uiPriority w:val="99"/>
    <w:semiHidden/>
    <w:rPr>
      <w:rFonts w:ascii="Courier" w:hAnsi="Courier" w:cs="Courier"/>
      <w:b/>
      <w:lang w:val="x-none" w:eastAsia="cs-CZ"/>
    </w:rPr>
  </w:style>
  <w:style w:type="character" w:customStyle="1" w:styleId="PredmetkomentraChar195">
    <w:name w:val="Predmet komentára Char195"/>
    <w:aliases w:val="Char6 Char Char196,Comment Subject Char Char Char196,Predmet komentára Char Char Char196"/>
    <w:uiPriority w:val="99"/>
    <w:semiHidden/>
    <w:rPr>
      <w:rFonts w:ascii="Courier" w:hAnsi="Courier" w:cs="Courier"/>
      <w:b/>
      <w:lang w:val="x-none" w:eastAsia="cs-CZ"/>
    </w:rPr>
  </w:style>
  <w:style w:type="character" w:customStyle="1" w:styleId="PredmetkomentraChar194">
    <w:name w:val="Predmet komentára Char194"/>
    <w:aliases w:val="Char6 Char Char195,Comment Subject Char Char Char195,Predmet komentára Char Char Char195"/>
    <w:uiPriority w:val="99"/>
    <w:semiHidden/>
    <w:rPr>
      <w:rFonts w:ascii="Courier" w:hAnsi="Courier" w:cs="Courier"/>
      <w:b/>
      <w:lang w:val="x-none" w:eastAsia="cs-CZ"/>
    </w:rPr>
  </w:style>
  <w:style w:type="character" w:customStyle="1" w:styleId="PredmetkomentraChar193">
    <w:name w:val="Predmet komentára Char193"/>
    <w:aliases w:val="Char6 Char Char194,Comment Subject Char Char Char194,Predmet komentára Char Char Char194"/>
    <w:uiPriority w:val="99"/>
    <w:semiHidden/>
    <w:rPr>
      <w:rFonts w:ascii="Courier" w:hAnsi="Courier" w:cs="Courier"/>
      <w:b/>
      <w:lang w:val="x-none" w:eastAsia="cs-CZ"/>
    </w:rPr>
  </w:style>
  <w:style w:type="character" w:customStyle="1" w:styleId="PredmetkomentraChar192">
    <w:name w:val="Predmet komentára Char192"/>
    <w:aliases w:val="Char6 Char Char193,Comment Subject Char Char Char193,Predmet komentára Char Char Char193"/>
    <w:uiPriority w:val="99"/>
    <w:semiHidden/>
    <w:rPr>
      <w:rFonts w:ascii="Courier" w:hAnsi="Courier" w:cs="Courier"/>
      <w:b/>
      <w:lang w:val="x-none" w:eastAsia="cs-CZ"/>
    </w:rPr>
  </w:style>
  <w:style w:type="character" w:customStyle="1" w:styleId="PredmetkomentraChar191">
    <w:name w:val="Predmet komentára Char191"/>
    <w:aliases w:val="Char6 Char Char192,Comment Subject Char Char Char192,Predmet komentára Char Char Char192"/>
    <w:uiPriority w:val="99"/>
    <w:semiHidden/>
    <w:rPr>
      <w:rFonts w:ascii="Courier" w:hAnsi="Courier" w:cs="Courier"/>
      <w:b/>
      <w:lang w:val="x-none" w:eastAsia="cs-CZ"/>
    </w:rPr>
  </w:style>
  <w:style w:type="character" w:customStyle="1" w:styleId="PredmetkomentraChar190">
    <w:name w:val="Predmet komentára Char190"/>
    <w:aliases w:val="Char6 Char Char191,Comment Subject Char Char Char191,Predmet komentára Char Char Char191"/>
    <w:uiPriority w:val="99"/>
    <w:semiHidden/>
    <w:rPr>
      <w:rFonts w:ascii="Courier" w:hAnsi="Courier" w:cs="Courier"/>
      <w:b/>
      <w:lang w:val="x-none" w:eastAsia="cs-CZ"/>
    </w:rPr>
  </w:style>
  <w:style w:type="character" w:customStyle="1" w:styleId="PredmetkomentraChar189">
    <w:name w:val="Predmet komentára Char189"/>
    <w:aliases w:val="Char6 Char Char190,Comment Subject Char Char Char190,Predmet komentára Char Char Char190"/>
    <w:uiPriority w:val="99"/>
    <w:semiHidden/>
    <w:rPr>
      <w:rFonts w:ascii="Courier" w:hAnsi="Courier" w:cs="Courier"/>
      <w:b/>
      <w:lang w:val="x-none" w:eastAsia="cs-CZ"/>
    </w:rPr>
  </w:style>
  <w:style w:type="character" w:customStyle="1" w:styleId="PredmetkomentraChar188">
    <w:name w:val="Predmet komentára Char188"/>
    <w:aliases w:val="Char6 Char Char189,Comment Subject Char Char Char189,Predmet komentára Char Char Char189"/>
    <w:uiPriority w:val="99"/>
    <w:semiHidden/>
    <w:rPr>
      <w:rFonts w:ascii="Courier" w:hAnsi="Courier" w:cs="Courier"/>
      <w:b/>
      <w:lang w:val="x-none" w:eastAsia="cs-CZ"/>
    </w:rPr>
  </w:style>
  <w:style w:type="character" w:customStyle="1" w:styleId="PredmetkomentraChar187">
    <w:name w:val="Predmet komentára Char187"/>
    <w:aliases w:val="Char6 Char Char188,Comment Subject Char Char Char188,Predmet komentára Char Char Char188"/>
    <w:uiPriority w:val="99"/>
    <w:semiHidden/>
    <w:rPr>
      <w:rFonts w:ascii="Courier" w:hAnsi="Courier" w:cs="Courier"/>
      <w:b/>
      <w:lang w:val="x-none" w:eastAsia="cs-CZ"/>
    </w:rPr>
  </w:style>
  <w:style w:type="character" w:customStyle="1" w:styleId="PredmetkomentraChar186">
    <w:name w:val="Predmet komentára Char186"/>
    <w:aliases w:val="Char6 Char Char187,Comment Subject Char Char Char187,Predmet komentára Char Char Char187"/>
    <w:uiPriority w:val="99"/>
    <w:semiHidden/>
    <w:rPr>
      <w:rFonts w:ascii="Courier" w:hAnsi="Courier" w:cs="Courier"/>
      <w:b/>
      <w:lang w:val="x-none" w:eastAsia="cs-CZ"/>
    </w:rPr>
  </w:style>
  <w:style w:type="character" w:customStyle="1" w:styleId="PredmetkomentraChar185">
    <w:name w:val="Predmet komentára Char185"/>
    <w:aliases w:val="Char6 Char Char186,Comment Subject Char Char Char186,Predmet komentára Char Char Char186"/>
    <w:uiPriority w:val="99"/>
    <w:semiHidden/>
    <w:rPr>
      <w:rFonts w:ascii="Courier" w:hAnsi="Courier" w:cs="Courier"/>
      <w:b/>
      <w:lang w:val="x-none" w:eastAsia="cs-CZ"/>
    </w:rPr>
  </w:style>
  <w:style w:type="character" w:customStyle="1" w:styleId="PredmetkomentraChar184">
    <w:name w:val="Predmet komentára Char184"/>
    <w:aliases w:val="Char6 Char Char185,Comment Subject Char Char Char185,Predmet komentára Char Char Char185"/>
    <w:uiPriority w:val="99"/>
    <w:semiHidden/>
    <w:rPr>
      <w:rFonts w:ascii="Courier" w:hAnsi="Courier" w:cs="Courier"/>
      <w:b/>
      <w:lang w:val="x-none" w:eastAsia="cs-CZ"/>
    </w:rPr>
  </w:style>
  <w:style w:type="character" w:customStyle="1" w:styleId="PredmetkomentraChar183">
    <w:name w:val="Predmet komentára Char183"/>
    <w:aliases w:val="Char6 Char Char184,Comment Subject Char Char Char184,Predmet komentára Char Char Char184"/>
    <w:uiPriority w:val="99"/>
    <w:semiHidden/>
    <w:rPr>
      <w:rFonts w:ascii="Courier" w:hAnsi="Courier" w:cs="Courier"/>
      <w:b/>
      <w:lang w:val="x-none" w:eastAsia="cs-CZ"/>
    </w:rPr>
  </w:style>
  <w:style w:type="character" w:customStyle="1" w:styleId="PredmetkomentraChar182">
    <w:name w:val="Predmet komentára Char182"/>
    <w:aliases w:val="Char6 Char Char183,Comment Subject Char Char Char183,Predmet komentára Char Char Char183"/>
    <w:uiPriority w:val="99"/>
    <w:semiHidden/>
    <w:rPr>
      <w:rFonts w:ascii="Courier" w:hAnsi="Courier" w:cs="Courier"/>
      <w:b/>
      <w:lang w:val="x-none" w:eastAsia="cs-CZ"/>
    </w:rPr>
  </w:style>
  <w:style w:type="character" w:customStyle="1" w:styleId="PredmetkomentraChar181">
    <w:name w:val="Predmet komentára Char181"/>
    <w:aliases w:val="Char6 Char Char182,Comment Subject Char Char Char182,Predmet komentára Char Char Char182"/>
    <w:uiPriority w:val="99"/>
    <w:semiHidden/>
    <w:rPr>
      <w:rFonts w:ascii="Courier" w:hAnsi="Courier" w:cs="Courier"/>
      <w:b/>
      <w:lang w:val="x-none" w:eastAsia="cs-CZ"/>
    </w:rPr>
  </w:style>
  <w:style w:type="character" w:customStyle="1" w:styleId="PredmetkomentraChar180">
    <w:name w:val="Predmet komentára Char180"/>
    <w:aliases w:val="Char6 Char Char181,Comment Subject Char Char Char181,Predmet komentára Char Char Char181"/>
    <w:uiPriority w:val="99"/>
    <w:semiHidden/>
    <w:rPr>
      <w:rFonts w:ascii="Courier" w:hAnsi="Courier" w:cs="Courier"/>
      <w:b/>
      <w:lang w:val="x-none" w:eastAsia="cs-CZ"/>
    </w:rPr>
  </w:style>
  <w:style w:type="character" w:customStyle="1" w:styleId="PredmetkomentraChar179">
    <w:name w:val="Predmet komentára Char179"/>
    <w:aliases w:val="Char6 Char Char180,Comment Subject Char Char Char180,Predmet komentára Char Char Char180"/>
    <w:uiPriority w:val="99"/>
    <w:semiHidden/>
    <w:rPr>
      <w:rFonts w:ascii="Courier" w:hAnsi="Courier" w:cs="Courier"/>
      <w:b/>
      <w:lang w:val="x-none" w:eastAsia="cs-CZ"/>
    </w:rPr>
  </w:style>
  <w:style w:type="character" w:customStyle="1" w:styleId="PredmetkomentraChar178">
    <w:name w:val="Predmet komentára Char178"/>
    <w:aliases w:val="Char6 Char Char179,Comment Subject Char Char Char179,Predmet komentára Char Char Char179"/>
    <w:uiPriority w:val="99"/>
    <w:semiHidden/>
    <w:rPr>
      <w:rFonts w:ascii="Courier" w:hAnsi="Courier" w:cs="Courier"/>
      <w:b/>
      <w:lang w:val="x-none" w:eastAsia="cs-CZ"/>
    </w:rPr>
  </w:style>
  <w:style w:type="character" w:customStyle="1" w:styleId="PredmetkomentraChar177">
    <w:name w:val="Predmet komentára Char177"/>
    <w:aliases w:val="Char6 Char Char178,Comment Subject Char Char Char178,Predmet komentára Char Char Char178"/>
    <w:uiPriority w:val="99"/>
    <w:semiHidden/>
    <w:rPr>
      <w:rFonts w:ascii="Courier" w:hAnsi="Courier" w:cs="Courier"/>
      <w:b/>
      <w:lang w:val="x-none" w:eastAsia="cs-CZ"/>
    </w:rPr>
  </w:style>
  <w:style w:type="character" w:customStyle="1" w:styleId="PredmetkomentraChar176">
    <w:name w:val="Predmet komentára Char176"/>
    <w:aliases w:val="Char6 Char Char177,Comment Subject Char Char Char177,Predmet komentára Char Char Char177"/>
    <w:uiPriority w:val="99"/>
    <w:semiHidden/>
    <w:rPr>
      <w:rFonts w:ascii="Courier" w:hAnsi="Courier" w:cs="Courier"/>
      <w:b/>
      <w:lang w:val="x-none" w:eastAsia="cs-CZ"/>
    </w:rPr>
  </w:style>
  <w:style w:type="character" w:customStyle="1" w:styleId="PredmetkomentraChar175">
    <w:name w:val="Predmet komentára Char175"/>
    <w:aliases w:val="Char6 Char Char176,Comment Subject Char Char Char176,Predmet komentára Char Char Char176"/>
    <w:uiPriority w:val="99"/>
    <w:semiHidden/>
    <w:rPr>
      <w:rFonts w:ascii="Courier" w:hAnsi="Courier" w:cs="Courier"/>
      <w:b/>
      <w:lang w:val="x-none" w:eastAsia="cs-CZ"/>
    </w:rPr>
  </w:style>
  <w:style w:type="character" w:customStyle="1" w:styleId="PredmetkomentraChar174">
    <w:name w:val="Predmet komentára Char174"/>
    <w:aliases w:val="Char6 Char Char175,Comment Subject Char Char Char175,Predmet komentára Char Char Char175"/>
    <w:uiPriority w:val="99"/>
    <w:semiHidden/>
    <w:rPr>
      <w:rFonts w:ascii="Courier" w:hAnsi="Courier" w:cs="Courier"/>
      <w:b/>
      <w:lang w:val="x-none" w:eastAsia="cs-CZ"/>
    </w:rPr>
  </w:style>
  <w:style w:type="character" w:customStyle="1" w:styleId="PredmetkomentraChar173">
    <w:name w:val="Predmet komentára Char173"/>
    <w:aliases w:val="Char6 Char Char174,Comment Subject Char Char Char174,Predmet komentára Char Char Char174"/>
    <w:uiPriority w:val="99"/>
    <w:semiHidden/>
    <w:rPr>
      <w:rFonts w:ascii="Courier" w:hAnsi="Courier" w:cs="Courier"/>
      <w:b/>
      <w:lang w:val="x-none" w:eastAsia="cs-CZ"/>
    </w:rPr>
  </w:style>
  <w:style w:type="character" w:customStyle="1" w:styleId="PredmetkomentraChar172">
    <w:name w:val="Predmet komentára Char172"/>
    <w:aliases w:val="Char6 Char Char173,Comment Subject Char Char Char173,Predmet komentára Char Char Char173"/>
    <w:uiPriority w:val="99"/>
    <w:semiHidden/>
    <w:rPr>
      <w:rFonts w:ascii="Courier" w:hAnsi="Courier" w:cs="Courier"/>
      <w:b/>
      <w:lang w:val="x-none" w:eastAsia="cs-CZ"/>
    </w:rPr>
  </w:style>
  <w:style w:type="character" w:customStyle="1" w:styleId="PredmetkomentraChar171">
    <w:name w:val="Predmet komentára Char171"/>
    <w:aliases w:val="Char6 Char Char172,Comment Subject Char Char Char172,Predmet komentára Char Char Char172"/>
    <w:uiPriority w:val="99"/>
    <w:semiHidden/>
    <w:rPr>
      <w:rFonts w:ascii="Courier" w:hAnsi="Courier" w:cs="Courier"/>
      <w:b/>
      <w:lang w:val="x-none" w:eastAsia="cs-CZ"/>
    </w:rPr>
  </w:style>
  <w:style w:type="character" w:customStyle="1" w:styleId="PredmetkomentraChar170">
    <w:name w:val="Predmet komentára Char170"/>
    <w:aliases w:val="Char6 Char Char171,Comment Subject Char Char Char171,Predmet komentára Char Char Char171"/>
    <w:uiPriority w:val="99"/>
    <w:semiHidden/>
    <w:rPr>
      <w:rFonts w:ascii="Courier" w:hAnsi="Courier" w:cs="Courier"/>
      <w:b/>
      <w:lang w:val="x-none" w:eastAsia="cs-CZ"/>
    </w:rPr>
  </w:style>
  <w:style w:type="character" w:customStyle="1" w:styleId="PredmetkomentraChar169">
    <w:name w:val="Predmet komentára Char169"/>
    <w:aliases w:val="Char6 Char Char170,Comment Subject Char Char Char170,Predmet komentára Char Char Char170"/>
    <w:uiPriority w:val="99"/>
    <w:semiHidden/>
    <w:rPr>
      <w:rFonts w:ascii="Courier" w:hAnsi="Courier" w:cs="Courier"/>
      <w:b/>
      <w:lang w:val="x-none" w:eastAsia="cs-CZ"/>
    </w:rPr>
  </w:style>
  <w:style w:type="character" w:customStyle="1" w:styleId="PredmetkomentraChar168">
    <w:name w:val="Predmet komentára Char168"/>
    <w:aliases w:val="Char6 Char Char169,Comment Subject Char Char Char169,Predmet komentára Char Char Char169"/>
    <w:uiPriority w:val="99"/>
    <w:semiHidden/>
    <w:rPr>
      <w:rFonts w:ascii="Courier" w:hAnsi="Courier" w:cs="Courier"/>
      <w:b/>
      <w:lang w:val="x-none" w:eastAsia="cs-CZ"/>
    </w:rPr>
  </w:style>
  <w:style w:type="character" w:customStyle="1" w:styleId="PredmetkomentraChar167">
    <w:name w:val="Predmet komentára Char167"/>
    <w:aliases w:val="Char6 Char Char168,Comment Subject Char Char Char168,Predmet komentára Char Char Char168"/>
    <w:uiPriority w:val="99"/>
    <w:semiHidden/>
    <w:rPr>
      <w:rFonts w:ascii="Courier" w:hAnsi="Courier" w:cs="Courier"/>
      <w:b/>
      <w:lang w:val="x-none" w:eastAsia="cs-CZ"/>
    </w:rPr>
  </w:style>
  <w:style w:type="character" w:customStyle="1" w:styleId="PredmetkomentraChar166">
    <w:name w:val="Predmet komentára Char166"/>
    <w:aliases w:val="Char6 Char Char167,Comment Subject Char Char Char167,Predmet komentára Char Char Char167"/>
    <w:uiPriority w:val="99"/>
    <w:semiHidden/>
    <w:rPr>
      <w:rFonts w:ascii="Courier" w:hAnsi="Courier" w:cs="Courier"/>
      <w:b/>
      <w:lang w:val="x-none" w:eastAsia="cs-CZ"/>
    </w:rPr>
  </w:style>
  <w:style w:type="character" w:customStyle="1" w:styleId="PredmetkomentraChar165">
    <w:name w:val="Predmet komentára Char165"/>
    <w:aliases w:val="Char6 Char Char166,Comment Subject Char Char Char166,Predmet komentára Char Char Char166"/>
    <w:uiPriority w:val="99"/>
    <w:semiHidden/>
    <w:rPr>
      <w:rFonts w:ascii="Courier" w:hAnsi="Courier" w:cs="Courier"/>
      <w:b/>
      <w:lang w:val="x-none" w:eastAsia="cs-CZ"/>
    </w:rPr>
  </w:style>
  <w:style w:type="character" w:customStyle="1" w:styleId="PredmetkomentraChar164">
    <w:name w:val="Predmet komentára Char164"/>
    <w:aliases w:val="Char6 Char Char165,Comment Subject Char Char Char165,Predmet komentára Char Char Char165"/>
    <w:uiPriority w:val="99"/>
    <w:semiHidden/>
    <w:rPr>
      <w:rFonts w:ascii="Courier" w:hAnsi="Courier" w:cs="Courier"/>
      <w:b/>
      <w:lang w:val="x-none" w:eastAsia="cs-CZ"/>
    </w:rPr>
  </w:style>
  <w:style w:type="character" w:customStyle="1" w:styleId="PredmetkomentraChar163">
    <w:name w:val="Predmet komentára Char163"/>
    <w:aliases w:val="Char6 Char Char164,Comment Subject Char Char Char164,Predmet komentára Char Char Char164"/>
    <w:uiPriority w:val="99"/>
    <w:semiHidden/>
    <w:rPr>
      <w:rFonts w:ascii="Courier" w:hAnsi="Courier" w:cs="Courier"/>
      <w:b/>
      <w:lang w:val="x-none" w:eastAsia="cs-CZ"/>
    </w:rPr>
  </w:style>
  <w:style w:type="character" w:customStyle="1" w:styleId="PredmetkomentraChar162">
    <w:name w:val="Predmet komentára Char162"/>
    <w:aliases w:val="Char6 Char Char163,Comment Subject Char Char Char163,Predmet komentára Char Char Char163"/>
    <w:uiPriority w:val="99"/>
    <w:semiHidden/>
    <w:rPr>
      <w:rFonts w:ascii="Courier" w:hAnsi="Courier" w:cs="Courier"/>
      <w:b/>
      <w:lang w:val="x-none" w:eastAsia="cs-CZ"/>
    </w:rPr>
  </w:style>
  <w:style w:type="character" w:customStyle="1" w:styleId="PredmetkomentraChar161">
    <w:name w:val="Predmet komentára Char161"/>
    <w:aliases w:val="Char6 Char Char162,Comment Subject Char Char Char162,Predmet komentára Char Char Char162"/>
    <w:uiPriority w:val="99"/>
    <w:semiHidden/>
    <w:rPr>
      <w:rFonts w:ascii="Courier" w:hAnsi="Courier" w:cs="Courier"/>
      <w:b/>
      <w:lang w:val="x-none" w:eastAsia="cs-CZ"/>
    </w:rPr>
  </w:style>
  <w:style w:type="character" w:customStyle="1" w:styleId="PredmetkomentraChar160">
    <w:name w:val="Predmet komentára Char160"/>
    <w:aliases w:val="Char6 Char Char161,Comment Subject Char Char Char161,Predmet komentára Char Char Char161"/>
    <w:uiPriority w:val="99"/>
    <w:semiHidden/>
    <w:rPr>
      <w:rFonts w:ascii="Courier" w:hAnsi="Courier" w:cs="Courier"/>
      <w:b/>
      <w:lang w:val="x-none" w:eastAsia="cs-CZ"/>
    </w:rPr>
  </w:style>
  <w:style w:type="character" w:customStyle="1" w:styleId="PredmetkomentraChar159">
    <w:name w:val="Predmet komentára Char159"/>
    <w:aliases w:val="Char6 Char Char160,Comment Subject Char Char Char160,Predmet komentára Char Char Char160"/>
    <w:uiPriority w:val="99"/>
    <w:semiHidden/>
    <w:rPr>
      <w:rFonts w:ascii="Courier" w:hAnsi="Courier" w:cs="Courier"/>
      <w:b/>
      <w:lang w:val="x-none" w:eastAsia="cs-CZ"/>
    </w:rPr>
  </w:style>
  <w:style w:type="character" w:customStyle="1" w:styleId="PredmetkomentraChar158">
    <w:name w:val="Predmet komentára Char158"/>
    <w:aliases w:val="Char6 Char Char159,Comment Subject Char Char Char159,Predmet komentára Char Char Char159"/>
    <w:uiPriority w:val="99"/>
    <w:semiHidden/>
    <w:rPr>
      <w:rFonts w:ascii="Courier" w:hAnsi="Courier" w:cs="Courier"/>
      <w:b/>
      <w:lang w:val="x-none" w:eastAsia="cs-CZ"/>
    </w:rPr>
  </w:style>
  <w:style w:type="character" w:customStyle="1" w:styleId="PredmetkomentraChar157">
    <w:name w:val="Predmet komentára Char157"/>
    <w:aliases w:val="Char6 Char Char158,Comment Subject Char Char Char158,Predmet komentára Char Char Char158"/>
    <w:uiPriority w:val="99"/>
    <w:semiHidden/>
    <w:rPr>
      <w:rFonts w:ascii="Courier" w:hAnsi="Courier" w:cs="Courier"/>
      <w:b/>
      <w:lang w:val="x-none" w:eastAsia="cs-CZ"/>
    </w:rPr>
  </w:style>
  <w:style w:type="character" w:customStyle="1" w:styleId="PredmetkomentraChar156">
    <w:name w:val="Predmet komentára Char156"/>
    <w:aliases w:val="Char6 Char Char157,Comment Subject Char Char Char157,Predmet komentára Char Char Char157"/>
    <w:uiPriority w:val="99"/>
    <w:semiHidden/>
    <w:rPr>
      <w:rFonts w:ascii="Courier" w:hAnsi="Courier" w:cs="Courier"/>
      <w:b/>
      <w:lang w:val="x-none" w:eastAsia="cs-CZ"/>
    </w:rPr>
  </w:style>
  <w:style w:type="character" w:customStyle="1" w:styleId="PredmetkomentraChar155">
    <w:name w:val="Predmet komentára Char155"/>
    <w:aliases w:val="Char6 Char Char156,Comment Subject Char Char Char156,Predmet komentára Char Char Char156"/>
    <w:uiPriority w:val="99"/>
    <w:semiHidden/>
    <w:rPr>
      <w:rFonts w:ascii="Courier" w:hAnsi="Courier" w:cs="Courier"/>
      <w:b/>
      <w:lang w:val="x-none" w:eastAsia="cs-CZ"/>
    </w:rPr>
  </w:style>
  <w:style w:type="character" w:customStyle="1" w:styleId="PredmetkomentraChar154">
    <w:name w:val="Predmet komentára Char154"/>
    <w:aliases w:val="Char6 Char Char155,Comment Subject Char Char Char155,Predmet komentára Char Char Char155"/>
    <w:uiPriority w:val="99"/>
    <w:semiHidden/>
    <w:rPr>
      <w:rFonts w:ascii="Courier" w:hAnsi="Courier" w:cs="Courier"/>
      <w:b/>
      <w:lang w:val="x-none" w:eastAsia="cs-CZ"/>
    </w:rPr>
  </w:style>
  <w:style w:type="character" w:customStyle="1" w:styleId="PredmetkomentraChar153">
    <w:name w:val="Predmet komentára Char153"/>
    <w:aliases w:val="Char6 Char Char154,Comment Subject Char Char Char154,Predmet komentára Char Char Char154"/>
    <w:uiPriority w:val="99"/>
    <w:semiHidden/>
    <w:rPr>
      <w:rFonts w:ascii="Courier" w:hAnsi="Courier" w:cs="Courier"/>
      <w:b/>
      <w:lang w:val="x-none" w:eastAsia="cs-CZ"/>
    </w:rPr>
  </w:style>
  <w:style w:type="character" w:customStyle="1" w:styleId="PredmetkomentraChar152">
    <w:name w:val="Predmet komentára Char152"/>
    <w:aliases w:val="Char6 Char Char153,Comment Subject Char Char Char153,Predmet komentára Char Char Char153"/>
    <w:uiPriority w:val="99"/>
    <w:semiHidden/>
    <w:rPr>
      <w:rFonts w:ascii="Courier" w:hAnsi="Courier" w:cs="Courier"/>
      <w:b/>
      <w:lang w:val="x-none" w:eastAsia="cs-CZ"/>
    </w:rPr>
  </w:style>
  <w:style w:type="character" w:customStyle="1" w:styleId="PredmetkomentraChar151">
    <w:name w:val="Predmet komentára Char151"/>
    <w:aliases w:val="Char6 Char Char152,Comment Subject Char Char Char152,Predmet komentára Char Char Char152"/>
    <w:uiPriority w:val="99"/>
    <w:semiHidden/>
    <w:rPr>
      <w:rFonts w:ascii="Courier" w:hAnsi="Courier" w:cs="Courier"/>
      <w:b/>
      <w:lang w:val="x-none" w:eastAsia="cs-CZ"/>
    </w:rPr>
  </w:style>
  <w:style w:type="character" w:customStyle="1" w:styleId="PredmetkomentraChar150">
    <w:name w:val="Predmet komentára Char150"/>
    <w:aliases w:val="Char6 Char Char151,Comment Subject Char Char Char151,Predmet komentára Char Char Char151"/>
    <w:uiPriority w:val="99"/>
    <w:semiHidden/>
    <w:rPr>
      <w:rFonts w:ascii="Courier" w:hAnsi="Courier" w:cs="Courier"/>
      <w:b/>
      <w:lang w:val="x-none" w:eastAsia="cs-CZ"/>
    </w:rPr>
  </w:style>
  <w:style w:type="character" w:customStyle="1" w:styleId="PredmetkomentraChar149">
    <w:name w:val="Predmet komentára Char149"/>
    <w:aliases w:val="Char6 Char Char150,Comment Subject Char Char Char150,Predmet komentára Char Char Char150"/>
    <w:uiPriority w:val="99"/>
    <w:semiHidden/>
    <w:rPr>
      <w:rFonts w:ascii="Courier" w:hAnsi="Courier" w:cs="Courier"/>
      <w:b/>
      <w:lang w:val="x-none" w:eastAsia="cs-CZ"/>
    </w:rPr>
  </w:style>
  <w:style w:type="character" w:customStyle="1" w:styleId="PredmetkomentraChar148">
    <w:name w:val="Predmet komentára Char148"/>
    <w:aliases w:val="Char6 Char Char149,Comment Subject Char Char Char149,Predmet komentára Char Char Char149"/>
    <w:uiPriority w:val="99"/>
    <w:semiHidden/>
    <w:rPr>
      <w:rFonts w:ascii="Courier" w:hAnsi="Courier" w:cs="Courier"/>
      <w:b/>
      <w:lang w:val="x-none" w:eastAsia="cs-CZ"/>
    </w:rPr>
  </w:style>
  <w:style w:type="character" w:customStyle="1" w:styleId="PredmetkomentraChar147">
    <w:name w:val="Predmet komentára Char147"/>
    <w:aliases w:val="Char6 Char Char148,Comment Subject Char Char Char148,Predmet komentára Char Char Char148"/>
    <w:uiPriority w:val="99"/>
    <w:semiHidden/>
    <w:rPr>
      <w:rFonts w:ascii="Courier" w:hAnsi="Courier" w:cs="Courier"/>
      <w:b/>
      <w:lang w:val="x-none" w:eastAsia="cs-CZ"/>
    </w:rPr>
  </w:style>
  <w:style w:type="character" w:customStyle="1" w:styleId="PredmetkomentraChar146">
    <w:name w:val="Predmet komentára Char146"/>
    <w:aliases w:val="Char6 Char Char147,Comment Subject Char Char Char147,Predmet komentára Char Char Char147"/>
    <w:uiPriority w:val="99"/>
    <w:semiHidden/>
    <w:rPr>
      <w:rFonts w:ascii="Courier" w:hAnsi="Courier" w:cs="Courier"/>
      <w:b/>
      <w:lang w:val="x-none" w:eastAsia="cs-CZ"/>
    </w:rPr>
  </w:style>
  <w:style w:type="character" w:customStyle="1" w:styleId="PredmetkomentraChar145">
    <w:name w:val="Predmet komentára Char145"/>
    <w:aliases w:val="Char6 Char Char146,Comment Subject Char Char Char146,Predmet komentára Char Char Char146"/>
    <w:uiPriority w:val="99"/>
    <w:semiHidden/>
    <w:rPr>
      <w:rFonts w:ascii="Courier" w:hAnsi="Courier" w:cs="Courier"/>
      <w:b/>
      <w:lang w:val="x-none" w:eastAsia="cs-CZ"/>
    </w:rPr>
  </w:style>
  <w:style w:type="character" w:customStyle="1" w:styleId="PredmetkomentraChar144">
    <w:name w:val="Predmet komentára Char144"/>
    <w:aliases w:val="Char6 Char Char145,Comment Subject Char Char Char145,Predmet komentára Char Char Char145"/>
    <w:uiPriority w:val="99"/>
    <w:semiHidden/>
    <w:rPr>
      <w:rFonts w:ascii="Courier" w:hAnsi="Courier" w:cs="Courier"/>
      <w:b/>
      <w:lang w:val="x-none" w:eastAsia="cs-CZ"/>
    </w:rPr>
  </w:style>
  <w:style w:type="character" w:customStyle="1" w:styleId="PredmetkomentraChar143">
    <w:name w:val="Predmet komentára Char143"/>
    <w:aliases w:val="Char6 Char Char144,Comment Subject Char Char Char144,Predmet komentára Char Char Char144"/>
    <w:uiPriority w:val="99"/>
    <w:semiHidden/>
    <w:rPr>
      <w:rFonts w:ascii="Courier" w:hAnsi="Courier" w:cs="Courier"/>
      <w:b/>
      <w:lang w:val="x-none" w:eastAsia="cs-CZ"/>
    </w:rPr>
  </w:style>
  <w:style w:type="character" w:customStyle="1" w:styleId="PredmetkomentraChar142">
    <w:name w:val="Predmet komentára Char142"/>
    <w:aliases w:val="Char6 Char Char143,Comment Subject Char Char Char143,Predmet komentára Char Char Char143"/>
    <w:uiPriority w:val="99"/>
    <w:semiHidden/>
    <w:rPr>
      <w:rFonts w:ascii="Courier" w:hAnsi="Courier" w:cs="Courier"/>
      <w:b/>
      <w:lang w:val="x-none" w:eastAsia="cs-CZ"/>
    </w:rPr>
  </w:style>
  <w:style w:type="character" w:customStyle="1" w:styleId="PredmetkomentraChar141">
    <w:name w:val="Predmet komentára Char141"/>
    <w:aliases w:val="Char6 Char Char142,Comment Subject Char Char Char142,Predmet komentára Char Char Char142"/>
    <w:uiPriority w:val="99"/>
    <w:semiHidden/>
    <w:rPr>
      <w:rFonts w:ascii="Courier" w:hAnsi="Courier" w:cs="Courier"/>
      <w:b/>
      <w:lang w:val="x-none" w:eastAsia="cs-CZ"/>
    </w:rPr>
  </w:style>
  <w:style w:type="character" w:customStyle="1" w:styleId="PredmetkomentraChar140">
    <w:name w:val="Predmet komentára Char140"/>
    <w:aliases w:val="Char6 Char Char141,Comment Subject Char Char Char141,Predmet komentára Char Char Char141"/>
    <w:uiPriority w:val="99"/>
    <w:semiHidden/>
    <w:rPr>
      <w:rFonts w:ascii="Courier" w:hAnsi="Courier" w:cs="Courier"/>
      <w:b/>
      <w:lang w:val="x-none" w:eastAsia="cs-CZ"/>
    </w:rPr>
  </w:style>
  <w:style w:type="character" w:customStyle="1" w:styleId="PredmetkomentraChar139">
    <w:name w:val="Predmet komentára Char139"/>
    <w:aliases w:val="Char6 Char Char140,Comment Subject Char Char Char140,Predmet komentára Char Char Char140"/>
    <w:uiPriority w:val="99"/>
    <w:semiHidden/>
    <w:rPr>
      <w:rFonts w:ascii="Courier" w:hAnsi="Courier" w:cs="Courier"/>
      <w:b/>
      <w:lang w:val="x-none" w:eastAsia="cs-CZ"/>
    </w:rPr>
  </w:style>
  <w:style w:type="character" w:customStyle="1" w:styleId="PredmetkomentraChar138">
    <w:name w:val="Predmet komentára Char138"/>
    <w:aliases w:val="Char6 Char Char139,Comment Subject Char Char Char139,Predmet komentára Char Char Char139"/>
    <w:uiPriority w:val="99"/>
    <w:semiHidden/>
    <w:rPr>
      <w:rFonts w:ascii="Courier" w:hAnsi="Courier" w:cs="Courier"/>
      <w:b/>
      <w:lang w:val="x-none" w:eastAsia="cs-CZ"/>
    </w:rPr>
  </w:style>
  <w:style w:type="character" w:customStyle="1" w:styleId="PredmetkomentraChar137">
    <w:name w:val="Predmet komentára Char137"/>
    <w:aliases w:val="Char6 Char Char138,Comment Subject Char Char Char138,Predmet komentára Char Char Char138"/>
    <w:uiPriority w:val="99"/>
    <w:semiHidden/>
    <w:rPr>
      <w:rFonts w:ascii="Courier" w:hAnsi="Courier" w:cs="Courier"/>
      <w:b/>
      <w:lang w:val="x-none" w:eastAsia="cs-CZ"/>
    </w:rPr>
  </w:style>
  <w:style w:type="character" w:customStyle="1" w:styleId="PredmetkomentraChar136">
    <w:name w:val="Predmet komentára Char136"/>
    <w:aliases w:val="Char6 Char Char137,Comment Subject Char Char Char137,Predmet komentára Char Char Char137"/>
    <w:uiPriority w:val="99"/>
    <w:semiHidden/>
    <w:rPr>
      <w:rFonts w:ascii="Courier" w:hAnsi="Courier" w:cs="Courier"/>
      <w:b/>
      <w:lang w:val="x-none" w:eastAsia="cs-CZ"/>
    </w:rPr>
  </w:style>
  <w:style w:type="character" w:customStyle="1" w:styleId="PredmetkomentraChar135">
    <w:name w:val="Predmet komentára Char135"/>
    <w:aliases w:val="Char6 Char Char136,Comment Subject Char Char Char136,Predmet komentára Char Char Char136"/>
    <w:uiPriority w:val="99"/>
    <w:semiHidden/>
    <w:rPr>
      <w:rFonts w:ascii="Courier" w:hAnsi="Courier" w:cs="Courier"/>
      <w:b/>
      <w:lang w:val="x-none" w:eastAsia="cs-CZ"/>
    </w:rPr>
  </w:style>
  <w:style w:type="character" w:customStyle="1" w:styleId="PredmetkomentraChar134">
    <w:name w:val="Predmet komentára Char134"/>
    <w:aliases w:val="Char6 Char Char135,Comment Subject Char Char Char135,Predmet komentára Char Char Char135"/>
    <w:uiPriority w:val="99"/>
    <w:semiHidden/>
    <w:rPr>
      <w:rFonts w:ascii="Courier" w:hAnsi="Courier" w:cs="Courier"/>
      <w:b/>
      <w:lang w:val="x-none" w:eastAsia="cs-CZ"/>
    </w:rPr>
  </w:style>
  <w:style w:type="character" w:customStyle="1" w:styleId="PredmetkomentraChar133">
    <w:name w:val="Predmet komentára Char133"/>
    <w:aliases w:val="Char6 Char Char134,Comment Subject Char Char Char134,Predmet komentára Char Char Char134"/>
    <w:uiPriority w:val="99"/>
    <w:semiHidden/>
    <w:rPr>
      <w:rFonts w:ascii="Courier" w:hAnsi="Courier" w:cs="Courier"/>
      <w:b/>
      <w:lang w:val="x-none" w:eastAsia="cs-CZ"/>
    </w:rPr>
  </w:style>
  <w:style w:type="character" w:customStyle="1" w:styleId="PredmetkomentraChar132">
    <w:name w:val="Predmet komentára Char132"/>
    <w:aliases w:val="Char6 Char Char133,Comment Subject Char Char Char133,Predmet komentára Char Char Char133"/>
    <w:uiPriority w:val="99"/>
    <w:semiHidden/>
    <w:rPr>
      <w:rFonts w:ascii="Courier" w:hAnsi="Courier" w:cs="Courier"/>
      <w:b/>
      <w:lang w:val="x-none" w:eastAsia="cs-CZ"/>
    </w:rPr>
  </w:style>
  <w:style w:type="character" w:customStyle="1" w:styleId="PredmetkomentraChar131">
    <w:name w:val="Predmet komentára Char131"/>
    <w:aliases w:val="Char6 Char Char132,Comment Subject Char Char Char132,Predmet komentára Char Char Char132"/>
    <w:uiPriority w:val="99"/>
    <w:semiHidden/>
    <w:rPr>
      <w:rFonts w:ascii="Courier" w:hAnsi="Courier" w:cs="Courier"/>
      <w:b/>
      <w:lang w:val="x-none" w:eastAsia="cs-CZ"/>
    </w:rPr>
  </w:style>
  <w:style w:type="character" w:customStyle="1" w:styleId="PredmetkomentraChar130">
    <w:name w:val="Predmet komentára Char130"/>
    <w:aliases w:val="Char6 Char Char131,Comment Subject Char Char Char131,Predmet komentára Char Char Char131"/>
    <w:uiPriority w:val="99"/>
    <w:semiHidden/>
    <w:rPr>
      <w:rFonts w:ascii="Courier" w:hAnsi="Courier" w:cs="Courier"/>
      <w:b/>
      <w:lang w:val="x-none" w:eastAsia="cs-CZ"/>
    </w:rPr>
  </w:style>
  <w:style w:type="character" w:customStyle="1" w:styleId="PredmetkomentraChar129">
    <w:name w:val="Predmet komentára Char129"/>
    <w:aliases w:val="Char6 Char Char130,Comment Subject Char Char Char130,Predmet komentára Char Char Char130"/>
    <w:uiPriority w:val="99"/>
    <w:semiHidden/>
    <w:rPr>
      <w:rFonts w:ascii="Courier" w:hAnsi="Courier" w:cs="Courier"/>
      <w:b/>
      <w:lang w:val="x-none" w:eastAsia="cs-CZ"/>
    </w:rPr>
  </w:style>
  <w:style w:type="character" w:customStyle="1" w:styleId="PredmetkomentraChar128">
    <w:name w:val="Predmet komentára Char128"/>
    <w:aliases w:val="Char6 Char Char129,Comment Subject Char Char Char129,Predmet komentára Char Char Char129"/>
    <w:uiPriority w:val="99"/>
    <w:semiHidden/>
    <w:rPr>
      <w:rFonts w:ascii="Courier" w:hAnsi="Courier" w:cs="Courier"/>
      <w:b/>
      <w:lang w:val="x-none" w:eastAsia="cs-CZ"/>
    </w:rPr>
  </w:style>
  <w:style w:type="character" w:customStyle="1" w:styleId="PredmetkomentraChar127">
    <w:name w:val="Predmet komentára Char127"/>
    <w:aliases w:val="Char6 Char Char128,Comment Subject Char Char Char128,Predmet komentára Char Char Char128"/>
    <w:uiPriority w:val="99"/>
    <w:semiHidden/>
    <w:rPr>
      <w:rFonts w:ascii="Courier" w:hAnsi="Courier" w:cs="Courier"/>
      <w:b/>
      <w:lang w:val="x-none" w:eastAsia="cs-CZ"/>
    </w:rPr>
  </w:style>
  <w:style w:type="character" w:customStyle="1" w:styleId="PredmetkomentraChar126">
    <w:name w:val="Predmet komentára Char126"/>
    <w:aliases w:val="Char6 Char Char127,Comment Subject Char Char Char127,Predmet komentára Char Char Char127"/>
    <w:uiPriority w:val="99"/>
    <w:semiHidden/>
    <w:rPr>
      <w:rFonts w:ascii="Courier" w:hAnsi="Courier" w:cs="Courier"/>
      <w:b/>
      <w:lang w:val="x-none" w:eastAsia="cs-CZ"/>
    </w:rPr>
  </w:style>
  <w:style w:type="character" w:customStyle="1" w:styleId="PredmetkomentraChar125">
    <w:name w:val="Predmet komentára Char125"/>
    <w:aliases w:val="Char6 Char Char126,Comment Subject Char Char Char126,Predmet komentára Char Char Char126"/>
    <w:uiPriority w:val="99"/>
    <w:semiHidden/>
    <w:rPr>
      <w:rFonts w:ascii="Courier" w:hAnsi="Courier" w:cs="Courier"/>
      <w:b/>
      <w:lang w:val="x-none" w:eastAsia="cs-CZ"/>
    </w:rPr>
  </w:style>
  <w:style w:type="character" w:customStyle="1" w:styleId="PredmetkomentraChar124">
    <w:name w:val="Predmet komentára Char124"/>
    <w:aliases w:val="Char6 Char Char125,Comment Subject Char Char Char125,Predmet komentára Char Char Char125"/>
    <w:uiPriority w:val="99"/>
    <w:semiHidden/>
    <w:rPr>
      <w:rFonts w:ascii="Courier" w:hAnsi="Courier" w:cs="Courier"/>
      <w:b/>
      <w:lang w:val="x-none" w:eastAsia="cs-CZ"/>
    </w:rPr>
  </w:style>
  <w:style w:type="character" w:customStyle="1" w:styleId="PredmetkomentraChar123">
    <w:name w:val="Predmet komentára Char123"/>
    <w:aliases w:val="Char6 Char Char124,Comment Subject Char Char Char124,Predmet komentára Char Char Char124"/>
    <w:uiPriority w:val="99"/>
    <w:semiHidden/>
    <w:rPr>
      <w:rFonts w:ascii="Courier" w:hAnsi="Courier" w:cs="Courier"/>
      <w:b/>
      <w:lang w:val="x-none" w:eastAsia="cs-CZ"/>
    </w:rPr>
  </w:style>
  <w:style w:type="character" w:customStyle="1" w:styleId="PredmetkomentraChar122">
    <w:name w:val="Predmet komentára Char122"/>
    <w:aliases w:val="Char6 Char Char123,Comment Subject Char Char Char123,Predmet komentára Char Char Char123"/>
    <w:uiPriority w:val="99"/>
    <w:semiHidden/>
    <w:rPr>
      <w:rFonts w:ascii="Courier" w:hAnsi="Courier" w:cs="Courier"/>
      <w:b/>
      <w:lang w:val="x-none" w:eastAsia="cs-CZ"/>
    </w:rPr>
  </w:style>
  <w:style w:type="character" w:customStyle="1" w:styleId="PredmetkomentraChar121">
    <w:name w:val="Predmet komentára Char121"/>
    <w:aliases w:val="Char6 Char Char122,Comment Subject Char Char Char122,Predmet komentára Char Char Char122"/>
    <w:uiPriority w:val="99"/>
    <w:semiHidden/>
    <w:rPr>
      <w:rFonts w:ascii="Courier" w:hAnsi="Courier" w:cs="Courier"/>
      <w:b/>
      <w:lang w:val="x-none" w:eastAsia="cs-CZ"/>
    </w:rPr>
  </w:style>
  <w:style w:type="character" w:customStyle="1" w:styleId="PredmetkomentraChar120">
    <w:name w:val="Predmet komentára Char120"/>
    <w:aliases w:val="Char6 Char Char121,Comment Subject Char Char Char121,Predmet komentára Char Char Char121"/>
    <w:uiPriority w:val="99"/>
    <w:semiHidden/>
    <w:rPr>
      <w:rFonts w:ascii="Courier" w:hAnsi="Courier" w:cs="Courier"/>
      <w:b/>
      <w:lang w:val="x-none" w:eastAsia="cs-CZ"/>
    </w:rPr>
  </w:style>
  <w:style w:type="character" w:customStyle="1" w:styleId="PredmetkomentraChar119">
    <w:name w:val="Predmet komentára Char119"/>
    <w:aliases w:val="Char6 Char Char120,Comment Subject Char Char Char120,Predmet komentára Char Char Char120"/>
    <w:uiPriority w:val="99"/>
    <w:semiHidden/>
    <w:rPr>
      <w:rFonts w:ascii="Courier" w:hAnsi="Courier" w:cs="Courier"/>
      <w:b/>
      <w:lang w:val="x-none" w:eastAsia="cs-CZ"/>
    </w:rPr>
  </w:style>
  <w:style w:type="character" w:customStyle="1" w:styleId="PredmetkomentraChar118">
    <w:name w:val="Predmet komentára Char118"/>
    <w:aliases w:val="Char6 Char Char119,Comment Subject Char Char Char119,Predmet komentára Char Char Char119"/>
    <w:uiPriority w:val="99"/>
    <w:semiHidden/>
    <w:rPr>
      <w:rFonts w:ascii="Courier" w:hAnsi="Courier" w:cs="Courier"/>
      <w:b/>
      <w:lang w:val="x-none" w:eastAsia="cs-CZ"/>
    </w:rPr>
  </w:style>
  <w:style w:type="character" w:customStyle="1" w:styleId="PredmetkomentraChar117">
    <w:name w:val="Predmet komentára Char117"/>
    <w:aliases w:val="Char6 Char Char118,Comment Subject Char Char Char118,Predmet komentára Char Char Char118"/>
    <w:uiPriority w:val="99"/>
    <w:semiHidden/>
    <w:rPr>
      <w:rFonts w:ascii="Courier" w:hAnsi="Courier" w:cs="Courier"/>
      <w:b/>
      <w:lang w:val="x-none" w:eastAsia="cs-CZ"/>
    </w:rPr>
  </w:style>
  <w:style w:type="character" w:customStyle="1" w:styleId="PredmetkomentraChar116">
    <w:name w:val="Predmet komentára Char116"/>
    <w:aliases w:val="Char6 Char Char117,Comment Subject Char Char Char117,Predmet komentára Char Char Char117"/>
    <w:uiPriority w:val="99"/>
    <w:semiHidden/>
    <w:rPr>
      <w:rFonts w:ascii="Courier" w:hAnsi="Courier" w:cs="Courier"/>
      <w:b/>
      <w:lang w:val="x-none" w:eastAsia="cs-CZ"/>
    </w:rPr>
  </w:style>
  <w:style w:type="character" w:customStyle="1" w:styleId="PredmetkomentraChar115">
    <w:name w:val="Predmet komentára Char115"/>
    <w:aliases w:val="Char6 Char Char116,Comment Subject Char Char Char116,Predmet komentára Char Char Char116"/>
    <w:uiPriority w:val="99"/>
    <w:semiHidden/>
    <w:rPr>
      <w:rFonts w:ascii="Courier" w:hAnsi="Courier" w:cs="Courier"/>
      <w:b/>
      <w:lang w:val="x-none" w:eastAsia="cs-CZ"/>
    </w:rPr>
  </w:style>
  <w:style w:type="character" w:customStyle="1" w:styleId="PredmetkomentraChar114">
    <w:name w:val="Predmet komentára Char114"/>
    <w:aliases w:val="Char6 Char Char115,Comment Subject Char Char Char115,Predmet komentára Char Char Char115"/>
    <w:uiPriority w:val="99"/>
    <w:semiHidden/>
    <w:rPr>
      <w:rFonts w:ascii="Courier" w:hAnsi="Courier" w:cs="Courier"/>
      <w:b/>
      <w:lang w:val="x-none" w:eastAsia="cs-CZ"/>
    </w:rPr>
  </w:style>
  <w:style w:type="character" w:customStyle="1" w:styleId="PredmetkomentraChar113">
    <w:name w:val="Predmet komentára Char113"/>
    <w:aliases w:val="Char6 Char Char114,Comment Subject Char Char Char114,Predmet komentára Char Char Char114"/>
    <w:uiPriority w:val="99"/>
    <w:semiHidden/>
    <w:rPr>
      <w:rFonts w:ascii="Courier" w:hAnsi="Courier" w:cs="Courier"/>
      <w:b/>
      <w:lang w:val="x-none" w:eastAsia="cs-CZ"/>
    </w:rPr>
  </w:style>
  <w:style w:type="character" w:customStyle="1" w:styleId="PredmetkomentraChar112">
    <w:name w:val="Predmet komentára Char112"/>
    <w:aliases w:val="Char6 Char Char113,Comment Subject Char Char Char113,Predmet komentára Char Char Char113"/>
    <w:uiPriority w:val="99"/>
    <w:semiHidden/>
    <w:rPr>
      <w:rFonts w:ascii="Courier" w:hAnsi="Courier" w:cs="Courier"/>
      <w:b/>
      <w:lang w:val="x-none" w:eastAsia="cs-CZ"/>
    </w:rPr>
  </w:style>
  <w:style w:type="character" w:customStyle="1" w:styleId="PredmetkomentraChar111">
    <w:name w:val="Predmet komentára Char111"/>
    <w:aliases w:val="Char6 Char Char112,Comment Subject Char Char Char112,Predmet komentára Char Char Char112"/>
    <w:uiPriority w:val="99"/>
    <w:semiHidden/>
    <w:rPr>
      <w:rFonts w:ascii="Courier" w:hAnsi="Courier" w:cs="Courier"/>
      <w:b/>
      <w:lang w:val="x-none" w:eastAsia="cs-CZ"/>
    </w:rPr>
  </w:style>
  <w:style w:type="character" w:customStyle="1" w:styleId="PredmetkomentraChar110">
    <w:name w:val="Predmet komentára Char110"/>
    <w:aliases w:val="Char6 Char Char110,Comment Subject Char Char Char110,Predmet komentára Char Char Char110"/>
    <w:uiPriority w:val="99"/>
    <w:semiHidden/>
    <w:rPr>
      <w:rFonts w:ascii="Courier" w:hAnsi="Courier" w:cs="Courier"/>
      <w:b/>
      <w:lang w:val="x-none" w:eastAsia="cs-CZ"/>
    </w:rPr>
  </w:style>
  <w:style w:type="character" w:customStyle="1" w:styleId="PredmetkomentraChar19">
    <w:name w:val="Predmet komentára Char19"/>
    <w:aliases w:val="Char6 Char Char19,Comment Subject Char Char Char19,Predmet komentára Char Char Char19"/>
    <w:uiPriority w:val="99"/>
    <w:semiHidden/>
    <w:rPr>
      <w:rFonts w:ascii="Courier" w:hAnsi="Courier" w:cs="Courier"/>
      <w:b/>
      <w:lang w:val="x-none" w:eastAsia="cs-CZ"/>
    </w:rPr>
  </w:style>
  <w:style w:type="character" w:customStyle="1" w:styleId="PredmetkomentraChar18">
    <w:name w:val="Predmet komentára Char18"/>
    <w:aliases w:val="Char6 Char Char18,Comment Subject Char Char Char18,Predmet komentára Char Char Char18"/>
    <w:uiPriority w:val="99"/>
    <w:semiHidden/>
    <w:rPr>
      <w:rFonts w:ascii="Courier" w:hAnsi="Courier" w:cs="Courier"/>
      <w:b/>
      <w:lang w:val="x-none" w:eastAsia="cs-CZ"/>
    </w:rPr>
  </w:style>
  <w:style w:type="character" w:customStyle="1" w:styleId="PredmetkomentraChar17">
    <w:name w:val="Predmet komentára Char17"/>
    <w:aliases w:val="Char6 Char Char17,Comment Subject Char Char Char17,Predmet komentára Char Char Char17"/>
    <w:uiPriority w:val="99"/>
    <w:semiHidden/>
    <w:rPr>
      <w:rFonts w:ascii="Courier" w:hAnsi="Courier" w:cs="Courier"/>
      <w:b/>
      <w:lang w:val="x-none" w:eastAsia="cs-CZ"/>
    </w:rPr>
  </w:style>
  <w:style w:type="character" w:customStyle="1" w:styleId="PredmetkomentraChar16">
    <w:name w:val="Predmet komentára Char16"/>
    <w:aliases w:val="Char6 Char Char16,Comment Subject Char Char Char16,Predmet komentára Char Char Char16"/>
    <w:uiPriority w:val="99"/>
    <w:semiHidden/>
    <w:rPr>
      <w:rFonts w:ascii="Courier" w:hAnsi="Courier" w:cs="Courier"/>
      <w:b/>
      <w:lang w:val="x-none" w:eastAsia="cs-CZ"/>
    </w:rPr>
  </w:style>
  <w:style w:type="character" w:customStyle="1" w:styleId="PredmetkomentraChar15">
    <w:name w:val="Predmet komentára Char15"/>
    <w:aliases w:val="Char6 Char Char15,Comment Subject Char Char Char15,Predmet komentára Char Char Char15"/>
    <w:uiPriority w:val="99"/>
    <w:semiHidden/>
    <w:rPr>
      <w:rFonts w:ascii="Courier" w:hAnsi="Courier" w:cs="Courier"/>
      <w:b/>
      <w:lang w:val="x-none" w:eastAsia="cs-CZ"/>
    </w:rPr>
  </w:style>
  <w:style w:type="character" w:customStyle="1" w:styleId="PredmetkomentraChar14">
    <w:name w:val="Predmet komentára Char14"/>
    <w:aliases w:val="Char6 Char Char14,Comment Subject Char Char Char14,Predmet komentára Char Char Char14"/>
    <w:uiPriority w:val="99"/>
    <w:semiHidden/>
    <w:rPr>
      <w:rFonts w:ascii="Courier" w:hAnsi="Courier" w:cs="Courier"/>
      <w:b/>
      <w:lang w:val="x-none" w:eastAsia="cs-CZ"/>
    </w:rPr>
  </w:style>
  <w:style w:type="character" w:customStyle="1" w:styleId="PredmetkomentraChar13">
    <w:name w:val="Predmet komentára Char13"/>
    <w:aliases w:val="Char6 Char Char13,Comment Subject Char Char Char13,Predmet komentára Char Char Char13"/>
    <w:uiPriority w:val="99"/>
    <w:semiHidden/>
    <w:rPr>
      <w:rFonts w:ascii="Courier" w:hAnsi="Courier" w:cs="Courier"/>
      <w:b/>
      <w:lang w:val="x-none" w:eastAsia="cs-CZ"/>
    </w:rPr>
  </w:style>
  <w:style w:type="character" w:customStyle="1" w:styleId="PredmetkomentraChar12">
    <w:name w:val="Predmet komentára Char12"/>
    <w:aliases w:val="Char6 Char Char12,Comment Subject Char Char Char12,Predmet komentára Char Char Char12"/>
    <w:uiPriority w:val="99"/>
    <w:semiHidden/>
    <w:rPr>
      <w:rFonts w:ascii="Courier" w:hAnsi="Courier" w:cs="Courier"/>
      <w:b/>
      <w:lang w:val="x-none" w:eastAsia="cs-CZ"/>
    </w:rPr>
  </w:style>
  <w:style w:type="character" w:customStyle="1" w:styleId="PredmetkomentraChar11">
    <w:name w:val="Predmet komentára Char11"/>
    <w:aliases w:val="Char6 Char Char11,Char6 Char Char111,Comment Subject Char Char Char11,Comment Subject Char Char Char111,Predmet komentára Char Char Char11,Predmet komentára Char Char Char111"/>
    <w:uiPriority w:val="99"/>
    <w:semiHidden/>
    <w:rsid w:val="00992BC9"/>
    <w:rPr>
      <w:rFonts w:ascii="Courier" w:hAnsi="Courier" w:cs="Courier"/>
      <w:b/>
      <w:lang w:val="x-none" w:eastAsia="cs-CZ"/>
    </w:rPr>
  </w:style>
  <w:style w:type="paragraph" w:customStyle="1" w:styleId="CharCharCharCharCharCharCharCharChar">
    <w:name w:val="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
    <w:name w:val="Char Char Char Char 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3">
    <w:name w:val="Char3"/>
    <w:basedOn w:val="Normal"/>
    <w:uiPriority w:val="99"/>
    <w:rsid w:val="00992BC9"/>
    <w:pPr>
      <w:spacing w:after="160" w:line="240" w:lineRule="exact"/>
      <w:jc w:val="left"/>
    </w:pPr>
    <w:rPr>
      <w:rFonts w:ascii="Tahoma" w:hAnsi="Tahoma" w:cs="Tahoma"/>
      <w:sz w:val="20"/>
      <w:szCs w:val="20"/>
      <w:lang w:val="en-US" w:eastAsia="en-US"/>
    </w:rPr>
  </w:style>
  <w:style w:type="paragraph" w:styleId="BodyTextIndent3">
    <w:name w:val="Body Text Indent 3"/>
    <w:aliases w:val="Body Text Indent 3 Char Char Char,Char2 Char,Zarážka základného textu 3 Char Char"/>
    <w:basedOn w:val="Normal"/>
    <w:link w:val="Zarkazkladnhotextu3Char"/>
    <w:uiPriority w:val="99"/>
    <w:rsid w:val="00992BC9"/>
    <w:pPr>
      <w:spacing w:after="120"/>
      <w:ind w:left="283"/>
      <w:jc w:val="left"/>
    </w:pPr>
    <w:rPr>
      <w:rFonts w:cs="Times New Roman"/>
      <w:sz w:val="16"/>
      <w:szCs w:val="16"/>
    </w:rPr>
  </w:style>
  <w:style w:type="character" w:customStyle="1" w:styleId="Zarkazkladnhotextu3Char">
    <w:name w:val="Zarážka základného textu 3 Char"/>
    <w:aliases w:val="Body Text Indent 3 Char Char Char Char,Char2 Char Char,Zarážka základného textu 3 Char Char Char"/>
    <w:basedOn w:val="DefaultParagraphFont"/>
    <w:link w:val="BodyTextIndent3"/>
    <w:uiPriority w:val="99"/>
    <w:locked/>
    <w:rsid w:val="00992BC9"/>
    <w:rPr>
      <w:rFonts w:ascii="Courier" w:hAnsi="Courier" w:cs="Times New Roman"/>
      <w:sz w:val="16"/>
      <w:rtl w:val="0"/>
      <w:cs w:val="0"/>
      <w:lang w:val="x-none" w:eastAsia="cs-CZ"/>
    </w:rPr>
  </w:style>
  <w:style w:type="paragraph" w:customStyle="1" w:styleId="CharChar1">
    <w:name w:val="Char Char1"/>
    <w:basedOn w:val="Normal"/>
    <w:rsid w:val="00992BC9"/>
    <w:pPr>
      <w:spacing w:after="160" w:line="240" w:lineRule="exact"/>
      <w:jc w:val="left"/>
    </w:pPr>
    <w:rPr>
      <w:rFonts w:ascii="Tahoma" w:hAnsi="Tahoma" w:cs="Tahoma"/>
      <w:sz w:val="20"/>
      <w:szCs w:val="20"/>
      <w:lang w:val="en-US" w:eastAsia="en-US"/>
    </w:rPr>
  </w:style>
  <w:style w:type="paragraph" w:customStyle="1" w:styleId="Char1">
    <w:name w:val="Char1"/>
    <w:basedOn w:val="Normal"/>
    <w:uiPriority w:val="99"/>
    <w:rsid w:val="00992BC9"/>
    <w:pPr>
      <w:spacing w:after="160" w:line="240" w:lineRule="exact"/>
      <w:jc w:val="left"/>
    </w:pPr>
    <w:rPr>
      <w:rFonts w:ascii="Tahoma" w:hAnsi="Tahoma" w:cs="Tahoma"/>
      <w:sz w:val="20"/>
      <w:szCs w:val="20"/>
      <w:lang w:val="en-US" w:eastAsia="en-US"/>
    </w:rPr>
  </w:style>
  <w:style w:type="character" w:styleId="Hyperlink">
    <w:name w:val="Hyperlink"/>
    <w:basedOn w:val="DefaultParagraphFont"/>
    <w:uiPriority w:val="99"/>
    <w:rsid w:val="00992BC9"/>
    <w:rPr>
      <w:rFonts w:cs="Times New Roman"/>
      <w:color w:val="0000FF"/>
      <w:u w:val="single"/>
      <w:rtl w:val="0"/>
      <w:cs w:val="0"/>
    </w:rPr>
  </w:style>
  <w:style w:type="character" w:customStyle="1" w:styleId="BodyTextIndentCharChar">
    <w:name w:val="Body Text Indent Char Char"/>
    <w:uiPriority w:val="99"/>
    <w:rsid w:val="00992BC9"/>
    <w:rPr>
      <w:rFonts w:ascii="Courier" w:hAnsi="Courier" w:cs="Courier"/>
      <w:sz w:val="24"/>
      <w:lang w:val="x-none" w:eastAsia="cs-CZ"/>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1">
    <w:name w:val="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2CharCharCharCharCharCharCharCharCharCharChar1">
    <w:name w:val="Char Char Char2 Char Char 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1CharCharCharCharChar1">
    <w:name w:val="Char Char Char Char Char Char Char Char Char Char Char Char Char Char Char Char Char Char Char Char Char Char Char1 Char Char Char Char Char1"/>
    <w:basedOn w:val="Normal"/>
    <w:uiPriority w:val="99"/>
    <w:rsid w:val="00992BC9"/>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1">
    <w:name w:val="Char Char Char Char Char Char Char Char Char Char Char Char Char Char Char1"/>
    <w:basedOn w:val="Normal"/>
    <w:uiPriority w:val="99"/>
    <w:rsid w:val="00992BC9"/>
    <w:pPr>
      <w:spacing w:after="160" w:line="240" w:lineRule="exact"/>
      <w:jc w:val="left"/>
    </w:pPr>
    <w:rPr>
      <w:rFonts w:ascii="Tahoma" w:hAnsi="Tahoma" w:cs="Tahoma"/>
      <w:sz w:val="20"/>
      <w:szCs w:val="20"/>
      <w:lang w:val="en-US" w:eastAsia="en-US"/>
    </w:rPr>
  </w:style>
  <w:style w:type="character" w:customStyle="1" w:styleId="ObyajntextChar">
    <w:name w:val="Obyčajný text Char"/>
    <w:aliases w:val="Obyčajný text Char Char Char Char"/>
    <w:link w:val="PlainText"/>
    <w:uiPriority w:val="99"/>
    <w:locked/>
    <w:rsid w:val="00992BC9"/>
    <w:rPr>
      <w:rFonts w:ascii="Consolas" w:hAnsi="Consolas" w:cs="Consolas"/>
      <w:sz w:val="21"/>
    </w:rPr>
  </w:style>
  <w:style w:type="paragraph" w:styleId="PlainText">
    <w:name w:val="Plain Text"/>
    <w:aliases w:val="Obyčajný text Char Char Char"/>
    <w:basedOn w:val="Normal"/>
    <w:link w:val="ObyajntextChar"/>
    <w:uiPriority w:val="99"/>
    <w:rsid w:val="00992BC9"/>
    <w:pPr>
      <w:jc w:val="left"/>
    </w:pPr>
    <w:rPr>
      <w:rFonts w:ascii="Consolas" w:hAnsi="Consolas" w:cs="Times New Roman"/>
      <w:sz w:val="21"/>
      <w:szCs w:val="21"/>
    </w:rPr>
  </w:style>
  <w:style w:type="character" w:customStyle="1" w:styleId="ObyajntextChar1">
    <w:name w:val="Obyčajný text Char1"/>
    <w:aliases w:val="Obyčajný text Char Char Char Char1"/>
    <w:basedOn w:val="DefaultParagraphFont"/>
    <w:uiPriority w:val="99"/>
    <w:semiHidden/>
    <w:rPr>
      <w:rFonts w:ascii="Courier New" w:hAnsi="Courier New" w:cs="Courier New"/>
      <w:rtl w:val="0"/>
      <w:cs w:val="0"/>
      <w:lang w:val="x-none" w:eastAsia="cs-CZ"/>
    </w:rPr>
  </w:style>
  <w:style w:type="character" w:customStyle="1" w:styleId="ObyajntextChar1163">
    <w:name w:val="Obyčajný text Char1163"/>
    <w:aliases w:val="Obyčajný text Char Char Char Char1164"/>
    <w:basedOn w:val="DefaultParagraphFont"/>
    <w:uiPriority w:val="99"/>
    <w:semiHidden/>
    <w:rPr>
      <w:rFonts w:ascii="Courier New" w:hAnsi="Courier New" w:cs="Courier New"/>
      <w:rtl w:val="0"/>
      <w:cs w:val="0"/>
      <w:lang w:val="x-none" w:eastAsia="cs-CZ"/>
    </w:rPr>
  </w:style>
  <w:style w:type="character" w:customStyle="1" w:styleId="ObyajntextChar1162">
    <w:name w:val="Obyčajný text Char1162"/>
    <w:aliases w:val="Obyčajný text Char Char Char Char1163"/>
    <w:basedOn w:val="DefaultParagraphFont"/>
    <w:uiPriority w:val="99"/>
    <w:semiHidden/>
    <w:rPr>
      <w:rFonts w:ascii="Courier New" w:hAnsi="Courier New" w:cs="Courier New"/>
      <w:rtl w:val="0"/>
      <w:cs w:val="0"/>
      <w:lang w:val="x-none" w:eastAsia="cs-CZ"/>
    </w:rPr>
  </w:style>
  <w:style w:type="character" w:customStyle="1" w:styleId="ObyajntextChar1161">
    <w:name w:val="Obyčajný text Char1161"/>
    <w:aliases w:val="Obyčajný text Char Char Char Char1162"/>
    <w:basedOn w:val="DefaultParagraphFont"/>
    <w:uiPriority w:val="99"/>
    <w:semiHidden/>
    <w:rPr>
      <w:rFonts w:ascii="Courier New" w:hAnsi="Courier New" w:cs="Courier New"/>
      <w:rtl w:val="0"/>
      <w:cs w:val="0"/>
      <w:lang w:val="x-none" w:eastAsia="cs-CZ"/>
    </w:rPr>
  </w:style>
  <w:style w:type="character" w:customStyle="1" w:styleId="ObyajntextChar1160">
    <w:name w:val="Obyčajný text Char1160"/>
    <w:aliases w:val="Obyčajný text Char Char Char Char1161"/>
    <w:basedOn w:val="DefaultParagraphFont"/>
    <w:uiPriority w:val="99"/>
    <w:semiHidden/>
    <w:rPr>
      <w:rFonts w:ascii="Courier New" w:hAnsi="Courier New" w:cs="Courier New"/>
      <w:rtl w:val="0"/>
      <w:cs w:val="0"/>
      <w:lang w:val="x-none" w:eastAsia="cs-CZ"/>
    </w:rPr>
  </w:style>
  <w:style w:type="character" w:customStyle="1" w:styleId="ObyajntextChar1159">
    <w:name w:val="Obyčajný text Char1159"/>
    <w:aliases w:val="Obyčajný text Char Char Char Char1160"/>
    <w:basedOn w:val="DefaultParagraphFont"/>
    <w:uiPriority w:val="99"/>
    <w:semiHidden/>
    <w:rPr>
      <w:rFonts w:ascii="Courier New" w:hAnsi="Courier New" w:cs="Courier New"/>
      <w:rtl w:val="0"/>
      <w:cs w:val="0"/>
      <w:lang w:val="x-none" w:eastAsia="cs-CZ"/>
    </w:rPr>
  </w:style>
  <w:style w:type="character" w:customStyle="1" w:styleId="ObyajntextChar1158">
    <w:name w:val="Obyčajný text Char1158"/>
    <w:aliases w:val="Obyčajný text Char Char Char Char1159"/>
    <w:basedOn w:val="DefaultParagraphFont"/>
    <w:uiPriority w:val="99"/>
    <w:semiHidden/>
    <w:rPr>
      <w:rFonts w:ascii="Courier New" w:hAnsi="Courier New" w:cs="Courier New"/>
      <w:rtl w:val="0"/>
      <w:cs w:val="0"/>
      <w:lang w:val="x-none" w:eastAsia="cs-CZ"/>
    </w:rPr>
  </w:style>
  <w:style w:type="character" w:customStyle="1" w:styleId="ObyajntextChar1157">
    <w:name w:val="Obyčajný text Char1157"/>
    <w:aliases w:val="Obyčajný text Char Char Char Char1158"/>
    <w:basedOn w:val="DefaultParagraphFont"/>
    <w:uiPriority w:val="99"/>
    <w:semiHidden/>
    <w:rPr>
      <w:rFonts w:ascii="Courier New" w:hAnsi="Courier New" w:cs="Courier New"/>
      <w:rtl w:val="0"/>
      <w:cs w:val="0"/>
      <w:lang w:val="x-none" w:eastAsia="cs-CZ"/>
    </w:rPr>
  </w:style>
  <w:style w:type="character" w:customStyle="1" w:styleId="ObyajntextChar1156">
    <w:name w:val="Obyčajný text Char1156"/>
    <w:aliases w:val="Obyčajný text Char Char Char Char1157"/>
    <w:basedOn w:val="DefaultParagraphFont"/>
    <w:uiPriority w:val="99"/>
    <w:semiHidden/>
    <w:rPr>
      <w:rFonts w:ascii="Courier New" w:hAnsi="Courier New" w:cs="Courier New"/>
      <w:rtl w:val="0"/>
      <w:cs w:val="0"/>
      <w:lang w:val="x-none" w:eastAsia="cs-CZ"/>
    </w:rPr>
  </w:style>
  <w:style w:type="character" w:customStyle="1" w:styleId="ObyajntextChar1155">
    <w:name w:val="Obyčajný text Char1155"/>
    <w:aliases w:val="Obyčajný text Char Char Char Char1156"/>
    <w:basedOn w:val="DefaultParagraphFont"/>
    <w:uiPriority w:val="99"/>
    <w:semiHidden/>
    <w:rPr>
      <w:rFonts w:ascii="Courier New" w:hAnsi="Courier New" w:cs="Courier New"/>
      <w:rtl w:val="0"/>
      <w:cs w:val="0"/>
      <w:lang w:val="x-none" w:eastAsia="cs-CZ"/>
    </w:rPr>
  </w:style>
  <w:style w:type="character" w:customStyle="1" w:styleId="ObyajntextChar1154">
    <w:name w:val="Obyčajný text Char1154"/>
    <w:aliases w:val="Obyčajný text Char Char Char Char1155"/>
    <w:basedOn w:val="DefaultParagraphFont"/>
    <w:uiPriority w:val="99"/>
    <w:semiHidden/>
    <w:rPr>
      <w:rFonts w:ascii="Courier New" w:hAnsi="Courier New" w:cs="Courier New"/>
      <w:rtl w:val="0"/>
      <w:cs w:val="0"/>
      <w:lang w:val="x-none" w:eastAsia="cs-CZ"/>
    </w:rPr>
  </w:style>
  <w:style w:type="character" w:customStyle="1" w:styleId="ObyajntextChar1153">
    <w:name w:val="Obyčajný text Char1153"/>
    <w:aliases w:val="Obyčajný text Char Char Char Char1154"/>
    <w:basedOn w:val="DefaultParagraphFont"/>
    <w:uiPriority w:val="99"/>
    <w:semiHidden/>
    <w:rPr>
      <w:rFonts w:ascii="Courier New" w:hAnsi="Courier New" w:cs="Courier New"/>
      <w:rtl w:val="0"/>
      <w:cs w:val="0"/>
      <w:lang w:val="x-none" w:eastAsia="cs-CZ"/>
    </w:rPr>
  </w:style>
  <w:style w:type="character" w:customStyle="1" w:styleId="ObyajntextChar1152">
    <w:name w:val="Obyčajný text Char1152"/>
    <w:aliases w:val="Obyčajný text Char Char Char Char1153"/>
    <w:basedOn w:val="DefaultParagraphFont"/>
    <w:uiPriority w:val="99"/>
    <w:semiHidden/>
    <w:rPr>
      <w:rFonts w:ascii="Courier New" w:hAnsi="Courier New" w:cs="Courier New"/>
      <w:rtl w:val="0"/>
      <w:cs w:val="0"/>
      <w:lang w:val="x-none" w:eastAsia="cs-CZ"/>
    </w:rPr>
  </w:style>
  <w:style w:type="character" w:customStyle="1" w:styleId="ObyajntextChar1151">
    <w:name w:val="Obyčajný text Char1151"/>
    <w:aliases w:val="Obyčajný text Char Char Char Char1152"/>
    <w:basedOn w:val="DefaultParagraphFont"/>
    <w:uiPriority w:val="99"/>
    <w:semiHidden/>
    <w:rPr>
      <w:rFonts w:ascii="Courier New" w:hAnsi="Courier New" w:cs="Courier New"/>
      <w:rtl w:val="0"/>
      <w:cs w:val="0"/>
      <w:lang w:val="x-none" w:eastAsia="cs-CZ"/>
    </w:rPr>
  </w:style>
  <w:style w:type="character" w:customStyle="1" w:styleId="ObyajntextChar1150">
    <w:name w:val="Obyčajný text Char1150"/>
    <w:aliases w:val="Obyčajný text Char Char Char Char1151"/>
    <w:basedOn w:val="DefaultParagraphFont"/>
    <w:uiPriority w:val="99"/>
    <w:semiHidden/>
    <w:rPr>
      <w:rFonts w:ascii="Courier New" w:hAnsi="Courier New" w:cs="Courier New"/>
      <w:rtl w:val="0"/>
      <w:cs w:val="0"/>
      <w:lang w:val="x-none" w:eastAsia="cs-CZ"/>
    </w:rPr>
  </w:style>
  <w:style w:type="character" w:customStyle="1" w:styleId="ObyajntextChar1149">
    <w:name w:val="Obyčajný text Char1149"/>
    <w:aliases w:val="Obyčajný text Char Char Char Char1150"/>
    <w:basedOn w:val="DefaultParagraphFont"/>
    <w:uiPriority w:val="99"/>
    <w:semiHidden/>
    <w:rPr>
      <w:rFonts w:ascii="Courier New" w:hAnsi="Courier New" w:cs="Courier New"/>
      <w:rtl w:val="0"/>
      <w:cs w:val="0"/>
      <w:lang w:val="x-none" w:eastAsia="cs-CZ"/>
    </w:rPr>
  </w:style>
  <w:style w:type="character" w:customStyle="1" w:styleId="ObyajntextChar1148">
    <w:name w:val="Obyčajný text Char1148"/>
    <w:aliases w:val="Obyčajný text Char Char Char Char1149"/>
    <w:basedOn w:val="DefaultParagraphFont"/>
    <w:uiPriority w:val="99"/>
    <w:semiHidden/>
    <w:rPr>
      <w:rFonts w:ascii="Courier New" w:hAnsi="Courier New" w:cs="Courier New"/>
      <w:rtl w:val="0"/>
      <w:cs w:val="0"/>
      <w:lang w:val="x-none" w:eastAsia="cs-CZ"/>
    </w:rPr>
  </w:style>
  <w:style w:type="character" w:customStyle="1" w:styleId="ObyajntextChar1147">
    <w:name w:val="Obyčajný text Char1147"/>
    <w:aliases w:val="Obyčajný text Char Char Char Char1148"/>
    <w:basedOn w:val="DefaultParagraphFont"/>
    <w:uiPriority w:val="99"/>
    <w:semiHidden/>
    <w:rPr>
      <w:rFonts w:ascii="Courier New" w:hAnsi="Courier New" w:cs="Courier New"/>
      <w:rtl w:val="0"/>
      <w:cs w:val="0"/>
      <w:lang w:val="x-none" w:eastAsia="cs-CZ"/>
    </w:rPr>
  </w:style>
  <w:style w:type="character" w:customStyle="1" w:styleId="ObyajntextChar1146">
    <w:name w:val="Obyčajný text Char1146"/>
    <w:aliases w:val="Obyčajný text Char Char Char Char1147"/>
    <w:basedOn w:val="DefaultParagraphFont"/>
    <w:uiPriority w:val="99"/>
    <w:semiHidden/>
    <w:rPr>
      <w:rFonts w:ascii="Courier New" w:hAnsi="Courier New" w:cs="Courier New"/>
      <w:rtl w:val="0"/>
      <w:cs w:val="0"/>
      <w:lang w:val="x-none" w:eastAsia="cs-CZ"/>
    </w:rPr>
  </w:style>
  <w:style w:type="character" w:customStyle="1" w:styleId="ObyajntextChar1145">
    <w:name w:val="Obyčajný text Char1145"/>
    <w:aliases w:val="Obyčajný text Char Char Char Char1146"/>
    <w:basedOn w:val="DefaultParagraphFont"/>
    <w:uiPriority w:val="99"/>
    <w:semiHidden/>
    <w:rPr>
      <w:rFonts w:ascii="Courier New" w:hAnsi="Courier New" w:cs="Courier New"/>
      <w:rtl w:val="0"/>
      <w:cs w:val="0"/>
      <w:lang w:val="x-none" w:eastAsia="cs-CZ"/>
    </w:rPr>
  </w:style>
  <w:style w:type="character" w:customStyle="1" w:styleId="ObyajntextChar1144">
    <w:name w:val="Obyčajný text Char1144"/>
    <w:aliases w:val="Obyčajný text Char Char Char Char1145"/>
    <w:basedOn w:val="DefaultParagraphFont"/>
    <w:uiPriority w:val="99"/>
    <w:semiHidden/>
    <w:rPr>
      <w:rFonts w:ascii="Courier New" w:hAnsi="Courier New" w:cs="Courier New"/>
      <w:rtl w:val="0"/>
      <w:cs w:val="0"/>
      <w:lang w:val="x-none" w:eastAsia="cs-CZ"/>
    </w:rPr>
  </w:style>
  <w:style w:type="character" w:customStyle="1" w:styleId="ObyajntextChar1143">
    <w:name w:val="Obyčajný text Char1143"/>
    <w:aliases w:val="Obyčajný text Char Char Char Char1144"/>
    <w:basedOn w:val="DefaultParagraphFont"/>
    <w:uiPriority w:val="99"/>
    <w:semiHidden/>
    <w:rPr>
      <w:rFonts w:ascii="Courier New" w:hAnsi="Courier New" w:cs="Courier New"/>
      <w:rtl w:val="0"/>
      <w:cs w:val="0"/>
      <w:lang w:val="x-none" w:eastAsia="cs-CZ"/>
    </w:rPr>
  </w:style>
  <w:style w:type="character" w:customStyle="1" w:styleId="ObyajntextChar1142">
    <w:name w:val="Obyčajný text Char1142"/>
    <w:aliases w:val="Obyčajný text Char Char Char Char1143"/>
    <w:basedOn w:val="DefaultParagraphFont"/>
    <w:uiPriority w:val="99"/>
    <w:semiHidden/>
    <w:rPr>
      <w:rFonts w:ascii="Courier New" w:hAnsi="Courier New" w:cs="Courier New"/>
      <w:rtl w:val="0"/>
      <w:cs w:val="0"/>
      <w:lang w:val="x-none" w:eastAsia="cs-CZ"/>
    </w:rPr>
  </w:style>
  <w:style w:type="character" w:customStyle="1" w:styleId="ObyajntextChar1141">
    <w:name w:val="Obyčajný text Char1141"/>
    <w:aliases w:val="Obyčajný text Char Char Char Char1142"/>
    <w:basedOn w:val="DefaultParagraphFont"/>
    <w:uiPriority w:val="99"/>
    <w:semiHidden/>
    <w:rPr>
      <w:rFonts w:ascii="Courier New" w:hAnsi="Courier New" w:cs="Courier New"/>
      <w:rtl w:val="0"/>
      <w:cs w:val="0"/>
      <w:lang w:val="x-none" w:eastAsia="cs-CZ"/>
    </w:rPr>
  </w:style>
  <w:style w:type="character" w:customStyle="1" w:styleId="ObyajntextChar1140">
    <w:name w:val="Obyčajný text Char1140"/>
    <w:aliases w:val="Obyčajný text Char Char Char Char1141"/>
    <w:basedOn w:val="DefaultParagraphFont"/>
    <w:uiPriority w:val="99"/>
    <w:semiHidden/>
    <w:rPr>
      <w:rFonts w:ascii="Courier New" w:hAnsi="Courier New" w:cs="Courier New"/>
      <w:rtl w:val="0"/>
      <w:cs w:val="0"/>
      <w:lang w:val="x-none" w:eastAsia="cs-CZ"/>
    </w:rPr>
  </w:style>
  <w:style w:type="character" w:customStyle="1" w:styleId="ObyajntextChar1139">
    <w:name w:val="Obyčajný text Char1139"/>
    <w:aliases w:val="Obyčajný text Char Char Char Char1140"/>
    <w:basedOn w:val="DefaultParagraphFont"/>
    <w:uiPriority w:val="99"/>
    <w:semiHidden/>
    <w:rPr>
      <w:rFonts w:ascii="Courier New" w:hAnsi="Courier New" w:cs="Courier New"/>
      <w:rtl w:val="0"/>
      <w:cs w:val="0"/>
      <w:lang w:val="x-none" w:eastAsia="cs-CZ"/>
    </w:rPr>
  </w:style>
  <w:style w:type="character" w:customStyle="1" w:styleId="ObyajntextChar1138">
    <w:name w:val="Obyčajný text Char1138"/>
    <w:aliases w:val="Obyčajný text Char Char Char Char1139"/>
    <w:basedOn w:val="DefaultParagraphFont"/>
    <w:uiPriority w:val="99"/>
    <w:semiHidden/>
    <w:rPr>
      <w:rFonts w:ascii="Courier New" w:hAnsi="Courier New" w:cs="Courier New"/>
      <w:rtl w:val="0"/>
      <w:cs w:val="0"/>
      <w:lang w:val="x-none" w:eastAsia="cs-CZ"/>
    </w:rPr>
  </w:style>
  <w:style w:type="character" w:customStyle="1" w:styleId="ObyajntextChar1137">
    <w:name w:val="Obyčajný text Char1137"/>
    <w:aliases w:val="Obyčajný text Char Char Char Char1138"/>
    <w:basedOn w:val="DefaultParagraphFont"/>
    <w:uiPriority w:val="99"/>
    <w:semiHidden/>
    <w:rPr>
      <w:rFonts w:ascii="Courier New" w:hAnsi="Courier New" w:cs="Courier New"/>
      <w:rtl w:val="0"/>
      <w:cs w:val="0"/>
      <w:lang w:val="x-none" w:eastAsia="cs-CZ"/>
    </w:rPr>
  </w:style>
  <w:style w:type="character" w:customStyle="1" w:styleId="ObyajntextChar1136">
    <w:name w:val="Obyčajný text Char1136"/>
    <w:aliases w:val="Obyčajný text Char Char Char Char1137"/>
    <w:basedOn w:val="DefaultParagraphFont"/>
    <w:uiPriority w:val="99"/>
    <w:semiHidden/>
    <w:rPr>
      <w:rFonts w:ascii="Courier New" w:hAnsi="Courier New" w:cs="Courier New"/>
      <w:rtl w:val="0"/>
      <w:cs w:val="0"/>
      <w:lang w:val="x-none" w:eastAsia="cs-CZ"/>
    </w:rPr>
  </w:style>
  <w:style w:type="character" w:customStyle="1" w:styleId="ObyajntextChar1135">
    <w:name w:val="Obyčajný text Char1135"/>
    <w:aliases w:val="Obyčajný text Char Char Char Char1136"/>
    <w:basedOn w:val="DefaultParagraphFont"/>
    <w:uiPriority w:val="99"/>
    <w:semiHidden/>
    <w:rPr>
      <w:rFonts w:ascii="Courier New" w:hAnsi="Courier New" w:cs="Courier New"/>
      <w:rtl w:val="0"/>
      <w:cs w:val="0"/>
      <w:lang w:val="x-none" w:eastAsia="cs-CZ"/>
    </w:rPr>
  </w:style>
  <w:style w:type="character" w:customStyle="1" w:styleId="ObyajntextChar1134">
    <w:name w:val="Obyčajný text Char1134"/>
    <w:aliases w:val="Obyčajný text Char Char Char Char1135"/>
    <w:basedOn w:val="DefaultParagraphFont"/>
    <w:uiPriority w:val="99"/>
    <w:semiHidden/>
    <w:rPr>
      <w:rFonts w:ascii="Courier New" w:hAnsi="Courier New" w:cs="Courier New"/>
      <w:rtl w:val="0"/>
      <w:cs w:val="0"/>
      <w:lang w:val="x-none" w:eastAsia="cs-CZ"/>
    </w:rPr>
  </w:style>
  <w:style w:type="character" w:customStyle="1" w:styleId="ObyajntextChar1133">
    <w:name w:val="Obyčajný text Char1133"/>
    <w:aliases w:val="Obyčajný text Char Char Char Char1134"/>
    <w:basedOn w:val="DefaultParagraphFont"/>
    <w:uiPriority w:val="99"/>
    <w:semiHidden/>
    <w:rPr>
      <w:rFonts w:ascii="Courier New" w:hAnsi="Courier New" w:cs="Courier New"/>
      <w:rtl w:val="0"/>
      <w:cs w:val="0"/>
      <w:lang w:val="x-none" w:eastAsia="cs-CZ"/>
    </w:rPr>
  </w:style>
  <w:style w:type="character" w:customStyle="1" w:styleId="ObyajntextChar1132">
    <w:name w:val="Obyčajný text Char1132"/>
    <w:aliases w:val="Obyčajný text Char Char Char Char1133"/>
    <w:basedOn w:val="DefaultParagraphFont"/>
    <w:uiPriority w:val="99"/>
    <w:semiHidden/>
    <w:rPr>
      <w:rFonts w:ascii="Courier New" w:hAnsi="Courier New" w:cs="Courier New"/>
      <w:rtl w:val="0"/>
      <w:cs w:val="0"/>
      <w:lang w:val="x-none" w:eastAsia="cs-CZ"/>
    </w:rPr>
  </w:style>
  <w:style w:type="character" w:customStyle="1" w:styleId="ObyajntextChar1131">
    <w:name w:val="Obyčajný text Char1131"/>
    <w:aliases w:val="Obyčajný text Char Char Char Char1132"/>
    <w:basedOn w:val="DefaultParagraphFont"/>
    <w:uiPriority w:val="99"/>
    <w:semiHidden/>
    <w:rPr>
      <w:rFonts w:ascii="Courier New" w:hAnsi="Courier New" w:cs="Courier New"/>
      <w:rtl w:val="0"/>
      <w:cs w:val="0"/>
      <w:lang w:val="x-none" w:eastAsia="cs-CZ"/>
    </w:rPr>
  </w:style>
  <w:style w:type="character" w:customStyle="1" w:styleId="ObyajntextChar1130">
    <w:name w:val="Obyčajný text Char1130"/>
    <w:aliases w:val="Obyčajný text Char Char Char Char1131"/>
    <w:basedOn w:val="DefaultParagraphFont"/>
    <w:uiPriority w:val="99"/>
    <w:semiHidden/>
    <w:rPr>
      <w:rFonts w:ascii="Courier New" w:hAnsi="Courier New" w:cs="Courier New"/>
      <w:rtl w:val="0"/>
      <w:cs w:val="0"/>
      <w:lang w:val="x-none" w:eastAsia="cs-CZ"/>
    </w:rPr>
  </w:style>
  <w:style w:type="character" w:customStyle="1" w:styleId="ObyajntextChar1129">
    <w:name w:val="Obyčajný text Char1129"/>
    <w:aliases w:val="Obyčajný text Char Char Char Char1130"/>
    <w:basedOn w:val="DefaultParagraphFont"/>
    <w:uiPriority w:val="99"/>
    <w:semiHidden/>
    <w:rPr>
      <w:rFonts w:ascii="Courier New" w:hAnsi="Courier New" w:cs="Courier New"/>
      <w:rtl w:val="0"/>
      <w:cs w:val="0"/>
      <w:lang w:val="x-none" w:eastAsia="cs-CZ"/>
    </w:rPr>
  </w:style>
  <w:style w:type="character" w:customStyle="1" w:styleId="ObyajntextChar1128">
    <w:name w:val="Obyčajný text Char1128"/>
    <w:aliases w:val="Obyčajný text Char Char Char Char1129"/>
    <w:basedOn w:val="DefaultParagraphFont"/>
    <w:uiPriority w:val="99"/>
    <w:semiHidden/>
    <w:rPr>
      <w:rFonts w:ascii="Courier New" w:hAnsi="Courier New" w:cs="Courier New"/>
      <w:rtl w:val="0"/>
      <w:cs w:val="0"/>
      <w:lang w:val="x-none" w:eastAsia="cs-CZ"/>
    </w:rPr>
  </w:style>
  <w:style w:type="character" w:customStyle="1" w:styleId="ObyajntextChar1127">
    <w:name w:val="Obyčajný text Char1127"/>
    <w:aliases w:val="Obyčajný text Char Char Char Char1128"/>
    <w:basedOn w:val="DefaultParagraphFont"/>
    <w:uiPriority w:val="99"/>
    <w:semiHidden/>
    <w:rPr>
      <w:rFonts w:ascii="Courier New" w:hAnsi="Courier New" w:cs="Courier New"/>
      <w:rtl w:val="0"/>
      <w:cs w:val="0"/>
      <w:lang w:val="x-none" w:eastAsia="cs-CZ"/>
    </w:rPr>
  </w:style>
  <w:style w:type="character" w:customStyle="1" w:styleId="ObyajntextChar1126">
    <w:name w:val="Obyčajný text Char1126"/>
    <w:aliases w:val="Obyčajný text Char Char Char Char1127"/>
    <w:basedOn w:val="DefaultParagraphFont"/>
    <w:uiPriority w:val="99"/>
    <w:semiHidden/>
    <w:rPr>
      <w:rFonts w:ascii="Courier New" w:hAnsi="Courier New" w:cs="Courier New"/>
      <w:rtl w:val="0"/>
      <w:cs w:val="0"/>
      <w:lang w:val="x-none" w:eastAsia="cs-CZ"/>
    </w:rPr>
  </w:style>
  <w:style w:type="character" w:customStyle="1" w:styleId="ObyajntextChar1125">
    <w:name w:val="Obyčajný text Char1125"/>
    <w:aliases w:val="Obyčajný text Char Char Char Char1126"/>
    <w:basedOn w:val="DefaultParagraphFont"/>
    <w:uiPriority w:val="99"/>
    <w:semiHidden/>
    <w:rPr>
      <w:rFonts w:ascii="Courier New" w:hAnsi="Courier New" w:cs="Courier New"/>
      <w:rtl w:val="0"/>
      <w:cs w:val="0"/>
      <w:lang w:val="x-none" w:eastAsia="cs-CZ"/>
    </w:rPr>
  </w:style>
  <w:style w:type="character" w:customStyle="1" w:styleId="ObyajntextChar1124">
    <w:name w:val="Obyčajný text Char1124"/>
    <w:aliases w:val="Obyčajný text Char Char Char Char1125"/>
    <w:basedOn w:val="DefaultParagraphFont"/>
    <w:uiPriority w:val="99"/>
    <w:semiHidden/>
    <w:rPr>
      <w:rFonts w:ascii="Courier New" w:hAnsi="Courier New" w:cs="Courier New"/>
      <w:rtl w:val="0"/>
      <w:cs w:val="0"/>
      <w:lang w:val="x-none" w:eastAsia="cs-CZ"/>
    </w:rPr>
  </w:style>
  <w:style w:type="character" w:customStyle="1" w:styleId="ObyajntextChar1123">
    <w:name w:val="Obyčajný text Char1123"/>
    <w:aliases w:val="Obyčajný text Char Char Char Char1124"/>
    <w:basedOn w:val="DefaultParagraphFont"/>
    <w:uiPriority w:val="99"/>
    <w:semiHidden/>
    <w:rPr>
      <w:rFonts w:ascii="Courier New" w:hAnsi="Courier New" w:cs="Courier New"/>
      <w:rtl w:val="0"/>
      <w:cs w:val="0"/>
      <w:lang w:val="x-none" w:eastAsia="cs-CZ"/>
    </w:rPr>
  </w:style>
  <w:style w:type="character" w:customStyle="1" w:styleId="ObyajntextChar1122">
    <w:name w:val="Obyčajný text Char1122"/>
    <w:aliases w:val="Obyčajný text Char Char Char Char1123"/>
    <w:basedOn w:val="DefaultParagraphFont"/>
    <w:uiPriority w:val="99"/>
    <w:semiHidden/>
    <w:rPr>
      <w:rFonts w:ascii="Courier New" w:hAnsi="Courier New" w:cs="Courier New"/>
      <w:rtl w:val="0"/>
      <w:cs w:val="0"/>
      <w:lang w:val="x-none" w:eastAsia="cs-CZ"/>
    </w:rPr>
  </w:style>
  <w:style w:type="character" w:customStyle="1" w:styleId="ObyajntextChar1121">
    <w:name w:val="Obyčajný text Char1121"/>
    <w:aliases w:val="Obyčajný text Char Char Char Char1122"/>
    <w:basedOn w:val="DefaultParagraphFont"/>
    <w:uiPriority w:val="99"/>
    <w:semiHidden/>
    <w:rPr>
      <w:rFonts w:ascii="Courier New" w:hAnsi="Courier New" w:cs="Courier New"/>
      <w:rtl w:val="0"/>
      <w:cs w:val="0"/>
      <w:lang w:val="x-none" w:eastAsia="cs-CZ"/>
    </w:rPr>
  </w:style>
  <w:style w:type="character" w:customStyle="1" w:styleId="ObyajntextChar1120">
    <w:name w:val="Obyčajný text Char1120"/>
    <w:aliases w:val="Obyčajný text Char Char Char Char1121"/>
    <w:basedOn w:val="DefaultParagraphFont"/>
    <w:uiPriority w:val="99"/>
    <w:semiHidden/>
    <w:rPr>
      <w:rFonts w:ascii="Courier New" w:hAnsi="Courier New" w:cs="Courier New"/>
      <w:rtl w:val="0"/>
      <w:cs w:val="0"/>
      <w:lang w:val="x-none" w:eastAsia="cs-CZ"/>
    </w:rPr>
  </w:style>
  <w:style w:type="character" w:customStyle="1" w:styleId="ObyajntextChar1119">
    <w:name w:val="Obyčajný text Char1119"/>
    <w:aliases w:val="Obyčajný text Char Char Char Char1120"/>
    <w:basedOn w:val="DefaultParagraphFont"/>
    <w:uiPriority w:val="99"/>
    <w:semiHidden/>
    <w:rPr>
      <w:rFonts w:ascii="Courier New" w:hAnsi="Courier New" w:cs="Courier New"/>
      <w:rtl w:val="0"/>
      <w:cs w:val="0"/>
      <w:lang w:val="x-none" w:eastAsia="cs-CZ"/>
    </w:rPr>
  </w:style>
  <w:style w:type="character" w:customStyle="1" w:styleId="ObyajntextChar1118">
    <w:name w:val="Obyčajný text Char1118"/>
    <w:aliases w:val="Obyčajný text Char Char Char Char1119"/>
    <w:basedOn w:val="DefaultParagraphFont"/>
    <w:uiPriority w:val="99"/>
    <w:semiHidden/>
    <w:rPr>
      <w:rFonts w:ascii="Courier New" w:hAnsi="Courier New" w:cs="Courier New"/>
      <w:rtl w:val="0"/>
      <w:cs w:val="0"/>
      <w:lang w:val="x-none" w:eastAsia="cs-CZ"/>
    </w:rPr>
  </w:style>
  <w:style w:type="character" w:customStyle="1" w:styleId="ObyajntextChar1117">
    <w:name w:val="Obyčajný text Char1117"/>
    <w:aliases w:val="Obyčajný text Char Char Char Char1118"/>
    <w:basedOn w:val="DefaultParagraphFont"/>
    <w:uiPriority w:val="99"/>
    <w:semiHidden/>
    <w:rPr>
      <w:rFonts w:ascii="Courier New" w:hAnsi="Courier New" w:cs="Courier New"/>
      <w:rtl w:val="0"/>
      <w:cs w:val="0"/>
      <w:lang w:val="x-none" w:eastAsia="cs-CZ"/>
    </w:rPr>
  </w:style>
  <w:style w:type="character" w:customStyle="1" w:styleId="ObyajntextChar1116">
    <w:name w:val="Obyčajný text Char1116"/>
    <w:aliases w:val="Obyčajný text Char Char Char Char1117"/>
    <w:basedOn w:val="DefaultParagraphFont"/>
    <w:uiPriority w:val="99"/>
    <w:semiHidden/>
    <w:rPr>
      <w:rFonts w:ascii="Courier New" w:hAnsi="Courier New" w:cs="Courier New"/>
      <w:rtl w:val="0"/>
      <w:cs w:val="0"/>
      <w:lang w:val="x-none" w:eastAsia="cs-CZ"/>
    </w:rPr>
  </w:style>
  <w:style w:type="character" w:customStyle="1" w:styleId="ObyajntextChar1115">
    <w:name w:val="Obyčajný text Char1115"/>
    <w:aliases w:val="Obyčajný text Char Char Char Char1116"/>
    <w:basedOn w:val="DefaultParagraphFont"/>
    <w:uiPriority w:val="99"/>
    <w:semiHidden/>
    <w:rPr>
      <w:rFonts w:ascii="Courier New" w:hAnsi="Courier New" w:cs="Courier New"/>
      <w:rtl w:val="0"/>
      <w:cs w:val="0"/>
      <w:lang w:val="x-none" w:eastAsia="cs-CZ"/>
    </w:rPr>
  </w:style>
  <w:style w:type="character" w:customStyle="1" w:styleId="ObyajntextChar1114">
    <w:name w:val="Obyčajný text Char1114"/>
    <w:aliases w:val="Obyčajný text Char Char Char Char1115"/>
    <w:basedOn w:val="DefaultParagraphFont"/>
    <w:uiPriority w:val="99"/>
    <w:semiHidden/>
    <w:rPr>
      <w:rFonts w:ascii="Courier New" w:hAnsi="Courier New" w:cs="Courier New"/>
      <w:rtl w:val="0"/>
      <w:cs w:val="0"/>
      <w:lang w:val="x-none" w:eastAsia="cs-CZ"/>
    </w:rPr>
  </w:style>
  <w:style w:type="character" w:customStyle="1" w:styleId="ObyajntextChar1113">
    <w:name w:val="Obyčajný text Char1113"/>
    <w:aliases w:val="Obyčajný text Char Char Char Char1114"/>
    <w:basedOn w:val="DefaultParagraphFont"/>
    <w:uiPriority w:val="99"/>
    <w:semiHidden/>
    <w:rPr>
      <w:rFonts w:ascii="Courier New" w:hAnsi="Courier New" w:cs="Courier New"/>
      <w:rtl w:val="0"/>
      <w:cs w:val="0"/>
      <w:lang w:val="x-none" w:eastAsia="cs-CZ"/>
    </w:rPr>
  </w:style>
  <w:style w:type="character" w:customStyle="1" w:styleId="ObyajntextChar1112">
    <w:name w:val="Obyčajný text Char1112"/>
    <w:aliases w:val="Obyčajný text Char Char Char Char1113"/>
    <w:basedOn w:val="DefaultParagraphFont"/>
    <w:uiPriority w:val="99"/>
    <w:semiHidden/>
    <w:rPr>
      <w:rFonts w:ascii="Courier New" w:hAnsi="Courier New" w:cs="Courier New"/>
      <w:rtl w:val="0"/>
      <w:cs w:val="0"/>
      <w:lang w:val="x-none" w:eastAsia="cs-CZ"/>
    </w:rPr>
  </w:style>
  <w:style w:type="character" w:customStyle="1" w:styleId="ObyajntextChar1111">
    <w:name w:val="Obyčajný text Char1111"/>
    <w:aliases w:val="Obyčajný text Char Char Char Char1112"/>
    <w:basedOn w:val="DefaultParagraphFont"/>
    <w:uiPriority w:val="99"/>
    <w:semiHidden/>
    <w:rPr>
      <w:rFonts w:ascii="Courier New" w:hAnsi="Courier New" w:cs="Courier New"/>
      <w:rtl w:val="0"/>
      <w:cs w:val="0"/>
      <w:lang w:val="x-none" w:eastAsia="cs-CZ"/>
    </w:rPr>
  </w:style>
  <w:style w:type="character" w:customStyle="1" w:styleId="ObyajntextChar1110">
    <w:name w:val="Obyčajný text Char1110"/>
    <w:aliases w:val="Obyčajný text Char Char Char Char1111"/>
    <w:basedOn w:val="DefaultParagraphFont"/>
    <w:uiPriority w:val="99"/>
    <w:semiHidden/>
    <w:rPr>
      <w:rFonts w:ascii="Courier New" w:hAnsi="Courier New" w:cs="Courier New"/>
      <w:rtl w:val="0"/>
      <w:cs w:val="0"/>
      <w:lang w:val="x-none" w:eastAsia="cs-CZ"/>
    </w:rPr>
  </w:style>
  <w:style w:type="character" w:customStyle="1" w:styleId="ObyajntextChar1109">
    <w:name w:val="Obyčajný text Char1109"/>
    <w:aliases w:val="Obyčajný text Char Char Char Char1110"/>
    <w:basedOn w:val="DefaultParagraphFont"/>
    <w:uiPriority w:val="99"/>
    <w:semiHidden/>
    <w:rPr>
      <w:rFonts w:ascii="Courier New" w:hAnsi="Courier New" w:cs="Courier New"/>
      <w:rtl w:val="0"/>
      <w:cs w:val="0"/>
      <w:lang w:val="x-none" w:eastAsia="cs-CZ"/>
    </w:rPr>
  </w:style>
  <w:style w:type="character" w:customStyle="1" w:styleId="ObyajntextChar1108">
    <w:name w:val="Obyčajný text Char1108"/>
    <w:aliases w:val="Obyčajný text Char Char Char Char1109"/>
    <w:basedOn w:val="DefaultParagraphFont"/>
    <w:uiPriority w:val="99"/>
    <w:semiHidden/>
    <w:rPr>
      <w:rFonts w:ascii="Courier New" w:hAnsi="Courier New" w:cs="Courier New"/>
      <w:rtl w:val="0"/>
      <w:cs w:val="0"/>
      <w:lang w:val="x-none" w:eastAsia="cs-CZ"/>
    </w:rPr>
  </w:style>
  <w:style w:type="character" w:customStyle="1" w:styleId="ObyajntextChar1107">
    <w:name w:val="Obyčajný text Char1107"/>
    <w:aliases w:val="Obyčajný text Char Char Char Char1108"/>
    <w:basedOn w:val="DefaultParagraphFont"/>
    <w:uiPriority w:val="99"/>
    <w:semiHidden/>
    <w:rPr>
      <w:rFonts w:ascii="Courier New" w:hAnsi="Courier New" w:cs="Courier New"/>
      <w:rtl w:val="0"/>
      <w:cs w:val="0"/>
      <w:lang w:val="x-none" w:eastAsia="cs-CZ"/>
    </w:rPr>
  </w:style>
  <w:style w:type="character" w:customStyle="1" w:styleId="ObyajntextChar1106">
    <w:name w:val="Obyčajný text Char1106"/>
    <w:aliases w:val="Obyčajný text Char Char Char Char1107"/>
    <w:basedOn w:val="DefaultParagraphFont"/>
    <w:uiPriority w:val="99"/>
    <w:semiHidden/>
    <w:rPr>
      <w:rFonts w:ascii="Courier New" w:hAnsi="Courier New" w:cs="Courier New"/>
      <w:rtl w:val="0"/>
      <w:cs w:val="0"/>
      <w:lang w:val="x-none" w:eastAsia="cs-CZ"/>
    </w:rPr>
  </w:style>
  <w:style w:type="character" w:customStyle="1" w:styleId="ObyajntextChar1105">
    <w:name w:val="Obyčajný text Char1105"/>
    <w:aliases w:val="Obyčajný text Char Char Char Char1106"/>
    <w:basedOn w:val="DefaultParagraphFont"/>
    <w:uiPriority w:val="99"/>
    <w:semiHidden/>
    <w:rPr>
      <w:rFonts w:ascii="Courier New" w:hAnsi="Courier New" w:cs="Courier New"/>
      <w:rtl w:val="0"/>
      <w:cs w:val="0"/>
      <w:lang w:val="x-none" w:eastAsia="cs-CZ"/>
    </w:rPr>
  </w:style>
  <w:style w:type="character" w:customStyle="1" w:styleId="ObyajntextChar1104">
    <w:name w:val="Obyčajný text Char1104"/>
    <w:aliases w:val="Obyčajný text Char Char Char Char1105"/>
    <w:basedOn w:val="DefaultParagraphFont"/>
    <w:uiPriority w:val="99"/>
    <w:semiHidden/>
    <w:rPr>
      <w:rFonts w:ascii="Courier New" w:hAnsi="Courier New" w:cs="Courier New"/>
      <w:rtl w:val="0"/>
      <w:cs w:val="0"/>
      <w:lang w:val="x-none" w:eastAsia="cs-CZ"/>
    </w:rPr>
  </w:style>
  <w:style w:type="character" w:customStyle="1" w:styleId="ObyajntextChar1103">
    <w:name w:val="Obyčajný text Char1103"/>
    <w:aliases w:val="Obyčajný text Char Char Char Char1104"/>
    <w:basedOn w:val="DefaultParagraphFont"/>
    <w:uiPriority w:val="99"/>
    <w:semiHidden/>
    <w:rPr>
      <w:rFonts w:ascii="Courier New" w:hAnsi="Courier New" w:cs="Courier New"/>
      <w:rtl w:val="0"/>
      <w:cs w:val="0"/>
      <w:lang w:val="x-none" w:eastAsia="cs-CZ"/>
    </w:rPr>
  </w:style>
  <w:style w:type="character" w:customStyle="1" w:styleId="ObyajntextChar1102">
    <w:name w:val="Obyčajný text Char1102"/>
    <w:aliases w:val="Obyčajný text Char Char Char Char1103"/>
    <w:basedOn w:val="DefaultParagraphFont"/>
    <w:uiPriority w:val="99"/>
    <w:semiHidden/>
    <w:rPr>
      <w:rFonts w:ascii="Courier New" w:hAnsi="Courier New" w:cs="Courier New"/>
      <w:rtl w:val="0"/>
      <w:cs w:val="0"/>
      <w:lang w:val="x-none" w:eastAsia="cs-CZ"/>
    </w:rPr>
  </w:style>
  <w:style w:type="character" w:customStyle="1" w:styleId="ObyajntextChar1101">
    <w:name w:val="Obyčajný text Char1101"/>
    <w:aliases w:val="Obyčajný text Char Char Char Char1102"/>
    <w:basedOn w:val="DefaultParagraphFont"/>
    <w:uiPriority w:val="99"/>
    <w:semiHidden/>
    <w:rPr>
      <w:rFonts w:ascii="Courier New" w:hAnsi="Courier New" w:cs="Courier New"/>
      <w:rtl w:val="0"/>
      <w:cs w:val="0"/>
      <w:lang w:val="x-none" w:eastAsia="cs-CZ"/>
    </w:rPr>
  </w:style>
  <w:style w:type="character" w:customStyle="1" w:styleId="ObyajntextChar1100">
    <w:name w:val="Obyčajný text Char1100"/>
    <w:aliases w:val="Obyčajný text Char Char Char Char1101"/>
    <w:basedOn w:val="DefaultParagraphFont"/>
    <w:uiPriority w:val="99"/>
    <w:semiHidden/>
    <w:rPr>
      <w:rFonts w:ascii="Courier New" w:hAnsi="Courier New" w:cs="Courier New"/>
      <w:rtl w:val="0"/>
      <w:cs w:val="0"/>
      <w:lang w:val="x-none" w:eastAsia="cs-CZ"/>
    </w:rPr>
  </w:style>
  <w:style w:type="character" w:customStyle="1" w:styleId="ObyajntextChar199">
    <w:name w:val="Obyčajný text Char199"/>
    <w:aliases w:val="Obyčajný text Char Char Char Char1100"/>
    <w:basedOn w:val="DefaultParagraphFont"/>
    <w:uiPriority w:val="99"/>
    <w:semiHidden/>
    <w:rPr>
      <w:rFonts w:ascii="Courier New" w:hAnsi="Courier New" w:cs="Courier New"/>
      <w:rtl w:val="0"/>
      <w:cs w:val="0"/>
      <w:lang w:val="x-none" w:eastAsia="cs-CZ"/>
    </w:rPr>
  </w:style>
  <w:style w:type="character" w:customStyle="1" w:styleId="ObyajntextChar198">
    <w:name w:val="Obyčajný text Char198"/>
    <w:aliases w:val="Obyčajný text Char Char Char Char199"/>
    <w:basedOn w:val="DefaultParagraphFont"/>
    <w:uiPriority w:val="99"/>
    <w:semiHidden/>
    <w:rPr>
      <w:rFonts w:ascii="Courier New" w:hAnsi="Courier New" w:cs="Courier New"/>
      <w:rtl w:val="0"/>
      <w:cs w:val="0"/>
      <w:lang w:val="x-none" w:eastAsia="cs-CZ"/>
    </w:rPr>
  </w:style>
  <w:style w:type="character" w:customStyle="1" w:styleId="ObyajntextChar197">
    <w:name w:val="Obyčajný text Char197"/>
    <w:aliases w:val="Obyčajný text Char Char Char Char198"/>
    <w:basedOn w:val="DefaultParagraphFont"/>
    <w:uiPriority w:val="99"/>
    <w:semiHidden/>
    <w:rPr>
      <w:rFonts w:ascii="Courier New" w:hAnsi="Courier New" w:cs="Courier New"/>
      <w:rtl w:val="0"/>
      <w:cs w:val="0"/>
      <w:lang w:val="x-none" w:eastAsia="cs-CZ"/>
    </w:rPr>
  </w:style>
  <w:style w:type="character" w:customStyle="1" w:styleId="ObyajntextChar196">
    <w:name w:val="Obyčajný text Char196"/>
    <w:aliases w:val="Obyčajný text Char Char Char Char197"/>
    <w:basedOn w:val="DefaultParagraphFont"/>
    <w:uiPriority w:val="99"/>
    <w:semiHidden/>
    <w:rPr>
      <w:rFonts w:ascii="Courier New" w:hAnsi="Courier New" w:cs="Courier New"/>
      <w:rtl w:val="0"/>
      <w:cs w:val="0"/>
      <w:lang w:val="x-none" w:eastAsia="cs-CZ"/>
    </w:rPr>
  </w:style>
  <w:style w:type="character" w:customStyle="1" w:styleId="ObyajntextChar195">
    <w:name w:val="Obyčajný text Char195"/>
    <w:aliases w:val="Obyčajný text Char Char Char Char196"/>
    <w:basedOn w:val="DefaultParagraphFont"/>
    <w:uiPriority w:val="99"/>
    <w:semiHidden/>
    <w:rPr>
      <w:rFonts w:ascii="Courier New" w:hAnsi="Courier New" w:cs="Courier New"/>
      <w:rtl w:val="0"/>
      <w:cs w:val="0"/>
      <w:lang w:val="x-none" w:eastAsia="cs-CZ"/>
    </w:rPr>
  </w:style>
  <w:style w:type="character" w:customStyle="1" w:styleId="ObyajntextChar194">
    <w:name w:val="Obyčajný text Char194"/>
    <w:aliases w:val="Obyčajný text Char Char Char Char195"/>
    <w:basedOn w:val="DefaultParagraphFont"/>
    <w:uiPriority w:val="99"/>
    <w:semiHidden/>
    <w:rPr>
      <w:rFonts w:ascii="Courier New" w:hAnsi="Courier New" w:cs="Courier New"/>
      <w:rtl w:val="0"/>
      <w:cs w:val="0"/>
      <w:lang w:val="x-none" w:eastAsia="cs-CZ"/>
    </w:rPr>
  </w:style>
  <w:style w:type="character" w:customStyle="1" w:styleId="ObyajntextChar193">
    <w:name w:val="Obyčajný text Char193"/>
    <w:aliases w:val="Obyčajný text Char Char Char Char194"/>
    <w:basedOn w:val="DefaultParagraphFont"/>
    <w:uiPriority w:val="99"/>
    <w:semiHidden/>
    <w:rPr>
      <w:rFonts w:ascii="Courier New" w:hAnsi="Courier New" w:cs="Courier New"/>
      <w:rtl w:val="0"/>
      <w:cs w:val="0"/>
      <w:lang w:val="x-none" w:eastAsia="cs-CZ"/>
    </w:rPr>
  </w:style>
  <w:style w:type="character" w:customStyle="1" w:styleId="ObyajntextChar192">
    <w:name w:val="Obyčajný text Char192"/>
    <w:aliases w:val="Obyčajný text Char Char Char Char193"/>
    <w:basedOn w:val="DefaultParagraphFont"/>
    <w:uiPriority w:val="99"/>
    <w:semiHidden/>
    <w:rPr>
      <w:rFonts w:ascii="Courier New" w:hAnsi="Courier New" w:cs="Courier New"/>
      <w:rtl w:val="0"/>
      <w:cs w:val="0"/>
      <w:lang w:val="x-none" w:eastAsia="cs-CZ"/>
    </w:rPr>
  </w:style>
  <w:style w:type="character" w:customStyle="1" w:styleId="ObyajntextChar191">
    <w:name w:val="Obyčajný text Char191"/>
    <w:aliases w:val="Obyčajný text Char Char Char Char192"/>
    <w:basedOn w:val="DefaultParagraphFont"/>
    <w:uiPriority w:val="99"/>
    <w:semiHidden/>
    <w:rPr>
      <w:rFonts w:ascii="Courier New" w:hAnsi="Courier New" w:cs="Courier New"/>
      <w:rtl w:val="0"/>
      <w:cs w:val="0"/>
      <w:lang w:val="x-none" w:eastAsia="cs-CZ"/>
    </w:rPr>
  </w:style>
  <w:style w:type="character" w:customStyle="1" w:styleId="ObyajntextChar190">
    <w:name w:val="Obyčajný text Char190"/>
    <w:aliases w:val="Obyčajný text Char Char Char Char191"/>
    <w:basedOn w:val="DefaultParagraphFont"/>
    <w:uiPriority w:val="99"/>
    <w:semiHidden/>
    <w:rPr>
      <w:rFonts w:ascii="Courier New" w:hAnsi="Courier New" w:cs="Courier New"/>
      <w:rtl w:val="0"/>
      <w:cs w:val="0"/>
      <w:lang w:val="x-none" w:eastAsia="cs-CZ"/>
    </w:rPr>
  </w:style>
  <w:style w:type="character" w:customStyle="1" w:styleId="ObyajntextChar189">
    <w:name w:val="Obyčajný text Char189"/>
    <w:aliases w:val="Obyčajný text Char Char Char Char190"/>
    <w:basedOn w:val="DefaultParagraphFont"/>
    <w:uiPriority w:val="99"/>
    <w:semiHidden/>
    <w:rPr>
      <w:rFonts w:ascii="Courier New" w:hAnsi="Courier New" w:cs="Courier New"/>
      <w:rtl w:val="0"/>
      <w:cs w:val="0"/>
      <w:lang w:val="x-none" w:eastAsia="cs-CZ"/>
    </w:rPr>
  </w:style>
  <w:style w:type="character" w:customStyle="1" w:styleId="ObyajntextChar188">
    <w:name w:val="Obyčajný text Char188"/>
    <w:aliases w:val="Obyčajný text Char Char Char Char189"/>
    <w:basedOn w:val="DefaultParagraphFont"/>
    <w:uiPriority w:val="99"/>
    <w:semiHidden/>
    <w:rPr>
      <w:rFonts w:ascii="Courier New" w:hAnsi="Courier New" w:cs="Courier New"/>
      <w:rtl w:val="0"/>
      <w:cs w:val="0"/>
      <w:lang w:val="x-none" w:eastAsia="cs-CZ"/>
    </w:rPr>
  </w:style>
  <w:style w:type="character" w:customStyle="1" w:styleId="ObyajntextChar187">
    <w:name w:val="Obyčajný text Char187"/>
    <w:aliases w:val="Obyčajný text Char Char Char Char188"/>
    <w:basedOn w:val="DefaultParagraphFont"/>
    <w:uiPriority w:val="99"/>
    <w:semiHidden/>
    <w:rPr>
      <w:rFonts w:ascii="Courier New" w:hAnsi="Courier New" w:cs="Courier New"/>
      <w:rtl w:val="0"/>
      <w:cs w:val="0"/>
      <w:lang w:val="x-none" w:eastAsia="cs-CZ"/>
    </w:rPr>
  </w:style>
  <w:style w:type="character" w:customStyle="1" w:styleId="ObyajntextChar186">
    <w:name w:val="Obyčajný text Char186"/>
    <w:aliases w:val="Obyčajný text Char Char Char Char187"/>
    <w:basedOn w:val="DefaultParagraphFont"/>
    <w:uiPriority w:val="99"/>
    <w:semiHidden/>
    <w:rPr>
      <w:rFonts w:ascii="Courier New" w:hAnsi="Courier New" w:cs="Courier New"/>
      <w:rtl w:val="0"/>
      <w:cs w:val="0"/>
      <w:lang w:val="x-none" w:eastAsia="cs-CZ"/>
    </w:rPr>
  </w:style>
  <w:style w:type="character" w:customStyle="1" w:styleId="ObyajntextChar185">
    <w:name w:val="Obyčajný text Char185"/>
    <w:aliases w:val="Obyčajný text Char Char Char Char186"/>
    <w:basedOn w:val="DefaultParagraphFont"/>
    <w:uiPriority w:val="99"/>
    <w:semiHidden/>
    <w:rPr>
      <w:rFonts w:ascii="Courier New" w:hAnsi="Courier New" w:cs="Courier New"/>
      <w:rtl w:val="0"/>
      <w:cs w:val="0"/>
      <w:lang w:val="x-none" w:eastAsia="cs-CZ"/>
    </w:rPr>
  </w:style>
  <w:style w:type="character" w:customStyle="1" w:styleId="ObyajntextChar184">
    <w:name w:val="Obyčajný text Char184"/>
    <w:aliases w:val="Obyčajný text Char Char Char Char185"/>
    <w:basedOn w:val="DefaultParagraphFont"/>
    <w:uiPriority w:val="99"/>
    <w:semiHidden/>
    <w:rPr>
      <w:rFonts w:ascii="Courier New" w:hAnsi="Courier New" w:cs="Courier New"/>
      <w:rtl w:val="0"/>
      <w:cs w:val="0"/>
      <w:lang w:val="x-none" w:eastAsia="cs-CZ"/>
    </w:rPr>
  </w:style>
  <w:style w:type="character" w:customStyle="1" w:styleId="ObyajntextChar183">
    <w:name w:val="Obyčajný text Char183"/>
    <w:aliases w:val="Obyčajný text Char Char Char Char184"/>
    <w:basedOn w:val="DefaultParagraphFont"/>
    <w:uiPriority w:val="99"/>
    <w:semiHidden/>
    <w:rPr>
      <w:rFonts w:ascii="Courier New" w:hAnsi="Courier New" w:cs="Courier New"/>
      <w:rtl w:val="0"/>
      <w:cs w:val="0"/>
      <w:lang w:val="x-none" w:eastAsia="cs-CZ"/>
    </w:rPr>
  </w:style>
  <w:style w:type="character" w:customStyle="1" w:styleId="ObyajntextChar182">
    <w:name w:val="Obyčajný text Char182"/>
    <w:aliases w:val="Obyčajný text Char Char Char Char183"/>
    <w:basedOn w:val="DefaultParagraphFont"/>
    <w:uiPriority w:val="99"/>
    <w:semiHidden/>
    <w:rPr>
      <w:rFonts w:ascii="Courier New" w:hAnsi="Courier New" w:cs="Courier New"/>
      <w:rtl w:val="0"/>
      <w:cs w:val="0"/>
      <w:lang w:val="x-none" w:eastAsia="cs-CZ"/>
    </w:rPr>
  </w:style>
  <w:style w:type="character" w:customStyle="1" w:styleId="ObyajntextChar181">
    <w:name w:val="Obyčajný text Char181"/>
    <w:aliases w:val="Obyčajný text Char Char Char Char182"/>
    <w:basedOn w:val="DefaultParagraphFont"/>
    <w:uiPriority w:val="99"/>
    <w:semiHidden/>
    <w:rPr>
      <w:rFonts w:ascii="Courier New" w:hAnsi="Courier New" w:cs="Courier New"/>
      <w:rtl w:val="0"/>
      <w:cs w:val="0"/>
      <w:lang w:val="x-none" w:eastAsia="cs-CZ"/>
    </w:rPr>
  </w:style>
  <w:style w:type="character" w:customStyle="1" w:styleId="ObyajntextChar180">
    <w:name w:val="Obyčajný text Char180"/>
    <w:aliases w:val="Obyčajný text Char Char Char Char181"/>
    <w:basedOn w:val="DefaultParagraphFont"/>
    <w:uiPriority w:val="99"/>
    <w:semiHidden/>
    <w:rPr>
      <w:rFonts w:ascii="Courier New" w:hAnsi="Courier New" w:cs="Courier New"/>
      <w:rtl w:val="0"/>
      <w:cs w:val="0"/>
      <w:lang w:val="x-none" w:eastAsia="cs-CZ"/>
    </w:rPr>
  </w:style>
  <w:style w:type="character" w:customStyle="1" w:styleId="ObyajntextChar179">
    <w:name w:val="Obyčajný text Char179"/>
    <w:aliases w:val="Obyčajný text Char Char Char Char180"/>
    <w:basedOn w:val="DefaultParagraphFont"/>
    <w:uiPriority w:val="99"/>
    <w:semiHidden/>
    <w:rPr>
      <w:rFonts w:ascii="Courier New" w:hAnsi="Courier New" w:cs="Courier New"/>
      <w:rtl w:val="0"/>
      <w:cs w:val="0"/>
      <w:lang w:val="x-none" w:eastAsia="cs-CZ"/>
    </w:rPr>
  </w:style>
  <w:style w:type="character" w:customStyle="1" w:styleId="ObyajntextChar178">
    <w:name w:val="Obyčajný text Char178"/>
    <w:aliases w:val="Obyčajný text Char Char Char Char179"/>
    <w:basedOn w:val="DefaultParagraphFont"/>
    <w:uiPriority w:val="99"/>
    <w:semiHidden/>
    <w:rPr>
      <w:rFonts w:ascii="Courier New" w:hAnsi="Courier New" w:cs="Courier New"/>
      <w:rtl w:val="0"/>
      <w:cs w:val="0"/>
      <w:lang w:val="x-none" w:eastAsia="cs-CZ"/>
    </w:rPr>
  </w:style>
  <w:style w:type="character" w:customStyle="1" w:styleId="ObyajntextChar177">
    <w:name w:val="Obyčajný text Char177"/>
    <w:aliases w:val="Obyčajný text Char Char Char Char178"/>
    <w:basedOn w:val="DefaultParagraphFont"/>
    <w:uiPriority w:val="99"/>
    <w:semiHidden/>
    <w:rPr>
      <w:rFonts w:ascii="Courier New" w:hAnsi="Courier New" w:cs="Courier New"/>
      <w:rtl w:val="0"/>
      <w:cs w:val="0"/>
      <w:lang w:val="x-none" w:eastAsia="cs-CZ"/>
    </w:rPr>
  </w:style>
  <w:style w:type="character" w:customStyle="1" w:styleId="ObyajntextChar176">
    <w:name w:val="Obyčajný text Char176"/>
    <w:aliases w:val="Obyčajný text Char Char Char Char177"/>
    <w:basedOn w:val="DefaultParagraphFont"/>
    <w:uiPriority w:val="99"/>
    <w:semiHidden/>
    <w:rPr>
      <w:rFonts w:ascii="Courier New" w:hAnsi="Courier New" w:cs="Courier New"/>
      <w:rtl w:val="0"/>
      <w:cs w:val="0"/>
      <w:lang w:val="x-none" w:eastAsia="cs-CZ"/>
    </w:rPr>
  </w:style>
  <w:style w:type="character" w:customStyle="1" w:styleId="ObyajntextChar175">
    <w:name w:val="Obyčajný text Char175"/>
    <w:aliases w:val="Obyčajný text Char Char Char Char176"/>
    <w:basedOn w:val="DefaultParagraphFont"/>
    <w:uiPriority w:val="99"/>
    <w:semiHidden/>
    <w:rPr>
      <w:rFonts w:ascii="Courier New" w:hAnsi="Courier New" w:cs="Courier New"/>
      <w:rtl w:val="0"/>
      <w:cs w:val="0"/>
      <w:lang w:val="x-none" w:eastAsia="cs-CZ"/>
    </w:rPr>
  </w:style>
  <w:style w:type="character" w:customStyle="1" w:styleId="ObyajntextChar174">
    <w:name w:val="Obyčajný text Char174"/>
    <w:aliases w:val="Obyčajný text Char Char Char Char175"/>
    <w:basedOn w:val="DefaultParagraphFont"/>
    <w:uiPriority w:val="99"/>
    <w:semiHidden/>
    <w:rPr>
      <w:rFonts w:ascii="Courier New" w:hAnsi="Courier New" w:cs="Courier New"/>
      <w:rtl w:val="0"/>
      <w:cs w:val="0"/>
      <w:lang w:val="x-none" w:eastAsia="cs-CZ"/>
    </w:rPr>
  </w:style>
  <w:style w:type="character" w:customStyle="1" w:styleId="ObyajntextChar173">
    <w:name w:val="Obyčajný text Char173"/>
    <w:aliases w:val="Obyčajný text Char Char Char Char174"/>
    <w:basedOn w:val="DefaultParagraphFont"/>
    <w:uiPriority w:val="99"/>
    <w:semiHidden/>
    <w:rPr>
      <w:rFonts w:ascii="Courier New" w:hAnsi="Courier New" w:cs="Courier New"/>
      <w:rtl w:val="0"/>
      <w:cs w:val="0"/>
      <w:lang w:val="x-none" w:eastAsia="cs-CZ"/>
    </w:rPr>
  </w:style>
  <w:style w:type="character" w:customStyle="1" w:styleId="ObyajntextChar172">
    <w:name w:val="Obyčajný text Char172"/>
    <w:aliases w:val="Obyčajný text Char Char Char Char173"/>
    <w:basedOn w:val="DefaultParagraphFont"/>
    <w:uiPriority w:val="99"/>
    <w:semiHidden/>
    <w:rPr>
      <w:rFonts w:ascii="Courier New" w:hAnsi="Courier New" w:cs="Courier New"/>
      <w:rtl w:val="0"/>
      <w:cs w:val="0"/>
      <w:lang w:val="x-none" w:eastAsia="cs-CZ"/>
    </w:rPr>
  </w:style>
  <w:style w:type="character" w:customStyle="1" w:styleId="ObyajntextChar171">
    <w:name w:val="Obyčajný text Char171"/>
    <w:aliases w:val="Obyčajný text Char Char Char Char172"/>
    <w:basedOn w:val="DefaultParagraphFont"/>
    <w:uiPriority w:val="99"/>
    <w:semiHidden/>
    <w:rPr>
      <w:rFonts w:ascii="Courier New" w:hAnsi="Courier New" w:cs="Courier New"/>
      <w:rtl w:val="0"/>
      <w:cs w:val="0"/>
      <w:lang w:val="x-none" w:eastAsia="cs-CZ"/>
    </w:rPr>
  </w:style>
  <w:style w:type="character" w:customStyle="1" w:styleId="ObyajntextChar170">
    <w:name w:val="Obyčajný text Char170"/>
    <w:aliases w:val="Obyčajný text Char Char Char Char171"/>
    <w:basedOn w:val="DefaultParagraphFont"/>
    <w:uiPriority w:val="99"/>
    <w:semiHidden/>
    <w:rPr>
      <w:rFonts w:ascii="Courier New" w:hAnsi="Courier New" w:cs="Courier New"/>
      <w:rtl w:val="0"/>
      <w:cs w:val="0"/>
      <w:lang w:val="x-none" w:eastAsia="cs-CZ"/>
    </w:rPr>
  </w:style>
  <w:style w:type="character" w:customStyle="1" w:styleId="ObyajntextChar169">
    <w:name w:val="Obyčajný text Char169"/>
    <w:aliases w:val="Obyčajný text Char Char Char Char170"/>
    <w:basedOn w:val="DefaultParagraphFont"/>
    <w:uiPriority w:val="99"/>
    <w:semiHidden/>
    <w:rPr>
      <w:rFonts w:ascii="Courier New" w:hAnsi="Courier New" w:cs="Courier New"/>
      <w:rtl w:val="0"/>
      <w:cs w:val="0"/>
      <w:lang w:val="x-none" w:eastAsia="cs-CZ"/>
    </w:rPr>
  </w:style>
  <w:style w:type="character" w:customStyle="1" w:styleId="ObyajntextChar168">
    <w:name w:val="Obyčajný text Char168"/>
    <w:aliases w:val="Obyčajný text Char Char Char Char169"/>
    <w:basedOn w:val="DefaultParagraphFont"/>
    <w:uiPriority w:val="99"/>
    <w:semiHidden/>
    <w:rPr>
      <w:rFonts w:ascii="Courier New" w:hAnsi="Courier New" w:cs="Courier New"/>
      <w:rtl w:val="0"/>
      <w:cs w:val="0"/>
      <w:lang w:val="x-none" w:eastAsia="cs-CZ"/>
    </w:rPr>
  </w:style>
  <w:style w:type="character" w:customStyle="1" w:styleId="ObyajntextChar167">
    <w:name w:val="Obyčajný text Char167"/>
    <w:aliases w:val="Obyčajný text Char Char Char Char168"/>
    <w:basedOn w:val="DefaultParagraphFont"/>
    <w:uiPriority w:val="99"/>
    <w:semiHidden/>
    <w:rPr>
      <w:rFonts w:ascii="Courier New" w:hAnsi="Courier New" w:cs="Courier New"/>
      <w:rtl w:val="0"/>
      <w:cs w:val="0"/>
      <w:lang w:val="x-none" w:eastAsia="cs-CZ"/>
    </w:rPr>
  </w:style>
  <w:style w:type="character" w:customStyle="1" w:styleId="ObyajntextChar166">
    <w:name w:val="Obyčajný text Char166"/>
    <w:aliases w:val="Obyčajný text Char Char Char Char167"/>
    <w:basedOn w:val="DefaultParagraphFont"/>
    <w:uiPriority w:val="99"/>
    <w:semiHidden/>
    <w:rPr>
      <w:rFonts w:ascii="Courier New" w:hAnsi="Courier New" w:cs="Courier New"/>
      <w:rtl w:val="0"/>
      <w:cs w:val="0"/>
      <w:lang w:val="x-none" w:eastAsia="cs-CZ"/>
    </w:rPr>
  </w:style>
  <w:style w:type="character" w:customStyle="1" w:styleId="ObyajntextChar165">
    <w:name w:val="Obyčajný text Char165"/>
    <w:aliases w:val="Obyčajný text Char Char Char Char166"/>
    <w:basedOn w:val="DefaultParagraphFont"/>
    <w:uiPriority w:val="99"/>
    <w:semiHidden/>
    <w:rPr>
      <w:rFonts w:ascii="Courier New" w:hAnsi="Courier New" w:cs="Courier New"/>
      <w:rtl w:val="0"/>
      <w:cs w:val="0"/>
      <w:lang w:val="x-none" w:eastAsia="cs-CZ"/>
    </w:rPr>
  </w:style>
  <w:style w:type="character" w:customStyle="1" w:styleId="ObyajntextChar164">
    <w:name w:val="Obyčajný text Char164"/>
    <w:aliases w:val="Obyčajný text Char Char Char Char165"/>
    <w:basedOn w:val="DefaultParagraphFont"/>
    <w:uiPriority w:val="99"/>
    <w:semiHidden/>
    <w:rPr>
      <w:rFonts w:ascii="Courier New" w:hAnsi="Courier New" w:cs="Courier New"/>
      <w:rtl w:val="0"/>
      <w:cs w:val="0"/>
      <w:lang w:val="x-none" w:eastAsia="cs-CZ"/>
    </w:rPr>
  </w:style>
  <w:style w:type="character" w:customStyle="1" w:styleId="ObyajntextChar163">
    <w:name w:val="Obyčajný text Char163"/>
    <w:aliases w:val="Obyčajný text Char Char Char Char164"/>
    <w:basedOn w:val="DefaultParagraphFont"/>
    <w:uiPriority w:val="99"/>
    <w:semiHidden/>
    <w:rPr>
      <w:rFonts w:ascii="Courier New" w:hAnsi="Courier New" w:cs="Courier New"/>
      <w:rtl w:val="0"/>
      <w:cs w:val="0"/>
      <w:lang w:val="x-none" w:eastAsia="cs-CZ"/>
    </w:rPr>
  </w:style>
  <w:style w:type="character" w:customStyle="1" w:styleId="ObyajntextChar162">
    <w:name w:val="Obyčajný text Char162"/>
    <w:aliases w:val="Obyčajný text Char Char Char Char163"/>
    <w:basedOn w:val="DefaultParagraphFont"/>
    <w:uiPriority w:val="99"/>
    <w:semiHidden/>
    <w:rPr>
      <w:rFonts w:ascii="Courier New" w:hAnsi="Courier New" w:cs="Courier New"/>
      <w:rtl w:val="0"/>
      <w:cs w:val="0"/>
      <w:lang w:val="x-none" w:eastAsia="cs-CZ"/>
    </w:rPr>
  </w:style>
  <w:style w:type="character" w:customStyle="1" w:styleId="ObyajntextChar161">
    <w:name w:val="Obyčajný text Char161"/>
    <w:aliases w:val="Obyčajný text Char Char Char Char162"/>
    <w:basedOn w:val="DefaultParagraphFont"/>
    <w:uiPriority w:val="99"/>
    <w:semiHidden/>
    <w:rPr>
      <w:rFonts w:ascii="Courier New" w:hAnsi="Courier New" w:cs="Courier New"/>
      <w:rtl w:val="0"/>
      <w:cs w:val="0"/>
      <w:lang w:val="x-none" w:eastAsia="cs-CZ"/>
    </w:rPr>
  </w:style>
  <w:style w:type="character" w:customStyle="1" w:styleId="ObyajntextChar160">
    <w:name w:val="Obyčajný text Char160"/>
    <w:aliases w:val="Obyčajný text Char Char Char Char161"/>
    <w:basedOn w:val="DefaultParagraphFont"/>
    <w:uiPriority w:val="99"/>
    <w:semiHidden/>
    <w:rPr>
      <w:rFonts w:ascii="Courier New" w:hAnsi="Courier New" w:cs="Courier New"/>
      <w:rtl w:val="0"/>
      <w:cs w:val="0"/>
      <w:lang w:val="x-none" w:eastAsia="cs-CZ"/>
    </w:rPr>
  </w:style>
  <w:style w:type="character" w:customStyle="1" w:styleId="ObyajntextChar159">
    <w:name w:val="Obyčajný text Char159"/>
    <w:aliases w:val="Obyčajný text Char Char Char Char160"/>
    <w:basedOn w:val="DefaultParagraphFont"/>
    <w:uiPriority w:val="99"/>
    <w:semiHidden/>
    <w:rPr>
      <w:rFonts w:ascii="Courier New" w:hAnsi="Courier New" w:cs="Courier New"/>
      <w:rtl w:val="0"/>
      <w:cs w:val="0"/>
      <w:lang w:val="x-none" w:eastAsia="cs-CZ"/>
    </w:rPr>
  </w:style>
  <w:style w:type="character" w:customStyle="1" w:styleId="ObyajntextChar158">
    <w:name w:val="Obyčajný text Char158"/>
    <w:aliases w:val="Obyčajný text Char Char Char Char159"/>
    <w:basedOn w:val="DefaultParagraphFont"/>
    <w:uiPriority w:val="99"/>
    <w:semiHidden/>
    <w:rPr>
      <w:rFonts w:ascii="Courier New" w:hAnsi="Courier New" w:cs="Courier New"/>
      <w:rtl w:val="0"/>
      <w:cs w:val="0"/>
      <w:lang w:val="x-none" w:eastAsia="cs-CZ"/>
    </w:rPr>
  </w:style>
  <w:style w:type="character" w:customStyle="1" w:styleId="ObyajntextChar157">
    <w:name w:val="Obyčajný text Char157"/>
    <w:aliases w:val="Obyčajný text Char Char Char Char158"/>
    <w:basedOn w:val="DefaultParagraphFont"/>
    <w:uiPriority w:val="99"/>
    <w:semiHidden/>
    <w:rPr>
      <w:rFonts w:ascii="Courier New" w:hAnsi="Courier New" w:cs="Courier New"/>
      <w:rtl w:val="0"/>
      <w:cs w:val="0"/>
      <w:lang w:val="x-none" w:eastAsia="cs-CZ"/>
    </w:rPr>
  </w:style>
  <w:style w:type="character" w:customStyle="1" w:styleId="ObyajntextChar156">
    <w:name w:val="Obyčajný text Char156"/>
    <w:aliases w:val="Obyčajný text Char Char Char Char157"/>
    <w:basedOn w:val="DefaultParagraphFont"/>
    <w:uiPriority w:val="99"/>
    <w:semiHidden/>
    <w:rPr>
      <w:rFonts w:ascii="Courier New" w:hAnsi="Courier New" w:cs="Courier New"/>
      <w:rtl w:val="0"/>
      <w:cs w:val="0"/>
      <w:lang w:val="x-none" w:eastAsia="cs-CZ"/>
    </w:rPr>
  </w:style>
  <w:style w:type="character" w:customStyle="1" w:styleId="ObyajntextChar155">
    <w:name w:val="Obyčajný text Char155"/>
    <w:aliases w:val="Obyčajný text Char Char Char Char156"/>
    <w:basedOn w:val="DefaultParagraphFont"/>
    <w:uiPriority w:val="99"/>
    <w:semiHidden/>
    <w:rPr>
      <w:rFonts w:ascii="Courier New" w:hAnsi="Courier New" w:cs="Courier New"/>
      <w:rtl w:val="0"/>
      <w:cs w:val="0"/>
      <w:lang w:val="x-none" w:eastAsia="cs-CZ"/>
    </w:rPr>
  </w:style>
  <w:style w:type="character" w:customStyle="1" w:styleId="ObyajntextChar154">
    <w:name w:val="Obyčajný text Char154"/>
    <w:aliases w:val="Obyčajný text Char Char Char Char155"/>
    <w:basedOn w:val="DefaultParagraphFont"/>
    <w:uiPriority w:val="99"/>
    <w:semiHidden/>
    <w:rPr>
      <w:rFonts w:ascii="Courier New" w:hAnsi="Courier New" w:cs="Courier New"/>
      <w:rtl w:val="0"/>
      <w:cs w:val="0"/>
      <w:lang w:val="x-none" w:eastAsia="cs-CZ"/>
    </w:rPr>
  </w:style>
  <w:style w:type="character" w:customStyle="1" w:styleId="ObyajntextChar153">
    <w:name w:val="Obyčajný text Char153"/>
    <w:aliases w:val="Obyčajný text Char Char Char Char154"/>
    <w:basedOn w:val="DefaultParagraphFont"/>
    <w:uiPriority w:val="99"/>
    <w:semiHidden/>
    <w:rPr>
      <w:rFonts w:ascii="Courier New" w:hAnsi="Courier New" w:cs="Courier New"/>
      <w:rtl w:val="0"/>
      <w:cs w:val="0"/>
      <w:lang w:val="x-none" w:eastAsia="cs-CZ"/>
    </w:rPr>
  </w:style>
  <w:style w:type="character" w:customStyle="1" w:styleId="ObyajntextChar152">
    <w:name w:val="Obyčajný text Char152"/>
    <w:aliases w:val="Obyčajný text Char Char Char Char153"/>
    <w:basedOn w:val="DefaultParagraphFont"/>
    <w:uiPriority w:val="99"/>
    <w:semiHidden/>
    <w:rPr>
      <w:rFonts w:ascii="Courier New" w:hAnsi="Courier New" w:cs="Courier New"/>
      <w:rtl w:val="0"/>
      <w:cs w:val="0"/>
      <w:lang w:val="x-none" w:eastAsia="cs-CZ"/>
    </w:rPr>
  </w:style>
  <w:style w:type="character" w:customStyle="1" w:styleId="ObyajntextChar151">
    <w:name w:val="Obyčajný text Char151"/>
    <w:aliases w:val="Obyčajný text Char Char Char Char152"/>
    <w:basedOn w:val="DefaultParagraphFont"/>
    <w:uiPriority w:val="99"/>
    <w:semiHidden/>
    <w:rPr>
      <w:rFonts w:ascii="Courier New" w:hAnsi="Courier New" w:cs="Courier New"/>
      <w:rtl w:val="0"/>
      <w:cs w:val="0"/>
      <w:lang w:val="x-none" w:eastAsia="cs-CZ"/>
    </w:rPr>
  </w:style>
  <w:style w:type="character" w:customStyle="1" w:styleId="ObyajntextChar150">
    <w:name w:val="Obyčajný text Char150"/>
    <w:aliases w:val="Obyčajný text Char Char Char Char151"/>
    <w:basedOn w:val="DefaultParagraphFont"/>
    <w:uiPriority w:val="99"/>
    <w:semiHidden/>
    <w:rPr>
      <w:rFonts w:ascii="Courier New" w:hAnsi="Courier New" w:cs="Courier New"/>
      <w:rtl w:val="0"/>
      <w:cs w:val="0"/>
      <w:lang w:val="x-none" w:eastAsia="cs-CZ"/>
    </w:rPr>
  </w:style>
  <w:style w:type="character" w:customStyle="1" w:styleId="ObyajntextChar149">
    <w:name w:val="Obyčajný text Char149"/>
    <w:aliases w:val="Obyčajný text Char Char Char Char150"/>
    <w:basedOn w:val="DefaultParagraphFont"/>
    <w:uiPriority w:val="99"/>
    <w:semiHidden/>
    <w:rPr>
      <w:rFonts w:ascii="Courier New" w:hAnsi="Courier New" w:cs="Courier New"/>
      <w:rtl w:val="0"/>
      <w:cs w:val="0"/>
      <w:lang w:val="x-none" w:eastAsia="cs-CZ"/>
    </w:rPr>
  </w:style>
  <w:style w:type="character" w:customStyle="1" w:styleId="ObyajntextChar148">
    <w:name w:val="Obyčajný text Char148"/>
    <w:aliases w:val="Obyčajný text Char Char Char Char149"/>
    <w:basedOn w:val="DefaultParagraphFont"/>
    <w:uiPriority w:val="99"/>
    <w:semiHidden/>
    <w:rPr>
      <w:rFonts w:ascii="Courier New" w:hAnsi="Courier New" w:cs="Courier New"/>
      <w:rtl w:val="0"/>
      <w:cs w:val="0"/>
      <w:lang w:val="x-none" w:eastAsia="cs-CZ"/>
    </w:rPr>
  </w:style>
  <w:style w:type="character" w:customStyle="1" w:styleId="ObyajntextChar147">
    <w:name w:val="Obyčajný text Char147"/>
    <w:aliases w:val="Obyčajný text Char Char Char Char148"/>
    <w:basedOn w:val="DefaultParagraphFont"/>
    <w:uiPriority w:val="99"/>
    <w:semiHidden/>
    <w:rPr>
      <w:rFonts w:ascii="Courier New" w:hAnsi="Courier New" w:cs="Courier New"/>
      <w:rtl w:val="0"/>
      <w:cs w:val="0"/>
      <w:lang w:val="x-none" w:eastAsia="cs-CZ"/>
    </w:rPr>
  </w:style>
  <w:style w:type="character" w:customStyle="1" w:styleId="ObyajntextChar146">
    <w:name w:val="Obyčajný text Char146"/>
    <w:aliases w:val="Obyčajný text Char Char Char Char147"/>
    <w:basedOn w:val="DefaultParagraphFont"/>
    <w:uiPriority w:val="99"/>
    <w:semiHidden/>
    <w:rPr>
      <w:rFonts w:ascii="Courier New" w:hAnsi="Courier New" w:cs="Courier New"/>
      <w:rtl w:val="0"/>
      <w:cs w:val="0"/>
      <w:lang w:val="x-none" w:eastAsia="cs-CZ"/>
    </w:rPr>
  </w:style>
  <w:style w:type="character" w:customStyle="1" w:styleId="ObyajntextChar145">
    <w:name w:val="Obyčajný text Char145"/>
    <w:aliases w:val="Obyčajný text Char Char Char Char146"/>
    <w:basedOn w:val="DefaultParagraphFont"/>
    <w:uiPriority w:val="99"/>
    <w:semiHidden/>
    <w:rPr>
      <w:rFonts w:ascii="Courier New" w:hAnsi="Courier New" w:cs="Courier New"/>
      <w:rtl w:val="0"/>
      <w:cs w:val="0"/>
      <w:lang w:val="x-none" w:eastAsia="cs-CZ"/>
    </w:rPr>
  </w:style>
  <w:style w:type="character" w:customStyle="1" w:styleId="ObyajntextChar144">
    <w:name w:val="Obyčajný text Char144"/>
    <w:aliases w:val="Obyčajný text Char Char Char Char145"/>
    <w:basedOn w:val="DefaultParagraphFont"/>
    <w:uiPriority w:val="99"/>
    <w:semiHidden/>
    <w:rPr>
      <w:rFonts w:ascii="Courier New" w:hAnsi="Courier New" w:cs="Courier New"/>
      <w:rtl w:val="0"/>
      <w:cs w:val="0"/>
      <w:lang w:val="x-none" w:eastAsia="cs-CZ"/>
    </w:rPr>
  </w:style>
  <w:style w:type="character" w:customStyle="1" w:styleId="ObyajntextChar143">
    <w:name w:val="Obyčajný text Char143"/>
    <w:aliases w:val="Obyčajný text Char Char Char Char144"/>
    <w:basedOn w:val="DefaultParagraphFont"/>
    <w:uiPriority w:val="99"/>
    <w:semiHidden/>
    <w:rPr>
      <w:rFonts w:ascii="Courier New" w:hAnsi="Courier New" w:cs="Courier New"/>
      <w:rtl w:val="0"/>
      <w:cs w:val="0"/>
      <w:lang w:val="x-none" w:eastAsia="cs-CZ"/>
    </w:rPr>
  </w:style>
  <w:style w:type="character" w:customStyle="1" w:styleId="ObyajntextChar142">
    <w:name w:val="Obyčajný text Char142"/>
    <w:aliases w:val="Obyčajný text Char Char Char Char143"/>
    <w:basedOn w:val="DefaultParagraphFont"/>
    <w:uiPriority w:val="99"/>
    <w:semiHidden/>
    <w:rPr>
      <w:rFonts w:ascii="Courier New" w:hAnsi="Courier New" w:cs="Courier New"/>
      <w:rtl w:val="0"/>
      <w:cs w:val="0"/>
      <w:lang w:val="x-none" w:eastAsia="cs-CZ"/>
    </w:rPr>
  </w:style>
  <w:style w:type="character" w:customStyle="1" w:styleId="ObyajntextChar141">
    <w:name w:val="Obyčajný text Char141"/>
    <w:aliases w:val="Obyčajný text Char Char Char Char142"/>
    <w:basedOn w:val="DefaultParagraphFont"/>
    <w:uiPriority w:val="99"/>
    <w:semiHidden/>
    <w:rPr>
      <w:rFonts w:ascii="Courier New" w:hAnsi="Courier New" w:cs="Courier New"/>
      <w:rtl w:val="0"/>
      <w:cs w:val="0"/>
      <w:lang w:val="x-none" w:eastAsia="cs-CZ"/>
    </w:rPr>
  </w:style>
  <w:style w:type="character" w:customStyle="1" w:styleId="ObyajntextChar140">
    <w:name w:val="Obyčajný text Char140"/>
    <w:aliases w:val="Obyčajný text Char Char Char Char141"/>
    <w:basedOn w:val="DefaultParagraphFont"/>
    <w:uiPriority w:val="99"/>
    <w:semiHidden/>
    <w:rPr>
      <w:rFonts w:ascii="Courier New" w:hAnsi="Courier New" w:cs="Courier New"/>
      <w:rtl w:val="0"/>
      <w:cs w:val="0"/>
      <w:lang w:val="x-none" w:eastAsia="cs-CZ"/>
    </w:rPr>
  </w:style>
  <w:style w:type="character" w:customStyle="1" w:styleId="ObyajntextChar139">
    <w:name w:val="Obyčajný text Char139"/>
    <w:aliases w:val="Obyčajný text Char Char Char Char140"/>
    <w:basedOn w:val="DefaultParagraphFont"/>
    <w:uiPriority w:val="99"/>
    <w:semiHidden/>
    <w:rPr>
      <w:rFonts w:ascii="Courier New" w:hAnsi="Courier New" w:cs="Courier New"/>
      <w:rtl w:val="0"/>
      <w:cs w:val="0"/>
      <w:lang w:val="x-none" w:eastAsia="cs-CZ"/>
    </w:rPr>
  </w:style>
  <w:style w:type="character" w:customStyle="1" w:styleId="ObyajntextChar138">
    <w:name w:val="Obyčajný text Char138"/>
    <w:aliases w:val="Obyčajný text Char Char Char Char139"/>
    <w:basedOn w:val="DefaultParagraphFont"/>
    <w:uiPriority w:val="99"/>
    <w:semiHidden/>
    <w:rPr>
      <w:rFonts w:ascii="Courier New" w:hAnsi="Courier New" w:cs="Courier New"/>
      <w:rtl w:val="0"/>
      <w:cs w:val="0"/>
      <w:lang w:val="x-none" w:eastAsia="cs-CZ"/>
    </w:rPr>
  </w:style>
  <w:style w:type="character" w:customStyle="1" w:styleId="ObyajntextChar137">
    <w:name w:val="Obyčajný text Char137"/>
    <w:aliases w:val="Obyčajný text Char Char Char Char138"/>
    <w:basedOn w:val="DefaultParagraphFont"/>
    <w:uiPriority w:val="99"/>
    <w:semiHidden/>
    <w:rPr>
      <w:rFonts w:ascii="Courier New" w:hAnsi="Courier New" w:cs="Courier New"/>
      <w:rtl w:val="0"/>
      <w:cs w:val="0"/>
      <w:lang w:val="x-none" w:eastAsia="cs-CZ"/>
    </w:rPr>
  </w:style>
  <w:style w:type="character" w:customStyle="1" w:styleId="ObyajntextChar136">
    <w:name w:val="Obyčajný text Char136"/>
    <w:aliases w:val="Obyčajný text Char Char Char Char137"/>
    <w:basedOn w:val="DefaultParagraphFont"/>
    <w:uiPriority w:val="99"/>
    <w:semiHidden/>
    <w:rPr>
      <w:rFonts w:ascii="Courier New" w:hAnsi="Courier New" w:cs="Courier New"/>
      <w:rtl w:val="0"/>
      <w:cs w:val="0"/>
      <w:lang w:val="x-none" w:eastAsia="cs-CZ"/>
    </w:rPr>
  </w:style>
  <w:style w:type="character" w:customStyle="1" w:styleId="ObyajntextChar135">
    <w:name w:val="Obyčajný text Char135"/>
    <w:aliases w:val="Obyčajný text Char Char Char Char136"/>
    <w:basedOn w:val="DefaultParagraphFont"/>
    <w:uiPriority w:val="99"/>
    <w:semiHidden/>
    <w:rPr>
      <w:rFonts w:ascii="Courier New" w:hAnsi="Courier New" w:cs="Courier New"/>
      <w:rtl w:val="0"/>
      <w:cs w:val="0"/>
      <w:lang w:val="x-none" w:eastAsia="cs-CZ"/>
    </w:rPr>
  </w:style>
  <w:style w:type="character" w:customStyle="1" w:styleId="ObyajntextChar134">
    <w:name w:val="Obyčajný text Char134"/>
    <w:aliases w:val="Obyčajný text Char Char Char Char135"/>
    <w:basedOn w:val="DefaultParagraphFont"/>
    <w:uiPriority w:val="99"/>
    <w:semiHidden/>
    <w:rPr>
      <w:rFonts w:ascii="Courier New" w:hAnsi="Courier New" w:cs="Courier New"/>
      <w:rtl w:val="0"/>
      <w:cs w:val="0"/>
      <w:lang w:val="x-none" w:eastAsia="cs-CZ"/>
    </w:rPr>
  </w:style>
  <w:style w:type="character" w:customStyle="1" w:styleId="ObyajntextChar133">
    <w:name w:val="Obyčajný text Char133"/>
    <w:aliases w:val="Obyčajný text Char Char Char Char134"/>
    <w:basedOn w:val="DefaultParagraphFont"/>
    <w:uiPriority w:val="99"/>
    <w:semiHidden/>
    <w:rPr>
      <w:rFonts w:ascii="Courier New" w:hAnsi="Courier New" w:cs="Courier New"/>
      <w:rtl w:val="0"/>
      <w:cs w:val="0"/>
      <w:lang w:val="x-none" w:eastAsia="cs-CZ"/>
    </w:rPr>
  </w:style>
  <w:style w:type="character" w:customStyle="1" w:styleId="ObyajntextChar132">
    <w:name w:val="Obyčajný text Char132"/>
    <w:aliases w:val="Obyčajný text Char Char Char Char133"/>
    <w:basedOn w:val="DefaultParagraphFont"/>
    <w:uiPriority w:val="99"/>
    <w:semiHidden/>
    <w:rPr>
      <w:rFonts w:ascii="Courier New" w:hAnsi="Courier New" w:cs="Courier New"/>
      <w:rtl w:val="0"/>
      <w:cs w:val="0"/>
      <w:lang w:val="x-none" w:eastAsia="cs-CZ"/>
    </w:rPr>
  </w:style>
  <w:style w:type="character" w:customStyle="1" w:styleId="ObyajntextChar131">
    <w:name w:val="Obyčajný text Char131"/>
    <w:aliases w:val="Obyčajný text Char Char Char Char132"/>
    <w:basedOn w:val="DefaultParagraphFont"/>
    <w:uiPriority w:val="99"/>
    <w:semiHidden/>
    <w:rPr>
      <w:rFonts w:ascii="Courier New" w:hAnsi="Courier New" w:cs="Courier New"/>
      <w:rtl w:val="0"/>
      <w:cs w:val="0"/>
      <w:lang w:val="x-none" w:eastAsia="cs-CZ"/>
    </w:rPr>
  </w:style>
  <w:style w:type="character" w:customStyle="1" w:styleId="ObyajntextChar130">
    <w:name w:val="Obyčajný text Char130"/>
    <w:aliases w:val="Obyčajný text Char Char Char Char131"/>
    <w:basedOn w:val="DefaultParagraphFont"/>
    <w:uiPriority w:val="99"/>
    <w:semiHidden/>
    <w:rPr>
      <w:rFonts w:ascii="Courier New" w:hAnsi="Courier New" w:cs="Courier New"/>
      <w:rtl w:val="0"/>
      <w:cs w:val="0"/>
      <w:lang w:val="x-none" w:eastAsia="cs-CZ"/>
    </w:rPr>
  </w:style>
  <w:style w:type="character" w:customStyle="1" w:styleId="ObyajntextChar129">
    <w:name w:val="Obyčajný text Char129"/>
    <w:aliases w:val="Obyčajný text Char Char Char Char130"/>
    <w:basedOn w:val="DefaultParagraphFont"/>
    <w:uiPriority w:val="99"/>
    <w:semiHidden/>
    <w:rPr>
      <w:rFonts w:ascii="Courier New" w:hAnsi="Courier New" w:cs="Courier New"/>
      <w:rtl w:val="0"/>
      <w:cs w:val="0"/>
      <w:lang w:val="x-none" w:eastAsia="cs-CZ"/>
    </w:rPr>
  </w:style>
  <w:style w:type="character" w:customStyle="1" w:styleId="ObyajntextChar128">
    <w:name w:val="Obyčajný text Char128"/>
    <w:aliases w:val="Obyčajný text Char Char Char Char129"/>
    <w:basedOn w:val="DefaultParagraphFont"/>
    <w:uiPriority w:val="99"/>
    <w:semiHidden/>
    <w:rPr>
      <w:rFonts w:ascii="Courier New" w:hAnsi="Courier New" w:cs="Courier New"/>
      <w:rtl w:val="0"/>
      <w:cs w:val="0"/>
      <w:lang w:val="x-none" w:eastAsia="cs-CZ"/>
    </w:rPr>
  </w:style>
  <w:style w:type="character" w:customStyle="1" w:styleId="ObyajntextChar127">
    <w:name w:val="Obyčajný text Char127"/>
    <w:aliases w:val="Obyčajný text Char Char Char Char128"/>
    <w:basedOn w:val="DefaultParagraphFont"/>
    <w:uiPriority w:val="99"/>
    <w:semiHidden/>
    <w:rPr>
      <w:rFonts w:ascii="Courier New" w:hAnsi="Courier New" w:cs="Courier New"/>
      <w:rtl w:val="0"/>
      <w:cs w:val="0"/>
      <w:lang w:val="x-none" w:eastAsia="cs-CZ"/>
    </w:rPr>
  </w:style>
  <w:style w:type="character" w:customStyle="1" w:styleId="ObyajntextChar126">
    <w:name w:val="Obyčajný text Char126"/>
    <w:aliases w:val="Obyčajný text Char Char Char Char127"/>
    <w:basedOn w:val="DefaultParagraphFont"/>
    <w:uiPriority w:val="99"/>
    <w:semiHidden/>
    <w:rPr>
      <w:rFonts w:ascii="Courier New" w:hAnsi="Courier New" w:cs="Courier New"/>
      <w:rtl w:val="0"/>
      <w:cs w:val="0"/>
      <w:lang w:val="x-none" w:eastAsia="cs-CZ"/>
    </w:rPr>
  </w:style>
  <w:style w:type="character" w:customStyle="1" w:styleId="ObyajntextChar125">
    <w:name w:val="Obyčajný text Char125"/>
    <w:aliases w:val="Obyčajný text Char Char Char Char126"/>
    <w:basedOn w:val="DefaultParagraphFont"/>
    <w:uiPriority w:val="99"/>
    <w:semiHidden/>
    <w:rPr>
      <w:rFonts w:ascii="Courier New" w:hAnsi="Courier New" w:cs="Courier New"/>
      <w:rtl w:val="0"/>
      <w:cs w:val="0"/>
      <w:lang w:val="x-none" w:eastAsia="cs-CZ"/>
    </w:rPr>
  </w:style>
  <w:style w:type="character" w:customStyle="1" w:styleId="ObyajntextChar124">
    <w:name w:val="Obyčajný text Char124"/>
    <w:aliases w:val="Obyčajný text Char Char Char Char125"/>
    <w:basedOn w:val="DefaultParagraphFont"/>
    <w:uiPriority w:val="99"/>
    <w:semiHidden/>
    <w:rPr>
      <w:rFonts w:ascii="Courier New" w:hAnsi="Courier New" w:cs="Courier New"/>
      <w:rtl w:val="0"/>
      <w:cs w:val="0"/>
      <w:lang w:val="x-none" w:eastAsia="cs-CZ"/>
    </w:rPr>
  </w:style>
  <w:style w:type="character" w:customStyle="1" w:styleId="ObyajntextChar123">
    <w:name w:val="Obyčajný text Char123"/>
    <w:aliases w:val="Obyčajný text Char Char Char Char124"/>
    <w:basedOn w:val="DefaultParagraphFont"/>
    <w:uiPriority w:val="99"/>
    <w:semiHidden/>
    <w:rPr>
      <w:rFonts w:ascii="Courier New" w:hAnsi="Courier New" w:cs="Courier New"/>
      <w:rtl w:val="0"/>
      <w:cs w:val="0"/>
      <w:lang w:val="x-none" w:eastAsia="cs-CZ"/>
    </w:rPr>
  </w:style>
  <w:style w:type="character" w:customStyle="1" w:styleId="ObyajntextChar122">
    <w:name w:val="Obyčajný text Char122"/>
    <w:aliases w:val="Obyčajný text Char Char Char Char123"/>
    <w:basedOn w:val="DefaultParagraphFont"/>
    <w:uiPriority w:val="99"/>
    <w:semiHidden/>
    <w:rPr>
      <w:rFonts w:ascii="Courier New" w:hAnsi="Courier New" w:cs="Courier New"/>
      <w:rtl w:val="0"/>
      <w:cs w:val="0"/>
      <w:lang w:val="x-none" w:eastAsia="cs-CZ"/>
    </w:rPr>
  </w:style>
  <w:style w:type="character" w:customStyle="1" w:styleId="ObyajntextChar121">
    <w:name w:val="Obyčajný text Char121"/>
    <w:aliases w:val="Obyčajný text Char Char Char Char122"/>
    <w:basedOn w:val="DefaultParagraphFont"/>
    <w:uiPriority w:val="99"/>
    <w:semiHidden/>
    <w:rPr>
      <w:rFonts w:ascii="Courier New" w:hAnsi="Courier New" w:cs="Courier New"/>
      <w:rtl w:val="0"/>
      <w:cs w:val="0"/>
      <w:lang w:val="x-none" w:eastAsia="cs-CZ"/>
    </w:rPr>
  </w:style>
  <w:style w:type="character" w:customStyle="1" w:styleId="ObyajntextChar120">
    <w:name w:val="Obyčajný text Char120"/>
    <w:aliases w:val="Obyčajný text Char Char Char Char121"/>
    <w:basedOn w:val="DefaultParagraphFont"/>
    <w:uiPriority w:val="99"/>
    <w:semiHidden/>
    <w:rPr>
      <w:rFonts w:ascii="Courier New" w:hAnsi="Courier New" w:cs="Courier New"/>
      <w:rtl w:val="0"/>
      <w:cs w:val="0"/>
      <w:lang w:val="x-none" w:eastAsia="cs-CZ"/>
    </w:rPr>
  </w:style>
  <w:style w:type="character" w:customStyle="1" w:styleId="ObyajntextChar119">
    <w:name w:val="Obyčajný text Char119"/>
    <w:aliases w:val="Obyčajný text Char Char Char Char120"/>
    <w:basedOn w:val="DefaultParagraphFont"/>
    <w:uiPriority w:val="99"/>
    <w:semiHidden/>
    <w:rPr>
      <w:rFonts w:ascii="Courier New" w:hAnsi="Courier New" w:cs="Courier New"/>
      <w:rtl w:val="0"/>
      <w:cs w:val="0"/>
      <w:lang w:val="x-none" w:eastAsia="cs-CZ"/>
    </w:rPr>
  </w:style>
  <w:style w:type="character" w:customStyle="1" w:styleId="ObyajntextChar118">
    <w:name w:val="Obyčajný text Char118"/>
    <w:aliases w:val="Obyčajný text Char Char Char Char119"/>
    <w:basedOn w:val="DefaultParagraphFont"/>
    <w:uiPriority w:val="99"/>
    <w:semiHidden/>
    <w:rPr>
      <w:rFonts w:ascii="Courier New" w:hAnsi="Courier New" w:cs="Courier New"/>
      <w:rtl w:val="0"/>
      <w:cs w:val="0"/>
      <w:lang w:val="x-none" w:eastAsia="cs-CZ"/>
    </w:rPr>
  </w:style>
  <w:style w:type="character" w:customStyle="1" w:styleId="ObyajntextChar117">
    <w:name w:val="Obyčajný text Char117"/>
    <w:aliases w:val="Obyčajný text Char Char Char Char118"/>
    <w:basedOn w:val="DefaultParagraphFont"/>
    <w:uiPriority w:val="99"/>
    <w:semiHidden/>
    <w:rPr>
      <w:rFonts w:ascii="Courier New" w:hAnsi="Courier New" w:cs="Courier New"/>
      <w:rtl w:val="0"/>
      <w:cs w:val="0"/>
      <w:lang w:val="x-none" w:eastAsia="cs-CZ"/>
    </w:rPr>
  </w:style>
  <w:style w:type="character" w:customStyle="1" w:styleId="ObyajntextChar116">
    <w:name w:val="Obyčajný text Char116"/>
    <w:aliases w:val="Obyčajný text Char Char Char Char117"/>
    <w:basedOn w:val="DefaultParagraphFont"/>
    <w:uiPriority w:val="99"/>
    <w:semiHidden/>
    <w:rPr>
      <w:rFonts w:ascii="Courier New" w:hAnsi="Courier New" w:cs="Courier New"/>
      <w:rtl w:val="0"/>
      <w:cs w:val="0"/>
      <w:lang w:val="x-none" w:eastAsia="cs-CZ"/>
    </w:rPr>
  </w:style>
  <w:style w:type="character" w:customStyle="1" w:styleId="ObyajntextChar115">
    <w:name w:val="Obyčajný text Char115"/>
    <w:aliases w:val="Obyčajný text Char Char Char Char116"/>
    <w:basedOn w:val="DefaultParagraphFont"/>
    <w:uiPriority w:val="99"/>
    <w:semiHidden/>
    <w:rPr>
      <w:rFonts w:ascii="Courier New" w:hAnsi="Courier New" w:cs="Courier New"/>
      <w:rtl w:val="0"/>
      <w:cs w:val="0"/>
      <w:lang w:val="x-none" w:eastAsia="cs-CZ"/>
    </w:rPr>
  </w:style>
  <w:style w:type="character" w:customStyle="1" w:styleId="ObyajntextChar114">
    <w:name w:val="Obyčajný text Char114"/>
    <w:aliases w:val="Obyčajný text Char Char Char Char115"/>
    <w:basedOn w:val="DefaultParagraphFont"/>
    <w:uiPriority w:val="99"/>
    <w:semiHidden/>
    <w:rPr>
      <w:rFonts w:ascii="Courier New" w:hAnsi="Courier New" w:cs="Courier New"/>
      <w:rtl w:val="0"/>
      <w:cs w:val="0"/>
      <w:lang w:val="x-none" w:eastAsia="cs-CZ"/>
    </w:rPr>
  </w:style>
  <w:style w:type="character" w:customStyle="1" w:styleId="ObyajntextChar113">
    <w:name w:val="Obyčajný text Char113"/>
    <w:aliases w:val="Obyčajný text Char Char Char Char114"/>
    <w:basedOn w:val="DefaultParagraphFont"/>
    <w:uiPriority w:val="99"/>
    <w:semiHidden/>
    <w:rPr>
      <w:rFonts w:ascii="Courier New" w:hAnsi="Courier New" w:cs="Courier New"/>
      <w:rtl w:val="0"/>
      <w:cs w:val="0"/>
      <w:lang w:val="x-none" w:eastAsia="cs-CZ"/>
    </w:rPr>
  </w:style>
  <w:style w:type="character" w:customStyle="1" w:styleId="ObyajntextChar112">
    <w:name w:val="Obyčajný text Char112"/>
    <w:aliases w:val="Obyčajný text Char Char Char Char113"/>
    <w:basedOn w:val="DefaultParagraphFont"/>
    <w:uiPriority w:val="99"/>
    <w:semiHidden/>
    <w:rPr>
      <w:rFonts w:ascii="Courier New" w:hAnsi="Courier New" w:cs="Courier New"/>
      <w:rtl w:val="0"/>
      <w:cs w:val="0"/>
      <w:lang w:val="x-none" w:eastAsia="cs-CZ"/>
    </w:rPr>
  </w:style>
  <w:style w:type="character" w:customStyle="1" w:styleId="ObyajntextChar111">
    <w:name w:val="Obyčajný text Char111"/>
    <w:aliases w:val="Obyčajný text Char Char Char Char112"/>
    <w:basedOn w:val="DefaultParagraphFont"/>
    <w:uiPriority w:val="99"/>
    <w:semiHidden/>
    <w:rPr>
      <w:rFonts w:ascii="Courier New" w:hAnsi="Courier New" w:cs="Courier New"/>
      <w:rtl w:val="0"/>
      <w:cs w:val="0"/>
      <w:lang w:val="x-none" w:eastAsia="cs-CZ"/>
    </w:rPr>
  </w:style>
  <w:style w:type="character" w:customStyle="1" w:styleId="ObyajntextChar110">
    <w:name w:val="Obyčajný text Char110"/>
    <w:aliases w:val="Obyčajný text Char Char Char Char110"/>
    <w:basedOn w:val="DefaultParagraphFont"/>
    <w:uiPriority w:val="99"/>
    <w:semiHidden/>
    <w:rPr>
      <w:rFonts w:ascii="Courier New" w:hAnsi="Courier New" w:cs="Courier New"/>
      <w:rtl w:val="0"/>
      <w:cs w:val="0"/>
      <w:lang w:val="x-none" w:eastAsia="cs-CZ"/>
    </w:rPr>
  </w:style>
  <w:style w:type="character" w:customStyle="1" w:styleId="ObyajntextChar19">
    <w:name w:val="Obyčajný text Char19"/>
    <w:aliases w:val="Obyčajný text Char Char Char Char19"/>
    <w:basedOn w:val="DefaultParagraphFont"/>
    <w:uiPriority w:val="99"/>
    <w:semiHidden/>
    <w:rPr>
      <w:rFonts w:ascii="Courier New" w:hAnsi="Courier New" w:cs="Courier New"/>
      <w:rtl w:val="0"/>
      <w:cs w:val="0"/>
      <w:lang w:val="x-none" w:eastAsia="cs-CZ"/>
    </w:rPr>
  </w:style>
  <w:style w:type="character" w:customStyle="1" w:styleId="ObyajntextChar18">
    <w:name w:val="Obyčajný text Char18"/>
    <w:aliases w:val="Obyčajný text Char Char Char Char18"/>
    <w:basedOn w:val="DefaultParagraphFont"/>
    <w:uiPriority w:val="99"/>
    <w:semiHidden/>
    <w:rPr>
      <w:rFonts w:ascii="Courier New" w:hAnsi="Courier New" w:cs="Courier New"/>
      <w:rtl w:val="0"/>
      <w:cs w:val="0"/>
      <w:lang w:val="x-none" w:eastAsia="cs-CZ"/>
    </w:rPr>
  </w:style>
  <w:style w:type="character" w:customStyle="1" w:styleId="ObyajntextChar17">
    <w:name w:val="Obyčajný text Char17"/>
    <w:aliases w:val="Obyčajný text Char Char Char Char17"/>
    <w:basedOn w:val="DefaultParagraphFont"/>
    <w:uiPriority w:val="99"/>
    <w:semiHidden/>
    <w:rPr>
      <w:rFonts w:ascii="Courier New" w:hAnsi="Courier New" w:cs="Courier New"/>
      <w:rtl w:val="0"/>
      <w:cs w:val="0"/>
      <w:lang w:val="x-none" w:eastAsia="cs-CZ"/>
    </w:rPr>
  </w:style>
  <w:style w:type="character" w:customStyle="1" w:styleId="ObyajntextChar16">
    <w:name w:val="Obyčajný text Char16"/>
    <w:aliases w:val="Obyčajný text Char Char Char Char16"/>
    <w:basedOn w:val="DefaultParagraphFont"/>
    <w:uiPriority w:val="99"/>
    <w:semiHidden/>
    <w:rPr>
      <w:rFonts w:ascii="Courier New" w:hAnsi="Courier New" w:cs="Courier New"/>
      <w:rtl w:val="0"/>
      <w:cs w:val="0"/>
      <w:lang w:val="x-none" w:eastAsia="cs-CZ"/>
    </w:rPr>
  </w:style>
  <w:style w:type="character" w:customStyle="1" w:styleId="ObyajntextChar15">
    <w:name w:val="Obyčajný text Char15"/>
    <w:aliases w:val="Obyčajný text Char Char Char Char15"/>
    <w:basedOn w:val="DefaultParagraphFont"/>
    <w:uiPriority w:val="99"/>
    <w:semiHidden/>
    <w:rPr>
      <w:rFonts w:ascii="Courier New" w:hAnsi="Courier New" w:cs="Courier New"/>
      <w:rtl w:val="0"/>
      <w:cs w:val="0"/>
      <w:lang w:val="x-none" w:eastAsia="cs-CZ"/>
    </w:rPr>
  </w:style>
  <w:style w:type="character" w:customStyle="1" w:styleId="ObyajntextChar14">
    <w:name w:val="Obyčajný text Char14"/>
    <w:aliases w:val="Obyčajný text Char Char Char Char14"/>
    <w:basedOn w:val="DefaultParagraphFont"/>
    <w:uiPriority w:val="99"/>
    <w:semiHidden/>
    <w:rPr>
      <w:rFonts w:ascii="Courier New" w:hAnsi="Courier New" w:cs="Courier New"/>
      <w:rtl w:val="0"/>
      <w:cs w:val="0"/>
      <w:lang w:val="x-none" w:eastAsia="cs-CZ"/>
    </w:rPr>
  </w:style>
  <w:style w:type="character" w:customStyle="1" w:styleId="ObyajntextChar13">
    <w:name w:val="Obyčajný text Char13"/>
    <w:aliases w:val="Obyčajný text Char Char Char Char13"/>
    <w:basedOn w:val="DefaultParagraphFont"/>
    <w:uiPriority w:val="99"/>
    <w:semiHidden/>
    <w:rPr>
      <w:rFonts w:ascii="Courier New" w:hAnsi="Courier New" w:cs="Courier New"/>
      <w:rtl w:val="0"/>
      <w:cs w:val="0"/>
      <w:lang w:val="x-none" w:eastAsia="cs-CZ"/>
    </w:rPr>
  </w:style>
  <w:style w:type="character" w:customStyle="1" w:styleId="ObyajntextChar12">
    <w:name w:val="Obyčajný text Char12"/>
    <w:aliases w:val="Obyčajný text Char Char Char Char12"/>
    <w:basedOn w:val="DefaultParagraphFont"/>
    <w:uiPriority w:val="99"/>
    <w:semiHidden/>
    <w:rPr>
      <w:rFonts w:ascii="Courier New" w:hAnsi="Courier New" w:cs="Courier New"/>
      <w:rtl w:val="0"/>
      <w:cs w:val="0"/>
      <w:lang w:val="x-none" w:eastAsia="cs-CZ"/>
    </w:rPr>
  </w:style>
  <w:style w:type="character" w:customStyle="1" w:styleId="ObyajntextChar11">
    <w:name w:val="Obyčajný text Char11"/>
    <w:aliases w:val="Obyčajný text Char Char Char Char11,Obyčajný text Char Char Char Char111"/>
    <w:uiPriority w:val="99"/>
    <w:semiHidden/>
    <w:rsid w:val="00992BC9"/>
    <w:rPr>
      <w:rFonts w:ascii="Courier New" w:hAnsi="Courier New" w:cs="Courier New"/>
      <w:lang w:val="x-none" w:eastAsia="cs-CZ"/>
    </w:rPr>
  </w:style>
  <w:style w:type="paragraph" w:customStyle="1" w:styleId="CharCharCharCharCharCharCharCharCharCharChar">
    <w:name w:val="Char Char Char Char Char Char Char Char Char Char Char"/>
    <w:basedOn w:val="Normal"/>
    <w:uiPriority w:val="99"/>
    <w:rsid w:val="00992BC9"/>
    <w:pPr>
      <w:spacing w:after="160" w:line="240" w:lineRule="exact"/>
      <w:jc w:val="left"/>
    </w:pPr>
    <w:rPr>
      <w:rFonts w:ascii="Tahoma" w:hAnsi="Tahoma" w:cs="Tahoma"/>
      <w:sz w:val="20"/>
      <w:szCs w:val="20"/>
      <w:lang w:val="en-US" w:eastAsia="en-US"/>
    </w:rPr>
  </w:style>
  <w:style w:type="paragraph" w:styleId="Title">
    <w:name w:val="Title"/>
    <w:basedOn w:val="Normal"/>
    <w:link w:val="NzovChar"/>
    <w:uiPriority w:val="99"/>
    <w:qFormat/>
    <w:rsid w:val="00992BC9"/>
    <w:pPr>
      <w:jc w:val="center"/>
    </w:pPr>
    <w:rPr>
      <w:rFonts w:ascii="Arial Black" w:hAnsi="Arial Black" w:cs="Times New Roman"/>
      <w:b/>
      <w:bCs/>
    </w:rPr>
  </w:style>
  <w:style w:type="character" w:customStyle="1" w:styleId="NzovChar">
    <w:name w:val="Názov Char"/>
    <w:basedOn w:val="DefaultParagraphFont"/>
    <w:link w:val="Title"/>
    <w:uiPriority w:val="10"/>
    <w:locked/>
    <w:rsid w:val="00992BC9"/>
    <w:rPr>
      <w:rFonts w:ascii="Arial Black" w:hAnsi="Arial Black" w:cs="Times New Roman"/>
      <w:b/>
      <w:sz w:val="24"/>
      <w:rtl w:val="0"/>
      <w:cs w:val="0"/>
    </w:rPr>
  </w:style>
  <w:style w:type="paragraph" w:customStyle="1" w:styleId="CharCharCharCharChar">
    <w:name w:val="Char Char Char Char Char"/>
    <w:basedOn w:val="Normal"/>
    <w:rsid w:val="00992BC9"/>
    <w:pPr>
      <w:spacing w:after="160" w:line="240" w:lineRule="exact"/>
      <w:jc w:val="left"/>
    </w:pPr>
    <w:rPr>
      <w:rFonts w:ascii="Tahoma" w:hAnsi="Tahoma" w:cs="Tahoma"/>
      <w:sz w:val="20"/>
      <w:szCs w:val="20"/>
      <w:lang w:val="en-US" w:eastAsia="en-US"/>
    </w:rPr>
  </w:style>
  <w:style w:type="character" w:customStyle="1" w:styleId="Heading2Char">
    <w:name w:val="Heading 2 Char"/>
    <w:uiPriority w:val="99"/>
    <w:rsid w:val="00992BC9"/>
    <w:rPr>
      <w:rFonts w:ascii="Arial" w:hAnsi="Arial" w:cs="Arial"/>
      <w:b/>
      <w:i/>
      <w:sz w:val="28"/>
      <w:lang w:val="x-none" w:eastAsia="cs-CZ"/>
    </w:rPr>
  </w:style>
  <w:style w:type="character" w:customStyle="1" w:styleId="ZarkazkladnhotextuChar1">
    <w:name w:val="Zarážka základného textu Char1"/>
    <w:aliases w:val="Char8 Char Char1"/>
    <w:uiPriority w:val="99"/>
    <w:rsid w:val="00992BC9"/>
    <w:rPr>
      <w:rFonts w:ascii="Courier" w:hAnsi="Courier" w:cs="Courier"/>
      <w:sz w:val="24"/>
      <w:lang w:val="x-none" w:eastAsia="cs-CZ"/>
    </w:rPr>
  </w:style>
  <w:style w:type="character" w:customStyle="1" w:styleId="TitleChar">
    <w:name w:val="Title Char"/>
    <w:uiPriority w:val="99"/>
    <w:rsid w:val="00992BC9"/>
    <w:rPr>
      <w:rFonts w:ascii="Arial Black" w:hAnsi="Arial Black" w:cs="Arial Black"/>
      <w:b/>
      <w:sz w:val="24"/>
      <w:lang w:val="x-none" w:eastAsia="sk-SK"/>
    </w:rPr>
  </w:style>
  <w:style w:type="paragraph" w:styleId="NormalWeb">
    <w:name w:val="Normal (Web)"/>
    <w:basedOn w:val="Normal"/>
    <w:uiPriority w:val="99"/>
    <w:unhideWhenUsed/>
    <w:rsid w:val="00992BC9"/>
    <w:pPr>
      <w:spacing w:before="100" w:beforeAutospacing="1" w:after="100" w:afterAutospacing="1"/>
      <w:jc w:val="left"/>
    </w:pPr>
    <w:rPr>
      <w:rFonts w:ascii="Times New Roman" w:hAnsi="Times New Roman" w:cs="Times New Roman"/>
      <w:lang w:eastAsia="sk-SK"/>
    </w:rPr>
  </w:style>
  <w:style w:type="paragraph" w:styleId="TOCHeading">
    <w:name w:val="TOC Heading"/>
    <w:basedOn w:val="Heading1"/>
    <w:next w:val="Normal"/>
    <w:uiPriority w:val="39"/>
    <w:unhideWhenUsed/>
    <w:qFormat/>
    <w:rsid w:val="007520A4"/>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unhideWhenUsed/>
    <w:rsid w:val="00BC4A93"/>
    <w:pPr>
      <w:tabs>
        <w:tab w:val="left" w:pos="284"/>
        <w:tab w:val="right" w:leader="dot" w:pos="9062"/>
      </w:tabs>
      <w:jc w:val="left"/>
    </w:pPr>
    <w:rPr>
      <w:rFonts w:ascii="Times New Roman" w:hAnsi="Times New Roman" w:cs="Times New Roman"/>
      <w:b/>
      <w:noProof/>
    </w:rPr>
  </w:style>
  <w:style w:type="paragraph" w:styleId="TOC2">
    <w:name w:val="toc 2"/>
    <w:basedOn w:val="Normal"/>
    <w:next w:val="Normal"/>
    <w:autoRedefine/>
    <w:uiPriority w:val="39"/>
    <w:unhideWhenUsed/>
    <w:rsid w:val="005B2B13"/>
    <w:pPr>
      <w:tabs>
        <w:tab w:val="right" w:leader="dot" w:pos="9062"/>
      </w:tabs>
      <w:ind w:left="240"/>
      <w:jc w:val="left"/>
    </w:pPr>
    <w:rPr>
      <w:rFonts w:ascii="Times New Roman" w:hAnsi="Times New Roman" w:cs="Times New Roman"/>
      <w:noProof/>
    </w:rPr>
  </w:style>
  <w:style w:type="character" w:customStyle="1" w:styleId="spanr">
    <w:name w:val="span_r"/>
    <w:basedOn w:val="DefaultParagraphFont"/>
    <w:rsid w:val="006F7083"/>
    <w:rPr>
      <w:rFonts w:cs="Times New Roman"/>
      <w:rtl w:val="0"/>
      <w:cs w:val="0"/>
    </w:rPr>
  </w:style>
  <w:style w:type="character" w:styleId="Strong">
    <w:name w:val="Strong"/>
    <w:basedOn w:val="DefaultParagraphFont"/>
    <w:uiPriority w:val="22"/>
    <w:qFormat/>
    <w:rsid w:val="006F7083"/>
    <w:rPr>
      <w:rFonts w:cs="Times New Roman"/>
      <w:b/>
      <w:rtl w:val="0"/>
      <w:cs w:val="0"/>
    </w:rPr>
  </w:style>
  <w:style w:type="paragraph" w:customStyle="1" w:styleId="Char">
    <w:name w:val="Char"/>
    <w:basedOn w:val="Normal"/>
    <w:rsid w:val="006F7083"/>
    <w:pPr>
      <w:spacing w:after="160" w:line="240" w:lineRule="exact"/>
      <w:jc w:val="left"/>
    </w:pPr>
    <w:rPr>
      <w:rFonts w:ascii="Tahoma" w:hAnsi="Tahoma" w:cs="Tahoma"/>
      <w:sz w:val="20"/>
      <w:szCs w:val="20"/>
      <w:lang w:val="en-US" w:eastAsia="en-US"/>
    </w:rPr>
  </w:style>
  <w:style w:type="character" w:customStyle="1" w:styleId="st1">
    <w:name w:val="st1"/>
    <w:basedOn w:val="DefaultParagraphFont"/>
    <w:rsid w:val="006F7083"/>
    <w:rPr>
      <w:rFonts w:cs="Times New Roman"/>
      <w:rtl w:val="0"/>
      <w:cs w:val="0"/>
    </w:rPr>
  </w:style>
  <w:style w:type="paragraph" w:customStyle="1" w:styleId="BodyText25">
    <w:name w:val="Body Text 25"/>
    <w:basedOn w:val="Normal"/>
    <w:rsid w:val="006F7083"/>
    <w:pPr>
      <w:overflowPunct w:val="0"/>
      <w:autoSpaceDE w:val="0"/>
      <w:autoSpaceDN w:val="0"/>
      <w:adjustRightInd w:val="0"/>
      <w:ind w:left="4111" w:hanging="3403"/>
      <w:jc w:val="left"/>
      <w:textAlignment w:val="baseline"/>
    </w:pPr>
    <w:rPr>
      <w:rFonts w:ascii="Times New Roman" w:hAnsi="Times New Roman" w:cs="Times New Roman"/>
      <w:b/>
      <w:i/>
      <w:sz w:val="26"/>
      <w:szCs w:val="20"/>
      <w:lang w:eastAsia="sk-SK"/>
    </w:rPr>
  </w:style>
  <w:style w:type="table" w:styleId="TableGrid">
    <w:name w:val="Table Grid"/>
    <w:basedOn w:val="TableNormal"/>
    <w:uiPriority w:val="59"/>
    <w:rsid w:val="006F086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ABC"/>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styleId="FollowedHyperlink">
    <w:name w:val="FollowedHyperlink"/>
    <w:basedOn w:val="DefaultParagraphFont"/>
    <w:uiPriority w:val="99"/>
    <w:semiHidden/>
    <w:unhideWhenUsed/>
    <w:rsid w:val="005313F8"/>
    <w:rPr>
      <w:rFonts w:cs="Times New Roman"/>
      <w:color w:val="800080" w:themeColor="folHlink" w:themeShade="FF"/>
      <w:u w:val="single"/>
      <w:rtl w:val="0"/>
      <w:cs w:val="0"/>
    </w:rPr>
  </w:style>
  <w:style w:type="character" w:customStyle="1" w:styleId="Nadpis1Char1">
    <w:name w:val="Nadpis 1 Char1"/>
    <w:aliases w:val="Char5 Char Char1,Heading 1 Char Char Char Char Char Char1,Heading 1 Char Char Char Char Char2,Heading 1 Char Char Char Char2,Nadpis 1 Char Char Char1,Čo robí (časť) Char1"/>
    <w:basedOn w:val="DefaultParagraphFont"/>
    <w:rsid w:val="005313F8"/>
    <w:rPr>
      <w:rFonts w:asciiTheme="majorHAnsi" w:eastAsiaTheme="majorEastAsia" w:hAnsiTheme="majorHAnsi" w:cs="Times New Roman"/>
      <w:b/>
      <w:bCs/>
      <w:color w:val="365F91" w:themeColor="accent1" w:themeShade="BF"/>
      <w:sz w:val="28"/>
      <w:szCs w:val="28"/>
      <w:rtl w:val="0"/>
      <w:cs w:val="0"/>
      <w:lang w:val="x-none" w:eastAsia="cs-CZ"/>
    </w:rPr>
  </w:style>
  <w:style w:type="character" w:customStyle="1" w:styleId="Nadpis2Char1">
    <w:name w:val="Nadpis 2 Char1"/>
    <w:aliases w:val="Nadpis 2 Char Char Char Char Char1,Nadpis 2 Char Char Char Char2,Nadpis 2 Char Char Char2,Úloha Char1"/>
    <w:basedOn w:val="DefaultParagraphFont"/>
    <w:uiPriority w:val="99"/>
    <w:semiHidden/>
    <w:rsid w:val="005313F8"/>
    <w:rPr>
      <w:rFonts w:asciiTheme="majorHAnsi" w:eastAsiaTheme="majorEastAsia" w:hAnsiTheme="majorHAnsi" w:cs="Times New Roman"/>
      <w:b/>
      <w:bCs/>
      <w:color w:val="4F81BD" w:themeColor="accent1" w:themeShade="FF"/>
      <w:sz w:val="26"/>
      <w:szCs w:val="26"/>
      <w:rtl w:val="0"/>
      <w:cs w:val="0"/>
      <w:lang w:val="x-none" w:eastAsia="cs-CZ"/>
    </w:rPr>
  </w:style>
  <w:style w:type="character" w:customStyle="1" w:styleId="Nadpis3Char1">
    <w:name w:val="Nadpis 3 Char1"/>
    <w:aliases w:val="Char4 Char Char1,Heading 3 Char Char Char Char1,Nadpis 3 Char Char Char1,Podúloha Char1"/>
    <w:basedOn w:val="DefaultParagraphFont"/>
    <w:semiHidden/>
    <w:rsid w:val="005313F8"/>
    <w:rPr>
      <w:rFonts w:asciiTheme="majorHAnsi" w:eastAsiaTheme="majorEastAsia" w:hAnsiTheme="majorHAnsi" w:cs="Times New Roman"/>
      <w:b/>
      <w:bCs/>
      <w:color w:val="4F81BD" w:themeColor="accent1" w:themeShade="FF"/>
      <w:sz w:val="24"/>
      <w:szCs w:val="24"/>
      <w:rtl w:val="0"/>
      <w:cs w:val="0"/>
      <w:lang w:val="x-none" w:eastAsia="cs-CZ"/>
    </w:rPr>
  </w:style>
  <w:style w:type="character" w:customStyle="1" w:styleId="Nadpis4Char1">
    <w:name w:val="Nadpis 4 Char1"/>
    <w:aliases w:val="Char Char Char1,Heading 4 Char Char Char Char1,Nadpis 4 Char Char Char1,Termín Char1"/>
    <w:basedOn w:val="DefaultParagraphFont"/>
    <w:semiHidden/>
    <w:rsid w:val="005313F8"/>
    <w:rPr>
      <w:rFonts w:asciiTheme="majorHAnsi" w:eastAsiaTheme="majorEastAsia" w:hAnsiTheme="majorHAnsi" w:cs="Times New Roman"/>
      <w:b/>
      <w:bCs/>
      <w:i/>
      <w:iCs/>
      <w:color w:val="4F81BD" w:themeColor="accent1" w:themeShade="FF"/>
      <w:sz w:val="24"/>
      <w:szCs w:val="24"/>
      <w:rtl w:val="0"/>
      <w:cs w:val="0"/>
      <w:lang w:val="x-none" w:eastAsia="cs-CZ"/>
    </w:rPr>
  </w:style>
  <w:style w:type="character" w:customStyle="1" w:styleId="TextpoznmkypodiarouChar1">
    <w:name w:val="Text poznámky pod čiarou Char1"/>
    <w:aliases w:val="Footnote Text Char1 Char Char Char Char1,Footnote Text Char1 Char Char1,Footnote Text Char1 Char2,Footnote Text Char2 Char Char Char Char Char1,Footnote Text Char2 Char Char Char1,Footnote Text Char2 Char1"/>
    <w:basedOn w:val="DefaultParagraphFont"/>
    <w:uiPriority w:val="99"/>
    <w:semiHidden/>
    <w:rsid w:val="005313F8"/>
    <w:rPr>
      <w:rFonts w:ascii="Courier" w:hAnsi="Courier" w:cs="Courier"/>
      <w:rtl w:val="0"/>
      <w:cs w:val="0"/>
      <w:lang w:val="x-none" w:eastAsia="cs-CZ"/>
    </w:rPr>
  </w:style>
  <w:style w:type="character" w:customStyle="1" w:styleId="HlavikaChar1">
    <w:name w:val="Hlavička Char1"/>
    <w:aliases w:val="Hlavička Char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PtaChar1">
    <w:name w:val="Päta Char1"/>
    <w:aliases w:val="Char11 Char Char1,Footer Char Char Char Char1,Päta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ZkladntextChar1">
    <w:name w:val="Základný text Char1"/>
    <w:aliases w:val="Body Text Char Char Char Char Char Char1,Body Text Char Char Char Char Char2,Body Text Char Char Char Char2,Char14 Char Char Char1,Char14 Char Char2,Základný text Char Char Char1"/>
    <w:basedOn w:val="DefaultParagraphFont"/>
    <w:semiHidden/>
    <w:rsid w:val="005313F8"/>
    <w:rPr>
      <w:rFonts w:ascii="Courier" w:hAnsi="Courier" w:cs="Courier"/>
      <w:sz w:val="24"/>
      <w:szCs w:val="24"/>
      <w:rtl w:val="0"/>
      <w:cs w:val="0"/>
      <w:lang w:val="x-none" w:eastAsia="cs-CZ"/>
    </w:rPr>
  </w:style>
  <w:style w:type="character" w:customStyle="1" w:styleId="Zkladntext2Char1">
    <w:name w:val="Základný text 2 Char1"/>
    <w:aliases w:val="Body Text 2 Char Char Char Char1,Základný text 2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Zarkazkladnhotextu2Char1">
    <w:name w:val="Zarážka základného textu 2 Char1"/>
    <w:aliases w:val="Body Text Indent 2 Char Char Char Char1,Char10 Char Char1,Zarážka základného textu 2 Char Char Char1"/>
    <w:basedOn w:val="DefaultParagraphFont"/>
    <w:uiPriority w:val="99"/>
    <w:semiHidden/>
    <w:rsid w:val="005313F8"/>
    <w:rPr>
      <w:rFonts w:ascii="Courier" w:hAnsi="Courier" w:cs="Courier"/>
      <w:sz w:val="24"/>
      <w:szCs w:val="24"/>
      <w:rtl w:val="0"/>
      <w:cs w:val="0"/>
      <w:lang w:val="x-none" w:eastAsia="cs-CZ"/>
    </w:rPr>
  </w:style>
  <w:style w:type="character" w:customStyle="1" w:styleId="Zarkazkladnhotextu3Char1">
    <w:name w:val="Zarážka základného textu 3 Char1"/>
    <w:aliases w:val="Body Text Indent 3 Char Char Char Char1,Char2 Char Char1,Zarážka základného textu 3 Char Char Char1"/>
    <w:basedOn w:val="DefaultParagraphFont"/>
    <w:uiPriority w:val="99"/>
    <w:semiHidden/>
    <w:rsid w:val="005313F8"/>
    <w:rPr>
      <w:rFonts w:ascii="Courier" w:hAnsi="Courier" w:cs="Courier"/>
      <w:sz w:val="16"/>
      <w:szCs w:val="16"/>
      <w:rtl w:val="0"/>
      <w:cs w:val="0"/>
      <w:lang w:val="x-none" w:eastAsia="cs-CZ"/>
    </w:rPr>
  </w:style>
  <w:style w:type="character" w:customStyle="1" w:styleId="TextbublinyChar1">
    <w:name w:val="Text bubliny Char1"/>
    <w:aliases w:val="Balloon Text Char Char Char1,Char13 Char Char1,Text bubliny Char Char Char1"/>
    <w:basedOn w:val="DefaultParagraphFont"/>
    <w:uiPriority w:val="99"/>
    <w:semiHidden/>
    <w:rsid w:val="005313F8"/>
    <w:rPr>
      <w:rFonts w:ascii="Tahoma" w:hAnsi="Tahoma" w:cs="Tahoma"/>
      <w:sz w:val="16"/>
      <w:szCs w:val="16"/>
      <w:rtl w:val="0"/>
      <w:cs w:val="0"/>
      <w:lang w:val="x-none" w:eastAsia="cs-CZ"/>
    </w:rPr>
  </w:style>
  <w:style w:type="character" w:styleId="CommentReference">
    <w:name w:val="annotation reference"/>
    <w:basedOn w:val="DefaultParagraphFont"/>
    <w:uiPriority w:val="99"/>
    <w:semiHidden/>
    <w:unhideWhenUsed/>
    <w:rsid w:val="000A6169"/>
    <w:rPr>
      <w:rFonts w:cs="Times New Roman"/>
      <w:sz w:val="16"/>
      <w:szCs w:val="16"/>
      <w:rtl w:val="0"/>
      <w:cs w:val="0"/>
    </w:rPr>
  </w:style>
  <w:style w:type="character" w:customStyle="1" w:styleId="NzovChar1">
    <w:name w:val="Názov Char1"/>
    <w:uiPriority w:val="99"/>
    <w:rsid w:val="00043DCE"/>
    <w:rPr>
      <w:rFonts w:ascii="Arial Black" w:hAnsi="Arial Black" w:cs="Arial Black"/>
      <w:b/>
      <w:sz w:val="24"/>
      <w:lang w:val="x-none" w:eastAsia="sk-SK"/>
    </w:rPr>
  </w:style>
  <w:style w:type="paragraph" w:styleId="Revision">
    <w:name w:val="Revision"/>
    <w:hidden/>
    <w:uiPriority w:val="99"/>
    <w:semiHidden/>
    <w:rsid w:val="00043DCE"/>
    <w:pPr>
      <w:framePr w:wrap="auto"/>
      <w:widowControl/>
      <w:autoSpaceDE/>
      <w:autoSpaceDN/>
      <w:adjustRightInd/>
      <w:ind w:left="0" w:right="0"/>
      <w:jc w:val="left"/>
      <w:textAlignment w:val="auto"/>
    </w:pPr>
    <w:rPr>
      <w:rFonts w:ascii="Courier" w:hAnsi="Courier" w:cs="Courier"/>
      <w:sz w:val="24"/>
      <w:szCs w:val="24"/>
      <w:rtl w:val="0"/>
      <w:cs w:val="0"/>
      <w:lang w:val="sk-SK" w:eastAsia="cs-CZ" w:bidi="ar-SA"/>
    </w:rPr>
  </w:style>
  <w:style w:type="paragraph" w:customStyle="1" w:styleId="NormalList">
    <w:name w:val="NormalList"/>
    <w:basedOn w:val="Normal"/>
    <w:rsid w:val="00043DCE"/>
    <w:pPr>
      <w:jc w:val="both"/>
    </w:pPr>
    <w:rPr>
      <w:rFonts w:ascii="Arial Narrow" w:hAnsi="Arial Narrow" w:cs="Book Antiqua"/>
      <w:sz w:val="22"/>
      <w:szCs w:val="22"/>
      <w:lang w:eastAsia="en-US"/>
    </w:rPr>
  </w:style>
  <w:style w:type="paragraph" w:customStyle="1" w:styleId="Par-numbera">
    <w:name w:val="Par-number (a)"/>
    <w:basedOn w:val="Normal"/>
    <w:rsid w:val="00012093"/>
    <w:pPr>
      <w:spacing w:line="360" w:lineRule="auto"/>
      <w:jc w:val="left"/>
    </w:pPr>
    <w:rPr>
      <w:rFonts w:ascii="Times New Roman" w:hAnsi="Times New Roman" w:cs="Times New Roman"/>
      <w:lang w:eastAsia="fr-BE"/>
    </w:rPr>
  </w:style>
  <w:style w:type="table" w:customStyle="1" w:styleId="Mriekatabuky1">
    <w:name w:val="Mriežka tabuľky1"/>
    <w:basedOn w:val="TableNormal"/>
    <w:next w:val="TableGrid"/>
    <w:uiPriority w:val="5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TableNormal"/>
    <w:next w:val="TableGrid"/>
    <w:uiPriority w:val="5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TableNormal"/>
    <w:next w:val="TableGrid"/>
    <w:uiPriority w:val="5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www.consilium.europa.eu/uedocs/cms_data/docs/pressdata/SK/ec/131377.pdf"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5EFF-1DC1-4BA8-BDE6-A8E118F1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109</TotalTime>
  <Pages>62</Pages>
  <Words>67680</Words>
  <Characters>385780</Characters>
  <Application>Microsoft Office Word</Application>
  <DocSecurity>0</DocSecurity>
  <Lines>0</Lines>
  <Paragraphs>0</Paragraphs>
  <ScaleCrop>false</ScaleCrop>
  <Company/>
  <LinksUpToDate>false</LinksUpToDate>
  <CharactersWithSpaces>452555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MFSR</dc:creator>
  <cp:lastModifiedBy>mmichlo</cp:lastModifiedBy>
  <cp:revision>44</cp:revision>
  <cp:lastPrinted>2012-10-11T11:02:00Z</cp:lastPrinted>
  <dcterms:created xsi:type="dcterms:W3CDTF">2012-10-08T12:55:00Z</dcterms:created>
  <dcterms:modified xsi:type="dcterms:W3CDTF">2012-10-11T11:03:00Z</dcterms:modified>
</cp:coreProperties>
</file>