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0F1C" w:rsidRPr="007436A1" w:rsidP="00FB0F1C">
      <w:pPr>
        <w:pStyle w:val="BodyTextIndent2"/>
        <w:bidi w:val="0"/>
        <w:spacing w:line="240" w:lineRule="auto"/>
        <w:ind w:left="-181"/>
        <w:jc w:val="center"/>
        <w:rPr>
          <w:rFonts w:ascii="Times New Roman" w:hAnsi="Times New Roman"/>
          <w:b/>
          <w:szCs w:val="24"/>
        </w:rPr>
      </w:pPr>
      <w:r w:rsidRPr="007436A1">
        <w:rPr>
          <w:rFonts w:ascii="Times New Roman" w:hAnsi="Times New Roman"/>
          <w:b/>
          <w:szCs w:val="24"/>
        </w:rPr>
        <w:t xml:space="preserve">Návrh rozpočtu Sociálnej poisťovne na rok 2013 </w:t>
      </w:r>
    </w:p>
    <w:p w:rsidR="00FB0F1C" w:rsidP="00FB0F1C">
      <w:pPr>
        <w:pStyle w:val="BodyTextIndent2"/>
        <w:bidi w:val="0"/>
        <w:spacing w:line="240" w:lineRule="auto"/>
        <w:ind w:left="-181" w:firstLine="890"/>
        <w:jc w:val="both"/>
        <w:rPr>
          <w:rFonts w:ascii="Times New Roman" w:hAnsi="Times New Roman"/>
        </w:rPr>
      </w:pPr>
      <w:r w:rsidRPr="00A21A68">
        <w:rPr>
          <w:rFonts w:ascii="Times New Roman" w:hAnsi="Times New Roman"/>
        </w:rPr>
        <w:t>Návrh rozp</w:t>
      </w:r>
      <w:r>
        <w:rPr>
          <w:rFonts w:ascii="Times New Roman" w:hAnsi="Times New Roman"/>
        </w:rPr>
        <w:t>očtu Sociálnej poisťovne na rok</w:t>
      </w:r>
      <w:r w:rsidRPr="00A21A68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3</w:t>
      </w:r>
      <w:r w:rsidRPr="00A21A68">
        <w:rPr>
          <w:rFonts w:ascii="Times New Roman" w:hAnsi="Times New Roman"/>
          <w:szCs w:val="24"/>
        </w:rPr>
        <w:t xml:space="preserve"> </w:t>
      </w:r>
      <w:r w:rsidRPr="00A21A68">
        <w:rPr>
          <w:rFonts w:ascii="Times New Roman" w:hAnsi="Times New Roman"/>
        </w:rPr>
        <w:t xml:space="preserve"> (ďalej len „návrh rozpočtu“) je zostavený v podmienkach </w:t>
      </w:r>
      <w:r w:rsidRPr="00A21A68">
        <w:rPr>
          <w:rFonts w:ascii="Times New Roman" w:hAnsi="Times New Roman"/>
          <w:szCs w:val="24"/>
        </w:rPr>
        <w:t xml:space="preserve">zákona č. 461/2003 Z. z. o sociálnom poistení v znení neskorších predpisov (ďalej len „zákon o sociálnom poistení“) </w:t>
      </w:r>
      <w:r w:rsidRPr="00A21A68">
        <w:rPr>
          <w:rFonts w:ascii="Times New Roman" w:hAnsi="Times New Roman"/>
        </w:rPr>
        <w:t>účinných k termínu spracovávania materiálu</w:t>
      </w:r>
      <w:r w:rsidR="00C6236E">
        <w:rPr>
          <w:rFonts w:ascii="Times New Roman" w:hAnsi="Times New Roman"/>
        </w:rPr>
        <w:t xml:space="preserve"> a od 1. 1</w:t>
      </w:r>
      <w:r w:rsidR="00C209B5">
        <w:rPr>
          <w:rFonts w:ascii="Times New Roman" w:hAnsi="Times New Roman"/>
        </w:rPr>
        <w:t>.</w:t>
      </w:r>
      <w:r w:rsidR="00C6236E">
        <w:rPr>
          <w:rFonts w:ascii="Times New Roman" w:hAnsi="Times New Roman"/>
        </w:rPr>
        <w:t> 2013</w:t>
      </w:r>
      <w:r w:rsidRPr="00A21A68">
        <w:rPr>
          <w:rFonts w:ascii="Times New Roman" w:hAnsi="Times New Roman"/>
        </w:rPr>
        <w:t xml:space="preserve">. </w:t>
      </w:r>
    </w:p>
    <w:p w:rsidR="007B543D" w:rsidP="00FB0F1C">
      <w:pPr>
        <w:pStyle w:val="BodyTextIndent2"/>
        <w:bidi w:val="0"/>
        <w:spacing w:line="240" w:lineRule="auto"/>
        <w:ind w:left="-181" w:firstLine="890"/>
        <w:jc w:val="both"/>
        <w:rPr>
          <w:rFonts w:ascii="Times New Roman" w:hAnsi="Times New Roman"/>
        </w:rPr>
      </w:pPr>
      <w:r w:rsidRPr="00A21A68" w:rsidR="00FB0F1C">
        <w:rPr>
          <w:rFonts w:ascii="Times New Roman" w:hAnsi="Times New Roman"/>
        </w:rPr>
        <w:t xml:space="preserve">Zohľadňuje skutočné výsledky hospodárenia Sociálnej poisťovne v roku 2011 a za obdobie mesiacov január až </w:t>
      </w:r>
      <w:r w:rsidR="00FB0F1C">
        <w:rPr>
          <w:rFonts w:ascii="Times New Roman" w:hAnsi="Times New Roman"/>
        </w:rPr>
        <w:t>august</w:t>
      </w:r>
      <w:r w:rsidRPr="00A21A68" w:rsidR="00FB0F1C">
        <w:rPr>
          <w:rFonts w:ascii="Times New Roman" w:hAnsi="Times New Roman"/>
        </w:rPr>
        <w:t xml:space="preserve"> 2012 a predpoklad ich vývoja do konca roka 2012, vplyv makroekonomických ukazovateľov zverejnených Inštitútom finančnej politiky Ministerstva financií Slovenskej republiky (IFP MF SR) </w:t>
      </w:r>
      <w:r w:rsidR="00FB0F1C">
        <w:rPr>
          <w:rFonts w:ascii="Times New Roman" w:hAnsi="Times New Roman"/>
        </w:rPr>
        <w:t>12. septembra</w:t>
      </w:r>
      <w:r w:rsidRPr="00A21A68" w:rsidR="00FB0F1C">
        <w:rPr>
          <w:rFonts w:ascii="Times New Roman" w:hAnsi="Times New Roman"/>
        </w:rPr>
        <w:t xml:space="preserve"> 2012</w:t>
      </w:r>
      <w:r w:rsidR="009078D7">
        <w:rPr>
          <w:rFonts w:ascii="Times New Roman" w:hAnsi="Times New Roman"/>
        </w:rPr>
        <w:t xml:space="preserve">. </w:t>
      </w:r>
    </w:p>
    <w:p w:rsidR="00C360B5" w:rsidP="00FB0F1C">
      <w:pPr>
        <w:pStyle w:val="BodyTextIndent2"/>
        <w:bidi w:val="0"/>
        <w:spacing w:line="240" w:lineRule="auto"/>
        <w:ind w:left="-181" w:firstLine="8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Porovnanie aktuálnych </w:t>
      </w:r>
      <w:r w:rsidRPr="00A21A68">
        <w:rPr>
          <w:rFonts w:ascii="Times New Roman" w:hAnsi="Times New Roman"/>
        </w:rPr>
        <w:t>makroekonomickýc</w:t>
      </w:r>
      <w:r>
        <w:rPr>
          <w:rFonts w:ascii="Times New Roman" w:hAnsi="Times New Roman"/>
        </w:rPr>
        <w:t>h prognóz s </w:t>
      </w:r>
      <w:r w:rsidRPr="00A21A68">
        <w:rPr>
          <w:rFonts w:ascii="Times New Roman" w:hAnsi="Times New Roman"/>
        </w:rPr>
        <w:t>makroekonomický</w:t>
      </w:r>
      <w:r>
        <w:rPr>
          <w:rFonts w:ascii="Times New Roman" w:hAnsi="Times New Roman"/>
        </w:rPr>
        <w:t xml:space="preserve">mi prognózami vydanými 11. júna 2012: </w:t>
      </w:r>
    </w:p>
    <w:tbl>
      <w:tblPr>
        <w:tblStyle w:val="TableNormal"/>
        <w:tblW w:w="9087" w:type="dxa"/>
        <w:tblInd w:w="55" w:type="dxa"/>
        <w:tblCellMar>
          <w:left w:w="70" w:type="dxa"/>
          <w:right w:w="70" w:type="dxa"/>
        </w:tblCellMar>
        <w:tblLook w:val="0600"/>
      </w:tblPr>
      <w:tblGrid>
        <w:gridCol w:w="3276"/>
        <w:gridCol w:w="1275"/>
        <w:gridCol w:w="1134"/>
        <w:gridCol w:w="1134"/>
        <w:gridCol w:w="1134"/>
        <w:gridCol w:w="1134"/>
      </w:tblGrid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C360B5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sz w:val="20"/>
                <w:lang w:val="pl-PL"/>
              </w:rPr>
              <w:t>Makroekonom</w:t>
            </w:r>
            <w:r w:rsidR="00C360B5">
              <w:rPr>
                <w:rFonts w:ascii="Times New Roman" w:hAnsi="Times New Roman"/>
                <w:sz w:val="20"/>
                <w:lang w:val="pl-PL"/>
              </w:rPr>
              <w:t>i</w:t>
            </w:r>
            <w:r w:rsidRPr="0012206B">
              <w:rPr>
                <w:rFonts w:ascii="Times New Roman" w:hAnsi="Times New Roman"/>
                <w:sz w:val="20"/>
                <w:lang w:val="pl-PL"/>
              </w:rPr>
              <w:t xml:space="preserve">cké ukazovatele z </w:t>
            </w:r>
            <w:r w:rsidR="00857078">
              <w:rPr>
                <w:rFonts w:ascii="Times New Roman" w:hAnsi="Times New Roman"/>
                <w:sz w:val="20"/>
                <w:lang w:val="pl-PL"/>
              </w:rPr>
              <w:br/>
            </w:r>
            <w:r w:rsidRPr="0012206B">
              <w:rPr>
                <w:rFonts w:ascii="Times New Roman" w:hAnsi="Times New Roman"/>
                <w:sz w:val="20"/>
                <w:lang w:val="pl-PL"/>
              </w:rPr>
              <w:t>11.</w:t>
            </w:r>
            <w:r w:rsidR="00857078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12206B">
              <w:rPr>
                <w:rFonts w:ascii="Times New Roman" w:hAnsi="Times New Roman"/>
                <w:sz w:val="20"/>
                <w:lang w:val="pl-PL"/>
              </w:rPr>
              <w:t>júna 2012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Skutočnosť  rok 2011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="001955B4">
              <w:rPr>
                <w:rFonts w:ascii="Times New Roman" w:hAnsi="Times New Roman"/>
                <w:kern w:val="24"/>
                <w:sz w:val="20"/>
              </w:rPr>
              <w:t>P</w:t>
            </w:r>
            <w:r w:rsidRPr="0012206B">
              <w:rPr>
                <w:rFonts w:ascii="Times New Roman" w:hAnsi="Times New Roman"/>
                <w:kern w:val="24"/>
                <w:sz w:val="20"/>
              </w:rPr>
              <w:t>rognóza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="001955B4">
              <w:rPr>
                <w:rFonts w:ascii="Times New Roman" w:hAnsi="Times New Roman"/>
                <w:kern w:val="24"/>
                <w:sz w:val="20"/>
              </w:rPr>
              <w:t xml:space="preserve">rok </w:t>
            </w:r>
            <w:r w:rsidRPr="0012206B">
              <w:rPr>
                <w:rFonts w:ascii="Times New Roman" w:hAnsi="Times New Roman"/>
                <w:kern w:val="24"/>
                <w:sz w:val="20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="001955B4">
              <w:rPr>
                <w:rFonts w:ascii="Times New Roman" w:hAnsi="Times New Roman"/>
                <w:kern w:val="24"/>
                <w:sz w:val="20"/>
              </w:rPr>
              <w:t xml:space="preserve">rok </w:t>
            </w:r>
            <w:r w:rsidRPr="0012206B">
              <w:rPr>
                <w:rFonts w:ascii="Times New Roman" w:hAnsi="Times New Roman"/>
                <w:kern w:val="24"/>
                <w:sz w:val="20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rok 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rok 2015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Priemerná ročná inflácia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3,90%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3,50%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2,50%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2,10%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2,30%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857078">
            <w:pPr>
              <w:bidi w:val="0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Nárast priemernej nom</w:t>
            </w:r>
            <w:r w:rsidR="00857078">
              <w:rPr>
                <w:rFonts w:ascii="Times New Roman" w:hAnsi="Times New Roman"/>
                <w:kern w:val="24"/>
                <w:sz w:val="20"/>
              </w:rPr>
              <w:t>inálnej</w:t>
            </w:r>
            <w:r w:rsidRPr="0012206B">
              <w:rPr>
                <w:rFonts w:ascii="Times New Roman" w:hAnsi="Times New Roman"/>
                <w:kern w:val="24"/>
                <w:sz w:val="20"/>
              </w:rPr>
              <w:t xml:space="preserve"> mzdy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2,20%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3,20%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4,00%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4,50%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5,20%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0"/>
              </w:rPr>
            </w:pPr>
            <w:r w:rsidR="00857078">
              <w:rPr>
                <w:rFonts w:ascii="Times New Roman" w:hAnsi="Times New Roman"/>
                <w:kern w:val="24"/>
                <w:sz w:val="20"/>
              </w:rPr>
              <w:t>Priemerná miera nezamestnanosti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13,20%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13,80%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13,50%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13,40%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13,10%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Nárast zamestnanosti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1,90%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0,80%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 xml:space="preserve">Makroekonomické ukazovatele z </w:t>
            </w:r>
            <w:r w:rsidR="00857078">
              <w:rPr>
                <w:rFonts w:ascii="Times New Roman" w:hAnsi="Times New Roman"/>
                <w:kern w:val="24"/>
                <w:sz w:val="20"/>
              </w:rPr>
              <w:br/>
            </w:r>
            <w:r w:rsidRPr="0012206B">
              <w:rPr>
                <w:rFonts w:ascii="Times New Roman" w:hAnsi="Times New Roman"/>
                <w:kern w:val="24"/>
                <w:sz w:val="20"/>
              </w:rPr>
              <w:t>12.</w:t>
            </w:r>
            <w:r w:rsidR="00857078">
              <w:rPr>
                <w:rFonts w:ascii="Times New Roman" w:hAnsi="Times New Roman"/>
                <w:kern w:val="24"/>
                <w:sz w:val="20"/>
              </w:rPr>
              <w:t xml:space="preserve"> </w:t>
            </w:r>
            <w:r w:rsidRPr="0012206B">
              <w:rPr>
                <w:rFonts w:ascii="Times New Roman" w:hAnsi="Times New Roman"/>
                <w:kern w:val="24"/>
                <w:sz w:val="20"/>
              </w:rPr>
              <w:t>septembra 2012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Skutočnosť  rok 2011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955B4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="001955B4">
              <w:rPr>
                <w:rFonts w:ascii="Times New Roman" w:hAnsi="Times New Roman"/>
                <w:kern w:val="24"/>
                <w:sz w:val="20"/>
              </w:rPr>
              <w:t>P</w:t>
            </w:r>
            <w:r w:rsidRPr="0012206B">
              <w:rPr>
                <w:rFonts w:ascii="Times New Roman" w:hAnsi="Times New Roman"/>
                <w:kern w:val="24"/>
                <w:sz w:val="20"/>
              </w:rPr>
              <w:t>rognóza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="001955B4">
              <w:rPr>
                <w:rFonts w:ascii="Times New Roman" w:hAnsi="Times New Roman"/>
                <w:kern w:val="24"/>
                <w:sz w:val="20"/>
              </w:rPr>
              <w:t xml:space="preserve">rok </w:t>
            </w:r>
            <w:r w:rsidRPr="0012206B">
              <w:rPr>
                <w:rFonts w:ascii="Times New Roman" w:hAnsi="Times New Roman"/>
                <w:kern w:val="24"/>
                <w:sz w:val="20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="001955B4">
              <w:rPr>
                <w:rFonts w:ascii="Times New Roman" w:hAnsi="Times New Roman"/>
                <w:kern w:val="24"/>
                <w:sz w:val="20"/>
              </w:rPr>
              <w:t xml:space="preserve">rok </w:t>
            </w:r>
            <w:r w:rsidRPr="0012206B">
              <w:rPr>
                <w:rFonts w:ascii="Times New Roman" w:hAnsi="Times New Roman"/>
                <w:kern w:val="24"/>
                <w:sz w:val="20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rok 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rok 2015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Priemerná ročná inflácia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3,90%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3,70%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3,10%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2,10%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2,20%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E12383">
            <w:pPr>
              <w:bidi w:val="0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 xml:space="preserve">Nárast priemernej </w:t>
            </w:r>
            <w:r w:rsidRPr="0012206B" w:rsidR="00857078">
              <w:rPr>
                <w:rFonts w:ascii="Times New Roman" w:hAnsi="Times New Roman"/>
                <w:kern w:val="24"/>
                <w:sz w:val="20"/>
              </w:rPr>
              <w:t>nom</w:t>
            </w:r>
            <w:r w:rsidR="00857078">
              <w:rPr>
                <w:rFonts w:ascii="Times New Roman" w:hAnsi="Times New Roman"/>
                <w:kern w:val="24"/>
                <w:sz w:val="20"/>
              </w:rPr>
              <w:t>inálnej</w:t>
            </w:r>
            <w:r w:rsidR="00E12383">
              <w:rPr>
                <w:rFonts w:ascii="Times New Roman" w:hAnsi="Times New Roman"/>
                <w:kern w:val="24"/>
                <w:sz w:val="20"/>
              </w:rPr>
              <w:t xml:space="preserve"> </w:t>
            </w:r>
            <w:r w:rsidRPr="0012206B">
              <w:rPr>
                <w:rFonts w:ascii="Times New Roman" w:hAnsi="Times New Roman"/>
                <w:kern w:val="24"/>
                <w:sz w:val="20"/>
              </w:rPr>
              <w:t>mzdy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2,20%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2,40%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3,40%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4,40%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4,90%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E12383">
            <w:pPr>
              <w:bidi w:val="0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 xml:space="preserve">Priemerná miera </w:t>
            </w:r>
            <w:r w:rsidR="00E12383">
              <w:rPr>
                <w:rFonts w:ascii="Times New Roman" w:hAnsi="Times New Roman"/>
                <w:kern w:val="24"/>
                <w:sz w:val="20"/>
              </w:rPr>
              <w:t>nezamestnanosti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13,20%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13,30%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13,30%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12,90%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12,50%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Nárast zamestnanosti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1,90%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0,80%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="00F34047">
              <w:rPr>
                <w:rFonts w:ascii="Times New Roman" w:hAnsi="Times New Roman"/>
                <w:sz w:val="20"/>
                <w:lang w:val="pt-BR"/>
              </w:rPr>
              <w:t>R</w:t>
            </w:r>
            <w:r w:rsidRPr="0012206B">
              <w:rPr>
                <w:rFonts w:ascii="Times New Roman" w:hAnsi="Times New Roman"/>
                <w:sz w:val="20"/>
                <w:lang w:val="pt-BR"/>
              </w:rPr>
              <w:t xml:space="preserve"> o z d i el  (september-jún)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Skutočnosť  rok 2011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="001955B4">
              <w:rPr>
                <w:rFonts w:ascii="Times New Roman" w:hAnsi="Times New Roman"/>
                <w:kern w:val="24"/>
                <w:sz w:val="20"/>
              </w:rPr>
              <w:t>P</w:t>
            </w:r>
            <w:r w:rsidRPr="0012206B">
              <w:rPr>
                <w:rFonts w:ascii="Times New Roman" w:hAnsi="Times New Roman"/>
                <w:kern w:val="24"/>
                <w:sz w:val="20"/>
              </w:rPr>
              <w:t>rognóza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rPr>
          <w:trHeight w:val="8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="001955B4">
              <w:rPr>
                <w:rFonts w:ascii="Times New Roman" w:hAnsi="Times New Roman"/>
                <w:kern w:val="24"/>
                <w:sz w:val="20"/>
              </w:rPr>
              <w:t xml:space="preserve">rok </w:t>
            </w:r>
            <w:r w:rsidRPr="0012206B">
              <w:rPr>
                <w:rFonts w:ascii="Times New Roman" w:hAnsi="Times New Roman"/>
                <w:kern w:val="24"/>
                <w:sz w:val="20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="001955B4">
              <w:rPr>
                <w:rFonts w:ascii="Times New Roman" w:hAnsi="Times New Roman"/>
                <w:kern w:val="24"/>
                <w:sz w:val="20"/>
              </w:rPr>
              <w:t xml:space="preserve">rok </w:t>
            </w:r>
            <w:r w:rsidRPr="0012206B">
              <w:rPr>
                <w:rFonts w:ascii="Times New Roman" w:hAnsi="Times New Roman"/>
                <w:kern w:val="24"/>
                <w:sz w:val="20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rok 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rok 2015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Priemerná ročná inflácia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-0,10%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E12383">
            <w:pPr>
              <w:bidi w:val="0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 xml:space="preserve">Nárast priemernej </w:t>
            </w:r>
            <w:r w:rsidRPr="0012206B" w:rsidR="00857078">
              <w:rPr>
                <w:rFonts w:ascii="Times New Roman" w:hAnsi="Times New Roman"/>
                <w:kern w:val="24"/>
                <w:sz w:val="20"/>
              </w:rPr>
              <w:t>nom</w:t>
            </w:r>
            <w:r w:rsidR="00857078">
              <w:rPr>
                <w:rFonts w:ascii="Times New Roman" w:hAnsi="Times New Roman"/>
                <w:kern w:val="24"/>
                <w:sz w:val="20"/>
              </w:rPr>
              <w:t>inálnej</w:t>
            </w:r>
            <w:r w:rsidR="00E12383">
              <w:rPr>
                <w:rFonts w:ascii="Times New Roman" w:hAnsi="Times New Roman"/>
                <w:kern w:val="24"/>
                <w:sz w:val="20"/>
              </w:rPr>
              <w:t xml:space="preserve"> </w:t>
            </w:r>
            <w:r w:rsidRPr="0012206B">
              <w:rPr>
                <w:rFonts w:ascii="Times New Roman" w:hAnsi="Times New Roman"/>
                <w:kern w:val="24"/>
                <w:sz w:val="20"/>
              </w:rPr>
              <w:t xml:space="preserve"> mzdy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-0,80%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-0,60%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-0,10%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-0,30%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E12383">
            <w:pPr>
              <w:bidi w:val="0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 xml:space="preserve">Priemerná miera </w:t>
            </w:r>
            <w:r w:rsidR="00857078">
              <w:rPr>
                <w:rFonts w:ascii="Times New Roman" w:hAnsi="Times New Roman"/>
                <w:kern w:val="24"/>
                <w:sz w:val="20"/>
              </w:rPr>
              <w:t>nezamestnanosti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-0,50%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-0,20%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-0,50%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-0,60%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600"/>
        </w:tblPrEx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Nárast  zamestnanosti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-0,20%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2206B" w:rsidRPr="0012206B" w:rsidP="0012206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12206B">
              <w:rPr>
                <w:rFonts w:ascii="Times New Roman" w:hAnsi="Times New Roman"/>
                <w:kern w:val="24"/>
                <w:sz w:val="20"/>
              </w:rPr>
              <w:t>0,00%</w:t>
            </w:r>
          </w:p>
        </w:tc>
      </w:tr>
    </w:tbl>
    <w:p w:rsidR="00527CE1" w:rsidP="00527CE1">
      <w:pPr>
        <w:pStyle w:val="BodyTextIndent2"/>
        <w:bidi w:val="0"/>
        <w:spacing w:before="240" w:after="0" w:line="240" w:lineRule="auto"/>
        <w:ind w:left="-181" w:firstLine="890"/>
        <w:jc w:val="both"/>
        <w:rPr>
          <w:rFonts w:ascii="Times New Roman" w:hAnsi="Times New Roman"/>
        </w:rPr>
      </w:pPr>
      <w:r w:rsidR="009078D7">
        <w:rPr>
          <w:rFonts w:ascii="Times New Roman" w:hAnsi="Times New Roman"/>
        </w:rPr>
        <w:t>V návrhu rozpočtu je zohľadnená</w:t>
      </w:r>
      <w:r w:rsidR="00FB0F1C">
        <w:rPr>
          <w:rFonts w:ascii="Times New Roman" w:hAnsi="Times New Roman"/>
        </w:rPr>
        <w:t xml:space="preserve"> </w:t>
      </w:r>
      <w:r w:rsidRPr="00A21A68" w:rsidR="00FB0F1C">
        <w:rPr>
          <w:rFonts w:ascii="Times New Roman" w:hAnsi="Times New Roman"/>
        </w:rPr>
        <w:t>MF SR navrhovan</w:t>
      </w:r>
      <w:r w:rsidR="009078D7">
        <w:rPr>
          <w:rFonts w:ascii="Times New Roman" w:hAnsi="Times New Roman"/>
        </w:rPr>
        <w:t>á</w:t>
      </w:r>
      <w:r w:rsidRPr="00A21A68" w:rsidR="00FB0F1C">
        <w:rPr>
          <w:rFonts w:ascii="Times New Roman" w:hAnsi="Times New Roman"/>
        </w:rPr>
        <w:t xml:space="preserve"> výšk</w:t>
      </w:r>
      <w:r w:rsidR="009078D7">
        <w:rPr>
          <w:rFonts w:ascii="Times New Roman" w:hAnsi="Times New Roman"/>
        </w:rPr>
        <w:t>a</w:t>
      </w:r>
      <w:r w:rsidRPr="00A21A68" w:rsidR="00FB0F1C">
        <w:rPr>
          <w:rFonts w:ascii="Times New Roman" w:hAnsi="Times New Roman"/>
        </w:rPr>
        <w:t xml:space="preserve"> príjmov a</w:t>
      </w:r>
      <w:r w:rsidR="00FB0F1C">
        <w:rPr>
          <w:rFonts w:ascii="Times New Roman" w:hAnsi="Times New Roman"/>
        </w:rPr>
        <w:t> </w:t>
      </w:r>
      <w:r w:rsidRPr="00A21A68" w:rsidR="00FB0F1C">
        <w:rPr>
          <w:rFonts w:ascii="Times New Roman" w:hAnsi="Times New Roman"/>
        </w:rPr>
        <w:t>výdavkov.</w:t>
      </w:r>
    </w:p>
    <w:p w:rsidR="00FB0F1C" w:rsidRPr="00A21A68" w:rsidP="00527CE1">
      <w:pPr>
        <w:pStyle w:val="BodyTextIndent2"/>
        <w:numPr>
          <w:numId w:val="5"/>
        </w:numPr>
        <w:bidi w:val="0"/>
        <w:spacing w:before="120" w:after="0" w:line="240" w:lineRule="auto"/>
        <w:ind w:left="709" w:hanging="709"/>
        <w:jc w:val="both"/>
        <w:rPr>
          <w:rFonts w:ascii="Times New Roman" w:hAnsi="Times New Roman"/>
          <w:b/>
          <w:szCs w:val="24"/>
        </w:rPr>
      </w:pPr>
      <w:r w:rsidRPr="00A21A68">
        <w:rPr>
          <w:rFonts w:ascii="Times New Roman" w:hAnsi="Times New Roman"/>
          <w:b/>
          <w:szCs w:val="24"/>
        </w:rPr>
        <w:t>Očakávané výsledky hospodárenia Sociálnej poisťovne v roku 2012</w:t>
      </w:r>
    </w:p>
    <w:p w:rsidR="00FB0F1C" w:rsidP="00527CE1">
      <w:pPr>
        <w:bidi w:val="0"/>
        <w:spacing w:before="120"/>
        <w:ind w:firstLine="720"/>
        <w:jc w:val="both"/>
        <w:rPr>
          <w:rFonts w:ascii="Times New Roman" w:hAnsi="Times New Roman"/>
          <w:sz w:val="18"/>
          <w:szCs w:val="18"/>
        </w:rPr>
      </w:pPr>
      <w:r w:rsidRPr="00A21A68">
        <w:rPr>
          <w:rFonts w:ascii="Times New Roman" w:hAnsi="Times New Roman"/>
          <w:szCs w:val="24"/>
        </w:rPr>
        <w:t xml:space="preserve">Príjmy Sociálnej poisťovne sa </w:t>
      </w:r>
      <w:r w:rsidRPr="00A21A68">
        <w:rPr>
          <w:rFonts w:ascii="Times New Roman" w:hAnsi="Times New Roman"/>
          <w:b/>
          <w:szCs w:val="24"/>
        </w:rPr>
        <w:t>v roku 2012 očakávajú</w:t>
      </w:r>
      <w:r w:rsidRPr="00A21A68">
        <w:rPr>
          <w:rFonts w:ascii="Times New Roman" w:hAnsi="Times New Roman"/>
          <w:szCs w:val="24"/>
        </w:rPr>
        <w:t xml:space="preserve">: </w:t>
      </w:r>
    </w:p>
    <w:tbl>
      <w:tblPr>
        <w:tblStyle w:val="TableNormal"/>
        <w:tblW w:w="0" w:type="auto"/>
        <w:tblInd w:w="-72" w:type="dxa"/>
        <w:tblCellMar>
          <w:left w:w="70" w:type="dxa"/>
          <w:right w:w="70" w:type="dxa"/>
        </w:tblCellMar>
        <w:tblLook w:val="04A0"/>
      </w:tblPr>
      <w:tblGrid>
        <w:gridCol w:w="4280"/>
        <w:gridCol w:w="1077"/>
        <w:gridCol w:w="1042"/>
        <w:gridCol w:w="1160"/>
        <w:gridCol w:w="857"/>
        <w:gridCol w:w="868"/>
      </w:tblGrid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B0F1C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v tis. Eur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Príjmy s vplyvom II. piliera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Rok 2012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Rozdiel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 xml:space="preserve">Schválený rozpočet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 xml:space="preserve">Upravený rozpočet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 xml:space="preserve">Očakávaná skutočnosť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3-2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C35433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35433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príjmy celkom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6 534 611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6 667 993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6 419 253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-115 358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-248 740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35433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v tom: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35433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príjmy z bežného poistného od ekonomicky aktívneho obyvateľstva (EAO)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4 382 544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4 440 062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4 491 110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108 566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51 048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35433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 xml:space="preserve">príjmy z dlžného poistného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149 373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149 373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231 026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81 653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81 653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35433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príjmy zo sankcií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4 445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4 445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9 555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9 555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35433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príjmy z poistného od štátu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173 915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179 229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196 496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22 581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17 267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35433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príjmy od Sociálnej poisťovne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2 090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2 121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-90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-121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35433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 xml:space="preserve">ostatné príjmy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1 790 783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1 790 783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1 380 748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-410 035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-410 035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C35433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z toho príjmy zo Štátneho rozpočtu SR (ŠR SR)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1 780 000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1 780 000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1 369 603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-410 397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-410 397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35433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príspevky na SDS zaplatené zamestnávateľom po uplynutí 60 dní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27 023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27 023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28 916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1 893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1 893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35433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príjmy správneho fondu z príspevkov na SDS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4 438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4 077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4 077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-361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blPrEx>
          <w:tblW w:w="0" w:type="auto"/>
          <w:tblInd w:w="-72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35433" w:rsidRPr="00C35433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príjmy z otvorenie II. piliera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70 880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70 880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70 880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35433" w:rsidRPr="00C35433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C35433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FB0F1C" w:rsidP="00FB0F1C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</w:p>
    <w:p w:rsidR="00FB0F1C" w:rsidRPr="00D06EA8" w:rsidP="00FB0F1C">
      <w:pPr>
        <w:bidi w:val="0"/>
        <w:spacing w:after="120"/>
        <w:ind w:firstLine="720"/>
        <w:jc w:val="both"/>
        <w:rPr>
          <w:rFonts w:ascii="Times New Roman" w:hAnsi="Times New Roman"/>
          <w:szCs w:val="24"/>
        </w:rPr>
      </w:pPr>
      <w:r w:rsidRPr="00D06EA8">
        <w:rPr>
          <w:rFonts w:ascii="Times New Roman" w:hAnsi="Times New Roman"/>
          <w:szCs w:val="24"/>
        </w:rPr>
        <w:t xml:space="preserve">V roku 2012 sa očakávajú nižšie príjmy celkom oproti </w:t>
      </w:r>
      <w:r>
        <w:rPr>
          <w:rFonts w:ascii="Times New Roman" w:hAnsi="Times New Roman"/>
          <w:szCs w:val="24"/>
        </w:rPr>
        <w:t xml:space="preserve">schválenému rozpočtu o 115 358 tis. Eur a oproti </w:t>
      </w:r>
      <w:r w:rsidRPr="00D06EA8">
        <w:rPr>
          <w:rFonts w:ascii="Times New Roman" w:hAnsi="Times New Roman"/>
          <w:szCs w:val="24"/>
        </w:rPr>
        <w:t>upravenému rozpočtu na rok 2012 o </w:t>
      </w:r>
      <w:r>
        <w:rPr>
          <w:rFonts w:ascii="Times New Roman" w:hAnsi="Times New Roman"/>
          <w:szCs w:val="24"/>
        </w:rPr>
        <w:t>248</w:t>
      </w:r>
      <w:r w:rsidRPr="00D06EA8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7</w:t>
      </w:r>
      <w:r w:rsidR="000517A8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0</w:t>
      </w:r>
      <w:r w:rsidRPr="00D06EA8">
        <w:rPr>
          <w:rFonts w:ascii="Times New Roman" w:hAnsi="Times New Roman"/>
          <w:szCs w:val="24"/>
        </w:rPr>
        <w:t xml:space="preserve"> tis. Eur. Vyššie sa očakávajú príjmy z bežného poistného od EAO </w:t>
      </w:r>
      <w:r>
        <w:rPr>
          <w:rFonts w:ascii="Times New Roman" w:hAnsi="Times New Roman"/>
          <w:szCs w:val="24"/>
        </w:rPr>
        <w:t xml:space="preserve">o 108 566 tis. Eur oproti schválenému rozpočtu a </w:t>
      </w:r>
      <w:r w:rsidRPr="00D06EA8">
        <w:rPr>
          <w:rFonts w:ascii="Times New Roman" w:hAnsi="Times New Roman"/>
          <w:szCs w:val="24"/>
        </w:rPr>
        <w:t>o </w:t>
      </w:r>
      <w:r>
        <w:rPr>
          <w:rFonts w:ascii="Times New Roman" w:hAnsi="Times New Roman"/>
          <w:szCs w:val="24"/>
        </w:rPr>
        <w:t>51</w:t>
      </w:r>
      <w:r w:rsidRPr="00D06EA8">
        <w:rPr>
          <w:rFonts w:ascii="Times New Roman" w:hAnsi="Times New Roman"/>
          <w:szCs w:val="24"/>
        </w:rPr>
        <w:t> 0</w:t>
      </w:r>
      <w:r>
        <w:rPr>
          <w:rFonts w:ascii="Times New Roman" w:hAnsi="Times New Roman"/>
          <w:szCs w:val="24"/>
        </w:rPr>
        <w:t>48</w:t>
      </w:r>
      <w:r w:rsidRPr="00D06EA8">
        <w:rPr>
          <w:rFonts w:ascii="Times New Roman" w:hAnsi="Times New Roman"/>
          <w:szCs w:val="24"/>
        </w:rPr>
        <w:t> tis. Eur</w:t>
      </w:r>
      <w:r>
        <w:rPr>
          <w:rFonts w:ascii="Times New Roman" w:hAnsi="Times New Roman"/>
          <w:szCs w:val="24"/>
        </w:rPr>
        <w:t xml:space="preserve"> oproti upravenému rozpočtu</w:t>
      </w:r>
      <w:r w:rsidRPr="00D06EA8">
        <w:rPr>
          <w:rFonts w:ascii="Times New Roman" w:hAnsi="Times New Roman"/>
          <w:szCs w:val="24"/>
        </w:rPr>
        <w:t xml:space="preserve">. Príjmy z dlžného poistného sa predpokladajú vo výške </w:t>
      </w:r>
      <w:r>
        <w:rPr>
          <w:rFonts w:ascii="Times New Roman" w:hAnsi="Times New Roman"/>
          <w:szCs w:val="24"/>
        </w:rPr>
        <w:t>231</w:t>
      </w:r>
      <w:r w:rsidRPr="00D06EA8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026</w:t>
      </w:r>
      <w:r w:rsidRPr="00D06EA8">
        <w:rPr>
          <w:rFonts w:ascii="Times New Roman" w:hAnsi="Times New Roman"/>
          <w:szCs w:val="24"/>
        </w:rPr>
        <w:t xml:space="preserve"> tis. Eur, čo predstavuje prekročenie v absolútnej sume </w:t>
      </w:r>
      <w:r>
        <w:rPr>
          <w:rFonts w:ascii="Times New Roman" w:hAnsi="Times New Roman"/>
          <w:szCs w:val="24"/>
        </w:rPr>
        <w:t>81</w:t>
      </w:r>
      <w:r w:rsidRPr="00D06EA8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653</w:t>
      </w:r>
      <w:r w:rsidRPr="00D06EA8">
        <w:rPr>
          <w:rFonts w:ascii="Times New Roman" w:hAnsi="Times New Roman"/>
          <w:szCs w:val="24"/>
        </w:rPr>
        <w:t xml:space="preserve"> tis. Eur oproti rozpočtovanej sume. </w:t>
      </w:r>
    </w:p>
    <w:p w:rsidR="00FB0F1C" w:rsidRPr="00A21A68" w:rsidP="00FB0F1C">
      <w:pPr>
        <w:bidi w:val="0"/>
        <w:spacing w:before="240" w:after="120"/>
        <w:ind w:firstLine="720"/>
        <w:jc w:val="both"/>
        <w:rPr>
          <w:rFonts w:ascii="Times New Roman" w:hAnsi="Times New Roman"/>
        </w:rPr>
      </w:pPr>
      <w:r w:rsidRPr="00A21A68">
        <w:rPr>
          <w:rFonts w:ascii="Times New Roman" w:hAnsi="Times New Roman"/>
          <w:szCs w:val="24"/>
        </w:rPr>
        <w:t xml:space="preserve">V očakávanej skutočnosti ostatných príjmov je v základnom fonde starobného poistenia (ZFSP) zapracovaný </w:t>
      </w:r>
      <w:r w:rsidRPr="00215E11">
        <w:rPr>
          <w:rFonts w:ascii="Times New Roman" w:hAnsi="Times New Roman"/>
          <w:b/>
          <w:szCs w:val="24"/>
        </w:rPr>
        <w:t>transfer finančných prostriedkov zo ŠR SR</w:t>
      </w:r>
      <w:r w:rsidRPr="00A21A68">
        <w:rPr>
          <w:rFonts w:ascii="Times New Roman" w:hAnsi="Times New Roman"/>
          <w:szCs w:val="24"/>
        </w:rPr>
        <w:t xml:space="preserve"> v sume 1 </w:t>
      </w:r>
      <w:r>
        <w:rPr>
          <w:rFonts w:ascii="Times New Roman" w:hAnsi="Times New Roman"/>
          <w:szCs w:val="24"/>
        </w:rPr>
        <w:t>369</w:t>
      </w:r>
      <w:r w:rsidRPr="00A21A68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603</w:t>
      </w:r>
      <w:r w:rsidRPr="00A21A68">
        <w:rPr>
          <w:rFonts w:ascii="Times New Roman" w:hAnsi="Times New Roman"/>
          <w:szCs w:val="24"/>
        </w:rPr>
        <w:t> tis. Eur (oproti rozpočtu na rok 2012</w:t>
      </w:r>
      <w:r w:rsidRPr="00A21A68">
        <w:rPr>
          <w:rFonts w:ascii="Times New Roman" w:hAnsi="Times New Roman"/>
        </w:rPr>
        <w:t xml:space="preserve"> </w:t>
      </w:r>
      <w:r w:rsidRPr="00215E11">
        <w:rPr>
          <w:rFonts w:ascii="Times New Roman" w:hAnsi="Times New Roman"/>
          <w:b/>
        </w:rPr>
        <w:t>nižší o </w:t>
      </w:r>
      <w:r>
        <w:rPr>
          <w:rFonts w:ascii="Times New Roman" w:hAnsi="Times New Roman"/>
          <w:b/>
        </w:rPr>
        <w:t>410</w:t>
      </w:r>
      <w:r w:rsidRPr="00215E11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397</w:t>
      </w:r>
      <w:r w:rsidRPr="00215E11">
        <w:rPr>
          <w:rFonts w:ascii="Times New Roman" w:hAnsi="Times New Roman"/>
          <w:b/>
        </w:rPr>
        <w:t> tis. Eur</w:t>
      </w:r>
      <w:r w:rsidRPr="00A21A68">
        <w:rPr>
          <w:rFonts w:ascii="Times New Roman" w:hAnsi="Times New Roman"/>
        </w:rPr>
        <w:t>)</w:t>
      </w:r>
      <w:r w:rsidRPr="00A21A68">
        <w:rPr>
          <w:rFonts w:ascii="Times New Roman" w:hAnsi="Times New Roman"/>
          <w:szCs w:val="24"/>
        </w:rPr>
        <w:t xml:space="preserve"> na krytie deficitu vzniknutého </w:t>
      </w:r>
      <w:r>
        <w:rPr>
          <w:rFonts w:ascii="Times New Roman" w:hAnsi="Times New Roman"/>
          <w:szCs w:val="24"/>
        </w:rPr>
        <w:t xml:space="preserve">v </w:t>
      </w:r>
      <w:r w:rsidRPr="00A21A68">
        <w:rPr>
          <w:rFonts w:ascii="Times New Roman" w:hAnsi="Times New Roman"/>
          <w:szCs w:val="24"/>
        </w:rPr>
        <w:t>dôsledk</w:t>
      </w:r>
      <w:r>
        <w:rPr>
          <w:rFonts w:ascii="Times New Roman" w:hAnsi="Times New Roman"/>
          <w:szCs w:val="24"/>
        </w:rPr>
        <w:t>u</w:t>
      </w:r>
      <w:r w:rsidRPr="00A21A68">
        <w:rPr>
          <w:rFonts w:ascii="Times New Roman" w:hAnsi="Times New Roman"/>
          <w:szCs w:val="24"/>
        </w:rPr>
        <w:t xml:space="preserve"> zavedenia II. piliera a ako finančná výpomoc z dôvodu platobnej neschopnosti ZFSP, v zmysle § 157 ods. 4 zákona o sociálnom poistení.</w:t>
      </w:r>
      <w:r w:rsidRPr="00A21A68">
        <w:rPr>
          <w:rFonts w:ascii="Times New Roman" w:hAnsi="Times New Roman"/>
        </w:rPr>
        <w:t xml:space="preserve"> </w:t>
      </w:r>
    </w:p>
    <w:p w:rsidR="00FB0F1C" w:rsidRPr="00A21A68" w:rsidP="00FB0F1C">
      <w:pPr>
        <w:pStyle w:val="BodyTextIndent2"/>
        <w:bidi w:val="0"/>
        <w:spacing w:before="240" w:line="240" w:lineRule="auto"/>
        <w:ind w:left="0" w:firstLine="720"/>
        <w:jc w:val="both"/>
        <w:rPr>
          <w:rFonts w:ascii="Times New Roman" w:hAnsi="Times New Roman"/>
          <w:b/>
          <w:szCs w:val="24"/>
        </w:rPr>
      </w:pPr>
      <w:r w:rsidRPr="00A21A68">
        <w:rPr>
          <w:rFonts w:ascii="Times New Roman" w:hAnsi="Times New Roman"/>
          <w:b/>
          <w:szCs w:val="24"/>
        </w:rPr>
        <w:t xml:space="preserve">Výdavky </w:t>
      </w:r>
    </w:p>
    <w:p w:rsidR="00FB0F1C" w:rsidP="00FB0F1C">
      <w:pPr>
        <w:bidi w:val="0"/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b/>
          <w:szCs w:val="24"/>
        </w:rPr>
        <w:t xml:space="preserve">Výdavky (náklady) </w:t>
      </w:r>
      <w:r w:rsidRPr="00A21A68">
        <w:rPr>
          <w:rFonts w:ascii="Times New Roman" w:hAnsi="Times New Roman"/>
          <w:szCs w:val="24"/>
        </w:rPr>
        <w:t xml:space="preserve">Sociálnej poisťovne sa </w:t>
      </w:r>
      <w:r w:rsidRPr="00A21A68">
        <w:rPr>
          <w:rFonts w:ascii="Times New Roman" w:hAnsi="Times New Roman"/>
          <w:b/>
          <w:szCs w:val="24"/>
        </w:rPr>
        <w:t xml:space="preserve">v roku 2012 </w:t>
      </w:r>
      <w:r w:rsidRPr="00A21A68">
        <w:rPr>
          <w:rFonts w:ascii="Times New Roman" w:hAnsi="Times New Roman"/>
          <w:szCs w:val="24"/>
        </w:rPr>
        <w:t>očakávajú:</w:t>
      </w:r>
    </w:p>
    <w:tbl>
      <w:tblPr>
        <w:tblStyle w:val="TableNormal"/>
        <w:tblW w:w="10021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4962"/>
        <w:gridCol w:w="1124"/>
        <w:gridCol w:w="1124"/>
        <w:gridCol w:w="1124"/>
        <w:gridCol w:w="843"/>
        <w:gridCol w:w="844"/>
      </w:tblGrid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ind w:left="-28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v tis. Eur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Ukazovateľ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Rok 2012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Rozdiel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 xml:space="preserve">Schválený rozpočet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 xml:space="preserve">Upravený rozpočet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 xml:space="preserve">Očakávaná skutočnosť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3-1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3-2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Použitie prostriedkov celkom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6 509 225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6 499 601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6 426 822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-82 403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-72 779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v tom: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 xml:space="preserve"> základný fond nemocenského poistenia (ZFNP)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431 934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422 576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435 364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3 430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12 788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ZFSP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4 814 092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4 814 092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4 740 539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-73 553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-73 553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základný fond invalidného poistenia (ZFIP)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890 568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890 568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881 443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-9 125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-9 125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základný fond úrazového poistenia (ZFÚP), v tom: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47 676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47 676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45 378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-2 298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-2 298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 xml:space="preserve"> - výdavky na úrazové dávky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45 351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45 351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43 120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-2 231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-2 231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 xml:space="preserve"> - úhrada poistného na starobné poistenie a príspevkov na SDS za poberateľov úrazovej renty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2 325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2 325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2 258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-67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základný fond garančného poistenia (ZFGP), v tom: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41 073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41 073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34 911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-6 162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-6 162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 xml:space="preserve"> - výdavky na dávku garančného poistenia 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2 349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2 349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7 612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5 263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5 263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 xml:space="preserve"> - úhrada príspevkov na SDS nezaplatených zamestnávateľom do základného fondu príspevkov na SDS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38 724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38 724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27 299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-11 425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-11 425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základný fond poistenia v nezamestnanosti (ZFPvN)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170 171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169 905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174 262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4 091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4 357</w:t>
            </w:r>
          </w:p>
        </w:tc>
      </w:tr>
      <w:tr>
        <w:tblPrEx>
          <w:tblW w:w="10021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F06C0C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správny fond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113 711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F06C0C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6C0C">
              <w:rPr>
                <w:rFonts w:ascii="Times New Roman" w:hAnsi="Times New Roman"/>
                <w:sz w:val="18"/>
                <w:szCs w:val="18"/>
              </w:rPr>
              <w:t>113 711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114 925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1 214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943EDB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3EDB">
              <w:rPr>
                <w:rFonts w:ascii="Times New Roman" w:hAnsi="Times New Roman"/>
                <w:sz w:val="18"/>
                <w:szCs w:val="18"/>
              </w:rPr>
              <w:t>1 214</w:t>
            </w:r>
          </w:p>
        </w:tc>
      </w:tr>
    </w:tbl>
    <w:p w:rsidR="00FB0F1C" w:rsidRPr="00F867C6" w:rsidP="00FB0F1C">
      <w:pPr>
        <w:bidi w:val="0"/>
        <w:spacing w:before="240" w:after="120"/>
        <w:ind w:firstLine="709"/>
        <w:jc w:val="both"/>
        <w:rPr>
          <w:rFonts w:ascii="Times New Roman" w:hAnsi="Times New Roman"/>
        </w:rPr>
      </w:pPr>
      <w:r w:rsidRPr="00A21A68">
        <w:rPr>
          <w:rFonts w:ascii="Times New Roman" w:hAnsi="Times New Roman"/>
          <w:b/>
          <w:szCs w:val="24"/>
        </w:rPr>
        <w:t>V roku 2012</w:t>
      </w:r>
      <w:r w:rsidRPr="00A21A68">
        <w:rPr>
          <w:rFonts w:ascii="Times New Roman" w:hAnsi="Times New Roman"/>
          <w:szCs w:val="24"/>
        </w:rPr>
        <w:t xml:space="preserve"> sa očakávajú </w:t>
      </w:r>
      <w:r w:rsidRPr="00A21A68">
        <w:rPr>
          <w:rFonts w:ascii="Times New Roman" w:hAnsi="Times New Roman"/>
          <w:b/>
          <w:szCs w:val="24"/>
        </w:rPr>
        <w:t>celkovo</w:t>
      </w:r>
      <w:r w:rsidRPr="00A21A68">
        <w:rPr>
          <w:rFonts w:ascii="Times New Roman" w:hAnsi="Times New Roman"/>
          <w:szCs w:val="24"/>
        </w:rPr>
        <w:t xml:space="preserve"> </w:t>
      </w:r>
      <w:r w:rsidRPr="00A21A68">
        <w:rPr>
          <w:rFonts w:ascii="Times New Roman" w:hAnsi="Times New Roman"/>
          <w:b/>
          <w:szCs w:val="24"/>
        </w:rPr>
        <w:t>nižšie</w:t>
      </w:r>
      <w:r w:rsidRPr="00A21A68">
        <w:rPr>
          <w:rFonts w:ascii="Times New Roman" w:hAnsi="Times New Roman"/>
          <w:szCs w:val="24"/>
        </w:rPr>
        <w:t xml:space="preserve"> výdavky (náklady) Sociálnej poisťovne </w:t>
      </w:r>
      <w:r>
        <w:rPr>
          <w:rFonts w:ascii="Times New Roman" w:hAnsi="Times New Roman"/>
          <w:szCs w:val="24"/>
        </w:rPr>
        <w:t>o </w:t>
      </w:r>
      <w:r>
        <w:rPr>
          <w:rFonts w:ascii="Times New Roman" w:hAnsi="Times New Roman"/>
          <w:b/>
          <w:szCs w:val="24"/>
        </w:rPr>
        <w:t>82</w:t>
      </w:r>
      <w:r w:rsidRPr="00545698">
        <w:rPr>
          <w:rFonts w:ascii="Times New Roman" w:hAnsi="Times New Roman"/>
          <w:b/>
          <w:szCs w:val="24"/>
        </w:rPr>
        <w:t> </w:t>
      </w:r>
      <w:r>
        <w:rPr>
          <w:rFonts w:ascii="Times New Roman" w:hAnsi="Times New Roman"/>
          <w:b/>
          <w:szCs w:val="24"/>
        </w:rPr>
        <w:t>403</w:t>
      </w:r>
      <w:r w:rsidRPr="00545698">
        <w:rPr>
          <w:rFonts w:ascii="Times New Roman" w:hAnsi="Times New Roman"/>
          <w:b/>
          <w:szCs w:val="24"/>
        </w:rPr>
        <w:t> tis. Eur</w:t>
      </w:r>
      <w:r>
        <w:rPr>
          <w:rFonts w:ascii="Times New Roman" w:hAnsi="Times New Roman"/>
          <w:szCs w:val="24"/>
        </w:rPr>
        <w:t xml:space="preserve"> oproti </w:t>
      </w:r>
      <w:r w:rsidRPr="00571294">
        <w:rPr>
          <w:rFonts w:ascii="Times New Roman" w:hAnsi="Times New Roman"/>
          <w:szCs w:val="24"/>
        </w:rPr>
        <w:t>schválenému rozpočtu</w:t>
      </w:r>
      <w:r>
        <w:rPr>
          <w:rFonts w:ascii="Times New Roman" w:hAnsi="Times New Roman"/>
          <w:szCs w:val="24"/>
        </w:rPr>
        <w:t xml:space="preserve"> a </w:t>
      </w:r>
      <w:r w:rsidRPr="00A21A68">
        <w:rPr>
          <w:rFonts w:ascii="Times New Roman" w:hAnsi="Times New Roman"/>
          <w:szCs w:val="24"/>
        </w:rPr>
        <w:t>o </w:t>
      </w:r>
      <w:r>
        <w:rPr>
          <w:rFonts w:ascii="Times New Roman" w:hAnsi="Times New Roman"/>
          <w:b/>
          <w:szCs w:val="24"/>
        </w:rPr>
        <w:t>72</w:t>
      </w:r>
      <w:r w:rsidRPr="00A21A68">
        <w:rPr>
          <w:rFonts w:ascii="Times New Roman" w:hAnsi="Times New Roman"/>
          <w:b/>
          <w:szCs w:val="24"/>
        </w:rPr>
        <w:t> </w:t>
      </w:r>
      <w:r>
        <w:rPr>
          <w:rFonts w:ascii="Times New Roman" w:hAnsi="Times New Roman"/>
          <w:b/>
          <w:szCs w:val="24"/>
        </w:rPr>
        <w:t>779</w:t>
      </w:r>
      <w:r w:rsidRPr="00A21A68">
        <w:rPr>
          <w:rFonts w:ascii="Times New Roman" w:hAnsi="Times New Roman"/>
          <w:b/>
          <w:szCs w:val="24"/>
        </w:rPr>
        <w:t> tis. Eur</w:t>
      </w:r>
      <w:r w:rsidRPr="00A21A68">
        <w:rPr>
          <w:rFonts w:ascii="Times New Roman" w:hAnsi="Times New Roman"/>
          <w:szCs w:val="24"/>
        </w:rPr>
        <w:t xml:space="preserve">, oproti upravenému rozpočtu. </w:t>
      </w:r>
      <w:r w:rsidRPr="006E58E2">
        <w:rPr>
          <w:rFonts w:ascii="Times New Roman" w:hAnsi="Times New Roman"/>
          <w:szCs w:val="24"/>
        </w:rPr>
        <w:t xml:space="preserve">V ZFSP sa predpokladajú nižšie výdavky o 73 553 tis. Eur, </w:t>
      </w:r>
      <w:r w:rsidRPr="006E58E2">
        <w:rPr>
          <w:rFonts w:ascii="Times New Roman" w:hAnsi="Times New Roman"/>
        </w:rPr>
        <w:t>najmä z dôvodu nižšieho počtu a nižšej priemernej výšky priznaných dôchodkov a vyššieho počtu zaniknutých dôchodkov, ktoré mali vyššiu priemernú výšku, ako bolo rozpočtované na rok 2012. Vyššie výdavky sa očakávajú v ZFNP z dôvodu vyššej priemernej mesačnej výšky nemocenských dávok, ako bolo zapracované v rozpočte a v ZFPvN z dôvodu vyššieho priemerného mesačného počtu poberateľov dávky a vyššej priemernej  mesačnej výšky dávky v roku 2012.</w:t>
      </w:r>
      <w:r w:rsidRPr="00A21A68">
        <w:rPr>
          <w:rFonts w:ascii="Times New Roman" w:hAnsi="Times New Roman"/>
          <w:b/>
        </w:rPr>
        <w:t xml:space="preserve"> </w:t>
      </w:r>
    </w:p>
    <w:p w:rsidR="00FB0F1C" w:rsidP="00FB0F1C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 xml:space="preserve">Z hľadiska </w:t>
      </w:r>
      <w:r w:rsidRPr="00A21A68">
        <w:rPr>
          <w:rFonts w:ascii="Times New Roman" w:hAnsi="Times New Roman"/>
          <w:b/>
          <w:szCs w:val="24"/>
        </w:rPr>
        <w:t>celkového hospodárenia Sociálnej poisťovne</w:t>
      </w:r>
      <w:r>
        <w:rPr>
          <w:rFonts w:ascii="Times New Roman" w:hAnsi="Times New Roman"/>
          <w:b/>
          <w:szCs w:val="24"/>
        </w:rPr>
        <w:t xml:space="preserve"> </w:t>
      </w:r>
      <w:r w:rsidRPr="006E58E2">
        <w:rPr>
          <w:rFonts w:ascii="Times New Roman" w:hAnsi="Times New Roman"/>
          <w:szCs w:val="24"/>
        </w:rPr>
        <w:t>(v</w:t>
      </w:r>
      <w:r>
        <w:rPr>
          <w:rFonts w:ascii="Times New Roman" w:hAnsi="Times New Roman"/>
          <w:szCs w:val="24"/>
        </w:rPr>
        <w:t>rátane prevodu prostriedkov z minulých rokov)</w:t>
      </w:r>
      <w:r w:rsidRPr="00A21A68">
        <w:rPr>
          <w:rFonts w:ascii="Times New Roman" w:hAnsi="Times New Roman"/>
          <w:szCs w:val="24"/>
        </w:rPr>
        <w:t xml:space="preserve"> je možné očakávať k 31. 12. 2012 v jednotlivých fondoch výsledky:</w:t>
      </w:r>
    </w:p>
    <w:p w:rsidR="00425B4D" w:rsidP="00FB0F1C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</w:p>
    <w:p w:rsidR="0013671D" w:rsidP="00FB0F1C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</w:p>
    <w:p w:rsidR="0013671D" w:rsidP="00FB0F1C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</w:p>
    <w:p w:rsidR="00884C77" w:rsidP="00FB0F1C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</w:p>
    <w:p w:rsidR="00425B4D" w:rsidP="00FB0F1C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</w:p>
    <w:tbl>
      <w:tblPr>
        <w:tblStyle w:val="TableNormal"/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68"/>
        <w:gridCol w:w="1565"/>
        <w:gridCol w:w="1521"/>
        <w:gridCol w:w="1491"/>
        <w:gridCol w:w="956"/>
        <w:gridCol w:w="88"/>
        <w:gridCol w:w="868"/>
      </w:tblGrid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B0F1C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v tis. Eur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 xml:space="preserve">Fond  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Bilančný rozdiel k 31.12.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 xml:space="preserve">Rozdiel 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 xml:space="preserve">Schválený rozpočet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 xml:space="preserve">Upravený rozpočet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 xml:space="preserve">Očakávaná skutočnosť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3-1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3-2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0F1C" w:rsidRPr="00ED4B4B" w:rsidP="00FB0F1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ZFNP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50 000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35 000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35 000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-15 000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ZFSP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267 156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422 104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287 392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20 236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-134 712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ZFIP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153 663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154 226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142 977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-10 686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-11 249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ZFÚP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5 000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5 000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5 000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ZFGP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5 000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5 000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5 000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ZFPvN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20 000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20 000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20 000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Rezervný fond solidarity (RFS)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Správny fond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51 127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53 622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53 943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2 816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321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 w:rsidP="00FB0F1C">
            <w:pPr>
              <w:bidi w:val="0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Spolu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551 946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694 952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549 312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-2 634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D4B4B" w:rsidRPr="00ED4B4B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ED4B4B">
              <w:rPr>
                <w:rFonts w:ascii="Times New Roman" w:hAnsi="Times New Roman"/>
                <w:sz w:val="20"/>
              </w:rPr>
              <w:t>-145 640</w:t>
            </w:r>
          </w:p>
        </w:tc>
      </w:tr>
    </w:tbl>
    <w:p w:rsidR="00FB0F1C" w:rsidRPr="00A21A68" w:rsidP="00FB0F1C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b/>
        </w:rPr>
        <w:t xml:space="preserve">Hospodárenie Sociálnej poisťovne v roku 2012 by </w:t>
      </w:r>
      <w:r>
        <w:rPr>
          <w:rFonts w:ascii="Times New Roman" w:hAnsi="Times New Roman"/>
          <w:b/>
        </w:rPr>
        <w:t xml:space="preserve">sa </w:t>
      </w:r>
      <w:r w:rsidRPr="00A21A68">
        <w:rPr>
          <w:rFonts w:ascii="Times New Roman" w:hAnsi="Times New Roman"/>
          <w:b/>
        </w:rPr>
        <w:t xml:space="preserve">malo skončiť </w:t>
      </w:r>
      <w:r>
        <w:rPr>
          <w:rFonts w:ascii="Times New Roman" w:hAnsi="Times New Roman"/>
          <w:b/>
        </w:rPr>
        <w:t>bilančným rozdielom 549 312</w:t>
      </w:r>
      <w:r w:rsidRPr="00A21A68">
        <w:rPr>
          <w:rFonts w:ascii="Times New Roman" w:hAnsi="Times New Roman"/>
          <w:b/>
        </w:rPr>
        <w:t> tis. Eur</w:t>
      </w:r>
      <w:r w:rsidRPr="00F76128">
        <w:rPr>
          <w:rFonts w:ascii="Times New Roman" w:hAnsi="Times New Roman"/>
        </w:rPr>
        <w:t>.</w:t>
      </w:r>
    </w:p>
    <w:p w:rsidR="00FB0F1C" w:rsidRPr="00A21A68" w:rsidP="00FB0F1C">
      <w:pPr>
        <w:bidi w:val="0"/>
        <w:spacing w:after="120"/>
        <w:jc w:val="center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>x  x  x</w:t>
      </w:r>
    </w:p>
    <w:p w:rsidR="00C209B5" w:rsidRPr="00A21A68" w:rsidP="00FB0F1C">
      <w:pPr>
        <w:bidi w:val="0"/>
        <w:ind w:firstLine="720"/>
        <w:jc w:val="both"/>
        <w:rPr>
          <w:rFonts w:ascii="Times New Roman" w:hAnsi="Times New Roman"/>
        </w:rPr>
      </w:pPr>
      <w:r w:rsidRPr="00A21A68" w:rsidR="00FB0F1C">
        <w:rPr>
          <w:rFonts w:ascii="Times New Roman" w:hAnsi="Times New Roman"/>
        </w:rPr>
        <w:t>Sociálna poisťovňa predpokladá, že v roku 2012 postúpi príspevky na SDS do DSS v sume 8</w:t>
      </w:r>
      <w:r w:rsidR="00FB0F1C">
        <w:rPr>
          <w:rFonts w:ascii="Times New Roman" w:hAnsi="Times New Roman"/>
        </w:rPr>
        <w:t>10</w:t>
      </w:r>
      <w:r w:rsidRPr="00A21A68" w:rsidR="00FB0F1C">
        <w:rPr>
          <w:rFonts w:ascii="Times New Roman" w:hAnsi="Times New Roman"/>
        </w:rPr>
        <w:t> 1</w:t>
      </w:r>
      <w:r w:rsidR="00FB0F1C">
        <w:rPr>
          <w:rFonts w:ascii="Times New Roman" w:hAnsi="Times New Roman"/>
        </w:rPr>
        <w:t>53</w:t>
      </w:r>
      <w:r w:rsidR="007B543D">
        <w:rPr>
          <w:rFonts w:ascii="Times New Roman" w:hAnsi="Times New Roman"/>
        </w:rPr>
        <w:t> tis. Eur.</w:t>
      </w:r>
    </w:p>
    <w:p w:rsidR="00FB0F1C" w:rsidRPr="001B4EA7" w:rsidP="00FB0F1C">
      <w:pPr>
        <w:numPr>
          <w:numId w:val="5"/>
        </w:numPr>
        <w:bidi w:val="0"/>
        <w:spacing w:before="240" w:after="120"/>
        <w:ind w:left="709" w:hanging="709"/>
        <w:jc w:val="both"/>
        <w:rPr>
          <w:rFonts w:ascii="Times New Roman" w:hAnsi="Times New Roman"/>
          <w:b/>
          <w:szCs w:val="24"/>
        </w:rPr>
      </w:pPr>
      <w:r w:rsidRPr="001B4EA7">
        <w:rPr>
          <w:rFonts w:ascii="Times New Roman" w:hAnsi="Times New Roman"/>
          <w:b/>
          <w:szCs w:val="24"/>
        </w:rPr>
        <w:t xml:space="preserve">Návrh rozpočtu Sociálnej poisťovne na rok 2013 a rozpočtový výhľad na roky 2014 a 2015 </w:t>
      </w:r>
    </w:p>
    <w:p w:rsidR="007B543D" w:rsidP="00FB0F1C">
      <w:pPr>
        <w:bidi w:val="0"/>
        <w:spacing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Príjmy Sociálnej poisťovne sa v rokoch 2013 až 2015 predpokladajú:</w:t>
      </w:r>
    </w:p>
    <w:tbl>
      <w:tblPr>
        <w:tblStyle w:val="TableNormal"/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5376"/>
        <w:gridCol w:w="1443"/>
        <w:gridCol w:w="1134"/>
        <w:gridCol w:w="1134"/>
      </w:tblGrid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v tis. Eur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B543D" w:rsidRPr="007B543D" w:rsidP="007B543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Ukazovateľ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B543D" w:rsidRPr="007B543D" w:rsidP="007B543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Návrh rozpočtu rok 2013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 xml:space="preserve">Rozpočtový výhľad 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B543D" w:rsidRPr="007B543D" w:rsidP="007B543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rok 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B543D" w:rsidRPr="007B543D" w:rsidP="007B543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FB3B76">
              <w:rPr>
                <w:rFonts w:ascii="Times New Roman" w:hAnsi="Times New Roman"/>
                <w:sz w:val="20"/>
              </w:rPr>
              <w:t>r</w:t>
            </w:r>
            <w:r w:rsidRPr="007B543D">
              <w:rPr>
                <w:rFonts w:ascii="Times New Roman" w:hAnsi="Times New Roman"/>
                <w:sz w:val="20"/>
              </w:rPr>
              <w:t>ok 2015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B543D" w:rsidRPr="007B543D" w:rsidP="007B543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B543D" w:rsidRPr="007B543D" w:rsidP="007B543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B543D" w:rsidRPr="007B543D" w:rsidP="007B543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B543D" w:rsidRPr="007B543D" w:rsidP="007B543D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príjmy celkom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6 712 514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7 011 679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7 312 946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v tom: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B543D" w:rsidRPr="007B543D" w:rsidP="00C43FFB">
            <w:pPr>
              <w:bidi w:val="0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príjmy z bežného poistného od EAO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5 278 842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5 541 720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5 837 263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 xml:space="preserve">príjmy z dlžného poistného  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230 058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236 000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243 052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príjmy zo sankcií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4 445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4 445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4 445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príjmy z poistného od štátu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233 504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240 656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250 285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príjmy od Sociálnej poisťovne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2 000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 xml:space="preserve">ostatné príjmy 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703 593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937 066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923 639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B543D" w:rsidRPr="007B543D" w:rsidP="0058052B">
            <w:pPr>
              <w:bidi w:val="0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z toho príjmy zo ŠR SR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689 099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922 445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908 730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príspevky na SDS zaplatené zamestnávateľom po uplynutí 60 dní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29 854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31 045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32 487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príjmy správneho fondu z príspevkov na SDS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1 080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1 180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1 291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príjmy z otvorenie II. piliera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229 138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17 567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B543D" w:rsidRPr="007B543D" w:rsidP="007B543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7B543D">
              <w:rPr>
                <w:rFonts w:ascii="Times New Roman" w:hAnsi="Times New Roman"/>
                <w:sz w:val="20"/>
              </w:rPr>
              <w:t>18 484</w:t>
            </w:r>
          </w:p>
        </w:tc>
      </w:tr>
    </w:tbl>
    <w:p w:rsidR="007B543D" w:rsidP="00FB0F1C">
      <w:pPr>
        <w:bidi w:val="0"/>
        <w:spacing w:after="120"/>
        <w:ind w:firstLine="709"/>
        <w:jc w:val="both"/>
        <w:rPr>
          <w:rFonts w:ascii="Times New Roman" w:hAnsi="Times New Roman"/>
        </w:rPr>
      </w:pPr>
    </w:p>
    <w:p w:rsidR="00FB0F1C" w:rsidRPr="00BC1013" w:rsidP="00FB0F1C">
      <w:pPr>
        <w:bidi w:val="0"/>
        <w:spacing w:after="120"/>
        <w:ind w:firstLine="709"/>
        <w:jc w:val="both"/>
        <w:rPr>
          <w:rFonts w:ascii="Times New Roman" w:hAnsi="Times New Roman"/>
        </w:rPr>
      </w:pPr>
      <w:r w:rsidRPr="00BC1013">
        <w:rPr>
          <w:rFonts w:ascii="Times New Roman" w:hAnsi="Times New Roman"/>
        </w:rPr>
        <w:t>V </w:t>
      </w:r>
      <w:r>
        <w:rPr>
          <w:rFonts w:ascii="Times New Roman" w:hAnsi="Times New Roman"/>
        </w:rPr>
        <w:t>n</w:t>
      </w:r>
      <w:r w:rsidRPr="00BC1013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BC1013">
        <w:rPr>
          <w:rFonts w:ascii="Times New Roman" w:hAnsi="Times New Roman"/>
        </w:rPr>
        <w:t xml:space="preserve"> rozpočtu </w:t>
      </w:r>
      <w:r w:rsidR="00CF3E2A">
        <w:rPr>
          <w:rFonts w:ascii="Times New Roman" w:hAnsi="Times New Roman"/>
        </w:rPr>
        <w:t>na rok</w:t>
      </w:r>
      <w:r w:rsidRPr="00BC1013">
        <w:rPr>
          <w:rFonts w:ascii="Times New Roman" w:hAnsi="Times New Roman"/>
        </w:rPr>
        <w:t xml:space="preserve"> 2013</w:t>
      </w:r>
      <w:r w:rsidR="00CF3E2A">
        <w:rPr>
          <w:rFonts w:ascii="Times New Roman" w:hAnsi="Times New Roman"/>
        </w:rPr>
        <w:t xml:space="preserve"> je</w:t>
      </w:r>
      <w:r w:rsidRPr="00BC1013">
        <w:rPr>
          <w:rFonts w:ascii="Times New Roman" w:hAnsi="Times New Roman"/>
        </w:rPr>
        <w:t xml:space="preserve"> zapracovaný vplyv zákona</w:t>
      </w:r>
      <w:r>
        <w:rPr>
          <w:rFonts w:ascii="Times New Roman" w:hAnsi="Times New Roman"/>
        </w:rPr>
        <w:t xml:space="preserve"> č. 252/20</w:t>
      </w:r>
      <w:r w:rsidR="00CF3E2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2 Z. z. </w:t>
      </w:r>
      <w:r w:rsidR="00C209B5">
        <w:rPr>
          <w:rFonts w:ascii="Times New Roman" w:hAnsi="Times New Roman"/>
          <w:szCs w:val="24"/>
        </w:rPr>
        <w:t>z 10. </w:t>
      </w:r>
      <w:r w:rsidRPr="008552F7">
        <w:rPr>
          <w:rFonts w:ascii="Times New Roman" w:hAnsi="Times New Roman"/>
          <w:szCs w:val="24"/>
        </w:rPr>
        <w:t xml:space="preserve">augusta 2012, ktorým sa mení a dopĺňa zákon č. 461/2003 Z. z. o sociálnom poistení v znení neskorších predpisov a ktorým sa menia a dopĺňajú niektoré zákony. </w:t>
      </w:r>
      <w:r w:rsidRPr="00BC1013">
        <w:rPr>
          <w:rFonts w:ascii="Times New Roman" w:hAnsi="Times New Roman"/>
        </w:rPr>
        <w:t xml:space="preserve">Vplyv </w:t>
      </w:r>
      <w:r>
        <w:rPr>
          <w:rFonts w:ascii="Times New Roman" w:hAnsi="Times New Roman"/>
        </w:rPr>
        <w:t>tohto</w:t>
      </w:r>
      <w:r w:rsidRPr="00BC1013">
        <w:rPr>
          <w:rFonts w:ascii="Times New Roman" w:hAnsi="Times New Roman"/>
        </w:rPr>
        <w:t xml:space="preserve"> zákona predstavuje v hospodárení Sociálnej poisťovne nasledovné zmeny :</w:t>
      </w:r>
    </w:p>
    <w:p w:rsidR="00FB0F1C" w:rsidRPr="00E06BC3" w:rsidP="00FB0F1C">
      <w:pPr>
        <w:bidi w:val="0"/>
        <w:spacing w:after="120"/>
        <w:ind w:firstLine="709"/>
        <w:jc w:val="both"/>
        <w:rPr>
          <w:rFonts w:ascii="Times New Roman" w:hAnsi="Times New Roman"/>
          <w:b/>
        </w:rPr>
      </w:pPr>
      <w:r w:rsidRPr="00E06BC3">
        <w:rPr>
          <w:rFonts w:ascii="Times New Roman" w:hAnsi="Times New Roman"/>
          <w:b/>
        </w:rPr>
        <w:t>V príjmovej časti:</w:t>
      </w:r>
    </w:p>
    <w:p w:rsidR="00FB0F1C" w:rsidRPr="00BC1013" w:rsidP="005F7431">
      <w:pPr>
        <w:pStyle w:val="ListParagraph"/>
        <w:numPr>
          <w:numId w:val="24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BC1013">
        <w:rPr>
          <w:rFonts w:ascii="Times New Roman" w:hAnsi="Times New Roman"/>
        </w:rPr>
        <w:t>níženie príspevkovej sadzby do II. piliera z</w:t>
      </w:r>
      <w:r>
        <w:rPr>
          <w:rFonts w:ascii="Times New Roman" w:hAnsi="Times New Roman"/>
        </w:rPr>
        <w:t> </w:t>
      </w:r>
      <w:r w:rsidRPr="00BC1013">
        <w:rPr>
          <w:rFonts w:ascii="Times New Roman" w:hAnsi="Times New Roman"/>
        </w:rPr>
        <w:t>9</w:t>
      </w:r>
      <w:r>
        <w:t> </w:t>
      </w:r>
      <w:r>
        <w:rPr>
          <w:rFonts w:ascii="Times New Roman" w:hAnsi="Times New Roman"/>
        </w:rPr>
        <w:t>% na 4 </w:t>
      </w:r>
      <w:r w:rsidRPr="00BC1013">
        <w:rPr>
          <w:rFonts w:ascii="Times New Roman" w:hAnsi="Times New Roman"/>
        </w:rPr>
        <w:t>% s účinnosťou od 1. septembra 2012, navrhovaná zmena predpokladá pozitívny vplyv na príjmy Sociálnej poisťovne v roku 2013 sume 473 024 tis. Eur,</w:t>
      </w:r>
    </w:p>
    <w:p w:rsidR="00FB0F1C" w:rsidRPr="00BC1013" w:rsidP="005F7431">
      <w:pPr>
        <w:pStyle w:val="ListParagraph"/>
        <w:numPr>
          <w:numId w:val="24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BC1013">
        <w:rPr>
          <w:rFonts w:ascii="Times New Roman" w:hAnsi="Times New Roman"/>
        </w:rPr>
        <w:t>avedenie dobrovoľného vstupu prvopoistencov do systému starobného dôchodkového sporenia do 35 rokov veku – predpokladaný pozitívny vplyv v sume 5 367 tis. Eur,</w:t>
      </w:r>
    </w:p>
    <w:p w:rsidR="00FB0F1C" w:rsidRPr="00BC1013" w:rsidP="005F7431">
      <w:pPr>
        <w:pStyle w:val="ListParagraph"/>
        <w:numPr>
          <w:numId w:val="24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C1013">
        <w:rPr>
          <w:rFonts w:ascii="Times New Roman" w:hAnsi="Times New Roman"/>
        </w:rPr>
        <w:t>očasné otvorenie II. piliera pre vstup a výstup pre všetkých sporiteľov v II. pilieri</w:t>
      </w:r>
      <w:r w:rsidR="00CF3E2A">
        <w:rPr>
          <w:rFonts w:ascii="Times New Roman" w:hAnsi="Times New Roman"/>
        </w:rPr>
        <w:t xml:space="preserve"> </w:t>
      </w:r>
      <w:r w:rsidRPr="00BC1013" w:rsidR="00CF3E2A">
        <w:rPr>
          <w:rFonts w:ascii="Times New Roman" w:hAnsi="Times New Roman"/>
        </w:rPr>
        <w:t>v</w:t>
      </w:r>
      <w:r w:rsidR="00CF3E2A">
        <w:rPr>
          <w:rFonts w:ascii="Times New Roman" w:hAnsi="Times New Roman"/>
        </w:rPr>
        <w:t xml:space="preserve"> období september 2012 až január 2013 </w:t>
      </w:r>
      <w:r w:rsidRPr="00BC1013">
        <w:rPr>
          <w:rFonts w:ascii="Times New Roman" w:hAnsi="Times New Roman"/>
        </w:rPr>
        <w:t xml:space="preserve">predstavuje pozitívny dopad na príjmy Sociálnej poisťovne </w:t>
      </w:r>
      <w:r w:rsidR="009078D7">
        <w:rPr>
          <w:rFonts w:ascii="Times New Roman" w:hAnsi="Times New Roman"/>
        </w:rPr>
        <w:t xml:space="preserve">v roku 2013 </w:t>
      </w:r>
      <w:r w:rsidRPr="00BC1013">
        <w:rPr>
          <w:rFonts w:ascii="Times New Roman" w:hAnsi="Times New Roman"/>
        </w:rPr>
        <w:t>v sume 229 138 tis. Eur,</w:t>
      </w:r>
    </w:p>
    <w:p w:rsidR="00FB0F1C" w:rsidRPr="00BC1013" w:rsidP="005F7431">
      <w:pPr>
        <w:pStyle w:val="ListParagraph"/>
        <w:numPr>
          <w:numId w:val="24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Pr="00BC1013">
        <w:rPr>
          <w:rFonts w:ascii="Times New Roman" w:hAnsi="Times New Roman"/>
        </w:rPr>
        <w:t xml:space="preserve">prava vymeriavacieho základu pre </w:t>
      </w:r>
      <w:r>
        <w:rPr>
          <w:rFonts w:ascii="Times New Roman" w:hAnsi="Times New Roman"/>
        </w:rPr>
        <w:t>samostatne zárobkovo činné osoby (</w:t>
      </w:r>
      <w:r w:rsidRPr="00BC1013">
        <w:rPr>
          <w:rFonts w:ascii="Times New Roman" w:hAnsi="Times New Roman"/>
        </w:rPr>
        <w:t>SZČO</w:t>
      </w:r>
      <w:r>
        <w:rPr>
          <w:rFonts w:ascii="Times New Roman" w:hAnsi="Times New Roman"/>
        </w:rPr>
        <w:t xml:space="preserve">) - zmena konštanty </w:t>
      </w:r>
      <w:r w:rsidRPr="00BC1013">
        <w:rPr>
          <w:rFonts w:ascii="Times New Roman" w:hAnsi="Times New Roman"/>
        </w:rPr>
        <w:t>a zvýšenie ich minimálneho vymeriavacieho základu zo súčasnej úrovne 44,23</w:t>
      </w:r>
      <w:r>
        <w:rPr>
          <w:rFonts w:ascii="Times New Roman" w:hAnsi="Times New Roman"/>
        </w:rPr>
        <w:t> </w:t>
      </w:r>
      <w:r w:rsidRPr="00BC1013">
        <w:rPr>
          <w:rFonts w:ascii="Times New Roman" w:hAnsi="Times New Roman"/>
        </w:rPr>
        <w:t>% priemernej mzdy spred dvoch rokov na 50</w:t>
      </w:r>
      <w:r>
        <w:rPr>
          <w:rFonts w:ascii="Times New Roman" w:hAnsi="Times New Roman"/>
        </w:rPr>
        <w:t> </w:t>
      </w:r>
      <w:r w:rsidRPr="00BC1013">
        <w:rPr>
          <w:rFonts w:ascii="Times New Roman" w:hAnsi="Times New Roman"/>
        </w:rPr>
        <w:t>%</w:t>
      </w:r>
      <w:r>
        <w:rPr>
          <w:rFonts w:ascii="Times New Roman" w:hAnsi="Times New Roman"/>
        </w:rPr>
        <w:t>.</w:t>
      </w:r>
      <w:r w:rsidRPr="00BC10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BC1013">
        <w:rPr>
          <w:rFonts w:ascii="Times New Roman" w:hAnsi="Times New Roman"/>
        </w:rPr>
        <w:t>vedené zmeny predstavujú pozitívny vplyv v sume 28 477 tis. Eur</w:t>
      </w:r>
      <w:r>
        <w:rPr>
          <w:rFonts w:ascii="Times New Roman" w:hAnsi="Times New Roman"/>
        </w:rPr>
        <w:t>.</w:t>
      </w:r>
    </w:p>
    <w:p w:rsidR="00FB0F1C" w:rsidRPr="00BC1013" w:rsidP="005F7431">
      <w:pPr>
        <w:pStyle w:val="ListParagraph"/>
        <w:numPr>
          <w:numId w:val="24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Pr="00BC1013">
        <w:rPr>
          <w:rFonts w:ascii="Times New Roman" w:hAnsi="Times New Roman"/>
        </w:rPr>
        <w:t xml:space="preserve">prava minimálneho vymeriavacieho základu pre dobrovoľne poistené osoby </w:t>
      </w:r>
      <w:r>
        <w:rPr>
          <w:rFonts w:ascii="Times New Roman" w:hAnsi="Times New Roman"/>
        </w:rPr>
        <w:t xml:space="preserve">(DPO) </w:t>
        <w:br/>
      </w:r>
      <w:r w:rsidRPr="00BC1013">
        <w:rPr>
          <w:rFonts w:ascii="Times New Roman" w:hAnsi="Times New Roman"/>
        </w:rPr>
        <w:t>predstavuje pozitívny dopad v sume 2 282 tis. Eur,</w:t>
      </w:r>
    </w:p>
    <w:p w:rsidR="00FB0F1C" w:rsidRPr="00BC1013" w:rsidP="005F7431">
      <w:pPr>
        <w:pStyle w:val="ListParagraph"/>
        <w:numPr>
          <w:numId w:val="24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Pr="00BC1013">
        <w:rPr>
          <w:rFonts w:ascii="Times New Roman" w:hAnsi="Times New Roman"/>
        </w:rPr>
        <w:t>prava minimálneho vymeriavacieho zákla</w:t>
      </w:r>
      <w:r>
        <w:rPr>
          <w:rFonts w:ascii="Times New Roman" w:hAnsi="Times New Roman"/>
        </w:rPr>
        <w:t>du pre skupinu poistencov štátu – po</w:t>
      </w:r>
      <w:r w:rsidRPr="00BC1013">
        <w:rPr>
          <w:rFonts w:ascii="Times New Roman" w:hAnsi="Times New Roman"/>
        </w:rPr>
        <w:t>zitívny dopad v sume 3 267 tis. Eur,</w:t>
      </w:r>
    </w:p>
    <w:p w:rsidR="00FB0F1C" w:rsidRPr="00BC1013" w:rsidP="005F7431">
      <w:pPr>
        <w:pStyle w:val="ListParagraph"/>
        <w:numPr>
          <w:numId w:val="24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 w:rsidRPr="00BC1013">
        <w:rPr>
          <w:rFonts w:ascii="Times New Roman" w:hAnsi="Times New Roman"/>
        </w:rPr>
        <w:t>zavedenie povinnosti platiť poistné na sociálne poistenie z dohôd o prácach vyko</w:t>
      </w:r>
      <w:r>
        <w:rPr>
          <w:rFonts w:ascii="Times New Roman" w:hAnsi="Times New Roman"/>
        </w:rPr>
        <w:t>návaných mimo pracovného pomeru –</w:t>
      </w:r>
      <w:r w:rsidRPr="00BC1013">
        <w:rPr>
          <w:rFonts w:ascii="Times New Roman" w:hAnsi="Times New Roman"/>
        </w:rPr>
        <w:t xml:space="preserve"> uvedená zmena predstavuje v roku 2013 pozitívny dopad na príjmy v sume 119 471 tis. Eur,</w:t>
      </w:r>
    </w:p>
    <w:p w:rsidR="00FB0F1C" w:rsidRPr="00BC1013" w:rsidP="005F7431">
      <w:pPr>
        <w:pStyle w:val="ListParagraph"/>
        <w:numPr>
          <w:numId w:val="24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 w:rsidRPr="00BC1013">
        <w:rPr>
          <w:rFonts w:ascii="Times New Roman" w:hAnsi="Times New Roman"/>
        </w:rPr>
        <w:t>zjednotenie a zvýšenie maximálnych vymeriavacích základov na platenie poistného - zvýšenie z 1,5 násobku na 5 násobok v</w:t>
      </w:r>
      <w:r>
        <w:rPr>
          <w:rFonts w:ascii="Times New Roman" w:hAnsi="Times New Roman"/>
        </w:rPr>
        <w:t> nemocenskom poistení (</w:t>
      </w:r>
      <w:r w:rsidRPr="00BC1013">
        <w:rPr>
          <w:rFonts w:ascii="Times New Roman" w:hAnsi="Times New Roman"/>
        </w:rPr>
        <w:t>NP</w:t>
      </w:r>
      <w:r>
        <w:rPr>
          <w:rFonts w:ascii="Times New Roman" w:hAnsi="Times New Roman"/>
        </w:rPr>
        <w:t>)</w:t>
      </w:r>
      <w:r w:rsidRPr="00BC1013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 garančnom poistení (</w:t>
      </w:r>
      <w:r w:rsidRPr="00BC1013">
        <w:rPr>
          <w:rFonts w:ascii="Times New Roman" w:hAnsi="Times New Roman"/>
        </w:rPr>
        <w:t>GP</w:t>
      </w:r>
      <w:r>
        <w:rPr>
          <w:rFonts w:ascii="Times New Roman" w:hAnsi="Times New Roman"/>
        </w:rPr>
        <w:t>)</w:t>
      </w:r>
      <w:r w:rsidRPr="00BC1013">
        <w:rPr>
          <w:rFonts w:ascii="Times New Roman" w:hAnsi="Times New Roman"/>
        </w:rPr>
        <w:t xml:space="preserve"> a z 4 násobku na 5 násobok priemernej mesačnej mzdy spred dvoch rokov v</w:t>
      </w:r>
      <w:r>
        <w:rPr>
          <w:rFonts w:ascii="Times New Roman" w:hAnsi="Times New Roman"/>
        </w:rPr>
        <w:t> starobnom poistení (</w:t>
      </w:r>
      <w:r w:rsidRPr="00BC1013">
        <w:rPr>
          <w:rFonts w:ascii="Times New Roman" w:hAnsi="Times New Roman"/>
        </w:rPr>
        <w:t>SP</w:t>
      </w:r>
      <w:r>
        <w:rPr>
          <w:rFonts w:ascii="Times New Roman" w:hAnsi="Times New Roman"/>
        </w:rPr>
        <w:t>)</w:t>
      </w:r>
      <w:r w:rsidRPr="00BC101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invalidnom poistení (</w:t>
      </w:r>
      <w:r w:rsidRPr="00BC1013">
        <w:rPr>
          <w:rFonts w:ascii="Times New Roman" w:hAnsi="Times New Roman"/>
        </w:rPr>
        <w:t>IP</w:t>
      </w:r>
      <w:r>
        <w:rPr>
          <w:rFonts w:ascii="Times New Roman" w:hAnsi="Times New Roman"/>
        </w:rPr>
        <w:t>)</w:t>
      </w:r>
      <w:r w:rsidRPr="00BC101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poistení v nezamestnanosti (</w:t>
      </w:r>
      <w:r w:rsidRPr="00BC1013">
        <w:rPr>
          <w:rFonts w:ascii="Times New Roman" w:hAnsi="Times New Roman"/>
        </w:rPr>
        <w:t>PvN</w:t>
      </w:r>
      <w:r>
        <w:rPr>
          <w:rFonts w:ascii="Times New Roman" w:hAnsi="Times New Roman"/>
        </w:rPr>
        <w:t>)</w:t>
      </w:r>
      <w:r w:rsidRPr="00BC1013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 rezervnom fonde solidarity (</w:t>
      </w:r>
      <w:r w:rsidRPr="00BC1013">
        <w:rPr>
          <w:rFonts w:ascii="Times New Roman" w:hAnsi="Times New Roman"/>
        </w:rPr>
        <w:t>RFS</w:t>
      </w:r>
      <w:r>
        <w:rPr>
          <w:rFonts w:ascii="Times New Roman" w:hAnsi="Times New Roman"/>
        </w:rPr>
        <w:t xml:space="preserve">) – </w:t>
      </w:r>
      <w:r w:rsidRPr="00BC1013">
        <w:rPr>
          <w:rFonts w:ascii="Times New Roman" w:hAnsi="Times New Roman"/>
        </w:rPr>
        <w:t xml:space="preserve">pozitívny dopad na príjmy Sociálnej poisťovne v sume 92 377 tis. Eur. </w:t>
      </w:r>
    </w:p>
    <w:p w:rsidR="00FB0F1C" w:rsidRPr="00E06BC3" w:rsidP="00FB0F1C">
      <w:pPr>
        <w:bidi w:val="0"/>
        <w:spacing w:before="240" w:after="120"/>
        <w:ind w:firstLine="709"/>
        <w:jc w:val="both"/>
        <w:rPr>
          <w:rFonts w:ascii="Times New Roman" w:hAnsi="Times New Roman"/>
          <w:b/>
        </w:rPr>
      </w:pPr>
      <w:r w:rsidRPr="00E06BC3">
        <w:rPr>
          <w:rFonts w:ascii="Times New Roman" w:hAnsi="Times New Roman"/>
          <w:b/>
        </w:rPr>
        <w:t>Vo výdavkovej časti:</w:t>
      </w:r>
    </w:p>
    <w:p w:rsidR="00FB0F1C" w:rsidP="005F7431">
      <w:pPr>
        <w:pStyle w:val="ListParagraph"/>
        <w:numPr>
          <w:numId w:val="24"/>
        </w:numPr>
        <w:bidi w:val="0"/>
        <w:ind w:left="714" w:hanging="71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BC1013">
        <w:rPr>
          <w:rFonts w:ascii="Times New Roman" w:hAnsi="Times New Roman"/>
        </w:rPr>
        <w:t xml:space="preserve">mena spôsobu zvyšovania dôchodkových dávok o pevnú sumu v závislosti od medziročného rastu inflácie a medziročného rastu priemernej mzdy a priemernej mesačnej sumy </w:t>
      </w:r>
      <w:r>
        <w:rPr>
          <w:rFonts w:ascii="Times New Roman" w:hAnsi="Times New Roman"/>
        </w:rPr>
        <w:t xml:space="preserve">jednotlivých druhov </w:t>
      </w:r>
      <w:r w:rsidRPr="00BC1013">
        <w:rPr>
          <w:rFonts w:ascii="Times New Roman" w:hAnsi="Times New Roman"/>
        </w:rPr>
        <w:t>dôchodkových dávok, pričom od roku 2014 dochádza k zmene pomeru váh inflácie a nominálnych miezd. V roku 2013 je pomer váhy inflácie 50 % a váhy nominálnych miezd 50</w:t>
      </w:r>
      <w:r>
        <w:rPr>
          <w:rFonts w:ascii="Times New Roman" w:hAnsi="Times New Roman"/>
        </w:rPr>
        <w:t> </w:t>
      </w:r>
      <w:r w:rsidRPr="00BC1013">
        <w:rPr>
          <w:rFonts w:ascii="Times New Roman" w:hAnsi="Times New Roman"/>
        </w:rPr>
        <w:t xml:space="preserve">% a nedochádza k zmene predpokladaných výdavkov na valorizáciu, </w:t>
      </w:r>
    </w:p>
    <w:p w:rsidR="00FB0F1C" w:rsidRPr="00BC1013" w:rsidP="005F7431">
      <w:pPr>
        <w:pStyle w:val="ListParagraph"/>
        <w:numPr>
          <w:numId w:val="24"/>
        </w:numPr>
        <w:bidi w:val="0"/>
        <w:ind w:left="714" w:hanging="71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pomeru pri valorizácii úrazových dávok od roku 2014,</w:t>
      </w:r>
    </w:p>
    <w:p w:rsidR="00FB0F1C" w:rsidRPr="00BC1013" w:rsidP="005F7431">
      <w:pPr>
        <w:pStyle w:val="ListParagraph"/>
        <w:numPr>
          <w:numId w:val="24"/>
        </w:numPr>
        <w:bidi w:val="0"/>
        <w:ind w:left="714" w:hanging="71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BC1013">
        <w:rPr>
          <w:rFonts w:ascii="Times New Roman" w:hAnsi="Times New Roman"/>
        </w:rPr>
        <w:t>meny vymeriavacieho základu SZČO predstavujú nárast vymeriavacích základov pre výpočet dávok</w:t>
      </w:r>
      <w:r>
        <w:rPr>
          <w:rFonts w:ascii="Times New Roman" w:hAnsi="Times New Roman"/>
        </w:rPr>
        <w:t>. U</w:t>
      </w:r>
      <w:r w:rsidRPr="00BC1013">
        <w:rPr>
          <w:rFonts w:ascii="Times New Roman" w:hAnsi="Times New Roman"/>
        </w:rPr>
        <w:t xml:space="preserve">vedená zmena predpokladá zvýšenie výdavkov Sociálnej poisťovne </w:t>
      </w:r>
      <w:r>
        <w:rPr>
          <w:rFonts w:ascii="Times New Roman" w:hAnsi="Times New Roman"/>
        </w:rPr>
        <w:t>o </w:t>
      </w:r>
      <w:r w:rsidRPr="00BC1013">
        <w:rPr>
          <w:rFonts w:ascii="Times New Roman" w:hAnsi="Times New Roman"/>
        </w:rPr>
        <w:t>136 tis</w:t>
      </w:r>
      <w:r>
        <w:rPr>
          <w:rFonts w:ascii="Times New Roman" w:hAnsi="Times New Roman"/>
        </w:rPr>
        <w:t>.</w:t>
      </w:r>
      <w:r w:rsidRPr="00BC1013">
        <w:rPr>
          <w:rFonts w:ascii="Times New Roman" w:hAnsi="Times New Roman"/>
        </w:rPr>
        <w:t xml:space="preserve"> Eur,</w:t>
      </w:r>
    </w:p>
    <w:p w:rsidR="00FB0F1C" w:rsidRPr="00BC1013" w:rsidP="005F7431">
      <w:pPr>
        <w:pStyle w:val="ListParagraph"/>
        <w:numPr>
          <w:numId w:val="24"/>
        </w:numPr>
        <w:bidi w:val="0"/>
        <w:ind w:left="714" w:hanging="71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BC1013">
        <w:rPr>
          <w:rFonts w:ascii="Times New Roman" w:hAnsi="Times New Roman"/>
        </w:rPr>
        <w:t>výšenie pravdepodobného vymeriavacieho základu predstavuje zvýšenie výdavkov o 1 167 tis. Eur,</w:t>
      </w:r>
    </w:p>
    <w:p w:rsidR="00FB0F1C" w:rsidRPr="00BC1013" w:rsidP="005F7431">
      <w:pPr>
        <w:pStyle w:val="ListParagraph"/>
        <w:numPr>
          <w:numId w:val="24"/>
        </w:numPr>
        <w:bidi w:val="0"/>
        <w:ind w:left="714" w:hanging="71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</w:t>
      </w:r>
      <w:r w:rsidRPr="00BC10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minimálneho </w:t>
      </w:r>
      <w:r w:rsidRPr="00BC1013">
        <w:rPr>
          <w:rFonts w:ascii="Times New Roman" w:hAnsi="Times New Roman"/>
        </w:rPr>
        <w:t>vymeri</w:t>
      </w:r>
      <w:r>
        <w:rPr>
          <w:rFonts w:ascii="Times New Roman" w:hAnsi="Times New Roman"/>
        </w:rPr>
        <w:t>avacieho základu DPO predstavuje</w:t>
      </w:r>
      <w:r w:rsidRPr="00BC1013">
        <w:rPr>
          <w:rFonts w:ascii="Times New Roman" w:hAnsi="Times New Roman"/>
        </w:rPr>
        <w:t xml:space="preserve"> nárast vymeriavacích základov pre výpočet dávok - zvýšenie výdavkov v sume 409 tis. Eur,</w:t>
      </w:r>
    </w:p>
    <w:p w:rsidR="00FB0F1C" w:rsidRPr="00BC1013" w:rsidP="005F7431">
      <w:pPr>
        <w:pStyle w:val="ListParagraph"/>
        <w:numPr>
          <w:numId w:val="24"/>
        </w:numPr>
        <w:bidi w:val="0"/>
        <w:ind w:left="714" w:hanging="71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BC1013">
        <w:rPr>
          <w:rFonts w:ascii="Times New Roman" w:hAnsi="Times New Roman"/>
        </w:rPr>
        <w:t>níženie maximálneho denného vymeriavacieho základu pre účely stanovenia výšky dávky v nezamestnanosti - zníženie všeobecného vymeriavacieho základu z 3 násobku na 2 násobok s účinnosťou od 1.</w:t>
      </w:r>
      <w:r>
        <w:rPr>
          <w:rFonts w:ascii="Times New Roman" w:hAnsi="Times New Roman"/>
        </w:rPr>
        <w:t> </w:t>
      </w:r>
      <w:r w:rsidRPr="00BC1013">
        <w:rPr>
          <w:rFonts w:ascii="Times New Roman" w:hAnsi="Times New Roman"/>
        </w:rPr>
        <w:t>januára 2013</w:t>
      </w:r>
      <w:r>
        <w:rPr>
          <w:rFonts w:ascii="Times New Roman" w:hAnsi="Times New Roman"/>
        </w:rPr>
        <w:t>.</w:t>
      </w:r>
      <w:r w:rsidRPr="00BC10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BC1013">
        <w:rPr>
          <w:rFonts w:ascii="Times New Roman" w:hAnsi="Times New Roman"/>
        </w:rPr>
        <w:t xml:space="preserve">patrenie predstavuje zníženie výdavkov </w:t>
      </w:r>
      <w:r>
        <w:rPr>
          <w:rFonts w:ascii="Times New Roman" w:hAnsi="Times New Roman"/>
        </w:rPr>
        <w:t>ZFPvN</w:t>
      </w:r>
      <w:r w:rsidRPr="00BC1013">
        <w:rPr>
          <w:rFonts w:ascii="Times New Roman" w:hAnsi="Times New Roman"/>
        </w:rPr>
        <w:t xml:space="preserve"> v sume 4 427 tis. Eur,</w:t>
      </w:r>
    </w:p>
    <w:p w:rsidR="00FB0F1C" w:rsidRPr="00BC1013" w:rsidP="005F7431">
      <w:pPr>
        <w:pStyle w:val="ListParagraph"/>
        <w:numPr>
          <w:numId w:val="24"/>
        </w:numPr>
        <w:bidi w:val="0"/>
        <w:ind w:left="714" w:hanging="714"/>
        <w:contextualSpacing w:val="0"/>
        <w:jc w:val="both"/>
        <w:rPr>
          <w:rFonts w:ascii="Times New Roman" w:hAnsi="Times New Roman"/>
        </w:rPr>
      </w:pPr>
      <w:r w:rsidRPr="00BC1013">
        <w:rPr>
          <w:rFonts w:ascii="Times New Roman" w:hAnsi="Times New Roman"/>
        </w:rPr>
        <w:t>platenie poistného na sociálne poistenie z dohôd zakladá nárok na dávky, pričom sa predpokladá</w:t>
      </w:r>
      <w:r>
        <w:rPr>
          <w:rFonts w:ascii="Times New Roman" w:hAnsi="Times New Roman"/>
        </w:rPr>
        <w:t>,</w:t>
      </w:r>
      <w:r w:rsidRPr="00BC1013">
        <w:rPr>
          <w:rFonts w:ascii="Times New Roman" w:hAnsi="Times New Roman"/>
        </w:rPr>
        <w:t xml:space="preserve"> že predmetné opatrenie bude mať negatívny vplyv na výdavky v sume 1 877 tis. Eur,</w:t>
      </w:r>
    </w:p>
    <w:p w:rsidR="00FB0F1C" w:rsidP="005F7431">
      <w:pPr>
        <w:pStyle w:val="ListParagraph"/>
        <w:numPr>
          <w:numId w:val="24"/>
        </w:numPr>
        <w:bidi w:val="0"/>
        <w:ind w:left="714" w:hanging="714"/>
        <w:contextualSpacing w:val="0"/>
        <w:jc w:val="both"/>
        <w:rPr>
          <w:rFonts w:ascii="Times New Roman" w:hAnsi="Times New Roman"/>
        </w:rPr>
      </w:pPr>
      <w:r w:rsidRPr="00BC1013">
        <w:rPr>
          <w:rFonts w:ascii="Times New Roman" w:hAnsi="Times New Roman"/>
        </w:rPr>
        <w:t>sprísnenie podmienok nároku na priznanie predčasného starobného dôchodku pre sporiteľov v II. pilieri</w:t>
      </w:r>
      <w:r>
        <w:rPr>
          <w:rFonts w:ascii="Times New Roman" w:hAnsi="Times New Roman"/>
        </w:rPr>
        <w:t>.</w:t>
      </w:r>
      <w:r w:rsidRPr="00BC10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BC1013">
        <w:rPr>
          <w:rFonts w:ascii="Times New Roman" w:hAnsi="Times New Roman"/>
        </w:rPr>
        <w:t>avrhovaná zmena predstavuje pozitívny dopad na výdavky Sociálnej poisťovne v sume 65 tis. Eur.</w:t>
      </w:r>
    </w:p>
    <w:p w:rsidR="00FB0F1C" w:rsidRPr="00F937F3" w:rsidP="00FB0F1C">
      <w:pPr>
        <w:bidi w:val="0"/>
        <w:spacing w:before="240" w:after="12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Sociálna poisťovňa </w:t>
      </w:r>
      <w:r w:rsidRPr="00F937F3">
        <w:rPr>
          <w:rFonts w:ascii="Times New Roman" w:hAnsi="Times New Roman"/>
          <w:szCs w:val="24"/>
        </w:rPr>
        <w:t xml:space="preserve">predpokladá </w:t>
      </w:r>
      <w:r w:rsidRPr="00F937F3">
        <w:rPr>
          <w:rFonts w:ascii="Times New Roman" w:hAnsi="Times New Roman"/>
          <w:b/>
          <w:szCs w:val="24"/>
        </w:rPr>
        <w:t>v príjmovej časti rozpočtu na rok 2013 najväčšie riziká</w:t>
      </w:r>
      <w:r w:rsidRPr="00F937F3">
        <w:rPr>
          <w:rFonts w:ascii="Times New Roman" w:hAnsi="Times New Roman"/>
          <w:szCs w:val="24"/>
        </w:rPr>
        <w:t xml:space="preserve"> v oblasti:</w:t>
      </w:r>
    </w:p>
    <w:p w:rsidR="00FB0F1C" w:rsidRPr="005F7431" w:rsidP="00C44089">
      <w:pPr>
        <w:pStyle w:val="ListParagraph"/>
        <w:numPr>
          <w:numId w:val="25"/>
        </w:numPr>
        <w:bidi w:val="0"/>
        <w:ind w:hanging="720"/>
        <w:contextualSpacing w:val="0"/>
        <w:jc w:val="both"/>
        <w:rPr>
          <w:rFonts w:ascii="Times New Roman" w:hAnsi="Times New Roman"/>
          <w:szCs w:val="24"/>
        </w:rPr>
      </w:pPr>
      <w:r w:rsidRPr="00F937F3">
        <w:rPr>
          <w:rFonts w:ascii="Times New Roman" w:hAnsi="Times New Roman"/>
          <w:szCs w:val="24"/>
        </w:rPr>
        <w:t>Výberu príjmov od EAO z dôvodu nenaplnenia predpokladaného medziročného rastu príjmov v závislosti od aktuálneho vývoja makroekonomických ukazovateľov z dôvodu poklesu tempa rastu priemernej mzdy a rastu zamestnanosti oproti predchádzajúcim prognózam. (Predpokladaný rast priemernej mzdy 2013/2012 v júnových prognózach bol 4%, v septembri sa odhaduje 3,4 %, rast zamestnanosti 2013/2012 v júnových prognózach sa predpokladal 0,3%, v septembri sa odhaduje 0,1%.),</w:t>
      </w:r>
    </w:p>
    <w:p w:rsidR="00FB0F1C" w:rsidP="00C44089">
      <w:pPr>
        <w:pStyle w:val="ListParagraph"/>
        <w:numPr>
          <w:numId w:val="25"/>
        </w:numPr>
        <w:bidi w:val="0"/>
        <w:ind w:left="714" w:hanging="720"/>
        <w:contextualSpacing w:val="0"/>
        <w:jc w:val="both"/>
        <w:rPr>
          <w:rFonts w:ascii="Times New Roman" w:hAnsi="Times New Roman"/>
          <w:szCs w:val="24"/>
        </w:rPr>
      </w:pPr>
      <w:r w:rsidRPr="00F937F3">
        <w:rPr>
          <w:rFonts w:ascii="Times New Roman" w:hAnsi="Times New Roman"/>
          <w:szCs w:val="24"/>
        </w:rPr>
        <w:t>Dopadu novely zákona o sociálnom poistení od 1. septembra 2012, resp. od 1. januára 2013 z dôvodu nenaplnenie predpokladaných pozitívnych dopadov novely na objem príjmov od EAO najmä:</w:t>
      </w:r>
    </w:p>
    <w:p w:rsidR="00FB0F1C" w:rsidRPr="00F937F3" w:rsidP="005F7431">
      <w:pPr>
        <w:pStyle w:val="ListParagraph"/>
        <w:numPr>
          <w:numId w:val="26"/>
        </w:numPr>
        <w:bidi w:val="0"/>
        <w:ind w:left="1077" w:hanging="357"/>
        <w:contextualSpacing w:val="0"/>
        <w:jc w:val="both"/>
        <w:rPr>
          <w:rFonts w:ascii="Times New Roman" w:hAnsi="Times New Roman"/>
          <w:szCs w:val="24"/>
        </w:rPr>
      </w:pPr>
      <w:r w:rsidRPr="00F937F3">
        <w:rPr>
          <w:rFonts w:ascii="Times New Roman" w:hAnsi="Times New Roman"/>
          <w:szCs w:val="24"/>
        </w:rPr>
        <w:t xml:space="preserve">výstup sporiteľov z II. piliera pri dočasnom otvorení v období od 1. septembra  2012 do 31. januára 2013, </w:t>
      </w:r>
    </w:p>
    <w:p w:rsidR="00FB0F1C" w:rsidRPr="00F937F3" w:rsidP="005F7431">
      <w:pPr>
        <w:pStyle w:val="ListParagraph"/>
        <w:numPr>
          <w:numId w:val="26"/>
        </w:numPr>
        <w:bidi w:val="0"/>
        <w:ind w:left="1077" w:hanging="357"/>
        <w:contextualSpacing w:val="0"/>
        <w:jc w:val="both"/>
        <w:rPr>
          <w:rFonts w:ascii="Times New Roman" w:hAnsi="Times New Roman"/>
          <w:szCs w:val="24"/>
        </w:rPr>
      </w:pPr>
      <w:r w:rsidRPr="00F937F3">
        <w:rPr>
          <w:rFonts w:ascii="Times New Roman" w:hAnsi="Times New Roman"/>
          <w:szCs w:val="24"/>
        </w:rPr>
        <w:t>povinnosť platiť poistné na sociálne poistenie z dohôd o prácach vykonávaných mimo pracovného pomeru.</w:t>
      </w:r>
    </w:p>
    <w:p w:rsidR="00FB0F1C" w:rsidRPr="00F937F3" w:rsidP="00D82060">
      <w:pPr>
        <w:pStyle w:val="ListParagraph"/>
        <w:bidi w:val="0"/>
        <w:spacing w:before="240"/>
        <w:ind w:left="0" w:firstLine="709"/>
        <w:contextualSpacing w:val="0"/>
        <w:jc w:val="both"/>
        <w:rPr>
          <w:rFonts w:ascii="Times New Roman" w:hAnsi="Times New Roman"/>
          <w:szCs w:val="24"/>
        </w:rPr>
      </w:pPr>
      <w:r w:rsidRPr="00F937F3">
        <w:rPr>
          <w:rFonts w:ascii="Times New Roman" w:hAnsi="Times New Roman"/>
          <w:szCs w:val="24"/>
        </w:rPr>
        <w:t xml:space="preserve">Všetky uvedené </w:t>
      </w:r>
      <w:r w:rsidRPr="00F937F3">
        <w:rPr>
          <w:rFonts w:ascii="Times New Roman" w:hAnsi="Times New Roman"/>
          <w:b/>
          <w:szCs w:val="24"/>
        </w:rPr>
        <w:t xml:space="preserve">riziká budú mať za následok nevyhnutnosť vyššieho transferu zo </w:t>
      </w:r>
      <w:r w:rsidR="00D82060">
        <w:rPr>
          <w:rFonts w:ascii="Times New Roman" w:hAnsi="Times New Roman"/>
          <w:b/>
          <w:szCs w:val="24"/>
        </w:rPr>
        <w:t>ŠR</w:t>
      </w:r>
      <w:r w:rsidRPr="00F937F3">
        <w:rPr>
          <w:rFonts w:ascii="Times New Roman" w:hAnsi="Times New Roman"/>
          <w:szCs w:val="24"/>
        </w:rPr>
        <w:t xml:space="preserve"> pre Sociálnu poisťovňu </w:t>
      </w:r>
      <w:r w:rsidRPr="00F937F3">
        <w:rPr>
          <w:rFonts w:ascii="Times New Roman" w:hAnsi="Times New Roman"/>
          <w:b/>
          <w:szCs w:val="24"/>
        </w:rPr>
        <w:t>na krytie deficitu v dôchodkovom poistení</w:t>
      </w:r>
      <w:r w:rsidRPr="00F937F3">
        <w:rPr>
          <w:rFonts w:ascii="Times New Roman" w:hAnsi="Times New Roman"/>
          <w:szCs w:val="24"/>
        </w:rPr>
        <w:t>.</w:t>
      </w:r>
    </w:p>
    <w:p w:rsidR="00FB0F1C" w:rsidRPr="00A21A68" w:rsidP="00FB0F1C">
      <w:pPr>
        <w:tabs>
          <w:tab w:val="decimal" w:pos="8222"/>
        </w:tabs>
        <w:bidi w:val="0"/>
        <w:spacing w:before="240" w:after="120"/>
        <w:ind w:firstLine="709"/>
        <w:jc w:val="both"/>
        <w:rPr>
          <w:rFonts w:ascii="Times New Roman" w:hAnsi="Times New Roman"/>
          <w:b/>
        </w:rPr>
      </w:pPr>
      <w:r w:rsidRPr="00A21A68">
        <w:rPr>
          <w:rFonts w:ascii="Times New Roman" w:hAnsi="Times New Roman"/>
          <w:b/>
        </w:rPr>
        <w:t>Príjmy</w:t>
      </w:r>
    </w:p>
    <w:p w:rsidR="00FB0F1C" w:rsidRPr="00A21A68" w:rsidP="00FB3B76">
      <w:pPr>
        <w:tabs>
          <w:tab w:val="decimal" w:pos="8222"/>
        </w:tabs>
        <w:bidi w:val="0"/>
        <w:spacing w:before="240" w:after="120"/>
        <w:ind w:firstLine="720"/>
        <w:jc w:val="both"/>
        <w:rPr>
          <w:rFonts w:ascii="Times New Roman" w:hAnsi="Times New Roman"/>
        </w:rPr>
      </w:pPr>
      <w:r w:rsidRPr="00A21A68">
        <w:rPr>
          <w:rFonts w:ascii="Times New Roman" w:hAnsi="Times New Roman"/>
        </w:rPr>
        <w:t xml:space="preserve">Predpokladá sa, že </w:t>
      </w:r>
      <w:r w:rsidRPr="00A21A68">
        <w:rPr>
          <w:rFonts w:ascii="Times New Roman" w:hAnsi="Times New Roman"/>
          <w:b/>
        </w:rPr>
        <w:t>v roku 2013 príjmy Sociálnej poisťovne</w:t>
      </w:r>
      <w:r w:rsidRPr="00A21A68">
        <w:rPr>
          <w:rFonts w:ascii="Times New Roman" w:hAnsi="Times New Roman"/>
        </w:rPr>
        <w:t xml:space="preserve"> v bežnom roku (vrátane ostatných príjmov) dosiahnu výšku </w:t>
      </w:r>
      <w:r w:rsidRPr="00A21A68">
        <w:rPr>
          <w:rFonts w:ascii="Times New Roman" w:hAnsi="Times New Roman"/>
          <w:b/>
        </w:rPr>
        <w:t>6 7</w:t>
      </w:r>
      <w:r>
        <w:rPr>
          <w:rFonts w:ascii="Times New Roman" w:hAnsi="Times New Roman"/>
          <w:b/>
        </w:rPr>
        <w:t>12</w:t>
      </w:r>
      <w:r w:rsidRPr="00A21A68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514</w:t>
      </w:r>
      <w:r w:rsidRPr="00A21A68">
        <w:rPr>
          <w:rFonts w:ascii="Times New Roman" w:hAnsi="Times New Roman"/>
          <w:b/>
        </w:rPr>
        <w:t> tis. Eur.</w:t>
      </w:r>
      <w:r w:rsidRPr="00A21A68">
        <w:rPr>
          <w:rFonts w:ascii="Times New Roman" w:hAnsi="Times New Roman"/>
        </w:rPr>
        <w:t xml:space="preserve"> </w:t>
      </w:r>
    </w:p>
    <w:p w:rsidR="00FB0F1C" w:rsidRPr="00A21A68" w:rsidP="00FB0F1C">
      <w:pPr>
        <w:bidi w:val="0"/>
        <w:spacing w:before="240"/>
        <w:ind w:left="284" w:firstLine="720"/>
        <w:jc w:val="both"/>
        <w:rPr>
          <w:rFonts w:ascii="Times New Roman" w:hAnsi="Times New Roman"/>
        </w:rPr>
      </w:pPr>
      <w:r w:rsidRPr="00A21A68">
        <w:rPr>
          <w:rFonts w:ascii="Times New Roman" w:hAnsi="Times New Roman"/>
        </w:rPr>
        <w:t>Kvantifikácia príjmov Sociálnej poisťovne rešpektuje tieto sadzby pre platby poistného:</w:t>
      </w:r>
    </w:p>
    <w:p w:rsidR="00FB0F1C" w:rsidRPr="00A21A68" w:rsidP="00CF3E2A">
      <w:pPr>
        <w:numPr>
          <w:numId w:val="4"/>
        </w:numPr>
        <w:tabs>
          <w:tab w:val="num" w:pos="360"/>
        </w:tabs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>NP 2,8 %; resp. 4,4 %,</w:t>
      </w:r>
    </w:p>
    <w:p w:rsidR="00FB0F1C" w:rsidRPr="00A21A68" w:rsidP="00CF3E2A">
      <w:pPr>
        <w:numPr>
          <w:numId w:val="4"/>
        </w:numPr>
        <w:tabs>
          <w:tab w:val="num" w:pos="360"/>
        </w:tabs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>SP 18 %,</w:t>
      </w:r>
    </w:p>
    <w:p w:rsidR="00FB0F1C" w:rsidRPr="00A21A68" w:rsidP="00CF3E2A">
      <w:pPr>
        <w:numPr>
          <w:numId w:val="4"/>
        </w:numPr>
        <w:tabs>
          <w:tab w:val="num" w:pos="360"/>
        </w:tabs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>IP 6 %,</w:t>
      </w:r>
    </w:p>
    <w:p w:rsidR="00FB0F1C" w:rsidRPr="00A21A68" w:rsidP="00CF3E2A">
      <w:pPr>
        <w:numPr>
          <w:numId w:val="4"/>
        </w:numPr>
        <w:tabs>
          <w:tab w:val="num" w:pos="360"/>
        </w:tabs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>ÚP 0,8 %,</w:t>
      </w:r>
    </w:p>
    <w:p w:rsidR="00FB0F1C" w:rsidRPr="00A21A68" w:rsidP="00CF3E2A">
      <w:pPr>
        <w:numPr>
          <w:numId w:val="4"/>
        </w:numPr>
        <w:tabs>
          <w:tab w:val="num" w:pos="360"/>
        </w:tabs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>GP 0,25 %,</w:t>
      </w:r>
    </w:p>
    <w:p w:rsidR="00FB0F1C" w:rsidRPr="00A21A68" w:rsidP="00CF3E2A">
      <w:pPr>
        <w:numPr>
          <w:numId w:val="4"/>
        </w:numPr>
        <w:tabs>
          <w:tab w:val="num" w:pos="360"/>
        </w:tabs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>PvN 2 %,</w:t>
      </w:r>
    </w:p>
    <w:p w:rsidR="00FB0F1C" w:rsidRPr="00A21A68" w:rsidP="00FB0F1C">
      <w:pPr>
        <w:numPr>
          <w:numId w:val="4"/>
        </w:numPr>
        <w:tabs>
          <w:tab w:val="num" w:pos="360"/>
        </w:tabs>
        <w:bidi w:val="0"/>
        <w:spacing w:after="120"/>
        <w:ind w:left="360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>RFS 4,75 %, resp. 2 % (štát).</w:t>
      </w:r>
    </w:p>
    <w:p w:rsidR="00FB0F1C" w:rsidRPr="00C252DF" w:rsidP="00FB0F1C">
      <w:pPr>
        <w:bidi w:val="0"/>
        <w:spacing w:before="240" w:after="120"/>
        <w:ind w:left="284" w:firstLine="720"/>
        <w:rPr>
          <w:rFonts w:ascii="Times New Roman" w:hAnsi="Times New Roman"/>
        </w:rPr>
      </w:pPr>
      <w:r w:rsidRPr="00C252DF">
        <w:rPr>
          <w:rFonts w:ascii="Times New Roman" w:hAnsi="Times New Roman"/>
        </w:rPr>
        <w:t>Ďalej sa pre rok 2013 vychádza z:</w:t>
      </w:r>
    </w:p>
    <w:p w:rsidR="00FB0F1C" w:rsidRPr="00C252DF" w:rsidP="00CF3E2A">
      <w:pPr>
        <w:numPr>
          <w:numId w:val="1"/>
        </w:numPr>
        <w:tabs>
          <w:tab w:val="num" w:pos="360"/>
          <w:tab w:val="left" w:pos="426"/>
        </w:tabs>
        <w:bidi w:val="0"/>
        <w:ind w:left="360" w:hanging="357"/>
        <w:jc w:val="both"/>
        <w:rPr>
          <w:rFonts w:ascii="Times New Roman" w:hAnsi="Times New Roman"/>
        </w:rPr>
      </w:pPr>
      <w:r w:rsidRPr="00C252DF">
        <w:rPr>
          <w:rFonts w:ascii="Times New Roman" w:hAnsi="Times New Roman"/>
        </w:rPr>
        <w:t>priemernej miery evidovanej nezamestnanosti 13,</w:t>
      </w:r>
      <w:r>
        <w:rPr>
          <w:rFonts w:ascii="Times New Roman" w:hAnsi="Times New Roman"/>
        </w:rPr>
        <w:t>3</w:t>
      </w:r>
      <w:r w:rsidRPr="00C252DF">
        <w:rPr>
          <w:rFonts w:ascii="Times New Roman" w:hAnsi="Times New Roman"/>
        </w:rPr>
        <w:t xml:space="preserve"> %,</w:t>
      </w:r>
    </w:p>
    <w:p w:rsidR="00FB0F1C" w:rsidRPr="00C252DF" w:rsidP="00CF3E2A">
      <w:pPr>
        <w:numPr>
          <w:numId w:val="1"/>
        </w:numPr>
        <w:tabs>
          <w:tab w:val="num" w:pos="360"/>
          <w:tab w:val="left" w:pos="426"/>
        </w:tabs>
        <w:bidi w:val="0"/>
        <w:ind w:left="360" w:hanging="357"/>
        <w:jc w:val="both"/>
        <w:rPr>
          <w:rFonts w:ascii="Times New Roman" w:hAnsi="Times New Roman"/>
        </w:rPr>
      </w:pPr>
      <w:r w:rsidRPr="00C252DF">
        <w:rPr>
          <w:rFonts w:ascii="Times New Roman" w:hAnsi="Times New Roman"/>
        </w:rPr>
        <w:t xml:space="preserve">priemernej mzdy v  hospodárstve vo výške </w:t>
      </w:r>
      <w:r>
        <w:rPr>
          <w:rFonts w:ascii="Times New Roman" w:hAnsi="Times New Roman"/>
        </w:rPr>
        <w:t>832</w:t>
      </w:r>
      <w:r w:rsidRPr="00C252DF">
        <w:rPr>
          <w:rFonts w:ascii="Times New Roman" w:hAnsi="Times New Roman"/>
        </w:rPr>
        <w:t xml:space="preserve"> Eur,</w:t>
      </w:r>
    </w:p>
    <w:p w:rsidR="00FB0F1C" w:rsidP="00CF3E2A">
      <w:pPr>
        <w:numPr>
          <w:numId w:val="1"/>
        </w:numPr>
        <w:tabs>
          <w:tab w:val="num" w:pos="360"/>
          <w:tab w:val="left" w:pos="426"/>
        </w:tabs>
        <w:bidi w:val="0"/>
        <w:ind w:left="360" w:hanging="357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>predpokladaného priemerného počtu poistencov z registra Sociálnej poisťovne:</w:t>
      </w:r>
    </w:p>
    <w:p w:rsidR="00FB0F1C" w:rsidRPr="00C252DF" w:rsidP="00CF3E2A">
      <w:pPr>
        <w:pStyle w:val="ListParagraph"/>
        <w:numPr>
          <w:numId w:val="23"/>
        </w:numPr>
        <w:tabs>
          <w:tab w:val="left" w:pos="426"/>
        </w:tabs>
        <w:bidi w:val="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1 713 169 na NP, 1 641 078 na SP, 1 629 754 na IP, 1 846 250 na ÚP, 1 620 575 na GP, 1 609 277 na PvN a 1 698 184 do RFS,</w:t>
      </w:r>
    </w:p>
    <w:p w:rsidR="00FB0F1C" w:rsidRPr="00C252DF" w:rsidP="00CF3E2A">
      <w:pPr>
        <w:numPr>
          <w:numId w:val="23"/>
        </w:numPr>
        <w:tabs>
          <w:tab w:val="left" w:pos="426"/>
        </w:tabs>
        <w:bidi w:val="0"/>
        <w:ind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235</w:t>
      </w:r>
      <w:r w:rsidRPr="00C252DF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816</w:t>
      </w:r>
      <w:r w:rsidRPr="00C252DF">
        <w:rPr>
          <w:rFonts w:ascii="Times New Roman" w:hAnsi="Times New Roman"/>
          <w:szCs w:val="24"/>
        </w:rPr>
        <w:t xml:space="preserve"> SZČO, </w:t>
      </w:r>
    </w:p>
    <w:p w:rsidR="00FB0F1C" w:rsidRPr="00C252DF" w:rsidP="00CF3E2A">
      <w:pPr>
        <w:numPr>
          <w:numId w:val="23"/>
        </w:numPr>
        <w:tabs>
          <w:tab w:val="left" w:pos="426"/>
        </w:tabs>
        <w:bidi w:val="0"/>
        <w:ind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Pr="00C252DF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042</w:t>
      </w:r>
      <w:r w:rsidRPr="00C252DF">
        <w:rPr>
          <w:rFonts w:ascii="Times New Roman" w:hAnsi="Times New Roman"/>
          <w:szCs w:val="24"/>
        </w:rPr>
        <w:t xml:space="preserve"> DPO na NP, </w:t>
      </w:r>
      <w:r>
        <w:rPr>
          <w:rFonts w:ascii="Times New Roman" w:hAnsi="Times New Roman"/>
          <w:szCs w:val="24"/>
        </w:rPr>
        <w:t>14</w:t>
      </w:r>
      <w:r w:rsidRPr="00C252DF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401</w:t>
      </w:r>
      <w:r w:rsidRPr="00C252DF">
        <w:rPr>
          <w:rFonts w:ascii="Times New Roman" w:hAnsi="Times New Roman"/>
          <w:szCs w:val="24"/>
        </w:rPr>
        <w:t xml:space="preserve"> DPO na DP a 1</w:t>
      </w:r>
      <w:r>
        <w:rPr>
          <w:rFonts w:ascii="Times New Roman" w:hAnsi="Times New Roman"/>
          <w:szCs w:val="24"/>
        </w:rPr>
        <w:t>1</w:t>
      </w:r>
      <w:r w:rsidRPr="00C252DF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277</w:t>
      </w:r>
      <w:r w:rsidRPr="00C252DF">
        <w:rPr>
          <w:rFonts w:ascii="Times New Roman" w:hAnsi="Times New Roman"/>
          <w:szCs w:val="24"/>
        </w:rPr>
        <w:t xml:space="preserve"> DPO na PvN</w:t>
      </w:r>
    </w:p>
    <w:p w:rsidR="00FB0F1C" w:rsidRPr="00C252DF" w:rsidP="00CF3E2A">
      <w:pPr>
        <w:numPr>
          <w:numId w:val="1"/>
        </w:numPr>
        <w:tabs>
          <w:tab w:val="num" w:pos="360"/>
          <w:tab w:val="left" w:pos="426"/>
        </w:tabs>
        <w:bidi w:val="0"/>
        <w:ind w:left="360" w:hanging="357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2 449 poberateľov úrazovej renty, za ktorých Sociálna poisťovňa platí poistné zo ZFÚP do ZFSP, </w:t>
      </w:r>
    </w:p>
    <w:p w:rsidR="00FB0F1C" w:rsidRPr="00C252DF" w:rsidP="00CF3E2A">
      <w:pPr>
        <w:numPr>
          <w:numId w:val="1"/>
        </w:numPr>
        <w:tabs>
          <w:tab w:val="num" w:pos="360"/>
          <w:tab w:val="left" w:pos="426"/>
        </w:tabs>
        <w:bidi w:val="0"/>
        <w:ind w:left="360" w:hanging="357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182 </w:t>
      </w:r>
      <w:r>
        <w:rPr>
          <w:rFonts w:ascii="Times New Roman" w:hAnsi="Times New Roman"/>
          <w:szCs w:val="24"/>
        </w:rPr>
        <w:t>074</w:t>
      </w:r>
      <w:r w:rsidRPr="00C252DF">
        <w:rPr>
          <w:rFonts w:ascii="Times New Roman" w:hAnsi="Times New Roman"/>
          <w:szCs w:val="24"/>
        </w:rPr>
        <w:t xml:space="preserve"> poistencov štátu,</w:t>
      </w:r>
    </w:p>
    <w:p w:rsidR="00FB0F1C" w:rsidRPr="00C252DF" w:rsidP="00CF3E2A">
      <w:pPr>
        <w:numPr>
          <w:numId w:val="1"/>
        </w:numPr>
        <w:tabs>
          <w:tab w:val="num" w:pos="360"/>
          <w:tab w:val="left" w:pos="426"/>
        </w:tabs>
        <w:bidi w:val="0"/>
        <w:ind w:left="360" w:hanging="357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>vymeriavacieho základu, z ktorého sa platí poistné:</w:t>
      </w:r>
    </w:p>
    <w:p w:rsidR="00FB0F1C" w:rsidRPr="00C252DF" w:rsidP="00CF3E2A">
      <w:pPr>
        <w:numPr>
          <w:numId w:val="1"/>
        </w:numPr>
        <w:tabs>
          <w:tab w:val="num" w:pos="360"/>
          <w:tab w:val="left" w:pos="720"/>
        </w:tabs>
        <w:bidi w:val="0"/>
        <w:ind w:left="360" w:firstLine="0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>na NP: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14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846,48</w:t>
      </w:r>
      <w:r w:rsidRPr="00C252DF">
        <w:rPr>
          <w:rFonts w:ascii="Times New Roman" w:hAnsi="Times New Roman"/>
          <w:szCs w:val="24"/>
        </w:rPr>
        <w:t xml:space="preserve"> Eur, 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14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SZČO vo výške </w:t>
      </w:r>
      <w:r>
        <w:rPr>
          <w:rFonts w:ascii="Times New Roman" w:hAnsi="Times New Roman"/>
          <w:szCs w:val="24"/>
        </w:rPr>
        <w:t>415,31</w:t>
      </w:r>
      <w:r w:rsidRPr="00C252DF">
        <w:rPr>
          <w:rFonts w:ascii="Times New Roman" w:hAnsi="Times New Roman"/>
          <w:szCs w:val="24"/>
        </w:rPr>
        <w:t xml:space="preserve"> Eur,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14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DPO vo výške </w:t>
      </w:r>
      <w:r>
        <w:rPr>
          <w:rFonts w:ascii="Times New Roman" w:hAnsi="Times New Roman"/>
          <w:szCs w:val="24"/>
        </w:rPr>
        <w:t>501,13</w:t>
      </w:r>
      <w:r w:rsidRPr="00C252DF">
        <w:rPr>
          <w:rFonts w:ascii="Times New Roman" w:hAnsi="Times New Roman"/>
          <w:szCs w:val="24"/>
        </w:rPr>
        <w:t xml:space="preserve"> Eur, </w:t>
      </w:r>
    </w:p>
    <w:p w:rsidR="00FB0F1C" w:rsidRPr="00C252DF" w:rsidP="00CF3E2A">
      <w:pPr>
        <w:numPr>
          <w:numId w:val="1"/>
        </w:numPr>
        <w:tabs>
          <w:tab w:val="num" w:pos="360"/>
          <w:tab w:val="left" w:pos="720"/>
        </w:tabs>
        <w:bidi w:val="0"/>
        <w:ind w:left="360" w:firstLine="0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>na SP: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14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853,61</w:t>
      </w:r>
      <w:r w:rsidRPr="00C252DF">
        <w:rPr>
          <w:rFonts w:ascii="Times New Roman" w:hAnsi="Times New Roman"/>
          <w:szCs w:val="24"/>
        </w:rPr>
        <w:t xml:space="preserve"> Eur,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14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SZČO vo výške </w:t>
      </w:r>
      <w:r>
        <w:rPr>
          <w:rFonts w:ascii="Times New Roman" w:hAnsi="Times New Roman"/>
          <w:szCs w:val="24"/>
        </w:rPr>
        <w:t>442,28</w:t>
      </w:r>
      <w:r w:rsidRPr="00C252DF">
        <w:rPr>
          <w:rFonts w:ascii="Times New Roman" w:hAnsi="Times New Roman"/>
          <w:szCs w:val="24"/>
        </w:rPr>
        <w:t xml:space="preserve"> Eur, 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DPO vo výške </w:t>
      </w:r>
      <w:r>
        <w:rPr>
          <w:rFonts w:ascii="Times New Roman" w:hAnsi="Times New Roman"/>
          <w:szCs w:val="24"/>
        </w:rPr>
        <w:t>504,20</w:t>
      </w:r>
      <w:r w:rsidRPr="00C252DF">
        <w:rPr>
          <w:rFonts w:ascii="Times New Roman" w:hAnsi="Times New Roman"/>
          <w:szCs w:val="24"/>
        </w:rPr>
        <w:t xml:space="preserve"> Eur, </w:t>
      </w:r>
    </w:p>
    <w:p w:rsidR="00FB0F1C" w:rsidRPr="00C252DF" w:rsidP="00CF3E2A">
      <w:pPr>
        <w:numPr>
          <w:numId w:val="1"/>
        </w:numPr>
        <w:tabs>
          <w:tab w:val="num" w:pos="360"/>
          <w:tab w:val="left" w:pos="720"/>
        </w:tabs>
        <w:bidi w:val="0"/>
        <w:ind w:left="360" w:firstLine="0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>na IP: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842,27</w:t>
      </w:r>
      <w:r w:rsidRPr="00C252DF">
        <w:rPr>
          <w:rFonts w:ascii="Times New Roman" w:hAnsi="Times New Roman"/>
          <w:szCs w:val="24"/>
        </w:rPr>
        <w:t xml:space="preserve"> Eur,  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SZČO vo výške </w:t>
      </w:r>
      <w:r>
        <w:rPr>
          <w:rFonts w:ascii="Times New Roman" w:hAnsi="Times New Roman"/>
          <w:szCs w:val="24"/>
        </w:rPr>
        <w:t>415,17</w:t>
      </w:r>
      <w:r w:rsidRPr="00C252DF">
        <w:rPr>
          <w:rFonts w:ascii="Times New Roman" w:hAnsi="Times New Roman"/>
          <w:szCs w:val="24"/>
        </w:rPr>
        <w:t xml:space="preserve"> Eur, 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DPO vo výške </w:t>
      </w:r>
      <w:r>
        <w:rPr>
          <w:rFonts w:ascii="Times New Roman" w:hAnsi="Times New Roman"/>
          <w:szCs w:val="24"/>
        </w:rPr>
        <w:t>429,46</w:t>
      </w:r>
      <w:r w:rsidRPr="00C252DF">
        <w:rPr>
          <w:rFonts w:ascii="Times New Roman" w:hAnsi="Times New Roman"/>
          <w:szCs w:val="24"/>
        </w:rPr>
        <w:t xml:space="preserve"> Eur,  </w:t>
      </w:r>
    </w:p>
    <w:p w:rsidR="00FB0F1C" w:rsidRPr="00C252DF" w:rsidP="00CF3E2A">
      <w:pPr>
        <w:numPr>
          <w:numId w:val="1"/>
        </w:numPr>
        <w:tabs>
          <w:tab w:val="num" w:pos="360"/>
          <w:tab w:val="left" w:pos="720"/>
        </w:tabs>
        <w:bidi w:val="0"/>
        <w:ind w:left="709" w:hanging="349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na ÚP za zamestnancov vo výške </w:t>
      </w:r>
      <w:r>
        <w:rPr>
          <w:rFonts w:ascii="Times New Roman" w:hAnsi="Times New Roman"/>
          <w:szCs w:val="24"/>
        </w:rPr>
        <w:t>797,91</w:t>
      </w:r>
      <w:r w:rsidRPr="00C252DF">
        <w:rPr>
          <w:rFonts w:ascii="Times New Roman" w:hAnsi="Times New Roman"/>
          <w:szCs w:val="24"/>
        </w:rPr>
        <w:t xml:space="preserve"> Eur,  </w:t>
      </w:r>
    </w:p>
    <w:p w:rsidR="00FB0F1C" w:rsidRPr="00C252DF" w:rsidP="00CF3E2A">
      <w:pPr>
        <w:numPr>
          <w:numId w:val="1"/>
        </w:numPr>
        <w:tabs>
          <w:tab w:val="num" w:pos="360"/>
          <w:tab w:val="left" w:pos="720"/>
        </w:tabs>
        <w:bidi w:val="0"/>
        <w:ind w:left="360" w:firstLine="0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na GP: za zamestnancov vo výške </w:t>
      </w:r>
      <w:r>
        <w:rPr>
          <w:rFonts w:ascii="Times New Roman" w:hAnsi="Times New Roman"/>
          <w:szCs w:val="24"/>
        </w:rPr>
        <w:t>739,24</w:t>
      </w:r>
      <w:r w:rsidRPr="00C252DF">
        <w:rPr>
          <w:rFonts w:ascii="Times New Roman" w:hAnsi="Times New Roman"/>
          <w:szCs w:val="24"/>
        </w:rPr>
        <w:t xml:space="preserve"> Eur,</w:t>
      </w:r>
    </w:p>
    <w:p w:rsidR="00FB0F1C" w:rsidRPr="00C252DF" w:rsidP="00CF3E2A">
      <w:pPr>
        <w:numPr>
          <w:numId w:val="1"/>
        </w:numPr>
        <w:tabs>
          <w:tab w:val="num" w:pos="360"/>
          <w:tab w:val="left" w:pos="720"/>
        </w:tabs>
        <w:bidi w:val="0"/>
        <w:ind w:left="360" w:firstLine="0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>na PvN: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14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844,04</w:t>
      </w:r>
      <w:r w:rsidRPr="00C252DF">
        <w:rPr>
          <w:rFonts w:ascii="Times New Roman" w:hAnsi="Times New Roman"/>
          <w:szCs w:val="24"/>
        </w:rPr>
        <w:t xml:space="preserve"> Eur, 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14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DPO vo výške </w:t>
      </w:r>
      <w:r>
        <w:rPr>
          <w:rFonts w:ascii="Times New Roman" w:hAnsi="Times New Roman"/>
          <w:szCs w:val="24"/>
        </w:rPr>
        <w:t>498,95</w:t>
      </w:r>
      <w:r w:rsidRPr="00C252DF">
        <w:rPr>
          <w:rFonts w:ascii="Times New Roman" w:hAnsi="Times New Roman"/>
          <w:szCs w:val="24"/>
        </w:rPr>
        <w:t xml:space="preserve"> Eur, </w:t>
      </w:r>
    </w:p>
    <w:p w:rsidR="00FB0F1C" w:rsidRPr="00C252DF" w:rsidP="00CF3E2A">
      <w:pPr>
        <w:numPr>
          <w:numId w:val="1"/>
        </w:numPr>
        <w:tabs>
          <w:tab w:val="num" w:pos="360"/>
          <w:tab w:val="left" w:pos="720"/>
        </w:tabs>
        <w:bidi w:val="0"/>
        <w:ind w:left="360" w:firstLine="0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>do RFS: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14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 xml:space="preserve">841,66 </w:t>
      </w:r>
      <w:r w:rsidRPr="00C252DF">
        <w:rPr>
          <w:rFonts w:ascii="Times New Roman" w:hAnsi="Times New Roman"/>
          <w:szCs w:val="24"/>
        </w:rPr>
        <w:t xml:space="preserve">Eur, 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14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SZČO vo výške </w:t>
      </w:r>
      <w:r>
        <w:rPr>
          <w:rFonts w:ascii="Times New Roman" w:hAnsi="Times New Roman"/>
          <w:szCs w:val="24"/>
        </w:rPr>
        <w:t>418,86</w:t>
      </w:r>
      <w:r w:rsidRPr="00C252DF">
        <w:rPr>
          <w:rFonts w:ascii="Times New Roman" w:hAnsi="Times New Roman"/>
          <w:szCs w:val="24"/>
        </w:rPr>
        <w:t xml:space="preserve"> Eur,  </w:t>
      </w:r>
    </w:p>
    <w:p w:rsidR="00FB0F1C" w:rsidRPr="00C252DF" w:rsidP="00CF3E2A">
      <w:pPr>
        <w:numPr>
          <w:numId w:val="2"/>
        </w:numPr>
        <w:tabs>
          <w:tab w:val="left" w:pos="1134"/>
        </w:tabs>
        <w:bidi w:val="0"/>
        <w:ind w:left="1134" w:hanging="414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 xml:space="preserve">za DPO vo výške </w:t>
      </w:r>
      <w:r>
        <w:rPr>
          <w:rFonts w:ascii="Times New Roman" w:hAnsi="Times New Roman"/>
          <w:szCs w:val="24"/>
        </w:rPr>
        <w:t>429,47</w:t>
      </w:r>
      <w:r w:rsidRPr="00C252DF">
        <w:rPr>
          <w:rFonts w:ascii="Times New Roman" w:hAnsi="Times New Roman"/>
          <w:szCs w:val="24"/>
        </w:rPr>
        <w:t xml:space="preserve"> Eur, </w:t>
      </w:r>
    </w:p>
    <w:p w:rsidR="00FB0F1C" w:rsidRPr="00C252DF" w:rsidP="00FB0F1C">
      <w:pPr>
        <w:numPr>
          <w:numId w:val="1"/>
        </w:numPr>
        <w:tabs>
          <w:tab w:val="num" w:pos="360"/>
          <w:tab w:val="left" w:pos="426"/>
        </w:tabs>
        <w:bidi w:val="0"/>
        <w:spacing w:after="120"/>
        <w:ind w:left="360" w:hanging="357"/>
        <w:jc w:val="both"/>
        <w:rPr>
          <w:rFonts w:ascii="Times New Roman" w:hAnsi="Times New Roman"/>
          <w:szCs w:val="24"/>
        </w:rPr>
      </w:pPr>
      <w:r w:rsidRPr="00C252DF">
        <w:rPr>
          <w:rFonts w:ascii="Times New Roman" w:hAnsi="Times New Roman"/>
          <w:szCs w:val="24"/>
        </w:rPr>
        <w:t>predpokladu, že percento pracovnej neschopnosti pre chorobu a úraz bude na úrovni očakávanej skutočnosti v roku 2012, t. j. 3,5 %</w:t>
      </w:r>
      <w:r w:rsidR="004C14AA">
        <w:rPr>
          <w:rFonts w:ascii="Times New Roman" w:hAnsi="Times New Roman"/>
          <w:szCs w:val="24"/>
        </w:rPr>
        <w:t xml:space="preserve"> a úspešnosť výberu poistného 97 %</w:t>
      </w:r>
      <w:r w:rsidRPr="00C252DF">
        <w:rPr>
          <w:rFonts w:ascii="Times New Roman" w:hAnsi="Times New Roman"/>
          <w:szCs w:val="24"/>
        </w:rPr>
        <w:t>.</w:t>
      </w:r>
    </w:p>
    <w:p w:rsidR="00FB0F1C" w:rsidRPr="002827A2" w:rsidP="00FB0F1C">
      <w:pPr>
        <w:tabs>
          <w:tab w:val="left" w:pos="426"/>
        </w:tabs>
        <w:bidi w:val="0"/>
        <w:spacing w:before="240" w:after="120"/>
        <w:ind w:left="6" w:firstLine="714"/>
        <w:jc w:val="both"/>
        <w:rPr>
          <w:rFonts w:ascii="Times New Roman" w:hAnsi="Times New Roman"/>
        </w:rPr>
      </w:pPr>
      <w:r w:rsidRPr="002827A2">
        <w:rPr>
          <w:rFonts w:ascii="Times New Roman" w:hAnsi="Times New Roman"/>
        </w:rPr>
        <w:t xml:space="preserve">Príjmy z poistného od EAO </w:t>
      </w:r>
      <w:r w:rsidRPr="002827A2">
        <w:rPr>
          <w:rFonts w:ascii="Times New Roman" w:hAnsi="Times New Roman"/>
          <w:b/>
        </w:rPr>
        <w:t>v rokoch 2014 a 2015</w:t>
      </w:r>
      <w:r w:rsidRPr="002827A2">
        <w:rPr>
          <w:rFonts w:ascii="Times New Roman" w:hAnsi="Times New Roman"/>
        </w:rPr>
        <w:t xml:space="preserve"> sú stanovené indexom, ktorý sa odvíja od medziročného rastu priemernej mzdy v hospodárstve SR predikovaného IFP MF SR. Rešpektujú sa všetky relevantné ukazovatele, ktoré boli použité pri rozpočtovaní príjmov v bežnom roku 2013. </w:t>
      </w:r>
      <w:r w:rsidRPr="002827A2" w:rsidR="002827A2">
        <w:rPr>
          <w:rFonts w:ascii="Times New Roman" w:hAnsi="Times New Roman"/>
        </w:rPr>
        <w:t>Úspešnosť výberu poistného sa predpokladá na úrovni 9</w:t>
      </w:r>
      <w:r w:rsidR="007B543D">
        <w:rPr>
          <w:rFonts w:ascii="Times New Roman" w:hAnsi="Times New Roman"/>
        </w:rPr>
        <w:t>7</w:t>
      </w:r>
      <w:r w:rsidRPr="002827A2" w:rsidR="002827A2">
        <w:rPr>
          <w:rFonts w:ascii="Times New Roman" w:hAnsi="Times New Roman"/>
        </w:rPr>
        <w:t xml:space="preserve">% a </w:t>
      </w:r>
      <w:r w:rsidRPr="002827A2" w:rsidR="002827A2">
        <w:rPr>
          <w:rFonts w:ascii="Times New Roman" w:hAnsi="Times New Roman"/>
          <w:szCs w:val="24"/>
        </w:rPr>
        <w:t>percento pracovnej neschopnosti pre chorobu a úraz bude na úrovni 3,5 %.</w:t>
      </w:r>
    </w:p>
    <w:p w:rsidR="004B5BE3" w:rsidRPr="00A21A68" w:rsidP="003A058C">
      <w:pPr>
        <w:bidi w:val="0"/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  <w:r w:rsidRPr="00A21A68">
        <w:rPr>
          <w:rFonts w:ascii="Times New Roman" w:hAnsi="Times New Roman"/>
          <w:b/>
          <w:szCs w:val="24"/>
        </w:rPr>
        <w:t xml:space="preserve">Kvantifikácia výdavkov </w:t>
      </w:r>
    </w:p>
    <w:p w:rsidR="004B5BE3" w:rsidRPr="00A21A68" w:rsidP="003E3545">
      <w:pPr>
        <w:bidi w:val="0"/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>Výdavky Sociálnej poisťovne sa v rokoch 201</w:t>
      </w:r>
      <w:r w:rsidRPr="00A21A68" w:rsidR="00672259">
        <w:rPr>
          <w:rFonts w:ascii="Times New Roman" w:hAnsi="Times New Roman"/>
          <w:szCs w:val="24"/>
        </w:rPr>
        <w:t>3</w:t>
      </w:r>
      <w:r w:rsidRPr="00A21A68">
        <w:rPr>
          <w:rFonts w:ascii="Times New Roman" w:hAnsi="Times New Roman"/>
          <w:szCs w:val="24"/>
        </w:rPr>
        <w:t xml:space="preserve"> až 201</w:t>
      </w:r>
      <w:r w:rsidRPr="00A21A68" w:rsidR="00672259">
        <w:rPr>
          <w:rFonts w:ascii="Times New Roman" w:hAnsi="Times New Roman"/>
          <w:szCs w:val="24"/>
        </w:rPr>
        <w:t>5</w:t>
      </w:r>
      <w:r w:rsidRPr="00A21A68">
        <w:rPr>
          <w:rFonts w:ascii="Times New Roman" w:hAnsi="Times New Roman"/>
          <w:szCs w:val="24"/>
        </w:rPr>
        <w:t xml:space="preserve"> predpokladajú:</w:t>
      </w:r>
    </w:p>
    <w:tbl>
      <w:tblPr>
        <w:tblStyle w:val="TableNormal"/>
        <w:tblW w:w="8662" w:type="dxa"/>
        <w:tblInd w:w="2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1"/>
        <w:gridCol w:w="1402"/>
        <w:gridCol w:w="1149"/>
        <w:gridCol w:w="1150"/>
      </w:tblGrid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E3703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E3703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E3703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E3703" w:rsidRPr="00583B60" w:rsidP="0032022D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v tis. Eur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6E3703" w:rsidRPr="00583B60" w:rsidP="0022512A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Ukazovateľ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6E3703" w:rsidRPr="00583B60" w:rsidP="0022512A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Návrh rozpočtu rok 2013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6E3703" w:rsidRPr="00583B60" w:rsidP="0022512A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 xml:space="preserve">Rozpočtový výhľad 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6E3703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6E3703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6E3703" w:rsidRPr="00583B60" w:rsidP="0022512A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rok 2014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6E3703" w:rsidRPr="00583B60" w:rsidP="005508BE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rok 2015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6E3703" w:rsidRPr="00583B60" w:rsidP="0022512A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6E3703" w:rsidRPr="00583B60" w:rsidP="0022512A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6E3703" w:rsidRPr="00583B60" w:rsidP="0022512A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583B60" w:rsidR="003856B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6E3703" w:rsidRPr="00583B60" w:rsidP="0022512A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 w:rsidRPr="00583B60" w:rsidR="003856BA"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AE4F41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Použitie prostriedkov celkom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6 705 243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7 011 145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7 311 744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AE4F41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v tom: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AE4F41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ZFNP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452 273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475 262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499 790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AE4F41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ZFSP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4 960 919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5 189 521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5 410 573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AE4F41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ZFIP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933 662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989 480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1 043 826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AE4F41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ZFÚP , v tom: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45 665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46 400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47 270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AE4F41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 xml:space="preserve"> - výdavky na úrazové dávky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43 430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44 129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44 999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AE4F41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 xml:space="preserve"> - úhrada poistného na starobné poistenie a príspevkov na SDS za poberateľov úrazovej renty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2 235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2 271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2 271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AE4F41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ZFGP , v tom: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22 528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23 115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23 916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AE4F41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 xml:space="preserve"> - výdavky na dávku garančného poistenia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7 871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 w:rsidP="00174AE2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8 21</w:t>
            </w:r>
            <w:r w:rsidR="00174AE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8 620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E4F41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 xml:space="preserve"> - úhrada príspevkov na SDS nezaplatených zamestnávateľom do základného fondu príspevkov na SDS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14 657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 w:rsidP="00174AE2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14 89</w:t>
            </w:r>
            <w:r w:rsidR="00174AE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15 296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AE4F41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ZFPvN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171 896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170 667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169 669</w:t>
            </w:r>
          </w:p>
        </w:tc>
      </w:tr>
      <w:tr>
        <w:tblPrEx>
          <w:tblW w:w="8662" w:type="dxa"/>
          <w:tblInd w:w="212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AE4F41" w:rsidRPr="00583B60" w:rsidP="0022512A">
            <w:pPr>
              <w:bidi w:val="0"/>
              <w:rPr>
                <w:rFonts w:ascii="Times New Roman" w:hAnsi="Times New Roman"/>
                <w:sz w:val="20"/>
              </w:rPr>
            </w:pPr>
            <w:r w:rsidRPr="00583B60">
              <w:rPr>
                <w:rFonts w:ascii="Times New Roman" w:hAnsi="Times New Roman"/>
                <w:sz w:val="20"/>
              </w:rPr>
              <w:t>Správny fond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118 300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116 700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E4F41" w:rsidRPr="00AE4F41">
            <w:pPr>
              <w:bidi w:val="0"/>
              <w:jc w:val="right"/>
              <w:rPr>
                <w:rFonts w:ascii="Times New Roman" w:hAnsi="Times New Roman"/>
                <w:sz w:val="20"/>
              </w:rPr>
            </w:pPr>
            <w:r w:rsidRPr="00AE4F41">
              <w:rPr>
                <w:rFonts w:ascii="Times New Roman" w:hAnsi="Times New Roman"/>
                <w:sz w:val="20"/>
              </w:rPr>
              <w:t>116 700</w:t>
            </w:r>
          </w:p>
        </w:tc>
      </w:tr>
    </w:tbl>
    <w:p w:rsidR="0022512A" w:rsidRPr="00A21A68" w:rsidP="00DE23AB">
      <w:pPr>
        <w:bidi w:val="0"/>
        <w:jc w:val="both"/>
        <w:rPr>
          <w:rFonts w:ascii="Times New Roman" w:hAnsi="Times New Roman"/>
          <w:szCs w:val="24"/>
        </w:rPr>
      </w:pPr>
    </w:p>
    <w:p w:rsidR="004B5BE3" w:rsidP="00DE23AB">
      <w:pPr>
        <w:bidi w:val="0"/>
        <w:spacing w:after="120"/>
        <w:ind w:firstLine="709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b/>
          <w:szCs w:val="24"/>
        </w:rPr>
        <w:t>Nemocenské dávky</w:t>
      </w:r>
      <w:r w:rsidRPr="00A21A68">
        <w:rPr>
          <w:rFonts w:ascii="Times New Roman" w:hAnsi="Times New Roman"/>
          <w:szCs w:val="24"/>
        </w:rPr>
        <w:t xml:space="preserve"> sa v </w:t>
      </w:r>
      <w:r w:rsidRPr="00A21A68">
        <w:rPr>
          <w:rFonts w:ascii="Times New Roman" w:hAnsi="Times New Roman"/>
          <w:b/>
          <w:szCs w:val="24"/>
        </w:rPr>
        <w:t>roku 201</w:t>
      </w:r>
      <w:r w:rsidRPr="00A21A68" w:rsidR="00672259">
        <w:rPr>
          <w:rFonts w:ascii="Times New Roman" w:hAnsi="Times New Roman"/>
          <w:b/>
          <w:szCs w:val="24"/>
        </w:rPr>
        <w:t>3</w:t>
      </w:r>
      <w:r w:rsidRPr="00A21A68">
        <w:rPr>
          <w:rFonts w:ascii="Times New Roman" w:hAnsi="Times New Roman"/>
          <w:b/>
          <w:szCs w:val="24"/>
        </w:rPr>
        <w:t xml:space="preserve"> </w:t>
      </w:r>
      <w:r w:rsidRPr="00A21A68">
        <w:rPr>
          <w:rFonts w:ascii="Times New Roman" w:hAnsi="Times New Roman"/>
          <w:szCs w:val="24"/>
        </w:rPr>
        <w:t xml:space="preserve">predpokladajú vo výške </w:t>
      </w:r>
      <w:r w:rsidR="00563918">
        <w:rPr>
          <w:rFonts w:ascii="Times New Roman" w:hAnsi="Times New Roman"/>
          <w:b/>
          <w:szCs w:val="24"/>
        </w:rPr>
        <w:t>452</w:t>
      </w:r>
      <w:r w:rsidRPr="00A21A68">
        <w:rPr>
          <w:rFonts w:ascii="Times New Roman" w:hAnsi="Times New Roman"/>
          <w:b/>
          <w:szCs w:val="24"/>
        </w:rPr>
        <w:t> </w:t>
      </w:r>
      <w:r w:rsidR="0053487F">
        <w:rPr>
          <w:rFonts w:ascii="Times New Roman" w:hAnsi="Times New Roman"/>
          <w:b/>
          <w:szCs w:val="24"/>
        </w:rPr>
        <w:t>273</w:t>
      </w:r>
      <w:r w:rsidRPr="00A21A68">
        <w:rPr>
          <w:rFonts w:ascii="Times New Roman" w:hAnsi="Times New Roman"/>
          <w:b/>
          <w:szCs w:val="24"/>
        </w:rPr>
        <w:t> tis. Eur</w:t>
      </w:r>
      <w:r w:rsidRPr="00A21A68">
        <w:rPr>
          <w:rFonts w:ascii="Times New Roman" w:hAnsi="Times New Roman"/>
          <w:szCs w:val="24"/>
        </w:rPr>
        <w:t>. Pri prepočte bol zohľadnený vývoj ukazovateľov ovplyvňujúcich výšku výdavkov na nemocenské dávky:</w:t>
      </w:r>
    </w:p>
    <w:tbl>
      <w:tblPr>
        <w:tblStyle w:val="TableNormal"/>
        <w:tblW w:w="8080" w:type="dxa"/>
        <w:tblInd w:w="779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693"/>
        <w:gridCol w:w="2693"/>
        <w:gridCol w:w="2694"/>
      </w:tblGrid>
      <w:tr>
        <w:tblPrEx>
          <w:tblW w:w="8080" w:type="dxa"/>
          <w:tblInd w:w="779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44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A21A68" w:rsidP="003E3545">
            <w:pPr>
              <w:bidi w:val="0"/>
              <w:jc w:val="center"/>
              <w:rPr>
                <w:rFonts w:ascii="Times New Roman" w:hAnsi="Times New Roman"/>
                <w:szCs w:val="22"/>
              </w:rPr>
            </w:pPr>
            <w:r w:rsidRPr="00A21A68">
              <w:rPr>
                <w:rFonts w:ascii="Times New Roman" w:hAnsi="Times New Roman"/>
                <w:sz w:val="22"/>
                <w:szCs w:val="22"/>
              </w:rPr>
              <w:t>Dávka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B5BE3" w:rsidRPr="00A21A68" w:rsidP="003E3545">
            <w:pPr>
              <w:bidi w:val="0"/>
              <w:jc w:val="center"/>
              <w:rPr>
                <w:rFonts w:ascii="Times New Roman" w:hAnsi="Times New Roman"/>
                <w:szCs w:val="22"/>
              </w:rPr>
            </w:pPr>
            <w:r w:rsidRPr="00A21A68">
              <w:rPr>
                <w:rFonts w:ascii="Times New Roman" w:hAnsi="Times New Roman"/>
                <w:sz w:val="22"/>
                <w:szCs w:val="22"/>
              </w:rPr>
              <w:t>Priemerná mesačná výška dávky v Eur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4B5BE3" w:rsidRPr="00A21A68" w:rsidP="003E3545">
            <w:pPr>
              <w:bidi w:val="0"/>
              <w:jc w:val="center"/>
              <w:rPr>
                <w:rFonts w:ascii="Times New Roman" w:hAnsi="Times New Roman"/>
                <w:szCs w:val="22"/>
              </w:rPr>
            </w:pPr>
            <w:r w:rsidRPr="00A21A68">
              <w:rPr>
                <w:rFonts w:ascii="Times New Roman" w:hAnsi="Times New Roman"/>
                <w:sz w:val="22"/>
                <w:szCs w:val="22"/>
              </w:rPr>
              <w:t>Priemerný mesačný počet poberateľov dávky</w:t>
            </w:r>
          </w:p>
        </w:tc>
      </w:tr>
      <w:tr>
        <w:tblPrEx>
          <w:tblW w:w="8080" w:type="dxa"/>
          <w:tblInd w:w="779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32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A21A68" w:rsidP="003E3545">
            <w:pPr>
              <w:bidi w:val="0"/>
              <w:rPr>
                <w:rFonts w:ascii="Times New Roman" w:hAnsi="Times New Roman"/>
                <w:szCs w:val="22"/>
              </w:rPr>
            </w:pPr>
            <w:r w:rsidRPr="00A21A68">
              <w:rPr>
                <w:rFonts w:ascii="Times New Roman" w:hAnsi="Times New Roman"/>
                <w:sz w:val="22"/>
                <w:szCs w:val="22"/>
              </w:rPr>
              <w:t>Nemocenské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A21A68" w:rsidP="007C317E">
            <w:pPr>
              <w:bidi w:val="0"/>
              <w:jc w:val="right"/>
              <w:rPr>
                <w:rFonts w:ascii="Times New Roman" w:hAnsi="Times New Roman"/>
                <w:szCs w:val="22"/>
              </w:rPr>
            </w:pPr>
            <w:r w:rsidR="00057B12">
              <w:rPr>
                <w:rFonts w:ascii="Times New Roman" w:hAnsi="Times New Roman"/>
                <w:szCs w:val="22"/>
              </w:rPr>
              <w:t>225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A21A68" w:rsidP="00D00A37">
            <w:pPr>
              <w:bidi w:val="0"/>
              <w:jc w:val="right"/>
              <w:rPr>
                <w:rFonts w:ascii="Times New Roman" w:hAnsi="Times New Roman"/>
                <w:szCs w:val="22"/>
              </w:rPr>
            </w:pPr>
            <w:r w:rsidRPr="00A21A68" w:rsidR="000B12E0">
              <w:rPr>
                <w:rFonts w:ascii="Times New Roman" w:hAnsi="Times New Roman"/>
                <w:szCs w:val="22"/>
              </w:rPr>
              <w:t xml:space="preserve">116 </w:t>
            </w:r>
            <w:r w:rsidR="00D00A37">
              <w:rPr>
                <w:rFonts w:ascii="Times New Roman" w:hAnsi="Times New Roman"/>
                <w:szCs w:val="22"/>
              </w:rPr>
              <w:t>8</w:t>
            </w:r>
            <w:r w:rsidRPr="00A21A68" w:rsidR="000B12E0">
              <w:rPr>
                <w:rFonts w:ascii="Times New Roman" w:hAnsi="Times New Roman"/>
                <w:szCs w:val="22"/>
              </w:rPr>
              <w:t>00</w:t>
            </w:r>
          </w:p>
        </w:tc>
      </w:tr>
      <w:tr>
        <w:tblPrEx>
          <w:tblW w:w="8080" w:type="dxa"/>
          <w:tblInd w:w="779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12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A21A68" w:rsidP="003E3545">
            <w:pPr>
              <w:bidi w:val="0"/>
              <w:rPr>
                <w:rFonts w:ascii="Times New Roman" w:hAnsi="Times New Roman"/>
                <w:szCs w:val="22"/>
              </w:rPr>
            </w:pPr>
            <w:r w:rsidRPr="00A21A68">
              <w:rPr>
                <w:rFonts w:ascii="Times New Roman" w:hAnsi="Times New Roman"/>
                <w:sz w:val="22"/>
                <w:szCs w:val="22"/>
              </w:rPr>
              <w:t xml:space="preserve">Ošetrovné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B12E0" w:rsidRPr="00A21A68" w:rsidP="0053487F">
            <w:pPr>
              <w:bidi w:val="0"/>
              <w:jc w:val="right"/>
              <w:rPr>
                <w:rFonts w:ascii="Times New Roman" w:hAnsi="Times New Roman"/>
                <w:szCs w:val="22"/>
              </w:rPr>
            </w:pPr>
            <w:r w:rsidRPr="00A21A68">
              <w:rPr>
                <w:rFonts w:ascii="Times New Roman" w:hAnsi="Times New Roman"/>
                <w:szCs w:val="22"/>
              </w:rPr>
              <w:t>7</w:t>
            </w:r>
            <w:r w:rsidR="0053487F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A21A68" w:rsidP="00D00A37">
            <w:pPr>
              <w:bidi w:val="0"/>
              <w:jc w:val="right"/>
              <w:rPr>
                <w:rFonts w:ascii="Times New Roman" w:hAnsi="Times New Roman"/>
                <w:szCs w:val="22"/>
              </w:rPr>
            </w:pPr>
            <w:r w:rsidRPr="00A21A68" w:rsidR="000B12E0">
              <w:rPr>
                <w:rFonts w:ascii="Times New Roman" w:hAnsi="Times New Roman"/>
                <w:szCs w:val="22"/>
              </w:rPr>
              <w:t>11 9</w:t>
            </w:r>
            <w:r w:rsidR="00D00A37">
              <w:rPr>
                <w:rFonts w:ascii="Times New Roman" w:hAnsi="Times New Roman"/>
                <w:szCs w:val="22"/>
              </w:rPr>
              <w:t>55</w:t>
            </w:r>
          </w:p>
        </w:tc>
      </w:tr>
      <w:tr>
        <w:tblPrEx>
          <w:tblW w:w="8080" w:type="dxa"/>
          <w:tblInd w:w="779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171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A21A68" w:rsidP="003E3545">
            <w:pPr>
              <w:bidi w:val="0"/>
              <w:rPr>
                <w:rFonts w:ascii="Times New Roman" w:hAnsi="Times New Roman"/>
                <w:szCs w:val="22"/>
              </w:rPr>
            </w:pPr>
            <w:r w:rsidRPr="00A21A68">
              <w:rPr>
                <w:rFonts w:ascii="Times New Roman" w:hAnsi="Times New Roman"/>
                <w:sz w:val="22"/>
                <w:szCs w:val="22"/>
              </w:rPr>
              <w:t>Vyrovnávacia dávka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A21A68" w:rsidP="007C317E">
            <w:pPr>
              <w:bidi w:val="0"/>
              <w:jc w:val="right"/>
              <w:rPr>
                <w:rFonts w:ascii="Times New Roman" w:hAnsi="Times New Roman"/>
                <w:szCs w:val="22"/>
              </w:rPr>
            </w:pPr>
            <w:r w:rsidRPr="00A21A68" w:rsidR="000B12E0">
              <w:rPr>
                <w:rFonts w:ascii="Times New Roman" w:hAnsi="Times New Roman"/>
                <w:szCs w:val="22"/>
              </w:rPr>
              <w:t>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A21A68" w:rsidP="00D00A37">
            <w:pPr>
              <w:bidi w:val="0"/>
              <w:jc w:val="right"/>
              <w:rPr>
                <w:rFonts w:ascii="Times New Roman" w:hAnsi="Times New Roman"/>
                <w:szCs w:val="22"/>
              </w:rPr>
            </w:pPr>
            <w:r w:rsidRPr="00A21A68" w:rsidR="000B12E0">
              <w:rPr>
                <w:rFonts w:ascii="Times New Roman" w:hAnsi="Times New Roman"/>
                <w:szCs w:val="22"/>
              </w:rPr>
              <w:t>9</w:t>
            </w:r>
            <w:r w:rsidR="00D00A37">
              <w:rPr>
                <w:rFonts w:ascii="Times New Roman" w:hAnsi="Times New Roman"/>
                <w:szCs w:val="22"/>
              </w:rPr>
              <w:t>2</w:t>
            </w:r>
          </w:p>
        </w:tc>
      </w:tr>
      <w:tr>
        <w:tblPrEx>
          <w:tblW w:w="8080" w:type="dxa"/>
          <w:tblInd w:w="779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06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A21A68" w:rsidP="003E3545">
            <w:pPr>
              <w:bidi w:val="0"/>
              <w:rPr>
                <w:rFonts w:ascii="Times New Roman" w:hAnsi="Times New Roman"/>
                <w:szCs w:val="22"/>
              </w:rPr>
            </w:pPr>
            <w:r w:rsidRPr="00A21A68">
              <w:rPr>
                <w:rFonts w:ascii="Times New Roman" w:hAnsi="Times New Roman"/>
                <w:sz w:val="22"/>
                <w:szCs w:val="22"/>
              </w:rPr>
              <w:t>Materské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A21A68" w:rsidP="0053487F">
            <w:pPr>
              <w:bidi w:val="0"/>
              <w:jc w:val="right"/>
              <w:rPr>
                <w:rFonts w:ascii="Times New Roman" w:hAnsi="Times New Roman"/>
                <w:szCs w:val="22"/>
              </w:rPr>
            </w:pPr>
            <w:r w:rsidRPr="00A21A68" w:rsidR="000B12E0">
              <w:rPr>
                <w:rFonts w:ascii="Times New Roman" w:hAnsi="Times New Roman"/>
                <w:szCs w:val="22"/>
              </w:rPr>
              <w:t>43</w:t>
            </w:r>
            <w:r w:rsidR="0053487F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A21A68" w:rsidP="003E3545">
            <w:pPr>
              <w:bidi w:val="0"/>
              <w:jc w:val="right"/>
              <w:rPr>
                <w:rFonts w:ascii="Times New Roman" w:hAnsi="Times New Roman"/>
                <w:szCs w:val="22"/>
              </w:rPr>
            </w:pPr>
            <w:r w:rsidR="00D00A37">
              <w:rPr>
                <w:rFonts w:ascii="Times New Roman" w:hAnsi="Times New Roman"/>
                <w:szCs w:val="22"/>
              </w:rPr>
              <w:t>23 990</w:t>
            </w:r>
          </w:p>
        </w:tc>
      </w:tr>
    </w:tbl>
    <w:p w:rsidR="00246796" w:rsidRPr="00246796" w:rsidP="00246796">
      <w:pPr>
        <w:tabs>
          <w:tab w:val="decimal" w:pos="8222"/>
        </w:tabs>
        <w:bidi w:val="0"/>
        <w:spacing w:before="240"/>
        <w:ind w:firstLine="709"/>
        <w:rPr>
          <w:rFonts w:ascii="Times New Roman" w:hAnsi="Times New Roman"/>
          <w:szCs w:val="24"/>
        </w:rPr>
      </w:pPr>
      <w:r w:rsidRPr="00246796">
        <w:rPr>
          <w:rFonts w:ascii="Times New Roman" w:hAnsi="Times New Roman"/>
          <w:b/>
          <w:szCs w:val="24"/>
        </w:rPr>
        <w:t>Výdavky na dôchodkové dávky</w:t>
      </w:r>
      <w:r w:rsidRPr="00246796">
        <w:rPr>
          <w:rFonts w:ascii="Times New Roman" w:hAnsi="Times New Roman"/>
          <w:szCs w:val="24"/>
        </w:rPr>
        <w:t xml:space="preserve"> na rok 2013 sú stanovené </w:t>
        <w:br/>
        <w:t xml:space="preserve">vo výške </w:t>
        <w:tab/>
      </w:r>
      <w:r w:rsidRPr="00246796">
        <w:rPr>
          <w:rFonts w:ascii="Times New Roman" w:hAnsi="Times New Roman"/>
          <w:b/>
          <w:szCs w:val="24"/>
        </w:rPr>
        <w:t>5 894 581 tis. Eur</w:t>
      </w:r>
      <w:r w:rsidRPr="00246796">
        <w:rPr>
          <w:rFonts w:ascii="Times New Roman" w:hAnsi="Times New Roman"/>
          <w:szCs w:val="24"/>
        </w:rPr>
        <w:t>,</w:t>
        <w:br/>
        <w:t>v tom výdavky zo:</w:t>
      </w:r>
    </w:p>
    <w:p w:rsidR="00246796" w:rsidRPr="00246796" w:rsidP="00246796">
      <w:pPr>
        <w:numPr>
          <w:numId w:val="3"/>
        </w:numPr>
        <w:tabs>
          <w:tab w:val="decimal" w:pos="8222"/>
        </w:tabs>
        <w:bidi w:val="0"/>
        <w:jc w:val="both"/>
        <w:rPr>
          <w:rFonts w:ascii="Times New Roman" w:hAnsi="Times New Roman"/>
          <w:szCs w:val="24"/>
        </w:rPr>
      </w:pPr>
      <w:r w:rsidRPr="00246796">
        <w:rPr>
          <w:rFonts w:ascii="Times New Roman" w:hAnsi="Times New Roman"/>
          <w:szCs w:val="24"/>
        </w:rPr>
        <w:t>ZFSP</w:t>
        <w:tab/>
        <w:t>4 960 919 tis. Eur,</w:t>
      </w:r>
    </w:p>
    <w:p w:rsidR="00246796" w:rsidRPr="00246796" w:rsidP="00246796">
      <w:pPr>
        <w:numPr>
          <w:numId w:val="3"/>
        </w:numPr>
        <w:tabs>
          <w:tab w:val="decimal" w:pos="8222"/>
        </w:tabs>
        <w:bidi w:val="0"/>
        <w:jc w:val="both"/>
        <w:rPr>
          <w:rFonts w:ascii="Times New Roman" w:hAnsi="Times New Roman"/>
          <w:szCs w:val="24"/>
        </w:rPr>
      </w:pPr>
      <w:r w:rsidRPr="00246796">
        <w:rPr>
          <w:rFonts w:ascii="Times New Roman" w:hAnsi="Times New Roman"/>
          <w:szCs w:val="24"/>
        </w:rPr>
        <w:t>ZFIP</w:t>
        <w:tab/>
        <w:t>933 662 tis. Eur.</w:t>
      </w:r>
    </w:p>
    <w:p w:rsidR="00246796" w:rsidRPr="00246796" w:rsidP="002827A2">
      <w:pPr>
        <w:bidi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246796">
        <w:rPr>
          <w:rFonts w:ascii="Times New Roman" w:hAnsi="Times New Roman"/>
          <w:color w:val="000000"/>
          <w:szCs w:val="24"/>
        </w:rPr>
        <w:t>Pri novopriznávaných dôchodkoch sa vychádzalo z predpokladu, že starobných dôchodkov bude priznaných celkom 26 000 s priemernou výškou dôchodku 380,06 Eur, predčasných starobných dôchodkov bude priznaných 19 500 s priemernou výškou dôchodku 381,70 Eur a invalidných dôchodkov bude priznaných 23 800 s priemernou výškou dôchodku 243,44 Eur. Aktuálna dôchodková hodnota sa predpokladá</w:t>
      </w:r>
      <w:r w:rsidRPr="00246796">
        <w:rPr>
          <w:rFonts w:ascii="Times New Roman" w:hAnsi="Times New Roman"/>
          <w:szCs w:val="24"/>
        </w:rPr>
        <w:t>:</w:t>
      </w:r>
    </w:p>
    <w:p w:rsidR="00246796" w:rsidRPr="00246796" w:rsidP="002827A2">
      <w:pPr>
        <w:bidi w:val="0"/>
        <w:spacing w:before="120"/>
        <w:ind w:firstLine="6237"/>
        <w:jc w:val="both"/>
        <w:rPr>
          <w:rFonts w:ascii="Times New Roman" w:hAnsi="Times New Roman"/>
          <w:szCs w:val="24"/>
        </w:rPr>
      </w:pPr>
      <w:r w:rsidRPr="00246796">
        <w:rPr>
          <w:rFonts w:ascii="Times New Roman" w:hAnsi="Times New Roman"/>
          <w:sz w:val="20"/>
        </w:rPr>
        <w:t>v Eur</w:t>
      </w:r>
    </w:p>
    <w:tbl>
      <w:tblPr>
        <w:tblStyle w:val="TableNormal"/>
        <w:tblW w:w="7139" w:type="dxa"/>
        <w:tblInd w:w="728" w:type="dxa"/>
        <w:tblCellMar>
          <w:left w:w="70" w:type="dxa"/>
          <w:right w:w="70" w:type="dxa"/>
        </w:tblCellMar>
      </w:tblPr>
      <w:tblGrid>
        <w:gridCol w:w="3170"/>
        <w:gridCol w:w="1275"/>
        <w:gridCol w:w="1413"/>
        <w:gridCol w:w="1281"/>
      </w:tblGrid>
      <w:tr>
        <w:tblPrEx>
          <w:tblW w:w="7139" w:type="dxa"/>
          <w:tblInd w:w="728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020A0">
              <w:rPr>
                <w:rFonts w:ascii="Times New Roman" w:hAnsi="Times New Roman"/>
                <w:bCs/>
                <w:sz w:val="22"/>
                <w:szCs w:val="22"/>
              </w:rPr>
              <w:t>Rok 2013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020A0">
              <w:rPr>
                <w:rFonts w:ascii="Times New Roman" w:hAnsi="Times New Roman"/>
                <w:bCs/>
                <w:sz w:val="22"/>
                <w:szCs w:val="22"/>
              </w:rPr>
              <w:t>Rok 2014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46796" w:rsidRPr="00A020A0" w:rsidP="00246796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A020A0">
              <w:rPr>
                <w:rFonts w:ascii="Times New Roman" w:hAnsi="Times New Roman"/>
                <w:bCs/>
                <w:sz w:val="22"/>
                <w:szCs w:val="22"/>
              </w:rPr>
              <w:t>Rok 2015</w:t>
            </w:r>
          </w:p>
        </w:tc>
      </w:tr>
      <w:tr>
        <w:tblPrEx>
          <w:tblW w:w="7139" w:type="dxa"/>
          <w:tblInd w:w="728" w:type="dxa"/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020A0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7139" w:type="dxa"/>
          <w:tblInd w:w="728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46796" w:rsidRPr="00A020A0" w:rsidP="00246796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020A0">
              <w:rPr>
                <w:rFonts w:ascii="Times New Roman" w:hAnsi="Times New Roman"/>
                <w:bCs/>
                <w:sz w:val="22"/>
                <w:szCs w:val="22"/>
              </w:rPr>
              <w:t>Aktuálna dôchodková hodnota</w:t>
            </w:r>
            <w:r w:rsidRPr="00A020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46796" w:rsidRPr="00A020A0" w:rsidP="0024679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10,0555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46796" w:rsidRPr="00A020A0" w:rsidP="0024679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10,3928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46796" w:rsidRPr="00A020A0" w:rsidP="0024679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10,8550</w:t>
            </w:r>
          </w:p>
        </w:tc>
      </w:tr>
    </w:tbl>
    <w:p w:rsidR="00246796" w:rsidRPr="00246796" w:rsidP="00246796">
      <w:pPr>
        <w:bidi w:val="0"/>
        <w:spacing w:before="240" w:after="120"/>
        <w:ind w:left="284" w:firstLine="425"/>
        <w:rPr>
          <w:rFonts w:ascii="Times New Roman" w:hAnsi="Times New Roman"/>
          <w:color w:val="000000"/>
          <w:szCs w:val="24"/>
        </w:rPr>
      </w:pPr>
      <w:r w:rsidRPr="00246796">
        <w:rPr>
          <w:rFonts w:ascii="Times New Roman" w:hAnsi="Times New Roman"/>
          <w:szCs w:val="24"/>
        </w:rPr>
        <w:t xml:space="preserve">Výška výdavkov na dôchodkové dávky je vykvantifikovaná najmä na </w:t>
      </w:r>
      <w:r w:rsidRPr="00246796">
        <w:rPr>
          <w:rFonts w:ascii="Times New Roman" w:hAnsi="Times New Roman"/>
          <w:color w:val="000000"/>
          <w:szCs w:val="24"/>
        </w:rPr>
        <w:t xml:space="preserve">základe </w:t>
      </w:r>
    </w:p>
    <w:p w:rsidR="00246796" w:rsidRPr="00246796" w:rsidP="00246796">
      <w:pPr>
        <w:numPr>
          <w:numId w:val="17"/>
        </w:numPr>
        <w:tabs>
          <w:tab w:val="clear" w:pos="360"/>
          <w:tab w:val="left" w:pos="709"/>
          <w:tab w:val="decimal" w:pos="8222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246796">
        <w:rPr>
          <w:rFonts w:ascii="Times New Roman" w:hAnsi="Times New Roman"/>
          <w:szCs w:val="24"/>
        </w:rPr>
        <w:t>očakávaných výdavkov v roku 2012 vo výške 5 621 982 tis. Eur,</w:t>
      </w:r>
    </w:p>
    <w:p w:rsidR="00246796" w:rsidRPr="00246796" w:rsidP="00246796">
      <w:pPr>
        <w:numPr>
          <w:numId w:val="17"/>
        </w:numPr>
        <w:tabs>
          <w:tab w:val="clear" w:pos="360"/>
          <w:tab w:val="left" w:pos="709"/>
          <w:tab w:val="decimal" w:pos="8222"/>
        </w:tabs>
        <w:bidi w:val="0"/>
        <w:ind w:left="709" w:hanging="709"/>
        <w:jc w:val="both"/>
        <w:rPr>
          <w:rFonts w:ascii="Times New Roman" w:hAnsi="Times New Roman"/>
          <w:color w:val="000000"/>
          <w:szCs w:val="24"/>
        </w:rPr>
      </w:pPr>
      <w:r w:rsidRPr="00246796">
        <w:rPr>
          <w:rFonts w:ascii="Times New Roman" w:hAnsi="Times New Roman"/>
          <w:szCs w:val="24"/>
        </w:rPr>
        <w:t>valorizácie dôchodkov od 1. 1. 2013 pevnou sumou vo výške 174 590 tis. Eur,</w:t>
      </w:r>
    </w:p>
    <w:p w:rsidR="00246796" w:rsidRPr="00246796" w:rsidP="00246796">
      <w:pPr>
        <w:numPr>
          <w:numId w:val="17"/>
        </w:numPr>
        <w:tabs>
          <w:tab w:val="clear" w:pos="360"/>
          <w:tab w:val="left" w:pos="709"/>
          <w:tab w:val="decimal" w:pos="8222"/>
        </w:tabs>
        <w:bidi w:val="0"/>
        <w:ind w:left="709" w:hanging="709"/>
        <w:jc w:val="both"/>
        <w:rPr>
          <w:rFonts w:ascii="Times New Roman" w:hAnsi="Times New Roman"/>
          <w:color w:val="000000"/>
          <w:szCs w:val="24"/>
        </w:rPr>
      </w:pPr>
      <w:r w:rsidRPr="00246796">
        <w:rPr>
          <w:rFonts w:ascii="Times New Roman" w:hAnsi="Times New Roman"/>
          <w:szCs w:val="24"/>
        </w:rPr>
        <w:t>bežného medziročného nárastu, ktorý súvisí s priznávaním nových dôchodkov v sume 98 074 tis. Eur,</w:t>
      </w:r>
    </w:p>
    <w:p w:rsidR="00246796" w:rsidRPr="00246796" w:rsidP="00246796">
      <w:pPr>
        <w:numPr>
          <w:numId w:val="17"/>
        </w:numPr>
        <w:tabs>
          <w:tab w:val="clear" w:pos="360"/>
          <w:tab w:val="left" w:pos="709"/>
          <w:tab w:val="decimal" w:pos="8222"/>
        </w:tabs>
        <w:bidi w:val="0"/>
        <w:ind w:left="709" w:hanging="709"/>
        <w:jc w:val="both"/>
        <w:rPr>
          <w:rFonts w:ascii="Times New Roman" w:hAnsi="Times New Roman"/>
          <w:color w:val="000000"/>
          <w:szCs w:val="24"/>
        </w:rPr>
      </w:pPr>
      <w:r w:rsidRPr="00246796">
        <w:rPr>
          <w:rFonts w:ascii="Times New Roman" w:hAnsi="Times New Roman"/>
          <w:szCs w:val="24"/>
        </w:rPr>
        <w:t>zníženia výdavkov na základe novely zákona o sociálnom poistení o 65 tis. Eur – sprísnenie podmienok nároku na predčasný starobný dôchodok pre sporiteľov.</w:t>
      </w:r>
    </w:p>
    <w:p w:rsidR="00246796" w:rsidRPr="00246796" w:rsidP="00246796">
      <w:pPr>
        <w:bidi w:val="0"/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246796">
        <w:rPr>
          <w:rFonts w:ascii="Times New Roman" w:hAnsi="Times New Roman"/>
          <w:color w:val="000000"/>
          <w:szCs w:val="24"/>
        </w:rPr>
        <w:t>Výdavky na valorizáciu dôchodkových dávok sa v rokoch 2013 až 2015 zvyšujú o pevnú sumu a rozpočtujú sa:</w:t>
      </w:r>
    </w:p>
    <w:p w:rsidR="00246796" w:rsidRPr="00246796" w:rsidP="00246796">
      <w:pPr>
        <w:tabs>
          <w:tab w:val="left" w:pos="709"/>
          <w:tab w:val="right" w:pos="6804"/>
          <w:tab w:val="left" w:pos="7088"/>
        </w:tabs>
        <w:bidi w:val="0"/>
        <w:ind w:firstLine="6946"/>
        <w:rPr>
          <w:rFonts w:ascii="Times New Roman" w:hAnsi="Times New Roman"/>
          <w:color w:val="000000"/>
          <w:sz w:val="18"/>
          <w:szCs w:val="18"/>
        </w:rPr>
      </w:pPr>
      <w:r w:rsidRPr="00246796">
        <w:rPr>
          <w:rFonts w:ascii="Times New Roman" w:hAnsi="Times New Roman"/>
          <w:color w:val="000000"/>
          <w:sz w:val="18"/>
          <w:szCs w:val="18"/>
        </w:rPr>
        <w:t>v tis. Eur</w:t>
      </w:r>
    </w:p>
    <w:tbl>
      <w:tblPr>
        <w:tblStyle w:val="TableNormal"/>
        <w:tblW w:w="7088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3119"/>
        <w:gridCol w:w="1323"/>
        <w:gridCol w:w="1323"/>
        <w:gridCol w:w="1323"/>
      </w:tblGrid>
      <w:tr>
        <w:tblPrEx>
          <w:tblW w:w="7088" w:type="dxa"/>
          <w:tblInd w:w="7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Rok 2013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Rok 2014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Rok 2015</w:t>
            </w:r>
          </w:p>
        </w:tc>
      </w:tr>
      <w:tr>
        <w:tblPrEx>
          <w:tblW w:w="7088" w:type="dxa"/>
          <w:tblInd w:w="779" w:type="dxa"/>
          <w:tblLayout w:type="fixed"/>
          <w:tblCellMar>
            <w:left w:w="70" w:type="dxa"/>
            <w:right w:w="70" w:type="dxa"/>
          </w:tblCellMar>
        </w:tblPrEx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7088" w:type="dxa"/>
          <w:tblInd w:w="779" w:type="dxa"/>
          <w:tblLayout w:type="fixed"/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46796" w:rsidRPr="00A020A0" w:rsidP="00246796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 xml:space="preserve">Výdavky na zvýšenie dôchodkov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174 590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183 942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46796" w:rsidRPr="00A020A0" w:rsidP="0024679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170 158</w:t>
            </w:r>
          </w:p>
        </w:tc>
      </w:tr>
    </w:tbl>
    <w:p w:rsidR="004B5BE3" w:rsidRPr="00A21A68" w:rsidP="005F7431">
      <w:pPr>
        <w:bidi w:val="0"/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b/>
          <w:szCs w:val="24"/>
        </w:rPr>
        <w:t>Výdavky ZFÚP</w:t>
      </w:r>
      <w:r w:rsidRPr="00A21A68">
        <w:rPr>
          <w:rFonts w:ascii="Times New Roman" w:hAnsi="Times New Roman"/>
          <w:szCs w:val="24"/>
        </w:rPr>
        <w:t xml:space="preserve"> v </w:t>
      </w:r>
      <w:r w:rsidRPr="00A21A68">
        <w:rPr>
          <w:rFonts w:ascii="Times New Roman" w:hAnsi="Times New Roman"/>
          <w:b/>
          <w:szCs w:val="24"/>
        </w:rPr>
        <w:t>roku 201</w:t>
      </w:r>
      <w:r w:rsidRPr="00A21A68" w:rsidR="00672259">
        <w:rPr>
          <w:rFonts w:ascii="Times New Roman" w:hAnsi="Times New Roman"/>
          <w:b/>
          <w:szCs w:val="24"/>
        </w:rPr>
        <w:t>3</w:t>
      </w:r>
      <w:r w:rsidRPr="00A21A68">
        <w:rPr>
          <w:rFonts w:ascii="Times New Roman" w:hAnsi="Times New Roman"/>
          <w:b/>
          <w:szCs w:val="24"/>
        </w:rPr>
        <w:t xml:space="preserve"> </w:t>
      </w:r>
      <w:r w:rsidRPr="00A21A68">
        <w:rPr>
          <w:rFonts w:ascii="Times New Roman" w:hAnsi="Times New Roman"/>
          <w:szCs w:val="24"/>
        </w:rPr>
        <w:t xml:space="preserve">sa predpokladajú vo výške </w:t>
      </w:r>
      <w:r w:rsidRPr="00A21A68" w:rsidR="00AD65B9">
        <w:rPr>
          <w:rFonts w:ascii="Times New Roman" w:hAnsi="Times New Roman"/>
          <w:b/>
          <w:szCs w:val="24"/>
        </w:rPr>
        <w:t>45</w:t>
      </w:r>
      <w:r w:rsidRPr="00A21A68">
        <w:rPr>
          <w:rFonts w:ascii="Times New Roman" w:hAnsi="Times New Roman"/>
          <w:b/>
          <w:szCs w:val="24"/>
        </w:rPr>
        <w:t> </w:t>
      </w:r>
      <w:r w:rsidR="00E3402E">
        <w:rPr>
          <w:rFonts w:ascii="Times New Roman" w:hAnsi="Times New Roman"/>
          <w:b/>
          <w:szCs w:val="24"/>
        </w:rPr>
        <w:t>665</w:t>
      </w:r>
      <w:r w:rsidRPr="00A21A68">
        <w:rPr>
          <w:rFonts w:ascii="Times New Roman" w:hAnsi="Times New Roman"/>
          <w:b/>
          <w:szCs w:val="24"/>
        </w:rPr>
        <w:t> tis. Eur</w:t>
      </w:r>
      <w:r w:rsidRPr="00A21A68">
        <w:rPr>
          <w:rFonts w:ascii="Times New Roman" w:hAnsi="Times New Roman"/>
          <w:szCs w:val="24"/>
        </w:rPr>
        <w:t xml:space="preserve"> (v tom výdavky na úrazové dávky 4</w:t>
      </w:r>
      <w:r w:rsidRPr="00A21A68" w:rsidR="00AD65B9">
        <w:rPr>
          <w:rFonts w:ascii="Times New Roman" w:hAnsi="Times New Roman"/>
          <w:szCs w:val="24"/>
        </w:rPr>
        <w:t>3</w:t>
      </w:r>
      <w:r w:rsidRPr="00A21A68">
        <w:rPr>
          <w:rFonts w:ascii="Times New Roman" w:hAnsi="Times New Roman"/>
          <w:szCs w:val="24"/>
        </w:rPr>
        <w:t> </w:t>
      </w:r>
      <w:r w:rsidR="00E3402E">
        <w:rPr>
          <w:rFonts w:ascii="Times New Roman" w:hAnsi="Times New Roman"/>
          <w:szCs w:val="24"/>
        </w:rPr>
        <w:t>4</w:t>
      </w:r>
      <w:r w:rsidR="007C4A5D">
        <w:rPr>
          <w:rFonts w:ascii="Times New Roman" w:hAnsi="Times New Roman"/>
          <w:szCs w:val="24"/>
        </w:rPr>
        <w:t>30</w:t>
      </w:r>
      <w:r w:rsidRPr="00A21A68">
        <w:rPr>
          <w:rFonts w:ascii="Times New Roman" w:hAnsi="Times New Roman"/>
          <w:szCs w:val="24"/>
        </w:rPr>
        <w:t xml:space="preserve"> tis. Eur a úhrada </w:t>
      </w:r>
      <w:r w:rsidRPr="00A21A68">
        <w:rPr>
          <w:rFonts w:ascii="Times New Roman" w:hAnsi="Times New Roman"/>
        </w:rPr>
        <w:t>poistného na starobné poistenie a príspevkov na SDS za poberateľov úrazovej renty 2 </w:t>
      </w:r>
      <w:r w:rsidR="007C4A5D">
        <w:rPr>
          <w:rFonts w:ascii="Times New Roman" w:hAnsi="Times New Roman"/>
        </w:rPr>
        <w:t>235</w:t>
      </w:r>
      <w:r w:rsidRPr="00A21A68">
        <w:rPr>
          <w:rFonts w:ascii="Times New Roman" w:hAnsi="Times New Roman"/>
        </w:rPr>
        <w:t> tis. Eur)</w:t>
      </w:r>
      <w:r w:rsidRPr="00A21A68">
        <w:rPr>
          <w:rFonts w:ascii="Times New Roman" w:hAnsi="Times New Roman"/>
          <w:szCs w:val="24"/>
        </w:rPr>
        <w:t xml:space="preserve">. </w:t>
      </w:r>
    </w:p>
    <w:p w:rsidR="004B5BE3" w:rsidRPr="00A21A68" w:rsidP="001C1D24">
      <w:pPr>
        <w:pStyle w:val="BodyTextIndent2"/>
        <w:bidi w:val="0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A21A68">
        <w:rPr>
          <w:rFonts w:ascii="Times New Roman" w:hAnsi="Times New Roman"/>
          <w:color w:val="000000"/>
          <w:szCs w:val="24"/>
        </w:rPr>
        <w:t>Výdavky na valorizáciu úrazových dávok sú v rokoch 2013 a</w:t>
      </w:r>
      <w:r w:rsidR="00062166">
        <w:rPr>
          <w:rFonts w:ascii="Times New Roman" w:hAnsi="Times New Roman"/>
          <w:color w:val="000000"/>
          <w:szCs w:val="24"/>
        </w:rPr>
        <w:t>ž</w:t>
      </w:r>
      <w:r w:rsidRPr="00A21A68">
        <w:rPr>
          <w:rFonts w:ascii="Times New Roman" w:hAnsi="Times New Roman"/>
          <w:color w:val="000000"/>
          <w:szCs w:val="24"/>
        </w:rPr>
        <w:t> 201</w:t>
      </w:r>
      <w:r w:rsidR="00062166">
        <w:rPr>
          <w:rFonts w:ascii="Times New Roman" w:hAnsi="Times New Roman"/>
          <w:color w:val="000000"/>
          <w:szCs w:val="24"/>
        </w:rPr>
        <w:t>5</w:t>
      </w:r>
      <w:r w:rsidRPr="00A21A68">
        <w:rPr>
          <w:rFonts w:ascii="Times New Roman" w:hAnsi="Times New Roman"/>
          <w:color w:val="000000"/>
          <w:szCs w:val="24"/>
        </w:rPr>
        <w:t>:</w:t>
      </w:r>
    </w:p>
    <w:tbl>
      <w:tblPr>
        <w:tblStyle w:val="TableNormal"/>
        <w:tblW w:w="846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809"/>
        <w:gridCol w:w="1275"/>
        <w:gridCol w:w="1134"/>
        <w:gridCol w:w="1242"/>
      </w:tblGrid>
      <w:tr>
        <w:tblPrEx>
          <w:tblW w:w="8460" w:type="dxa"/>
          <w:tblInd w:w="7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D1181" w:rsidRPr="00A020A0" w:rsidP="003E354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1181" w:rsidRPr="00A020A0" w:rsidP="0067225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Rok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D1181" w:rsidRPr="00A020A0" w:rsidP="0067225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Rok 2014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D1181" w:rsidRPr="00A020A0" w:rsidP="0067225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Rok 2015</w:t>
            </w:r>
          </w:p>
        </w:tc>
      </w:tr>
      <w:tr>
        <w:tblPrEx>
          <w:tblW w:w="8460" w:type="dxa"/>
          <w:tblInd w:w="790" w:type="dxa"/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11FEC" w:rsidRPr="00A020A0" w:rsidP="00611FEC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1FEC" w:rsidRPr="00A020A0" w:rsidP="00611FEC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11FEC" w:rsidRPr="00A020A0" w:rsidP="00611FEC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11FEC" w:rsidRPr="00A020A0" w:rsidP="00611FEC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8460" w:type="dxa"/>
          <w:tblInd w:w="790" w:type="dxa"/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D1181" w:rsidRPr="00A020A0" w:rsidP="003E3545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Zvýšenie od 1.1. o (v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1181" w:rsidRPr="00A020A0" w:rsidP="00B965F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3,</w:t>
            </w:r>
            <w:r w:rsidRPr="00A020A0" w:rsidR="00E3402E">
              <w:rPr>
                <w:rFonts w:ascii="Times New Roman" w:hAnsi="Times New Roman"/>
                <w:sz w:val="22"/>
                <w:szCs w:val="22"/>
              </w:rPr>
              <w:t>0</w:t>
            </w:r>
            <w:r w:rsidRPr="00A020A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D1181" w:rsidRPr="00A020A0" w:rsidP="00E3402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3,</w:t>
            </w:r>
            <w:r w:rsidRPr="00A020A0" w:rsidR="00E3402E">
              <w:rPr>
                <w:rFonts w:ascii="Times New Roman" w:hAnsi="Times New Roman"/>
                <w:sz w:val="22"/>
                <w:szCs w:val="22"/>
              </w:rPr>
              <w:t>1</w:t>
            </w:r>
            <w:r w:rsidRPr="00A020A0" w:rsidR="000D5FC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D1181" w:rsidRPr="00A020A0" w:rsidP="00E3402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20A0" w:rsidR="00882496">
              <w:rPr>
                <w:rFonts w:ascii="Times New Roman" w:hAnsi="Times New Roman"/>
                <w:sz w:val="22"/>
                <w:szCs w:val="22"/>
              </w:rPr>
              <w:t>2,</w:t>
            </w:r>
            <w:r w:rsidRPr="00A020A0" w:rsidR="00E3402E"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</w:tr>
      <w:tr>
        <w:tblPrEx>
          <w:tblW w:w="8460" w:type="dxa"/>
          <w:tblInd w:w="790" w:type="dxa"/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D1181" w:rsidRPr="00A020A0" w:rsidP="008A6A93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A020A0">
              <w:rPr>
                <w:rFonts w:ascii="Times New Roman" w:hAnsi="Times New Roman"/>
                <w:sz w:val="22"/>
                <w:szCs w:val="22"/>
              </w:rPr>
              <w:t>Výdavky na valorizáciu úrazových dávok (v tis. 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D1181" w:rsidRPr="00A020A0" w:rsidP="002326D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20A0" w:rsidR="00E3402E">
              <w:rPr>
                <w:rFonts w:ascii="Times New Roman" w:hAnsi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D1181" w:rsidRPr="00A020A0" w:rsidP="002326D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20A0" w:rsidR="00E3402E">
              <w:rPr>
                <w:rFonts w:ascii="Times New Roman" w:hAnsi="Times New Roman"/>
                <w:sz w:val="22"/>
                <w:szCs w:val="22"/>
              </w:rPr>
              <w:t>781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D1181" w:rsidRPr="00A020A0" w:rsidP="002326D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20A0" w:rsidR="00E3402E">
              <w:rPr>
                <w:rFonts w:ascii="Times New Roman" w:hAnsi="Times New Roman"/>
                <w:sz w:val="22"/>
                <w:szCs w:val="22"/>
              </w:rPr>
              <w:t>708</w:t>
            </w:r>
          </w:p>
        </w:tc>
      </w:tr>
    </w:tbl>
    <w:p w:rsidR="004B5BE3" w:rsidRPr="00A21A68" w:rsidP="00F07105">
      <w:pPr>
        <w:tabs>
          <w:tab w:val="left" w:pos="709"/>
          <w:tab w:val="decimal" w:pos="8222"/>
        </w:tabs>
        <w:bidi w:val="0"/>
        <w:jc w:val="both"/>
        <w:rPr>
          <w:rFonts w:ascii="Times New Roman" w:hAnsi="Times New Roman"/>
        </w:rPr>
      </w:pPr>
    </w:p>
    <w:p w:rsidR="00862815" w:rsidRPr="00A21A68" w:rsidP="009207F9">
      <w:pPr>
        <w:tabs>
          <w:tab w:val="decimal" w:pos="-3240"/>
          <w:tab w:val="decimal" w:pos="8280"/>
        </w:tabs>
        <w:bidi w:val="0"/>
        <w:spacing w:after="120"/>
        <w:ind w:firstLine="720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b/>
        </w:rPr>
        <w:t>Na rok 201</w:t>
      </w:r>
      <w:r w:rsidRPr="00A21A68" w:rsidR="000169EA">
        <w:rPr>
          <w:rFonts w:ascii="Times New Roman" w:hAnsi="Times New Roman"/>
          <w:b/>
        </w:rPr>
        <w:t>3</w:t>
      </w:r>
      <w:r w:rsidRPr="00A21A68">
        <w:rPr>
          <w:rFonts w:ascii="Times New Roman" w:hAnsi="Times New Roman"/>
          <w:b/>
        </w:rPr>
        <w:t xml:space="preserve"> </w:t>
      </w:r>
      <w:r w:rsidRPr="00A21A68">
        <w:rPr>
          <w:rFonts w:ascii="Times New Roman" w:hAnsi="Times New Roman"/>
        </w:rPr>
        <w:t>sa</w:t>
      </w:r>
      <w:r w:rsidRPr="00A21A68">
        <w:rPr>
          <w:rFonts w:ascii="Times New Roman" w:hAnsi="Times New Roman"/>
          <w:b/>
        </w:rPr>
        <w:t xml:space="preserve"> </w:t>
      </w:r>
      <w:r w:rsidRPr="00A21A68">
        <w:rPr>
          <w:rFonts w:ascii="Times New Roman" w:hAnsi="Times New Roman"/>
        </w:rPr>
        <w:t>predpokladajú</w:t>
      </w:r>
      <w:r w:rsidRPr="00A21A68">
        <w:rPr>
          <w:rFonts w:ascii="Times New Roman" w:hAnsi="Times New Roman"/>
          <w:b/>
        </w:rPr>
        <w:t xml:space="preserve"> výdavky ZFGP</w:t>
      </w:r>
      <w:r w:rsidRPr="00A21A68">
        <w:rPr>
          <w:rFonts w:ascii="Times New Roman" w:hAnsi="Times New Roman"/>
        </w:rPr>
        <w:t xml:space="preserve"> vo výške </w:t>
      </w:r>
      <w:r w:rsidR="0053487F">
        <w:rPr>
          <w:rFonts w:ascii="Times New Roman" w:hAnsi="Times New Roman"/>
          <w:b/>
        </w:rPr>
        <w:t>22</w:t>
      </w:r>
      <w:r w:rsidRPr="00A21A68">
        <w:rPr>
          <w:rFonts w:ascii="Times New Roman" w:hAnsi="Times New Roman"/>
          <w:b/>
        </w:rPr>
        <w:t> </w:t>
      </w:r>
      <w:r w:rsidR="0053487F">
        <w:rPr>
          <w:rFonts w:ascii="Times New Roman" w:hAnsi="Times New Roman"/>
          <w:b/>
        </w:rPr>
        <w:t>528</w:t>
      </w:r>
      <w:r w:rsidRPr="00A21A68">
        <w:rPr>
          <w:rFonts w:ascii="Times New Roman" w:hAnsi="Times New Roman"/>
          <w:b/>
        </w:rPr>
        <w:t> tis. Eur,</w:t>
      </w:r>
      <w:r w:rsidRPr="00A21A68">
        <w:rPr>
          <w:rFonts w:ascii="Times New Roman" w:hAnsi="Times New Roman"/>
        </w:rPr>
        <w:t xml:space="preserve"> v tom výdavky na dávku garančného poistenia </w:t>
      </w:r>
      <w:r w:rsidRPr="00A21A68" w:rsidR="00263698">
        <w:rPr>
          <w:rFonts w:ascii="Times New Roman" w:hAnsi="Times New Roman"/>
        </w:rPr>
        <w:t>7</w:t>
      </w:r>
      <w:r w:rsidRPr="00A21A68">
        <w:rPr>
          <w:rFonts w:ascii="Times New Roman" w:hAnsi="Times New Roman"/>
        </w:rPr>
        <w:t> </w:t>
      </w:r>
      <w:r w:rsidR="0053487F">
        <w:rPr>
          <w:rFonts w:ascii="Times New Roman" w:hAnsi="Times New Roman"/>
        </w:rPr>
        <w:t>871</w:t>
      </w:r>
      <w:r w:rsidRPr="00A21A68">
        <w:rPr>
          <w:rFonts w:ascii="Times New Roman" w:hAnsi="Times New Roman"/>
        </w:rPr>
        <w:t xml:space="preserve"> tis. Eur a </w:t>
      </w:r>
      <w:r w:rsidRPr="00A21A68">
        <w:rPr>
          <w:rFonts w:ascii="Times New Roman" w:hAnsi="Times New Roman"/>
          <w:szCs w:val="24"/>
        </w:rPr>
        <w:t xml:space="preserve">úhrada príspevkov na SDS nezaplatených zamestnávateľom do základného fondu príspevkov na starobné dôchodkové sporenie vo výške </w:t>
      </w:r>
      <w:r w:rsidR="0053487F">
        <w:rPr>
          <w:rFonts w:ascii="Times New Roman" w:hAnsi="Times New Roman"/>
          <w:szCs w:val="24"/>
        </w:rPr>
        <w:t>14</w:t>
      </w:r>
      <w:r w:rsidRPr="00A21A68">
        <w:rPr>
          <w:rFonts w:ascii="Times New Roman" w:hAnsi="Times New Roman"/>
          <w:szCs w:val="24"/>
        </w:rPr>
        <w:t> </w:t>
      </w:r>
      <w:r w:rsidR="0053487F">
        <w:rPr>
          <w:rFonts w:ascii="Times New Roman" w:hAnsi="Times New Roman"/>
          <w:szCs w:val="24"/>
        </w:rPr>
        <w:t>657</w:t>
      </w:r>
      <w:r w:rsidRPr="00A21A68">
        <w:rPr>
          <w:rFonts w:ascii="Times New Roman" w:hAnsi="Times New Roman"/>
          <w:szCs w:val="24"/>
        </w:rPr>
        <w:t xml:space="preserve"> tis. Eur. </w:t>
      </w:r>
    </w:p>
    <w:p w:rsidR="004B5BE3" w:rsidRPr="00A21A68" w:rsidP="00AD65B9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b/>
          <w:szCs w:val="24"/>
        </w:rPr>
        <w:t>Výdavky ZFPvN</w:t>
      </w:r>
      <w:r w:rsidRPr="00A21A68">
        <w:rPr>
          <w:rFonts w:ascii="Times New Roman" w:hAnsi="Times New Roman"/>
          <w:szCs w:val="24"/>
        </w:rPr>
        <w:t xml:space="preserve"> sa v </w:t>
      </w:r>
      <w:r w:rsidRPr="00A21A68">
        <w:rPr>
          <w:rFonts w:ascii="Times New Roman" w:hAnsi="Times New Roman"/>
          <w:b/>
          <w:szCs w:val="24"/>
        </w:rPr>
        <w:t>roku</w:t>
      </w:r>
      <w:r w:rsidRPr="00A21A68">
        <w:rPr>
          <w:rFonts w:ascii="Times New Roman" w:hAnsi="Times New Roman"/>
          <w:szCs w:val="24"/>
        </w:rPr>
        <w:t xml:space="preserve"> </w:t>
      </w:r>
      <w:r w:rsidRPr="00A21A68">
        <w:rPr>
          <w:rFonts w:ascii="Times New Roman" w:hAnsi="Times New Roman"/>
          <w:b/>
          <w:szCs w:val="24"/>
        </w:rPr>
        <w:t>201</w:t>
      </w:r>
      <w:r w:rsidRPr="00A21A68" w:rsidR="000169EA">
        <w:rPr>
          <w:rFonts w:ascii="Times New Roman" w:hAnsi="Times New Roman"/>
          <w:b/>
          <w:szCs w:val="24"/>
        </w:rPr>
        <w:t>3</w:t>
      </w:r>
      <w:r w:rsidRPr="00A21A68">
        <w:rPr>
          <w:rFonts w:ascii="Times New Roman" w:hAnsi="Times New Roman"/>
          <w:b/>
          <w:szCs w:val="24"/>
        </w:rPr>
        <w:t xml:space="preserve"> </w:t>
      </w:r>
      <w:r w:rsidRPr="00A21A68">
        <w:rPr>
          <w:rFonts w:ascii="Times New Roman" w:hAnsi="Times New Roman"/>
          <w:szCs w:val="24"/>
        </w:rPr>
        <w:t xml:space="preserve">predpokladajú vo výške </w:t>
      </w:r>
      <w:r w:rsidR="006A0CAB">
        <w:rPr>
          <w:rFonts w:ascii="Times New Roman" w:hAnsi="Times New Roman"/>
          <w:b/>
          <w:szCs w:val="24"/>
        </w:rPr>
        <w:t>171</w:t>
      </w:r>
      <w:r w:rsidRPr="00A21A68">
        <w:rPr>
          <w:rFonts w:ascii="Times New Roman" w:hAnsi="Times New Roman"/>
          <w:b/>
          <w:szCs w:val="24"/>
        </w:rPr>
        <w:t> </w:t>
      </w:r>
      <w:r w:rsidR="0053487F">
        <w:rPr>
          <w:rFonts w:ascii="Times New Roman" w:hAnsi="Times New Roman"/>
          <w:b/>
          <w:szCs w:val="24"/>
        </w:rPr>
        <w:t>896</w:t>
      </w:r>
      <w:r w:rsidRPr="00A21A68">
        <w:rPr>
          <w:rFonts w:ascii="Times New Roman" w:hAnsi="Times New Roman"/>
          <w:b/>
          <w:szCs w:val="24"/>
        </w:rPr>
        <w:t> tis. Eur</w:t>
      </w:r>
      <w:r w:rsidRPr="00A21A68">
        <w:rPr>
          <w:rFonts w:ascii="Times New Roman" w:hAnsi="Times New Roman"/>
          <w:szCs w:val="24"/>
        </w:rPr>
        <w:t>, pri priemernom mesačnom počte poberateľov dávky 42 </w:t>
      </w:r>
      <w:r w:rsidR="0053487F">
        <w:rPr>
          <w:rFonts w:ascii="Times New Roman" w:hAnsi="Times New Roman"/>
          <w:szCs w:val="24"/>
        </w:rPr>
        <w:t>633</w:t>
      </w:r>
      <w:r w:rsidRPr="00A21A68">
        <w:rPr>
          <w:rFonts w:ascii="Times New Roman" w:hAnsi="Times New Roman"/>
          <w:szCs w:val="24"/>
        </w:rPr>
        <w:t xml:space="preserve"> a priemernej mesačnej výške dávky v nezamestnanosti na poberateľa 3</w:t>
      </w:r>
      <w:r w:rsidR="0053487F">
        <w:rPr>
          <w:rFonts w:ascii="Times New Roman" w:hAnsi="Times New Roman"/>
          <w:szCs w:val="24"/>
        </w:rPr>
        <w:t>36</w:t>
      </w:r>
      <w:r w:rsidRPr="00A21A68">
        <w:rPr>
          <w:rFonts w:ascii="Times New Roman" w:hAnsi="Times New Roman"/>
          <w:szCs w:val="24"/>
        </w:rPr>
        <w:t xml:space="preserve"> Eur. </w:t>
      </w:r>
    </w:p>
    <w:p w:rsidR="00B62F1D" w:rsidRPr="00AE6F72" w:rsidP="00B62F1D">
      <w:pPr>
        <w:bidi w:val="0"/>
        <w:spacing w:before="240"/>
        <w:ind w:firstLine="709"/>
        <w:rPr>
          <w:rFonts w:ascii="Times New Roman" w:hAnsi="Times New Roman"/>
          <w:szCs w:val="24"/>
        </w:rPr>
      </w:pPr>
      <w:r w:rsidRPr="00AE6F72">
        <w:rPr>
          <w:rFonts w:ascii="Times New Roman" w:hAnsi="Times New Roman"/>
          <w:b/>
          <w:szCs w:val="24"/>
        </w:rPr>
        <w:t>Výdavky (náklady) správneho fondu</w:t>
        <w:br/>
      </w:r>
      <w:r w:rsidRPr="00AE6F72">
        <w:rPr>
          <w:rFonts w:ascii="Times New Roman" w:hAnsi="Times New Roman"/>
          <w:szCs w:val="24"/>
        </w:rPr>
        <w:t>sa v jednotlivých rokoch predpokladajú:</w:t>
      </w:r>
    </w:p>
    <w:p w:rsidR="00B62F1D" w:rsidRPr="00AE6F72" w:rsidP="00B62F1D">
      <w:pPr>
        <w:tabs>
          <w:tab w:val="left" w:pos="709"/>
          <w:tab w:val="right" w:pos="6840"/>
        </w:tabs>
        <w:bidi w:val="0"/>
        <w:jc w:val="both"/>
        <w:outlineLvl w:val="0"/>
        <w:rPr>
          <w:rFonts w:ascii="Times New Roman" w:hAnsi="Times New Roman"/>
          <w:szCs w:val="24"/>
        </w:rPr>
      </w:pPr>
      <w:r w:rsidRPr="00AE6F72">
        <w:rPr>
          <w:rFonts w:ascii="Times New Roman" w:hAnsi="Times New Roman"/>
          <w:szCs w:val="24"/>
        </w:rPr>
        <w:t>rok 201</w:t>
      </w:r>
      <w:r>
        <w:rPr>
          <w:rFonts w:ascii="Times New Roman" w:hAnsi="Times New Roman"/>
          <w:szCs w:val="24"/>
        </w:rPr>
        <w:t>3</w:t>
      </w:r>
      <w:r w:rsidRPr="00AE6F72">
        <w:rPr>
          <w:rFonts w:ascii="Times New Roman" w:hAnsi="Times New Roman"/>
          <w:szCs w:val="24"/>
        </w:rPr>
        <w:tab/>
        <w:t>11</w:t>
      </w:r>
      <w:r>
        <w:rPr>
          <w:rFonts w:ascii="Times New Roman" w:hAnsi="Times New Roman"/>
          <w:szCs w:val="24"/>
        </w:rPr>
        <w:t>8</w:t>
      </w:r>
      <w:r w:rsidRPr="00AE6F7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300</w:t>
      </w:r>
      <w:r w:rsidRPr="00AE6F72">
        <w:rPr>
          <w:rFonts w:ascii="Times New Roman" w:hAnsi="Times New Roman"/>
          <w:szCs w:val="24"/>
        </w:rPr>
        <w:t xml:space="preserve"> tis. Eur,</w:t>
      </w:r>
    </w:p>
    <w:p w:rsidR="00B62F1D" w:rsidRPr="00AE6F72" w:rsidP="00B62F1D">
      <w:pPr>
        <w:tabs>
          <w:tab w:val="left" w:pos="709"/>
          <w:tab w:val="right" w:pos="6840"/>
        </w:tabs>
        <w:bidi w:val="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rok 2014</w:t>
      </w:r>
      <w:r w:rsidRPr="00AE6F72">
        <w:rPr>
          <w:rFonts w:ascii="Times New Roman" w:hAnsi="Times New Roman"/>
          <w:szCs w:val="24"/>
        </w:rPr>
        <w:tab/>
        <w:t>116 7</w:t>
      </w:r>
      <w:r>
        <w:rPr>
          <w:rFonts w:ascii="Times New Roman" w:hAnsi="Times New Roman"/>
          <w:szCs w:val="24"/>
        </w:rPr>
        <w:t>00</w:t>
      </w:r>
      <w:r w:rsidRPr="00AE6F72">
        <w:rPr>
          <w:rFonts w:ascii="Times New Roman" w:hAnsi="Times New Roman"/>
          <w:szCs w:val="24"/>
        </w:rPr>
        <w:t xml:space="preserve"> tis. Eur,</w:t>
      </w:r>
    </w:p>
    <w:p w:rsidR="00B62F1D" w:rsidRPr="00AE6F72" w:rsidP="00B62F1D">
      <w:pPr>
        <w:tabs>
          <w:tab w:val="left" w:pos="709"/>
          <w:tab w:val="right" w:pos="6840"/>
        </w:tabs>
        <w:bidi w:val="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rok 2015</w:t>
      </w:r>
      <w:r w:rsidRPr="00AE6F7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116</w:t>
      </w:r>
      <w:r w:rsidRPr="00AE6F7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700</w:t>
      </w:r>
      <w:r w:rsidRPr="00AE6F72">
        <w:rPr>
          <w:rFonts w:ascii="Times New Roman" w:hAnsi="Times New Roman"/>
          <w:szCs w:val="24"/>
        </w:rPr>
        <w:t xml:space="preserve"> tis. Eur.</w:t>
      </w:r>
    </w:p>
    <w:p w:rsidR="00B62F1D" w:rsidRPr="00AE6F72" w:rsidP="00B62F1D">
      <w:pPr>
        <w:tabs>
          <w:tab w:val="left" w:pos="709"/>
          <w:tab w:val="right" w:pos="6840"/>
        </w:tabs>
        <w:bidi w:val="0"/>
        <w:spacing w:before="240"/>
        <w:ind w:firstLine="709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 zostavovaní návrhu rozpočtu správneho fondu Sociálnej poisťovne sa vychádzalo z potreby zabezpečiť úlohy </w:t>
      </w:r>
      <w:r w:rsidRPr="00AE6F72">
        <w:rPr>
          <w:rFonts w:ascii="Times New Roman" w:hAnsi="Times New Roman"/>
          <w:szCs w:val="24"/>
        </w:rPr>
        <w:t>súvisiac</w:t>
      </w:r>
      <w:r>
        <w:rPr>
          <w:rFonts w:ascii="Times New Roman" w:hAnsi="Times New Roman"/>
          <w:szCs w:val="24"/>
        </w:rPr>
        <w:t>e</w:t>
      </w:r>
      <w:r w:rsidRPr="00AE6F72">
        <w:rPr>
          <w:rFonts w:ascii="Times New Roman" w:hAnsi="Times New Roman"/>
          <w:szCs w:val="24"/>
        </w:rPr>
        <w:t xml:space="preserve"> s činnosťou orgánov Sociálnej poisťovne a jej organizačných zložiek pri vykonávaní sociálneho poistenia, výbere, registrácii, postúpení príspevkov na </w:t>
      </w:r>
      <w:r w:rsidR="00C209B5">
        <w:rPr>
          <w:rFonts w:ascii="Times New Roman" w:hAnsi="Times New Roman"/>
          <w:szCs w:val="24"/>
        </w:rPr>
        <w:t>SDS</w:t>
      </w:r>
      <w:r w:rsidRPr="00AE6F72">
        <w:rPr>
          <w:rFonts w:ascii="Times New Roman" w:hAnsi="Times New Roman"/>
          <w:szCs w:val="24"/>
        </w:rPr>
        <w:t xml:space="preserve"> a ďalších nákladov spojených s výplatou dávok sociálneho poistenia a je obsiahnuté v nasledujúcich prioritných oblastiach:</w:t>
      </w:r>
    </w:p>
    <w:p w:rsidR="00B62F1D" w:rsidRPr="00AE6F72" w:rsidP="00B62F1D">
      <w:pPr>
        <w:numPr>
          <w:ilvl w:val="1"/>
          <w:numId w:val="15"/>
        </w:numPr>
        <w:tabs>
          <w:tab w:val="left" w:pos="709"/>
          <w:tab w:val="clear" w:pos="1210"/>
          <w:tab w:val="right" w:pos="6840"/>
        </w:tabs>
        <w:bidi w:val="0"/>
        <w:ind w:left="709" w:hanging="709"/>
        <w:jc w:val="both"/>
        <w:outlineLvl w:val="0"/>
        <w:rPr>
          <w:rFonts w:ascii="Times New Roman" w:hAnsi="Times New Roman"/>
          <w:szCs w:val="24"/>
        </w:rPr>
      </w:pPr>
      <w:r w:rsidRPr="00AE6F72">
        <w:rPr>
          <w:rFonts w:ascii="Times New Roman" w:hAnsi="Times New Roman"/>
          <w:szCs w:val="24"/>
        </w:rPr>
        <w:t>plnenie záväzkov voči zamestnancom v rozsahu Zákonníka práce a schválených kolektívnych zmlúv,</w:t>
      </w:r>
    </w:p>
    <w:p w:rsidR="00B62F1D" w:rsidRPr="00AE6F72" w:rsidP="00B62F1D">
      <w:pPr>
        <w:numPr>
          <w:ilvl w:val="1"/>
          <w:numId w:val="15"/>
        </w:numPr>
        <w:tabs>
          <w:tab w:val="left" w:pos="709"/>
          <w:tab w:val="clear" w:pos="1210"/>
          <w:tab w:val="right" w:pos="6840"/>
        </w:tabs>
        <w:bidi w:val="0"/>
        <w:ind w:left="709" w:hanging="709"/>
        <w:jc w:val="both"/>
        <w:outlineLvl w:val="0"/>
        <w:rPr>
          <w:rFonts w:ascii="Times New Roman" w:hAnsi="Times New Roman"/>
          <w:szCs w:val="24"/>
        </w:rPr>
      </w:pPr>
      <w:r w:rsidRPr="00AE6F72">
        <w:rPr>
          <w:rFonts w:ascii="Times New Roman" w:hAnsi="Times New Roman"/>
          <w:szCs w:val="24"/>
        </w:rPr>
        <w:t xml:space="preserve">úhrady za poukazovanie a doručovanie dávok sociálneho poistenia, </w:t>
      </w:r>
    </w:p>
    <w:p w:rsidR="00B62F1D" w:rsidRPr="00AE6F72" w:rsidP="00B62F1D">
      <w:pPr>
        <w:numPr>
          <w:ilvl w:val="1"/>
          <w:numId w:val="15"/>
        </w:numPr>
        <w:tabs>
          <w:tab w:val="left" w:pos="709"/>
          <w:tab w:val="clear" w:pos="1210"/>
          <w:tab w:val="right" w:pos="6840"/>
        </w:tabs>
        <w:bidi w:val="0"/>
        <w:ind w:left="709" w:hanging="709"/>
        <w:jc w:val="both"/>
        <w:outlineLvl w:val="0"/>
        <w:rPr>
          <w:rFonts w:ascii="Times New Roman" w:hAnsi="Times New Roman"/>
          <w:szCs w:val="24"/>
        </w:rPr>
      </w:pPr>
      <w:r w:rsidRPr="00AE6F72">
        <w:rPr>
          <w:rFonts w:ascii="Times New Roman" w:hAnsi="Times New Roman"/>
          <w:szCs w:val="24"/>
        </w:rPr>
        <w:t>prevádzka informačných systémov,</w:t>
      </w:r>
    </w:p>
    <w:p w:rsidR="00B62F1D" w:rsidRPr="00AE6F72" w:rsidP="00B62F1D">
      <w:pPr>
        <w:numPr>
          <w:ilvl w:val="1"/>
          <w:numId w:val="15"/>
        </w:numPr>
        <w:tabs>
          <w:tab w:val="left" w:pos="709"/>
          <w:tab w:val="clear" w:pos="1210"/>
          <w:tab w:val="right" w:pos="6840"/>
        </w:tabs>
        <w:bidi w:val="0"/>
        <w:ind w:left="709" w:hanging="709"/>
        <w:jc w:val="both"/>
        <w:outlineLvl w:val="0"/>
        <w:rPr>
          <w:rFonts w:ascii="Times New Roman" w:hAnsi="Times New Roman"/>
          <w:szCs w:val="24"/>
        </w:rPr>
      </w:pPr>
      <w:r w:rsidRPr="00AE6F72">
        <w:rPr>
          <w:rFonts w:ascii="Times New Roman" w:hAnsi="Times New Roman"/>
          <w:szCs w:val="24"/>
        </w:rPr>
        <w:t>úhrady nájmov a ostatných súvisiacich služieb,</w:t>
      </w:r>
    </w:p>
    <w:p w:rsidR="00B62F1D" w:rsidRPr="00AE6F72" w:rsidP="00B62F1D">
      <w:pPr>
        <w:numPr>
          <w:ilvl w:val="1"/>
          <w:numId w:val="15"/>
        </w:numPr>
        <w:tabs>
          <w:tab w:val="left" w:pos="709"/>
          <w:tab w:val="clear" w:pos="1210"/>
          <w:tab w:val="right" w:pos="6840"/>
        </w:tabs>
        <w:bidi w:val="0"/>
        <w:ind w:left="709" w:hanging="709"/>
        <w:jc w:val="both"/>
        <w:outlineLvl w:val="0"/>
        <w:rPr>
          <w:rFonts w:ascii="Times New Roman" w:hAnsi="Times New Roman"/>
          <w:szCs w:val="24"/>
        </w:rPr>
      </w:pPr>
      <w:r w:rsidRPr="00AE6F72">
        <w:rPr>
          <w:rFonts w:ascii="Times New Roman" w:hAnsi="Times New Roman"/>
          <w:szCs w:val="24"/>
        </w:rPr>
        <w:t>zabezpečenie prevádzkyschopnosti objektov vrátane nákladov vynaložených na energie.</w:t>
      </w:r>
    </w:p>
    <w:p w:rsidR="00B62F1D" w:rsidP="00B62F1D">
      <w:pPr>
        <w:pStyle w:val="BodyTextIndent"/>
        <w:bidi w:val="0"/>
        <w:spacing w:after="0" w:line="240" w:lineRule="auto"/>
        <w:ind w:firstLine="720"/>
        <w:rPr>
          <w:rFonts w:ascii="Times New Roman" w:hAnsi="Times New Roman"/>
        </w:rPr>
      </w:pPr>
      <w:r w:rsidRPr="00AE6F72">
        <w:rPr>
          <w:rFonts w:ascii="Times New Roman" w:hAnsi="Times New Roman"/>
        </w:rPr>
        <w:t>Návrh rozpočtu v základnej štruktúre je spracovaný v nasledujúcej tabuľke:</w:t>
      </w:r>
    </w:p>
    <w:p w:rsidR="00B62F1D" w:rsidRPr="00AE6F72" w:rsidP="00B62F1D">
      <w:pPr>
        <w:pStyle w:val="BodyTextIndent"/>
        <w:bidi w:val="0"/>
        <w:spacing w:before="120" w:after="0" w:line="240" w:lineRule="auto"/>
        <w:ind w:firstLine="720"/>
        <w:rPr>
          <w:rFonts w:ascii="Times New Roman" w:hAnsi="Times New Roman"/>
          <w:szCs w:val="24"/>
        </w:rPr>
      </w:pPr>
      <w:r w:rsidRPr="00AE6F72">
        <w:rPr>
          <w:rFonts w:ascii="Times New Roman" w:hAnsi="Times New Roman"/>
          <w:sz w:val="16"/>
          <w:szCs w:val="16"/>
        </w:rPr>
        <w:tab/>
        <w:tab/>
        <w:tab/>
        <w:tab/>
        <w:tab/>
        <w:tab/>
        <w:tab/>
        <w:tab/>
        <w:tab/>
        <w:tab/>
      </w:r>
      <w:r w:rsidRPr="00AE6F72">
        <w:rPr>
          <w:rFonts w:ascii="Times New Roman" w:hAnsi="Times New Roman"/>
          <w:szCs w:val="24"/>
        </w:rPr>
        <w:t>v tis. Eur</w:t>
      </w:r>
    </w:p>
    <w:tbl>
      <w:tblPr>
        <w:tblStyle w:val="TableNormal"/>
        <w:tblW w:w="9072" w:type="dxa"/>
        <w:tblInd w:w="70" w:type="dxa"/>
        <w:tblCellMar>
          <w:left w:w="70" w:type="dxa"/>
          <w:right w:w="70" w:type="dxa"/>
        </w:tblCellMar>
      </w:tblPr>
      <w:tblGrid>
        <w:gridCol w:w="4678"/>
        <w:gridCol w:w="1559"/>
        <w:gridCol w:w="1418"/>
        <w:gridCol w:w="1417"/>
      </w:tblGrid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sz w:val="18"/>
                <w:szCs w:val="18"/>
              </w:rPr>
              <w:t>Ukazovateľ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sz w:val="18"/>
                <w:szCs w:val="18"/>
              </w:rPr>
              <w:t>Rok 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sz w:val="18"/>
                <w:szCs w:val="18"/>
              </w:rPr>
              <w:t>Rok 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sz w:val="18"/>
                <w:szCs w:val="18"/>
              </w:rPr>
              <w:t>Rok 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Bežné výdavky (náklady) 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v tom: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113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113</w:t>
            </w: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280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- mzdy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52 8</w:t>
            </w: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778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- poistné a príspevok do poisťovní.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>
              <w:rPr>
                <w:rFonts w:ascii="Times New Roman" w:hAnsi="Times New Roman"/>
                <w:sz w:val="18"/>
                <w:szCs w:val="18"/>
              </w:rPr>
              <w:t>581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- tovary a služby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530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705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- bežné transfery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1 1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Kapitálové výdavky 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v tom: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</w:t>
            </w: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8" w:space="0" w:color="auto"/>
              <w:bottom w:val="none" w:sz="0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- všeobecné investície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one" w:sz="0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one" w:sz="0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1 6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one" w:sz="0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- výdavky na informačno-komunikačné technológie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683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880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6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>Spolu výdavky (náklady) správneho fondu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>116 7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116</w:t>
            </w: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700</w:t>
            </w:r>
          </w:p>
        </w:tc>
      </w:tr>
    </w:tbl>
    <w:p w:rsidR="00B62F1D" w:rsidRPr="00AE6F72" w:rsidP="00B62F1D">
      <w:pPr>
        <w:pStyle w:val="BodyTextIndent"/>
        <w:tabs>
          <w:tab w:val="right" w:pos="8931"/>
        </w:tabs>
        <w:bidi w:val="0"/>
        <w:spacing w:line="240" w:lineRule="auto"/>
        <w:ind w:firstLine="720"/>
        <w:rPr>
          <w:rFonts w:ascii="Times New Roman" w:hAnsi="Times New Roman"/>
        </w:rPr>
      </w:pPr>
      <w:r w:rsidRPr="00AE6F72">
        <w:rPr>
          <w:rFonts w:ascii="Times New Roman" w:hAnsi="Times New Roman"/>
        </w:rPr>
        <w:t>V návrhu rozpočtu na rok 201</w:t>
      </w:r>
      <w:r>
        <w:rPr>
          <w:rFonts w:ascii="Times New Roman" w:hAnsi="Times New Roman"/>
        </w:rPr>
        <w:t>3</w:t>
      </w:r>
      <w:r w:rsidRPr="00AE6F72">
        <w:rPr>
          <w:rFonts w:ascii="Times New Roman" w:hAnsi="Times New Roman"/>
        </w:rPr>
        <w:t xml:space="preserve"> sa na celkových výdavkoch (nákladoch) správneho fondu najväčšou mierou podieľajú prostriedky na mzdy v objeme 4</w:t>
      </w:r>
      <w:r>
        <w:rPr>
          <w:rFonts w:ascii="Times New Roman" w:hAnsi="Times New Roman"/>
        </w:rPr>
        <w:t>4</w:t>
      </w:r>
      <w:r w:rsidRPr="00AE6F72">
        <w:rPr>
          <w:rFonts w:ascii="Times New Roman" w:hAnsi="Times New Roman"/>
        </w:rPr>
        <w:t>,</w:t>
      </w:r>
      <w:r>
        <w:rPr>
          <w:rFonts w:ascii="Times New Roman" w:hAnsi="Times New Roman"/>
        </w:rPr>
        <w:t>7</w:t>
      </w:r>
      <w:r w:rsidRPr="00AE6F72">
        <w:rPr>
          <w:rFonts w:ascii="Times New Roman" w:hAnsi="Times New Roman"/>
        </w:rPr>
        <w:t> %.  S tým súvisiace plnenia (poistné a príspevok do poisťovní) predstavujú 17,</w:t>
      </w:r>
      <w:r>
        <w:rPr>
          <w:rFonts w:ascii="Times New Roman" w:hAnsi="Times New Roman"/>
        </w:rPr>
        <w:t>4</w:t>
      </w:r>
      <w:r w:rsidRPr="00AE6F72">
        <w:rPr>
          <w:rFonts w:ascii="Times New Roman" w:hAnsi="Times New Roman"/>
        </w:rPr>
        <w:t xml:space="preserve"> %. Ostatné prevádzkové náklady tvoria 3</w:t>
      </w:r>
      <w:r>
        <w:rPr>
          <w:rFonts w:ascii="Times New Roman" w:hAnsi="Times New Roman"/>
        </w:rPr>
        <w:t>4</w:t>
      </w:r>
      <w:r w:rsidRPr="00AE6F72">
        <w:rPr>
          <w:rFonts w:ascii="Times New Roman" w:hAnsi="Times New Roman"/>
        </w:rPr>
        <w:t>,</w:t>
      </w:r>
      <w:r>
        <w:rPr>
          <w:rFonts w:ascii="Times New Roman" w:hAnsi="Times New Roman"/>
        </w:rPr>
        <w:t>4</w:t>
      </w:r>
      <w:r w:rsidRPr="00AE6F72">
        <w:rPr>
          <w:rFonts w:ascii="Times New Roman" w:hAnsi="Times New Roman"/>
        </w:rPr>
        <w:t xml:space="preserve"> % podiel. Zostávajúcich 3,</w:t>
      </w:r>
      <w:r>
        <w:rPr>
          <w:rFonts w:ascii="Times New Roman" w:hAnsi="Times New Roman"/>
        </w:rPr>
        <w:t>5</w:t>
      </w:r>
      <w:r w:rsidRPr="00AE6F72">
        <w:rPr>
          <w:rFonts w:ascii="Times New Roman" w:hAnsi="Times New Roman"/>
        </w:rPr>
        <w:t xml:space="preserve"> % je určených na  kapitálové výdavky.</w:t>
      </w:r>
    </w:p>
    <w:p w:rsidR="00B62F1D" w:rsidRPr="00AE6F72" w:rsidP="00B62F1D">
      <w:pPr>
        <w:pStyle w:val="BodyTextIndent"/>
        <w:tabs>
          <w:tab w:val="left" w:pos="709"/>
          <w:tab w:val="right" w:pos="8931"/>
        </w:tabs>
        <w:bidi w:val="0"/>
        <w:spacing w:line="240" w:lineRule="auto"/>
        <w:rPr>
          <w:rFonts w:ascii="Times New Roman" w:hAnsi="Times New Roman"/>
          <w:b/>
        </w:rPr>
      </w:pPr>
      <w:r w:rsidRPr="00AE6F72">
        <w:rPr>
          <w:rFonts w:ascii="Times New Roman" w:hAnsi="Times New Roman"/>
          <w:b/>
        </w:rPr>
        <w:t>Bežné výdavky</w:t>
      </w:r>
    </w:p>
    <w:p w:rsidR="00FB0F1C" w:rsidRPr="00AE6F72" w:rsidP="005F7431">
      <w:pPr>
        <w:pStyle w:val="BodyTextIndent"/>
        <w:tabs>
          <w:tab w:val="right" w:pos="8931"/>
        </w:tabs>
        <w:bidi w:val="0"/>
        <w:spacing w:line="240" w:lineRule="auto"/>
        <w:rPr>
          <w:rFonts w:ascii="Times New Roman" w:hAnsi="Times New Roman"/>
          <w:szCs w:val="24"/>
        </w:rPr>
      </w:pPr>
      <w:r w:rsidRPr="00AE6F72" w:rsidR="00B62F1D">
        <w:rPr>
          <w:rFonts w:ascii="Times New Roman" w:hAnsi="Times New Roman"/>
          <w:szCs w:val="24"/>
        </w:rPr>
        <w:tab/>
        <w:t>V oblasti ľudských zdrojov rozpočtované finančné prostriedky určujú nasledujúci vývoj:</w:t>
      </w:r>
    </w:p>
    <w:tbl>
      <w:tblPr>
        <w:tblStyle w:val="TableNormal"/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3261"/>
        <w:gridCol w:w="992"/>
        <w:gridCol w:w="1276"/>
        <w:gridCol w:w="1134"/>
        <w:gridCol w:w="1276"/>
        <w:gridCol w:w="1275"/>
      </w:tblGrid>
      <w:tr>
        <w:tblPrEx>
          <w:tblW w:w="9214" w:type="dxa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52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Ukazovateľ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B62F1D" w:rsidRPr="00CE5D28" w:rsidP="00CE5D28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Merná jednotk</w:t>
            </w:r>
            <w:r w:rsidR="00CE5D28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Očakávaná skutočnosť k 31.12 2012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Rok 2013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Rok 2014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Rok 2015</w:t>
            </w:r>
          </w:p>
        </w:tc>
      </w:tr>
      <w:tr>
        <w:tblPrEx>
          <w:tblW w:w="9214" w:type="dxa"/>
          <w:tblInd w:w="108" w:type="dxa"/>
          <w:tblLayout w:type="fixed"/>
          <w:tblLook w:val="01E0"/>
        </w:tblPrEx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blPrEx>
          <w:tblW w:w="9214" w:type="dxa"/>
          <w:tblInd w:w="108" w:type="dxa"/>
          <w:tblLayout w:type="fixed"/>
          <w:tblLook w:val="01E0"/>
        </w:tblPrEx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Priemerný evidenčný počet zamestnancov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osoby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4 920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4 920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4 800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B62F1D" w:rsidRPr="00CE5D28" w:rsidP="00FB0F1C">
            <w:pPr>
              <w:pStyle w:val="BodyTextIndent"/>
              <w:tabs>
                <w:tab w:val="right" w:pos="8931"/>
              </w:tabs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E5D28">
              <w:rPr>
                <w:rFonts w:ascii="Times New Roman" w:hAnsi="Times New Roman"/>
                <w:sz w:val="20"/>
              </w:rPr>
              <w:t>4 800</w:t>
            </w:r>
          </w:p>
        </w:tc>
      </w:tr>
    </w:tbl>
    <w:p w:rsidR="00B62F1D" w:rsidP="00B62F1D">
      <w:pPr>
        <w:pStyle w:val="BodyTextIndent"/>
        <w:tabs>
          <w:tab w:val="right" w:pos="8931"/>
        </w:tabs>
        <w:bidi w:val="0"/>
        <w:spacing w:line="240" w:lineRule="auto"/>
        <w:ind w:firstLine="720"/>
        <w:rPr>
          <w:rFonts w:ascii="Times New Roman" w:hAnsi="Times New Roman"/>
        </w:rPr>
      </w:pPr>
      <w:r w:rsidRPr="00AE6F72">
        <w:rPr>
          <w:rFonts w:ascii="Times New Roman" w:hAnsi="Times New Roman"/>
        </w:rPr>
        <w:t>Kvantifikácia návrhu rozpočtu kategórie tovarov a služieb na jednotlivé roky podľa rozpočtových položiek je uvedená v nasledujúcej tabuľke:</w:t>
      </w:r>
    </w:p>
    <w:p w:rsidR="00CE5D28" w:rsidP="00B62F1D">
      <w:pPr>
        <w:pStyle w:val="BodyTextIndent"/>
        <w:tabs>
          <w:tab w:val="right" w:pos="8931"/>
        </w:tabs>
        <w:bidi w:val="0"/>
        <w:spacing w:line="240" w:lineRule="auto"/>
        <w:ind w:firstLine="720"/>
        <w:rPr>
          <w:rFonts w:ascii="Times New Roman" w:hAnsi="Times New Roman"/>
        </w:rPr>
      </w:pPr>
    </w:p>
    <w:p w:rsidR="00CE5D28" w:rsidP="00B62F1D">
      <w:pPr>
        <w:pStyle w:val="BodyTextIndent"/>
        <w:tabs>
          <w:tab w:val="right" w:pos="8931"/>
        </w:tabs>
        <w:bidi w:val="0"/>
        <w:spacing w:line="240" w:lineRule="auto"/>
        <w:ind w:firstLine="720"/>
        <w:rPr>
          <w:rFonts w:ascii="Times New Roman" w:hAnsi="Times New Roman"/>
        </w:rPr>
      </w:pPr>
    </w:p>
    <w:p w:rsidR="00CE5D28" w:rsidRPr="00AE6F72" w:rsidP="00B62F1D">
      <w:pPr>
        <w:pStyle w:val="BodyTextIndent"/>
        <w:tabs>
          <w:tab w:val="right" w:pos="8931"/>
        </w:tabs>
        <w:bidi w:val="0"/>
        <w:spacing w:line="240" w:lineRule="auto"/>
        <w:ind w:firstLine="720"/>
        <w:rPr>
          <w:rFonts w:ascii="Times New Roman" w:hAnsi="Times New Roman"/>
        </w:rPr>
      </w:pPr>
    </w:p>
    <w:p w:rsidR="00B62F1D" w:rsidRPr="00AE6F72" w:rsidP="00B62F1D">
      <w:pPr>
        <w:pStyle w:val="BodyTextIndent"/>
        <w:tabs>
          <w:tab w:val="right" w:pos="8931"/>
        </w:tabs>
        <w:bidi w:val="0"/>
        <w:spacing w:before="120" w:line="240" w:lineRule="auto"/>
        <w:ind w:firstLine="720"/>
        <w:rPr>
          <w:rFonts w:ascii="Times New Roman" w:hAnsi="Times New Roman"/>
        </w:rPr>
      </w:pPr>
      <w:r w:rsidRPr="00AE6F72">
        <w:rPr>
          <w:rFonts w:ascii="Times New Roman" w:hAnsi="Times New Roman"/>
        </w:rPr>
        <w:t xml:space="preserve">                                                                                                                    v tis. Eur</w:t>
      </w:r>
    </w:p>
    <w:tbl>
      <w:tblPr>
        <w:tblStyle w:val="TableNormal"/>
        <w:tblW w:w="8941" w:type="dxa"/>
        <w:tblInd w:w="60" w:type="dxa"/>
        <w:tblCellMar>
          <w:left w:w="70" w:type="dxa"/>
          <w:right w:w="70" w:type="dxa"/>
        </w:tblCellMar>
      </w:tblPr>
      <w:tblGrid>
        <w:gridCol w:w="4690"/>
        <w:gridCol w:w="1416"/>
        <w:gridCol w:w="1417"/>
        <w:gridCol w:w="1418"/>
      </w:tblGrid>
      <w:tr>
        <w:tblPrEx>
          <w:tblW w:w="8941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F72">
              <w:rPr>
                <w:rFonts w:ascii="Times New Roman" w:hAnsi="Times New Roman"/>
              </w:rPr>
              <w:tab/>
              <w:tab/>
            </w:r>
            <w:r w:rsidRPr="00AE6F72">
              <w:rPr>
                <w:rFonts w:ascii="Times New Roman" w:hAnsi="Times New Roman"/>
                <w:b/>
                <w:sz w:val="18"/>
                <w:szCs w:val="18"/>
              </w:rPr>
              <w:t>Ukazovateľ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sz w:val="18"/>
                <w:szCs w:val="18"/>
              </w:rPr>
              <w:t>Rok 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sz w:val="18"/>
                <w:szCs w:val="18"/>
              </w:rPr>
              <w:t>Rok 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sz w:val="18"/>
                <w:szCs w:val="18"/>
              </w:rPr>
              <w:t>Rok 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>
        <w:tblPrEx>
          <w:tblW w:w="8941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>
        <w:tblPrEx>
          <w:tblW w:w="8941" w:type="dxa"/>
          <w:tblInd w:w="60" w:type="dxa"/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4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>Tovary a služby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36</w:t>
            </w:r>
            <w:r w:rsidRPr="00AE6F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9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39</w:t>
            </w:r>
          </w:p>
        </w:tc>
      </w:tr>
      <w:tr>
        <w:tblPrEx>
          <w:tblW w:w="8941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Cestovné náhrady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>
        <w:tblPrEx>
          <w:tblW w:w="8941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Energia, voda a komunikácie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14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13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>
        <w:tblPrEx>
          <w:tblW w:w="8941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Materiál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>
        <w:tblPrEx>
          <w:tblW w:w="8941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Dopravné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>
        <w:tblPrEx>
          <w:tblW w:w="8941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Rutinná a štandardná údržba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96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W w:w="8941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none" w:sz="0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Nájomné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417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>2 32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one" w:sz="0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328</w:t>
            </w:r>
          </w:p>
        </w:tc>
      </w:tr>
      <w:tr>
        <w:tblPrEx>
          <w:tblW w:w="8941" w:type="dxa"/>
          <w:tblInd w:w="6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67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62F1D" w:rsidRPr="00AE6F72" w:rsidP="00FB0F1C">
            <w:pPr>
              <w:bidi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AE6F72">
              <w:rPr>
                <w:rFonts w:ascii="Times New Roman" w:hAnsi="Times New Roman"/>
                <w:sz w:val="18"/>
                <w:szCs w:val="18"/>
              </w:rPr>
              <w:t xml:space="preserve"> 5</w:t>
            </w: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</w:tbl>
    <w:p w:rsidR="00B62F1D" w:rsidRPr="00AE6F72" w:rsidP="00B62F1D">
      <w:pPr>
        <w:pStyle w:val="BodyTextIndent"/>
        <w:tabs>
          <w:tab w:val="right" w:pos="8931"/>
        </w:tabs>
        <w:bidi w:val="0"/>
        <w:spacing w:before="120" w:line="240" w:lineRule="auto"/>
        <w:ind w:firstLine="720"/>
        <w:rPr>
          <w:rFonts w:ascii="Times New Roman" w:hAnsi="Times New Roman"/>
        </w:rPr>
      </w:pPr>
      <w:r w:rsidRPr="00AE6F72">
        <w:rPr>
          <w:rFonts w:ascii="Times New Roman" w:hAnsi="Times New Roman"/>
        </w:rPr>
        <w:t>Návrh rozpočtu na tovary a služby v roku 201</w:t>
      </w:r>
      <w:r>
        <w:rPr>
          <w:rFonts w:ascii="Times New Roman" w:hAnsi="Times New Roman"/>
        </w:rPr>
        <w:t>3</w:t>
      </w:r>
      <w:r w:rsidRPr="00AE6F72">
        <w:rPr>
          <w:rFonts w:ascii="Times New Roman" w:hAnsi="Times New Roman"/>
        </w:rPr>
        <w:t xml:space="preserve"> predstavuje 3</w:t>
      </w:r>
      <w:r>
        <w:rPr>
          <w:rFonts w:ascii="Times New Roman" w:hAnsi="Times New Roman"/>
        </w:rPr>
        <w:t>3</w:t>
      </w:r>
      <w:r w:rsidRPr="00AE6F72">
        <w:rPr>
          <w:rFonts w:ascii="Times New Roman" w:hAnsi="Times New Roman"/>
        </w:rPr>
        <w:t>,</w:t>
      </w:r>
      <w:r>
        <w:rPr>
          <w:rFonts w:ascii="Times New Roman" w:hAnsi="Times New Roman"/>
        </w:rPr>
        <w:t>4</w:t>
      </w:r>
      <w:r w:rsidRPr="00AE6F72">
        <w:rPr>
          <w:rFonts w:ascii="Times New Roman" w:hAnsi="Times New Roman"/>
        </w:rPr>
        <w:t xml:space="preserve"> % z celkových predpokladaných výdavkov správneho fondu na tento rok.</w:t>
      </w:r>
    </w:p>
    <w:p w:rsidR="00B62F1D" w:rsidRPr="00AE6F72" w:rsidP="00B62F1D">
      <w:pPr>
        <w:pStyle w:val="BodyTextIndent"/>
        <w:tabs>
          <w:tab w:val="right" w:pos="8931"/>
        </w:tabs>
        <w:bidi w:val="0"/>
        <w:spacing w:line="240" w:lineRule="auto"/>
        <w:ind w:firstLine="720"/>
        <w:rPr>
          <w:rFonts w:ascii="Times New Roman" w:hAnsi="Times New Roman"/>
          <w:b/>
        </w:rPr>
      </w:pPr>
      <w:r w:rsidRPr="00AE6F72">
        <w:rPr>
          <w:rFonts w:ascii="Times New Roman" w:hAnsi="Times New Roman"/>
          <w:b/>
        </w:rPr>
        <w:t>Kapitálové výdavky</w:t>
      </w:r>
    </w:p>
    <w:p w:rsidR="00B62F1D" w:rsidP="00B62F1D">
      <w:pPr>
        <w:pStyle w:val="BodyTextIndent"/>
        <w:tabs>
          <w:tab w:val="right" w:pos="8931"/>
        </w:tabs>
        <w:bidi w:val="0"/>
        <w:spacing w:before="120" w:after="0" w:line="240" w:lineRule="auto"/>
        <w:ind w:firstLine="720"/>
        <w:rPr>
          <w:rFonts w:ascii="Times New Roman" w:hAnsi="Times New Roman"/>
        </w:rPr>
      </w:pPr>
      <w:r w:rsidRPr="00AE6F72">
        <w:rPr>
          <w:rFonts w:ascii="Times New Roman" w:hAnsi="Times New Roman"/>
        </w:rPr>
        <w:t>Návrh rozpočtu kapitálových výdavkov na rok 201</w:t>
      </w:r>
      <w:r>
        <w:rPr>
          <w:rFonts w:ascii="Times New Roman" w:hAnsi="Times New Roman"/>
        </w:rPr>
        <w:t>3</w:t>
      </w:r>
      <w:r w:rsidRPr="00AE6F72">
        <w:rPr>
          <w:rFonts w:ascii="Times New Roman" w:hAnsi="Times New Roman"/>
        </w:rPr>
        <w:t xml:space="preserve"> s výhľadom do roku 201</w:t>
      </w:r>
      <w:r>
        <w:rPr>
          <w:rFonts w:ascii="Times New Roman" w:hAnsi="Times New Roman"/>
        </w:rPr>
        <w:t>5</w:t>
      </w:r>
      <w:r w:rsidRPr="00AE6F72">
        <w:rPr>
          <w:rFonts w:ascii="Times New Roman" w:hAnsi="Times New Roman"/>
        </w:rPr>
        <w:t xml:space="preserve"> je v nasledujúcej tabuľke:</w:t>
      </w:r>
    </w:p>
    <w:tbl>
      <w:tblPr>
        <w:tblStyle w:val="TableNormal"/>
        <w:tblW w:w="8520" w:type="dxa"/>
        <w:tblInd w:w="5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260"/>
        <w:gridCol w:w="1134"/>
        <w:gridCol w:w="992"/>
        <w:gridCol w:w="47"/>
        <w:gridCol w:w="67"/>
        <w:gridCol w:w="1020"/>
      </w:tblGrid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62F1D" w:rsidRPr="00B62F1D" w:rsidP="00FB0F1C">
            <w:pPr>
              <w:bidi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62F1D" w:rsidRPr="00B62F1D" w:rsidP="00FB0F1C">
            <w:pPr>
              <w:bidi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62F1D" w:rsidRPr="00B62F1D" w:rsidP="00FB0F1C">
            <w:pPr>
              <w:bidi w:val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B62F1D" w:rsidRPr="00B62F1D" w:rsidP="00FB0F1C">
            <w:pPr>
              <w:bidi w:val="0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v tis. Eur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color w:val="000000"/>
                <w:sz w:val="20"/>
              </w:rPr>
              <w:t>Ukazovateľ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color w:val="000000"/>
                <w:sz w:val="20"/>
              </w:rPr>
              <w:t>Rok 2013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color w:val="000000"/>
                <w:sz w:val="20"/>
              </w:rPr>
              <w:t>Rok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</w:tcPr>
          <w:p w:rsidR="00B62F1D" w:rsidRPr="00B62F1D" w:rsidP="00FB0F1C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</w:tcPr>
          <w:p w:rsidR="00B62F1D" w:rsidRPr="00B62F1D" w:rsidP="00FB0F1C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color w:val="000000"/>
                <w:sz w:val="20"/>
              </w:rPr>
              <w:t>2014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color w:val="000000"/>
                <w:sz w:val="20"/>
              </w:rPr>
              <w:t>2015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color w:val="000000"/>
                <w:sz w:val="20"/>
              </w:rPr>
              <w:t>Kapitálové výdavky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color w:val="000000"/>
                <w:sz w:val="20"/>
              </w:rPr>
              <w:t>4 193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color w:val="000000"/>
                <w:sz w:val="20"/>
              </w:rPr>
              <w:t>3 664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color w:val="000000"/>
                <w:sz w:val="20"/>
              </w:rPr>
              <w:t>3 420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color w:val="000000"/>
                <w:sz w:val="20"/>
              </w:rPr>
              <w:t>Obstarávanie kapitálových aktív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color w:val="000000"/>
                <w:sz w:val="20"/>
              </w:rPr>
              <w:t>4 193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color w:val="000000"/>
                <w:sz w:val="20"/>
              </w:rPr>
              <w:t>3 664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color w:val="000000"/>
                <w:sz w:val="20"/>
              </w:rPr>
              <w:t>3 420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</w:tcPr>
          <w:p w:rsidR="00B62F1D" w:rsidRPr="00B62F1D" w:rsidP="00FB0F1C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Nákup pozemkov a nehmotných aktív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1 333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894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850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</w:tcPr>
          <w:p w:rsidR="00B62F1D" w:rsidRPr="00B62F1D" w:rsidP="00FB0F1C">
            <w:pPr>
              <w:bidi w:val="0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Pozemkov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 xml:space="preserve">      -  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 xml:space="preserve">       -    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 xml:space="preserve">     -    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Softvéru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1 333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894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</w:tcPr>
          <w:p w:rsidR="00B62F1D" w:rsidRPr="00B62F1D" w:rsidP="00FB0F1C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Nákup strojov, prístrojov, zariadení, techniky a náradia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1 350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1 350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1 130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</w:tcPr>
          <w:p w:rsidR="00B62F1D" w:rsidRPr="00B62F1D" w:rsidP="00FB0F1C">
            <w:pPr>
              <w:bidi w:val="0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Interiérového vybavenia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 xml:space="preserve">     -  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 xml:space="preserve">  -    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 xml:space="preserve">      -    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</w:tcPr>
          <w:p w:rsidR="00B62F1D" w:rsidRPr="00B62F1D" w:rsidP="00FB0F1C">
            <w:pPr>
              <w:bidi w:val="0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Výpočtovej techniky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1 150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950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830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</w:tcPr>
          <w:p w:rsidR="00B62F1D" w:rsidRPr="00B62F1D" w:rsidP="00FB0F1C">
            <w:pPr>
              <w:bidi w:val="0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Telekomunikačnej techniky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 xml:space="preserve"> 200  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 xml:space="preserve">   200    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</w:tcPr>
          <w:p w:rsidR="00B62F1D" w:rsidRPr="00B62F1D" w:rsidP="00B62F1D">
            <w:pPr>
              <w:bidi w:val="0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Prevádzkových strojov, prístrojov, zariad</w:t>
            </w:r>
            <w:r>
              <w:rPr>
                <w:rFonts w:ascii="Times New Roman" w:hAnsi="Times New Roman"/>
                <w:color w:val="000000"/>
                <w:sz w:val="20"/>
              </w:rPr>
              <w:t>ení</w:t>
            </w:r>
            <w:r w:rsidRPr="00B62F1D">
              <w:rPr>
                <w:rFonts w:ascii="Times New Roman" w:hAnsi="Times New Roman"/>
                <w:color w:val="000000"/>
                <w:sz w:val="20"/>
              </w:rPr>
              <w:t xml:space="preserve"> techniky a náradia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</w:tcPr>
          <w:p w:rsidR="00B62F1D" w:rsidRPr="00B62F1D" w:rsidP="00B62F1D">
            <w:pPr>
              <w:bidi w:val="0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Špeciálnych strojov, prístrojov, zariadení, techniky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a</w:t>
            </w:r>
            <w:r w:rsidRPr="00B62F1D">
              <w:rPr>
                <w:rFonts w:ascii="Times New Roman" w:hAnsi="Times New Roman"/>
                <w:color w:val="000000"/>
                <w:sz w:val="20"/>
              </w:rPr>
              <w:t xml:space="preserve"> náradia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 xml:space="preserve">-  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 xml:space="preserve">    100    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Nákup dopravných prostriedkov všetkých druhov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200  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        -    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 xml:space="preserve">-    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Prípravná a projektová dokumentácia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40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50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40</w:t>
            </w:r>
          </w:p>
        </w:tc>
      </w:tr>
      <w:tr>
        <w:tblPrEx>
          <w:tblW w:w="8520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Realizácia stavieb a ich technické zhodnotenie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1 270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1 370</w:t>
            </w:r>
          </w:p>
        </w:tc>
        <w:tc>
          <w:tcPr>
            <w:tcW w:w="10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B62F1D" w:rsidRPr="00B62F1D" w:rsidP="00FB0F1C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B62F1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1 400</w:t>
            </w:r>
          </w:p>
        </w:tc>
      </w:tr>
    </w:tbl>
    <w:p w:rsidR="00B62F1D" w:rsidRPr="00AE6F72" w:rsidP="00B62F1D">
      <w:pPr>
        <w:pStyle w:val="BodyTextIndent"/>
        <w:bidi w:val="0"/>
        <w:spacing w:before="120" w:after="0" w:line="240" w:lineRule="auto"/>
        <w:rPr>
          <w:rFonts w:ascii="Times New Roman" w:hAnsi="Times New Roman"/>
        </w:rPr>
      </w:pPr>
      <w:r w:rsidRPr="00AE6F72">
        <w:rPr>
          <w:rFonts w:ascii="Times New Roman" w:hAnsi="Times New Roman"/>
        </w:rPr>
        <w:t xml:space="preserve">Na zabezpečenie kapitálových výdavkov bolo možné s ohľadom na celkovú výšku výdavkov správneho fondu vyčleniť v návrhu rozpočtu objem finančných prostriedkov v celkovej sume </w:t>
      </w:r>
      <w:r w:rsidRPr="00AE6F72">
        <w:rPr>
          <w:rFonts w:ascii="Times New Roman" w:hAnsi="Times New Roman"/>
          <w:b/>
        </w:rPr>
        <w:t> 4</w:t>
      </w:r>
      <w:r>
        <w:rPr>
          <w:rFonts w:ascii="Times New Roman" w:hAnsi="Times New Roman"/>
          <w:b/>
        </w:rPr>
        <w:t xml:space="preserve"> 193</w:t>
      </w:r>
      <w:r w:rsidRPr="00AE6F72">
        <w:rPr>
          <w:rFonts w:ascii="Times New Roman" w:hAnsi="Times New Roman"/>
          <w:b/>
        </w:rPr>
        <w:t xml:space="preserve"> tis. Eur.</w:t>
      </w:r>
      <w:r w:rsidRPr="00AE6F72">
        <w:rPr>
          <w:rFonts w:ascii="Times New Roman" w:hAnsi="Times New Roman"/>
        </w:rPr>
        <w:t xml:space="preserve"> </w:t>
      </w:r>
    </w:p>
    <w:p w:rsidR="00B62F1D" w:rsidRPr="00AE6F72" w:rsidP="00B62F1D">
      <w:pPr>
        <w:pStyle w:val="BodyTextIndent"/>
        <w:bidi w:val="0"/>
        <w:spacing w:before="120" w:after="0" w:line="240" w:lineRule="auto"/>
        <w:rPr>
          <w:rFonts w:ascii="Times New Roman" w:hAnsi="Times New Roman"/>
          <w:i/>
          <w:u w:val="single"/>
        </w:rPr>
      </w:pPr>
      <w:r w:rsidRPr="00AE6F72">
        <w:rPr>
          <w:rFonts w:ascii="Times New Roman" w:hAnsi="Times New Roman"/>
        </w:rPr>
        <w:t>Výdavky na informačno–komunikačné technológie sú rozpočtované v objeme</w:t>
        <w:br/>
      </w:r>
      <w:r>
        <w:rPr>
          <w:rFonts w:ascii="Times New Roman" w:hAnsi="Times New Roman"/>
          <w:b/>
        </w:rPr>
        <w:t>2</w:t>
      </w:r>
      <w:r w:rsidRPr="00AE6F72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683</w:t>
      </w:r>
      <w:r w:rsidRPr="00AE6F72">
        <w:rPr>
          <w:rFonts w:ascii="Times New Roman" w:hAnsi="Times New Roman"/>
          <w:b/>
        </w:rPr>
        <w:t> tis. Eur</w:t>
      </w:r>
      <w:r w:rsidRPr="00AE6F72">
        <w:rPr>
          <w:rFonts w:ascii="Times New Roman" w:hAnsi="Times New Roman"/>
        </w:rPr>
        <w:t xml:space="preserve"> na finančné krytie zmluvne zabezpečených kľúčových projektov. Tieto projekty sú zamerané predovšetkým na systémy pre podporu riadenia prevádzky, technickej infraštruktúry a bezpečnosti informačných systémov Sociálnej poisťovne.</w:t>
      </w:r>
    </w:p>
    <w:p w:rsidR="00B62F1D" w:rsidRPr="00AE6F72" w:rsidP="00B62F1D">
      <w:pPr>
        <w:pStyle w:val="BodyTextIndent3"/>
        <w:bidi w:val="0"/>
        <w:spacing w:before="12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6F72">
        <w:rPr>
          <w:rFonts w:ascii="Times New Roman" w:hAnsi="Times New Roman"/>
          <w:sz w:val="24"/>
          <w:szCs w:val="24"/>
        </w:rPr>
        <w:t xml:space="preserve">Finančné prostriedky na zabezpečenie tzv. </w:t>
      </w:r>
      <w:r w:rsidRPr="00AE6F72">
        <w:rPr>
          <w:rFonts w:ascii="Times New Roman" w:hAnsi="Times New Roman"/>
          <w:b/>
          <w:sz w:val="24"/>
          <w:szCs w:val="24"/>
        </w:rPr>
        <w:t>všeobecných investícií</w:t>
      </w:r>
      <w:r w:rsidRPr="00AE6F72">
        <w:rPr>
          <w:rFonts w:ascii="Times New Roman" w:hAnsi="Times New Roman"/>
          <w:sz w:val="24"/>
          <w:szCs w:val="24"/>
        </w:rPr>
        <w:t xml:space="preserve"> v roku 201</w:t>
      </w:r>
      <w:r>
        <w:rPr>
          <w:rFonts w:ascii="Times New Roman" w:hAnsi="Times New Roman"/>
          <w:sz w:val="24"/>
          <w:szCs w:val="24"/>
        </w:rPr>
        <w:t>3</w:t>
      </w:r>
      <w:r w:rsidRPr="00AE6F72">
        <w:rPr>
          <w:rFonts w:ascii="Times New Roman" w:hAnsi="Times New Roman"/>
          <w:sz w:val="24"/>
          <w:szCs w:val="24"/>
        </w:rPr>
        <w:t xml:space="preserve"> sú rozpočtované v celkovej sume </w:t>
      </w:r>
      <w:r w:rsidRPr="00AE6F72">
        <w:rPr>
          <w:rFonts w:ascii="Times New Roman" w:hAnsi="Times New Roman"/>
          <w:b/>
          <w:sz w:val="24"/>
          <w:szCs w:val="24"/>
        </w:rPr>
        <w:t>1 </w:t>
      </w:r>
      <w:r>
        <w:rPr>
          <w:rFonts w:ascii="Times New Roman" w:hAnsi="Times New Roman"/>
          <w:b/>
          <w:sz w:val="24"/>
          <w:szCs w:val="24"/>
        </w:rPr>
        <w:t>510</w:t>
      </w:r>
      <w:r w:rsidRPr="00AE6F72">
        <w:rPr>
          <w:rFonts w:ascii="Times New Roman" w:hAnsi="Times New Roman"/>
          <w:b/>
          <w:sz w:val="24"/>
          <w:szCs w:val="24"/>
        </w:rPr>
        <w:t> tis. Eur</w:t>
      </w:r>
      <w:r w:rsidRPr="00AE6F72">
        <w:rPr>
          <w:rFonts w:ascii="Times New Roman" w:hAnsi="Times New Roman"/>
          <w:sz w:val="24"/>
          <w:szCs w:val="24"/>
        </w:rPr>
        <w:t xml:space="preserve"> na nevyhnutné akcie investičného charakteru.</w:t>
      </w:r>
    </w:p>
    <w:p w:rsidR="003D1530" w:rsidRPr="0031069E" w:rsidP="003D1530">
      <w:pPr>
        <w:tabs>
          <w:tab w:val="right" w:pos="8931"/>
        </w:tabs>
        <w:bidi w:val="0"/>
        <w:spacing w:before="120" w:after="120"/>
        <w:ind w:firstLine="720"/>
        <w:jc w:val="both"/>
        <w:rPr>
          <w:rFonts w:ascii="Times New Roman" w:hAnsi="Times New Roman"/>
        </w:rPr>
      </w:pPr>
      <w:r w:rsidRPr="0031069E">
        <w:rPr>
          <w:rFonts w:ascii="Times New Roman" w:hAnsi="Times New Roman"/>
        </w:rPr>
        <w:t>Návrh rozpočtu správneho fondu na rok 2013 a rozpočtový výhľad na roky 2014 a 2015 nezohľadňuje poskytovanie nenávratných finančných príspevkov z Operačného progr</w:t>
      </w:r>
      <w:r>
        <w:rPr>
          <w:rFonts w:ascii="Times New Roman" w:hAnsi="Times New Roman"/>
        </w:rPr>
        <w:t xml:space="preserve">amu informatizácie spoločnosti </w:t>
      </w:r>
      <w:r w:rsidRPr="0031069E">
        <w:rPr>
          <w:rFonts w:ascii="Times New Roman" w:hAnsi="Times New Roman"/>
        </w:rPr>
        <w:t xml:space="preserve"> na obdobie od 1. 11. 2011 do 31. 5. 2013.</w:t>
      </w:r>
      <w:r>
        <w:rPr>
          <w:rFonts w:ascii="Times New Roman" w:hAnsi="Times New Roman"/>
        </w:rPr>
        <w:t xml:space="preserve"> V ďalšom období bude čerpanie nenávratných finančných prostriedkov závisieť od podania a schválenia ďalšieho projektu.</w:t>
      </w:r>
    </w:p>
    <w:p w:rsidR="003467B2" w:rsidRPr="003467B2" w:rsidP="00B62F1D">
      <w:pPr>
        <w:pStyle w:val="BodyTextIndent"/>
        <w:tabs>
          <w:tab w:val="right" w:pos="8931"/>
        </w:tabs>
        <w:bidi w:val="0"/>
        <w:spacing w:before="120" w:line="240" w:lineRule="auto"/>
        <w:ind w:firstLine="720"/>
        <w:rPr>
          <w:rFonts w:ascii="Times New Roman" w:hAnsi="Times New Roman"/>
          <w:szCs w:val="24"/>
        </w:rPr>
      </w:pPr>
      <w:r w:rsidRPr="00AE6F72" w:rsidR="00B62F1D">
        <w:rPr>
          <w:rFonts w:ascii="Times New Roman" w:hAnsi="Times New Roman"/>
        </w:rPr>
        <w:t>Návrh rozpočtu správneho fondu na rok 201</w:t>
      </w:r>
      <w:r w:rsidR="00B62F1D">
        <w:rPr>
          <w:rFonts w:ascii="Times New Roman" w:hAnsi="Times New Roman"/>
        </w:rPr>
        <w:t>3</w:t>
      </w:r>
      <w:r w:rsidRPr="00AE6F72" w:rsidR="00B62F1D">
        <w:rPr>
          <w:rFonts w:ascii="Times New Roman" w:hAnsi="Times New Roman"/>
        </w:rPr>
        <w:t xml:space="preserve"> a rozpočtový výhľad na roky 201</w:t>
      </w:r>
      <w:r w:rsidR="00B62F1D">
        <w:rPr>
          <w:rFonts w:ascii="Times New Roman" w:hAnsi="Times New Roman"/>
        </w:rPr>
        <w:t>4</w:t>
      </w:r>
      <w:r w:rsidRPr="00AE6F72" w:rsidR="00B62F1D">
        <w:rPr>
          <w:rFonts w:ascii="Times New Roman" w:hAnsi="Times New Roman"/>
        </w:rPr>
        <w:t xml:space="preserve"> a 201</w:t>
      </w:r>
      <w:r w:rsidR="00B62F1D">
        <w:rPr>
          <w:rFonts w:ascii="Times New Roman" w:hAnsi="Times New Roman"/>
        </w:rPr>
        <w:t>5</w:t>
      </w:r>
      <w:r w:rsidRPr="00AE6F72" w:rsidR="00B62F1D">
        <w:rPr>
          <w:rFonts w:ascii="Times New Roman" w:hAnsi="Times New Roman"/>
        </w:rPr>
        <w:t xml:space="preserve"> je uvedený v prílohe č. 4.</w:t>
      </w:r>
      <w:r w:rsidRPr="00793372" w:rsidR="00B62F1D">
        <w:rPr>
          <w:rFonts w:ascii="Times New Roman" w:hAnsi="Times New Roman"/>
          <w:szCs w:val="24"/>
        </w:rPr>
        <w:t xml:space="preserve"> </w:t>
      </w:r>
    </w:p>
    <w:p w:rsidR="004B5BE3" w:rsidP="003B194D">
      <w:pPr>
        <w:bidi w:val="0"/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  <w:r w:rsidRPr="00A21A68">
        <w:rPr>
          <w:rFonts w:ascii="Times New Roman" w:hAnsi="Times New Roman"/>
          <w:b/>
          <w:szCs w:val="24"/>
        </w:rPr>
        <w:t>Záver</w:t>
      </w:r>
    </w:p>
    <w:p w:rsidR="00D61BEE" w:rsidRPr="00D61BEE" w:rsidP="003B194D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D61BEE">
        <w:rPr>
          <w:rFonts w:ascii="Times New Roman" w:hAnsi="Times New Roman"/>
          <w:szCs w:val="24"/>
        </w:rPr>
        <w:t>Zdroje a výdavky Sociálnej poisťovne v rokoch 2013 až 2015:</w:t>
      </w:r>
    </w:p>
    <w:tbl>
      <w:tblPr>
        <w:tblStyle w:val="TableNormal"/>
        <w:tblW w:w="0" w:type="auto"/>
        <w:tblInd w:w="779" w:type="dxa"/>
        <w:tblCellMar>
          <w:left w:w="70" w:type="dxa"/>
          <w:right w:w="70" w:type="dxa"/>
        </w:tblCellMar>
        <w:tblLook w:val="04A0"/>
      </w:tblPr>
      <w:tblGrid>
        <w:gridCol w:w="3119"/>
        <w:gridCol w:w="1676"/>
        <w:gridCol w:w="1559"/>
        <w:gridCol w:w="1452"/>
      </w:tblGrid>
      <w:tr>
        <w:tblPrEx>
          <w:tblW w:w="0" w:type="auto"/>
          <w:tblInd w:w="779" w:type="dxa"/>
          <w:tblCellMar>
            <w:left w:w="70" w:type="dxa"/>
            <w:right w:w="70" w:type="dxa"/>
          </w:tblCellMar>
          <w:tblLook w:val="04A0"/>
        </w:tblPrEx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v tis. Eur</w:t>
            </w:r>
          </w:p>
        </w:tc>
      </w:tr>
      <w:tr>
        <w:tblPrEx>
          <w:tblW w:w="0" w:type="auto"/>
          <w:tblInd w:w="779" w:type="dxa"/>
          <w:tblCellMar>
            <w:left w:w="70" w:type="dxa"/>
            <w:right w:w="70" w:type="dxa"/>
          </w:tblCellMar>
          <w:tblLook w:val="04A0"/>
        </w:tblPrEx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Ukazovateľ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Návrh rozpočtu rok 2013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 xml:space="preserve">Rozpočtový výhľad </w:t>
            </w:r>
          </w:p>
        </w:tc>
      </w:tr>
      <w:tr>
        <w:tblPrEx>
          <w:tblW w:w="0" w:type="auto"/>
          <w:tblInd w:w="779" w:type="dxa"/>
          <w:tblCellMar>
            <w:left w:w="70" w:type="dxa"/>
            <w:right w:w="70" w:type="dxa"/>
          </w:tblCellMar>
          <w:tblLook w:val="04A0"/>
        </w:tblPrEx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lrTb"/>
            <w:vAlign w:val="center"/>
            <w:hideMark/>
          </w:tcPr>
          <w:p w:rsidR="00FB3B76" w:rsidRPr="00FB3B76" w:rsidP="00FB3B76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lrTb"/>
            <w:vAlign w:val="center"/>
            <w:hideMark/>
          </w:tcPr>
          <w:p w:rsidR="00FB3B76" w:rsidRPr="00FB3B76" w:rsidP="00FB3B76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rok 2014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rok 2015</w:t>
            </w:r>
          </w:p>
        </w:tc>
      </w:tr>
      <w:tr>
        <w:tblPrEx>
          <w:tblW w:w="0" w:type="auto"/>
          <w:tblInd w:w="779" w:type="dxa"/>
          <w:tblCellMar>
            <w:left w:w="70" w:type="dxa"/>
            <w:right w:w="70" w:type="dxa"/>
          </w:tblCellMar>
          <w:tblLook w:val="04A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Zdroje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7 261 826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7 568 262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7 870 063</w:t>
            </w:r>
          </w:p>
        </w:tc>
      </w:tr>
      <w:tr>
        <w:tblPrEx>
          <w:tblW w:w="0" w:type="auto"/>
          <w:tblInd w:w="779" w:type="dxa"/>
          <w:tblCellMar>
            <w:left w:w="70" w:type="dxa"/>
            <w:right w:w="70" w:type="dxa"/>
          </w:tblCellMar>
          <w:tblLook w:val="04A0"/>
        </w:tblPrEx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Príjmy v bežnom roku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6 712 514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7 011 679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7 312 946</w:t>
            </w:r>
          </w:p>
        </w:tc>
      </w:tr>
      <w:tr>
        <w:tblPrEx>
          <w:tblW w:w="0" w:type="auto"/>
          <w:tblInd w:w="779" w:type="dxa"/>
          <w:tblCellMar>
            <w:left w:w="70" w:type="dxa"/>
            <w:right w:w="70" w:type="dxa"/>
          </w:tblCellMar>
          <w:tblLook w:val="04A0"/>
        </w:tblPrEx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z toho transfer zo ŠR SR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689 099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922 445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908 730</w:t>
            </w:r>
          </w:p>
        </w:tc>
      </w:tr>
      <w:tr>
        <w:tblPrEx>
          <w:tblW w:w="0" w:type="auto"/>
          <w:tblInd w:w="779" w:type="dxa"/>
          <w:tblCellMar>
            <w:left w:w="70" w:type="dxa"/>
            <w:right w:w="70" w:type="dxa"/>
          </w:tblCellMar>
          <w:tblLook w:val="04A0"/>
        </w:tblPrEx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Výdavky celkom, v tom: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6 705 243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7 011 145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7 311 744</w:t>
            </w:r>
          </w:p>
        </w:tc>
      </w:tr>
      <w:tr>
        <w:tblPrEx>
          <w:tblW w:w="0" w:type="auto"/>
          <w:tblInd w:w="779" w:type="dxa"/>
          <w:tblCellMar>
            <w:left w:w="70" w:type="dxa"/>
            <w:right w:w="70" w:type="dxa"/>
          </w:tblCellMar>
          <w:tblLook w:val="04A0"/>
        </w:tblPrEx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výdavky základných fondov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6 586 943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6 894 445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7 195 044</w:t>
            </w:r>
          </w:p>
        </w:tc>
      </w:tr>
      <w:tr>
        <w:tblPrEx>
          <w:tblW w:w="0" w:type="auto"/>
          <w:tblInd w:w="779" w:type="dxa"/>
          <w:tblCellMar>
            <w:left w:w="70" w:type="dxa"/>
            <w:right w:w="70" w:type="dxa"/>
          </w:tblCellMar>
          <w:tblLook w:val="04A0"/>
        </w:tblPrEx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správny fond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118 300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116 700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116 700</w:t>
            </w:r>
          </w:p>
        </w:tc>
      </w:tr>
      <w:tr>
        <w:tblPrEx>
          <w:tblW w:w="0" w:type="auto"/>
          <w:tblInd w:w="779" w:type="dxa"/>
          <w:tblCellMar>
            <w:left w:w="70" w:type="dxa"/>
            <w:right w:w="70" w:type="dxa"/>
          </w:tblCellMar>
          <w:tblLook w:val="04A0"/>
        </w:tblPrEx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Bilančný rozdiel celkom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556 583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557 117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bottom"/>
            <w:hideMark/>
          </w:tcPr>
          <w:p w:rsidR="00FB3B76" w:rsidRPr="00FB3B76" w:rsidP="00FB3B76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color w:val="000000"/>
                <w:sz w:val="22"/>
                <w:szCs w:val="22"/>
              </w:rPr>
              <w:t>558 319</w:t>
            </w:r>
          </w:p>
        </w:tc>
      </w:tr>
    </w:tbl>
    <w:p w:rsidR="004B5BE3" w:rsidRPr="00A21A68" w:rsidP="003B194D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="00FB3B76">
        <w:rPr>
          <w:rFonts w:ascii="Times New Roman" w:hAnsi="Times New Roman"/>
          <w:szCs w:val="24"/>
        </w:rPr>
        <w:t>Z</w:t>
      </w:r>
      <w:r w:rsidRPr="00A21A68">
        <w:rPr>
          <w:rFonts w:ascii="Times New Roman" w:hAnsi="Times New Roman"/>
          <w:szCs w:val="24"/>
        </w:rPr>
        <w:t xml:space="preserve"> hľadiska </w:t>
      </w:r>
      <w:r w:rsidRPr="00A21A68">
        <w:rPr>
          <w:rFonts w:ascii="Times New Roman" w:hAnsi="Times New Roman"/>
          <w:b/>
          <w:szCs w:val="24"/>
        </w:rPr>
        <w:t>celkového hospodárenia Sociálnej poisťovne</w:t>
      </w:r>
      <w:r w:rsidRPr="00A21A68">
        <w:rPr>
          <w:rFonts w:ascii="Times New Roman" w:hAnsi="Times New Roman"/>
          <w:szCs w:val="24"/>
        </w:rPr>
        <w:t xml:space="preserve"> je možné očakávať </w:t>
      </w:r>
      <w:r w:rsidRPr="00A21A68">
        <w:rPr>
          <w:rFonts w:ascii="Times New Roman" w:hAnsi="Times New Roman"/>
          <w:b/>
          <w:szCs w:val="24"/>
        </w:rPr>
        <w:t>v  rokoch 201</w:t>
      </w:r>
      <w:r w:rsidRPr="00A21A68" w:rsidR="00751A7A">
        <w:rPr>
          <w:rFonts w:ascii="Times New Roman" w:hAnsi="Times New Roman"/>
          <w:b/>
          <w:szCs w:val="24"/>
        </w:rPr>
        <w:t>3</w:t>
      </w:r>
      <w:r w:rsidRPr="00A21A68">
        <w:rPr>
          <w:rFonts w:ascii="Times New Roman" w:hAnsi="Times New Roman"/>
          <w:b/>
          <w:szCs w:val="24"/>
        </w:rPr>
        <w:t xml:space="preserve"> až 201</w:t>
      </w:r>
      <w:r w:rsidRPr="00A21A68" w:rsidR="00751A7A">
        <w:rPr>
          <w:rFonts w:ascii="Times New Roman" w:hAnsi="Times New Roman"/>
          <w:b/>
          <w:szCs w:val="24"/>
        </w:rPr>
        <w:t>5</w:t>
      </w:r>
      <w:r w:rsidRPr="00A21A68">
        <w:rPr>
          <w:rFonts w:ascii="Times New Roman" w:hAnsi="Times New Roman"/>
          <w:szCs w:val="24"/>
        </w:rPr>
        <w:t xml:space="preserve"> výsledky:</w:t>
      </w:r>
    </w:p>
    <w:tbl>
      <w:tblPr>
        <w:tblStyle w:val="TableNormal"/>
        <w:tblW w:w="7955" w:type="dxa"/>
        <w:tblInd w:w="779" w:type="dxa"/>
        <w:tblCellMar>
          <w:left w:w="70" w:type="dxa"/>
          <w:right w:w="70" w:type="dxa"/>
        </w:tblCellMar>
        <w:tblLook w:val="00A0"/>
      </w:tblPr>
      <w:tblGrid>
        <w:gridCol w:w="1575"/>
        <w:gridCol w:w="1400"/>
        <w:gridCol w:w="1300"/>
        <w:gridCol w:w="1300"/>
        <w:gridCol w:w="1300"/>
        <w:gridCol w:w="1080"/>
      </w:tblGrid>
      <w:tr>
        <w:tblPrEx>
          <w:tblW w:w="7955" w:type="dxa"/>
          <w:tblInd w:w="779" w:type="dxa"/>
          <w:tblCellMar>
            <w:left w:w="70" w:type="dxa"/>
            <w:right w:w="70" w:type="dxa"/>
          </w:tblCellMar>
          <w:tblLook w:val="00A0"/>
        </w:tblPrEx>
        <w:trPr>
          <w:trHeight w:val="2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4B5BE3" w:rsidRPr="00FB3B76" w:rsidP="009751E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4B5BE3" w:rsidRPr="00FB3B76" w:rsidP="009751E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4B5BE3" w:rsidRPr="00FB3B76" w:rsidP="009751E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4B5BE3" w:rsidRPr="00FB3B76" w:rsidP="009751E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4B5BE3" w:rsidRPr="00FB3B76" w:rsidP="009751E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4B5BE3" w:rsidRPr="00FB3B76" w:rsidP="009751E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7955" w:type="dxa"/>
          <w:tblInd w:w="779" w:type="dxa"/>
          <w:tblCellMar>
            <w:left w:w="70" w:type="dxa"/>
            <w:right w:w="70" w:type="dxa"/>
          </w:tblCellMar>
          <w:tblLook w:val="00A0"/>
        </w:tblPrEx>
        <w:trPr>
          <w:trHeight w:val="7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5BE3" w:rsidRPr="00FB3B76" w:rsidP="009751E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B5BE3" w:rsidRPr="00FB3B76" w:rsidP="009751E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B5BE3" w:rsidRPr="00FB3B76" w:rsidP="009751E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Výdavky (náklady)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B5BE3" w:rsidRPr="00FB3B76" w:rsidP="009751E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Bilančný rozdiel v bežnom roku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B5BE3" w:rsidRPr="00FB3B76" w:rsidP="009751E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Prevod z minulých rokoch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B5BE3" w:rsidRPr="00FB3B76" w:rsidP="009751E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Bilančný rozdiel celkom</w:t>
            </w:r>
          </w:p>
        </w:tc>
      </w:tr>
      <w:tr>
        <w:tblPrEx>
          <w:tblW w:w="7955" w:type="dxa"/>
          <w:tblInd w:w="779" w:type="dxa"/>
          <w:tblCellMar>
            <w:left w:w="70" w:type="dxa"/>
            <w:right w:w="70" w:type="dxa"/>
          </w:tblCellMar>
          <w:tblLook w:val="00A0"/>
        </w:tblPrEx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C1300" w:rsidRPr="00FB3B76" w:rsidP="00BC130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C1300" w:rsidRPr="00FB3B76" w:rsidP="00BC130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C1300" w:rsidRPr="00FB3B76" w:rsidP="00BC130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C1300" w:rsidRPr="00FB3B76" w:rsidP="00BC130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C1300" w:rsidRPr="00FB3B76" w:rsidP="00BC130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C1300" w:rsidRPr="00FB3B76" w:rsidP="00BC1300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>
        <w:tblPrEx>
          <w:tblW w:w="7955" w:type="dxa"/>
          <w:tblInd w:w="779" w:type="dxa"/>
          <w:tblCellMar>
            <w:left w:w="70" w:type="dxa"/>
            <w:right w:w="70" w:type="dxa"/>
          </w:tblCellMar>
          <w:tblLook w:val="00A0"/>
        </w:tblPrEx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 w:rsidP="000A6BC2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Rok 2013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6 712 514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6 705 243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7 271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549 312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556 583</w:t>
            </w:r>
          </w:p>
        </w:tc>
      </w:tr>
      <w:tr>
        <w:tblPrEx>
          <w:tblW w:w="7955" w:type="dxa"/>
          <w:tblInd w:w="779" w:type="dxa"/>
          <w:tblCellMar>
            <w:left w:w="70" w:type="dxa"/>
            <w:right w:w="70" w:type="dxa"/>
          </w:tblCellMar>
          <w:tblLook w:val="00A0"/>
        </w:tblPrEx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 w:rsidP="000A6BC2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Rok 2014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7 011 679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7 011 145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556 583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557 117</w:t>
            </w:r>
          </w:p>
        </w:tc>
      </w:tr>
      <w:tr>
        <w:tblPrEx>
          <w:tblW w:w="7955" w:type="dxa"/>
          <w:tblInd w:w="779" w:type="dxa"/>
          <w:tblCellMar>
            <w:left w:w="70" w:type="dxa"/>
            <w:right w:w="70" w:type="dxa"/>
          </w:tblCellMar>
          <w:tblLook w:val="00A0"/>
        </w:tblPrEx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 w:rsidP="009751E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Rok 2015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7 312 946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7 311 744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1 202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557 117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FB3B76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B3B76">
              <w:rPr>
                <w:rFonts w:ascii="Times New Roman" w:hAnsi="Times New Roman"/>
                <w:sz w:val="22"/>
                <w:szCs w:val="22"/>
              </w:rPr>
              <w:t>558 319</w:t>
            </w:r>
          </w:p>
        </w:tc>
      </w:tr>
    </w:tbl>
    <w:p w:rsidR="000A75B8" w:rsidP="00F160AF">
      <w:pPr>
        <w:bidi w:val="0"/>
        <w:spacing w:before="240"/>
        <w:ind w:firstLine="720"/>
        <w:jc w:val="both"/>
        <w:rPr>
          <w:rFonts w:ascii="Times New Roman" w:hAnsi="Times New Roman"/>
          <w:szCs w:val="24"/>
        </w:rPr>
      </w:pPr>
    </w:p>
    <w:p w:rsidR="004B5BE3" w:rsidRPr="00A21A68" w:rsidP="00FB3B76">
      <w:pPr>
        <w:bidi w:val="0"/>
        <w:ind w:firstLine="720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>V rokoch 201</w:t>
      </w:r>
      <w:r w:rsidRPr="00A21A68" w:rsidR="00672259">
        <w:rPr>
          <w:rFonts w:ascii="Times New Roman" w:hAnsi="Times New Roman"/>
          <w:szCs w:val="24"/>
        </w:rPr>
        <w:t>3</w:t>
      </w:r>
      <w:r w:rsidRPr="00A21A68">
        <w:rPr>
          <w:rFonts w:ascii="Times New Roman" w:hAnsi="Times New Roman"/>
          <w:szCs w:val="24"/>
        </w:rPr>
        <w:t xml:space="preserve"> až 201</w:t>
      </w:r>
      <w:r w:rsidRPr="00A21A68" w:rsidR="00672259">
        <w:rPr>
          <w:rFonts w:ascii="Times New Roman" w:hAnsi="Times New Roman"/>
          <w:szCs w:val="24"/>
        </w:rPr>
        <w:t>5</w:t>
      </w:r>
      <w:r w:rsidRPr="00A21A68">
        <w:rPr>
          <w:rFonts w:ascii="Times New Roman" w:hAnsi="Times New Roman"/>
          <w:szCs w:val="24"/>
        </w:rPr>
        <w:t xml:space="preserve"> je v príjmoch Sociálnej poisťovne zapracovaný transfer zo ŠR SR:</w:t>
      </w:r>
    </w:p>
    <w:tbl>
      <w:tblPr>
        <w:tblStyle w:val="TableNormal"/>
        <w:tblW w:w="6690" w:type="dxa"/>
        <w:tblInd w:w="779" w:type="dxa"/>
        <w:tblCellMar>
          <w:left w:w="70" w:type="dxa"/>
          <w:right w:w="70" w:type="dxa"/>
        </w:tblCellMar>
        <w:tblLook w:val="00A0"/>
      </w:tblPr>
      <w:tblGrid>
        <w:gridCol w:w="2410"/>
        <w:gridCol w:w="1680"/>
        <w:gridCol w:w="1300"/>
        <w:gridCol w:w="1300"/>
      </w:tblGrid>
      <w:tr>
        <w:tblPrEx>
          <w:tblW w:w="6690" w:type="dxa"/>
          <w:tblInd w:w="779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5BE3" w:rsidRPr="00127D4D" w:rsidP="00326B3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5BE3" w:rsidRPr="00127D4D" w:rsidP="00326B3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5BE3" w:rsidRPr="00127D4D" w:rsidP="00326B3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4B5BE3" w:rsidRPr="00127D4D" w:rsidP="00326B3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27D4D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6690" w:type="dxa"/>
          <w:tblInd w:w="779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127D4D" w:rsidP="00326B3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7D4D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5BE3" w:rsidRPr="00127D4D" w:rsidP="0067225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7D4D">
              <w:rPr>
                <w:rFonts w:ascii="Times New Roman" w:hAnsi="Times New Roman"/>
                <w:sz w:val="22"/>
                <w:szCs w:val="22"/>
              </w:rPr>
              <w:t>Rok 201</w:t>
            </w:r>
            <w:r w:rsidRPr="00127D4D" w:rsidR="0067225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5BE3" w:rsidRPr="00127D4D" w:rsidP="0067225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7D4D">
              <w:rPr>
                <w:rFonts w:ascii="Times New Roman" w:hAnsi="Times New Roman"/>
                <w:sz w:val="22"/>
                <w:szCs w:val="22"/>
              </w:rPr>
              <w:t>Rok 201</w:t>
            </w:r>
            <w:r w:rsidRPr="00127D4D" w:rsidR="0067225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B5BE3" w:rsidRPr="00127D4D" w:rsidP="0067225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7D4D">
              <w:rPr>
                <w:rFonts w:ascii="Times New Roman" w:hAnsi="Times New Roman"/>
                <w:sz w:val="22"/>
                <w:szCs w:val="22"/>
              </w:rPr>
              <w:t>Rok 201</w:t>
            </w:r>
            <w:r w:rsidRPr="00127D4D" w:rsidR="0067225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>
        <w:tblPrEx>
          <w:tblW w:w="6690" w:type="dxa"/>
          <w:tblInd w:w="779" w:type="dxa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B0975" w:rsidRPr="00127D4D" w:rsidP="00326B3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7D4D">
              <w:rPr>
                <w:rFonts w:ascii="Times New Roman" w:hAnsi="Times New Roman"/>
                <w:sz w:val="22"/>
                <w:szCs w:val="22"/>
              </w:rPr>
              <w:t>Transfer zo ŠR SR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B0975" w:rsidRPr="00127D4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27D4D">
              <w:rPr>
                <w:rFonts w:ascii="Times New Roman" w:hAnsi="Times New Roman"/>
                <w:sz w:val="22"/>
                <w:szCs w:val="22"/>
              </w:rPr>
              <w:t>689 099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B0975" w:rsidRPr="00127D4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27D4D">
              <w:rPr>
                <w:rFonts w:ascii="Times New Roman" w:hAnsi="Times New Roman"/>
                <w:sz w:val="22"/>
                <w:szCs w:val="22"/>
              </w:rPr>
              <w:t>922 445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B0975" w:rsidRPr="00127D4D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27D4D">
              <w:rPr>
                <w:rFonts w:ascii="Times New Roman" w:hAnsi="Times New Roman"/>
                <w:sz w:val="22"/>
                <w:szCs w:val="22"/>
              </w:rPr>
              <w:t>908 730</w:t>
            </w:r>
          </w:p>
        </w:tc>
      </w:tr>
    </w:tbl>
    <w:p w:rsidR="004B5BE3" w:rsidRPr="00A21A68" w:rsidP="0002230E">
      <w:pPr>
        <w:bidi w:val="0"/>
        <w:spacing w:before="240" w:after="120"/>
        <w:jc w:val="center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>x  x  x</w:t>
      </w:r>
    </w:p>
    <w:p w:rsidR="004B5BE3" w:rsidRPr="00A21A68" w:rsidP="00672259">
      <w:pPr>
        <w:bidi w:val="0"/>
        <w:ind w:firstLine="709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>Príjmovú časť rozpočtu Sociálnej poisťovne ovplyvňuje existencia starobného dôchodkového sporenia. Predpokladá sa, že v roku 201</w:t>
      </w:r>
      <w:r w:rsidRPr="00A21A68" w:rsidR="00672259">
        <w:rPr>
          <w:rFonts w:ascii="Times New Roman" w:hAnsi="Times New Roman"/>
          <w:szCs w:val="24"/>
        </w:rPr>
        <w:t>3</w:t>
      </w:r>
      <w:r w:rsidRPr="00A21A68">
        <w:rPr>
          <w:rFonts w:ascii="Times New Roman" w:hAnsi="Times New Roman"/>
          <w:szCs w:val="24"/>
        </w:rPr>
        <w:t xml:space="preserve"> by mali byť príspevky na SDS postúpené v celkovej sume </w:t>
      </w:r>
      <w:r w:rsidR="002F388D">
        <w:rPr>
          <w:rFonts w:ascii="Times New Roman" w:hAnsi="Times New Roman"/>
          <w:szCs w:val="24"/>
        </w:rPr>
        <w:t>4</w:t>
      </w:r>
      <w:r w:rsidR="00CB0975">
        <w:rPr>
          <w:rFonts w:ascii="Times New Roman" w:hAnsi="Times New Roman"/>
          <w:szCs w:val="24"/>
        </w:rPr>
        <w:t>16</w:t>
      </w:r>
      <w:r w:rsidRPr="00A21A68">
        <w:rPr>
          <w:rFonts w:ascii="Times New Roman" w:hAnsi="Times New Roman"/>
          <w:szCs w:val="24"/>
        </w:rPr>
        <w:t> </w:t>
      </w:r>
      <w:r w:rsidR="00CB0975">
        <w:rPr>
          <w:rFonts w:ascii="Times New Roman" w:hAnsi="Times New Roman"/>
          <w:szCs w:val="24"/>
        </w:rPr>
        <w:t>110</w:t>
      </w:r>
      <w:r w:rsidRPr="00A21A68">
        <w:rPr>
          <w:rFonts w:ascii="Times New Roman" w:hAnsi="Times New Roman"/>
          <w:szCs w:val="24"/>
        </w:rPr>
        <w:t xml:space="preserve"> tis. Eur,  z toho za sporiteľov:</w:t>
      </w:r>
    </w:p>
    <w:p w:rsidR="004B5BE3" w:rsidRPr="00A21A68" w:rsidP="008173F1">
      <w:pPr>
        <w:numPr>
          <w:numId w:val="8"/>
        </w:numPr>
        <w:bidi w:val="0"/>
        <w:contextualSpacing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>EAO v sume</w:t>
        <w:tab/>
        <w:tab/>
        <w:tab/>
        <w:tab/>
        <w:tab/>
        <w:tab/>
        <w:tab/>
        <w:tab/>
      </w:r>
      <w:r w:rsidR="00AC6292">
        <w:rPr>
          <w:rFonts w:ascii="Times New Roman" w:hAnsi="Times New Roman"/>
          <w:szCs w:val="24"/>
        </w:rPr>
        <w:t>3</w:t>
      </w:r>
      <w:r w:rsidR="00CB0975">
        <w:rPr>
          <w:rFonts w:ascii="Times New Roman" w:hAnsi="Times New Roman"/>
          <w:szCs w:val="24"/>
        </w:rPr>
        <w:t>72</w:t>
      </w:r>
      <w:r w:rsidRPr="00A21A68">
        <w:rPr>
          <w:rFonts w:ascii="Times New Roman" w:hAnsi="Times New Roman"/>
          <w:szCs w:val="24"/>
        </w:rPr>
        <w:t> </w:t>
      </w:r>
      <w:r w:rsidR="00CB0975">
        <w:rPr>
          <w:rFonts w:ascii="Times New Roman" w:hAnsi="Times New Roman"/>
          <w:szCs w:val="24"/>
        </w:rPr>
        <w:t>692</w:t>
      </w:r>
      <w:r w:rsidRPr="00A21A68">
        <w:rPr>
          <w:rFonts w:ascii="Times New Roman" w:hAnsi="Times New Roman"/>
          <w:szCs w:val="24"/>
        </w:rPr>
        <w:t xml:space="preserve"> tis. Eur,</w:t>
      </w:r>
    </w:p>
    <w:p w:rsidR="004B5BE3" w:rsidRPr="00A21A68" w:rsidP="008173F1">
      <w:pPr>
        <w:numPr>
          <w:numId w:val="8"/>
        </w:numPr>
        <w:bidi w:val="0"/>
        <w:contextualSpacing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 xml:space="preserve">štátu </w:t>
        <w:tab/>
        <w:tab/>
        <w:tab/>
        <w:tab/>
        <w:tab/>
        <w:tab/>
        <w:tab/>
        <w:tab/>
        <w:tab/>
        <w:t xml:space="preserve">  </w:t>
      </w:r>
      <w:r w:rsidR="00CB0975">
        <w:rPr>
          <w:rFonts w:ascii="Times New Roman" w:hAnsi="Times New Roman"/>
          <w:szCs w:val="24"/>
        </w:rPr>
        <w:t>28</w:t>
      </w:r>
      <w:r w:rsidRPr="00A21A68">
        <w:rPr>
          <w:rFonts w:ascii="Times New Roman" w:hAnsi="Times New Roman"/>
          <w:szCs w:val="24"/>
        </w:rPr>
        <w:t> </w:t>
      </w:r>
      <w:r w:rsidR="00CB0975">
        <w:rPr>
          <w:rFonts w:ascii="Times New Roman" w:hAnsi="Times New Roman"/>
          <w:szCs w:val="24"/>
        </w:rPr>
        <w:t>526</w:t>
      </w:r>
      <w:r w:rsidRPr="00A21A68">
        <w:rPr>
          <w:rFonts w:ascii="Times New Roman" w:hAnsi="Times New Roman"/>
          <w:szCs w:val="24"/>
        </w:rPr>
        <w:t xml:space="preserve"> tis. Eur,</w:t>
      </w:r>
    </w:p>
    <w:p w:rsidR="004B5BE3" w:rsidRPr="00A21A68" w:rsidP="008173F1">
      <w:pPr>
        <w:numPr>
          <w:numId w:val="8"/>
        </w:numPr>
        <w:bidi w:val="0"/>
        <w:contextualSpacing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 xml:space="preserve">Sociálnej poisťovne </w:t>
        <w:tab/>
        <w:tab/>
        <w:tab/>
        <w:tab/>
        <w:tab/>
        <w:tab/>
        <w:tab/>
        <w:t xml:space="preserve">        235 tis. Eur.</w:t>
      </w:r>
    </w:p>
    <w:p w:rsidR="004B5BE3" w:rsidRPr="00A21A68" w:rsidP="00DE55C9">
      <w:pPr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 xml:space="preserve">Príspevky na SDS, ktoré neodvedie zamestnávateľ za zamestnancov by mali byť postúpené v sume </w:t>
      </w:r>
      <w:r w:rsidR="00CB0975">
        <w:rPr>
          <w:rFonts w:ascii="Times New Roman" w:hAnsi="Times New Roman"/>
          <w:szCs w:val="24"/>
        </w:rPr>
        <w:t>14</w:t>
      </w:r>
      <w:r w:rsidRPr="00A21A68">
        <w:rPr>
          <w:rFonts w:ascii="Times New Roman" w:hAnsi="Times New Roman"/>
          <w:szCs w:val="24"/>
        </w:rPr>
        <w:t> </w:t>
      </w:r>
      <w:r w:rsidR="00CB0975">
        <w:rPr>
          <w:rFonts w:ascii="Times New Roman" w:hAnsi="Times New Roman"/>
          <w:szCs w:val="24"/>
        </w:rPr>
        <w:t>657</w:t>
      </w:r>
      <w:r w:rsidRPr="00A21A68">
        <w:rPr>
          <w:rFonts w:ascii="Times New Roman" w:hAnsi="Times New Roman"/>
          <w:szCs w:val="24"/>
        </w:rPr>
        <w:t> tis. Eur.</w:t>
      </w:r>
    </w:p>
    <w:p w:rsidR="004B5BE3" w:rsidRPr="00A21A68" w:rsidP="00FF0368">
      <w:pPr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A21A68">
        <w:rPr>
          <w:rFonts w:ascii="Times New Roman" w:hAnsi="Times New Roman"/>
          <w:szCs w:val="24"/>
        </w:rPr>
        <w:t xml:space="preserve">Sociálna poisťovňa predpokladá, že postúpi príspevky na SDS v jednotlivých rokoch: </w:t>
      </w:r>
    </w:p>
    <w:tbl>
      <w:tblPr>
        <w:tblStyle w:val="TableNormal"/>
        <w:tblW w:w="5528" w:type="dxa"/>
        <w:tblInd w:w="779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835"/>
        <w:gridCol w:w="1346"/>
        <w:gridCol w:w="1347"/>
      </w:tblGrid>
      <w:tr>
        <w:tblPrEx>
          <w:tblW w:w="5528" w:type="dxa"/>
          <w:tblInd w:w="779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5BE3" w:rsidRPr="00CB0975" w:rsidP="00326B3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5BE3" w:rsidRPr="00CB0975" w:rsidP="00326B3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5BE3" w:rsidRPr="00CB0975" w:rsidP="00326B3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B0975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5528" w:type="dxa"/>
          <w:tblInd w:w="779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CB0975" w:rsidP="00F160A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0975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CB0975" w:rsidP="0067225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0975">
              <w:rPr>
                <w:rFonts w:ascii="Times New Roman" w:hAnsi="Times New Roman"/>
                <w:sz w:val="22"/>
                <w:szCs w:val="22"/>
              </w:rPr>
              <w:t>Rok 201</w:t>
            </w:r>
            <w:r w:rsidRPr="00CB0975" w:rsidR="0067225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5BE3" w:rsidRPr="00CB0975" w:rsidP="0067225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0975">
              <w:rPr>
                <w:rFonts w:ascii="Times New Roman" w:hAnsi="Times New Roman"/>
                <w:sz w:val="22"/>
                <w:szCs w:val="22"/>
              </w:rPr>
              <w:t>Rok 201</w:t>
            </w:r>
            <w:r w:rsidRPr="00CB0975" w:rsidR="0067225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>
        <w:tblPrEx>
          <w:tblW w:w="5528" w:type="dxa"/>
          <w:tblInd w:w="779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B0975" w:rsidRPr="00CB0975" w:rsidP="00F160AF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0975">
              <w:rPr>
                <w:rFonts w:ascii="Times New Roman" w:hAnsi="Times New Roman"/>
                <w:color w:val="000000"/>
                <w:sz w:val="22"/>
                <w:szCs w:val="22"/>
              </w:rPr>
              <w:t>Postúpené príspevky na SDS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B0975" w:rsidRPr="00CB0975" w:rsidP="00F30DD0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0975">
              <w:rPr>
                <w:rFonts w:ascii="Times New Roman" w:hAnsi="Times New Roman"/>
                <w:color w:val="000000"/>
                <w:sz w:val="22"/>
                <w:szCs w:val="22"/>
              </w:rPr>
              <w:t>455 01</w:t>
            </w:r>
            <w:r w:rsidR="00F30DD0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B0975" w:rsidRPr="00CB0975" w:rsidP="00F30DD0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0975">
              <w:rPr>
                <w:rFonts w:ascii="Times New Roman" w:hAnsi="Times New Roman"/>
                <w:color w:val="000000"/>
                <w:sz w:val="22"/>
                <w:szCs w:val="22"/>
              </w:rPr>
              <w:t>498 40</w:t>
            </w:r>
            <w:r w:rsidR="00F30DD0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</w:tbl>
    <w:p w:rsidR="004B5BE3" w:rsidRPr="00A21A68" w:rsidP="00F160AF">
      <w:pPr>
        <w:bidi w:val="0"/>
        <w:jc w:val="both"/>
        <w:rPr>
          <w:rFonts w:ascii="Times New Roman" w:hAnsi="Times New Roman"/>
          <w:szCs w:val="24"/>
        </w:rPr>
      </w:pPr>
    </w:p>
    <w:sectPr w:rsidSect="00527CE1">
      <w:footerReference w:type="even" r:id="rId5"/>
      <w:footerReference w:type="default" r:id="rId6"/>
      <w:pgSz w:w="11906" w:h="16838"/>
      <w:pgMar w:top="993" w:right="1417" w:bottom="993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1C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B0F1C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F1C" w:rsidRPr="00B2460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B24602">
      <w:rPr>
        <w:rStyle w:val="PageNumber"/>
        <w:rFonts w:ascii="Times New Roman" w:hAnsi="Times New Roman"/>
      </w:rPr>
      <w:fldChar w:fldCharType="begin"/>
    </w:r>
    <w:r w:rsidRPr="00B24602">
      <w:rPr>
        <w:rStyle w:val="PageNumber"/>
        <w:rFonts w:ascii="Times New Roman" w:hAnsi="Times New Roman"/>
      </w:rPr>
      <w:instrText xml:space="preserve">PAGE  </w:instrText>
    </w:r>
    <w:r w:rsidRPr="00B24602">
      <w:rPr>
        <w:rStyle w:val="PageNumber"/>
        <w:rFonts w:ascii="Times New Roman" w:hAnsi="Times New Roman"/>
      </w:rPr>
      <w:fldChar w:fldCharType="separate"/>
    </w:r>
    <w:r w:rsidR="00555F5E">
      <w:rPr>
        <w:rStyle w:val="PageNumber"/>
        <w:rFonts w:ascii="Times New Roman" w:hAnsi="Times New Roman"/>
        <w:noProof/>
      </w:rPr>
      <w:t>10</w:t>
    </w:r>
    <w:r w:rsidRPr="00B24602">
      <w:rPr>
        <w:rStyle w:val="PageNumber"/>
        <w:rFonts w:ascii="Times New Roman" w:hAnsi="Times New Roman"/>
      </w:rPr>
      <w:fldChar w:fldCharType="end"/>
    </w:r>
  </w:p>
  <w:p w:rsidR="00FB0F1C" w:rsidRPr="00B24602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BEF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082BBE"/>
    <w:multiLevelType w:val="hybridMultilevel"/>
    <w:tmpl w:val="130ACB8C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732C2"/>
    <w:multiLevelType w:val="hybridMultilevel"/>
    <w:tmpl w:val="89061C6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27C83"/>
    <w:multiLevelType w:val="hybridMultilevel"/>
    <w:tmpl w:val="07AE2312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D4239F"/>
    <w:multiLevelType w:val="singleLevel"/>
    <w:tmpl w:val="041B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>
    <w:nsid w:val="129648D3"/>
    <w:multiLevelType w:val="singleLevel"/>
    <w:tmpl w:val="041B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12D47E7B"/>
    <w:multiLevelType w:val="hybridMultilevel"/>
    <w:tmpl w:val="0EB80FF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47FE3"/>
    <w:multiLevelType w:val="hybridMultilevel"/>
    <w:tmpl w:val="EC74DF6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64835"/>
    <w:multiLevelType w:val="hybridMultilevel"/>
    <w:tmpl w:val="7966E08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F4B9E"/>
    <w:multiLevelType w:val="hybridMultilevel"/>
    <w:tmpl w:val="50040D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F0A26"/>
    <w:multiLevelType w:val="hybridMultilevel"/>
    <w:tmpl w:val="1DC438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825956"/>
    <w:multiLevelType w:val="hybridMultilevel"/>
    <w:tmpl w:val="58AC2C8A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2">
    <w:nsid w:val="383F0224"/>
    <w:multiLevelType w:val="hybridMultilevel"/>
    <w:tmpl w:val="806044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>
    <w:nsid w:val="3E091B39"/>
    <w:multiLevelType w:val="hybridMultilevel"/>
    <w:tmpl w:val="3A785F2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2157FF"/>
    <w:multiLevelType w:val="hybridMultilevel"/>
    <w:tmpl w:val="B81694E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4E27C5"/>
    <w:multiLevelType w:val="hybridMultilevel"/>
    <w:tmpl w:val="CB204584"/>
    <w:lvl w:ilvl="0">
      <w:start w:val="4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>
      <w:start w:val="1"/>
      <w:numFmt w:val="bullet"/>
      <w:lvlText w:val=""/>
      <w:lvlJc w:val="left"/>
      <w:pPr>
        <w:tabs>
          <w:tab w:val="num" w:pos="1210"/>
        </w:tabs>
        <w:ind w:left="1210" w:hanging="13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BA5FAC"/>
    <w:multiLevelType w:val="hybridMultilevel"/>
    <w:tmpl w:val="95EE73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4F4438"/>
    <w:multiLevelType w:val="hybridMultilevel"/>
    <w:tmpl w:val="A84CF6E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EE7E96"/>
    <w:multiLevelType w:val="hybridMultilevel"/>
    <w:tmpl w:val="DAE663B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A4C6E3D"/>
    <w:multiLevelType w:val="hybridMultilevel"/>
    <w:tmpl w:val="8D2AF27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F4326"/>
    <w:multiLevelType w:val="hybridMultilevel"/>
    <w:tmpl w:val="969E9166"/>
    <w:lvl w:ilvl="0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0"/>
      <w:numFmt w:val="bullet"/>
      <w:lvlText w:val="-"/>
      <w:lvlJc w:val="left"/>
      <w:pPr>
        <w:tabs>
          <w:tab w:val="num" w:pos="1210"/>
        </w:tabs>
        <w:ind w:left="1210" w:hanging="130"/>
      </w:pPr>
      <w:rPr>
        <w:rFonts w:ascii="Arial" w:eastAsia="Times New Roman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79333B"/>
    <w:multiLevelType w:val="hybridMultilevel"/>
    <w:tmpl w:val="5DC608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B0E3729"/>
    <w:multiLevelType w:val="hybridMultilevel"/>
    <w:tmpl w:val="9BDC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9879CD"/>
    <w:multiLevelType w:val="hybridMultilevel"/>
    <w:tmpl w:val="1CE4A1E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99179D"/>
    <w:multiLevelType w:val="hybridMultilevel"/>
    <w:tmpl w:val="0436DC2C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5">
    <w:nsid w:val="7BE12D68"/>
    <w:multiLevelType w:val="hybridMultilevel"/>
    <w:tmpl w:val="ED3CBDE8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5"/>
  </w:num>
  <w:num w:numId="5">
    <w:abstractNumId w:val="21"/>
  </w:num>
  <w:num w:numId="6">
    <w:abstractNumId w:val="10"/>
  </w:num>
  <w:num w:numId="7">
    <w:abstractNumId w:val="7"/>
  </w:num>
  <w:num w:numId="8">
    <w:abstractNumId w:val="1"/>
  </w:num>
  <w:num w:numId="9">
    <w:abstractNumId w:val="25"/>
  </w:num>
  <w:num w:numId="10">
    <w:abstractNumId w:val="19"/>
  </w:num>
  <w:num w:numId="11">
    <w:abstractNumId w:val="24"/>
  </w:num>
  <w:num w:numId="12">
    <w:abstractNumId w:val="11"/>
  </w:num>
  <w:num w:numId="13">
    <w:abstractNumId w:val="22"/>
  </w:num>
  <w:num w:numId="14">
    <w:abstractNumId w:val="16"/>
  </w:num>
  <w:num w:numId="15">
    <w:abstractNumId w:val="15"/>
  </w:num>
  <w:num w:numId="16">
    <w:abstractNumId w:val="20"/>
  </w:num>
  <w:num w:numId="17">
    <w:abstractNumId w:val="12"/>
  </w:num>
  <w:num w:numId="18">
    <w:abstractNumId w:val="13"/>
  </w:num>
  <w:num w:numId="19">
    <w:abstractNumId w:val="23"/>
  </w:num>
  <w:num w:numId="20">
    <w:abstractNumId w:val="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"/>
  </w:num>
  <w:num w:numId="24">
    <w:abstractNumId w:val="6"/>
  </w:num>
  <w:num w:numId="25">
    <w:abstractNumId w:val="8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/>
  <w:rsids>
    <w:rsidRoot w:val="000F0132"/>
    <w:rsid w:val="00004831"/>
    <w:rsid w:val="00006B67"/>
    <w:rsid w:val="0000797E"/>
    <w:rsid w:val="00007FE1"/>
    <w:rsid w:val="000102D2"/>
    <w:rsid w:val="00011476"/>
    <w:rsid w:val="00011A2A"/>
    <w:rsid w:val="000152D1"/>
    <w:rsid w:val="000169EA"/>
    <w:rsid w:val="00017684"/>
    <w:rsid w:val="00017B66"/>
    <w:rsid w:val="0002230E"/>
    <w:rsid w:val="000227FA"/>
    <w:rsid w:val="0002399C"/>
    <w:rsid w:val="00024236"/>
    <w:rsid w:val="00026C5A"/>
    <w:rsid w:val="0003382D"/>
    <w:rsid w:val="00033BA5"/>
    <w:rsid w:val="00034704"/>
    <w:rsid w:val="000354F2"/>
    <w:rsid w:val="00037DB0"/>
    <w:rsid w:val="00041393"/>
    <w:rsid w:val="00041C05"/>
    <w:rsid w:val="00043B28"/>
    <w:rsid w:val="000458D3"/>
    <w:rsid w:val="00045A79"/>
    <w:rsid w:val="0005015C"/>
    <w:rsid w:val="000512A5"/>
    <w:rsid w:val="000517A8"/>
    <w:rsid w:val="00054073"/>
    <w:rsid w:val="00055C96"/>
    <w:rsid w:val="0005738D"/>
    <w:rsid w:val="00057B12"/>
    <w:rsid w:val="00062166"/>
    <w:rsid w:val="0006263A"/>
    <w:rsid w:val="00065B38"/>
    <w:rsid w:val="00066163"/>
    <w:rsid w:val="000672D4"/>
    <w:rsid w:val="00070259"/>
    <w:rsid w:val="00070B30"/>
    <w:rsid w:val="00072AA0"/>
    <w:rsid w:val="000732BA"/>
    <w:rsid w:val="000736C4"/>
    <w:rsid w:val="00073E2D"/>
    <w:rsid w:val="00075D3D"/>
    <w:rsid w:val="00076311"/>
    <w:rsid w:val="00077C8B"/>
    <w:rsid w:val="00081057"/>
    <w:rsid w:val="0008123A"/>
    <w:rsid w:val="00082537"/>
    <w:rsid w:val="00083B9C"/>
    <w:rsid w:val="00085F1F"/>
    <w:rsid w:val="0008639A"/>
    <w:rsid w:val="0008643F"/>
    <w:rsid w:val="00087089"/>
    <w:rsid w:val="0008758A"/>
    <w:rsid w:val="0009009F"/>
    <w:rsid w:val="00091B8F"/>
    <w:rsid w:val="00092790"/>
    <w:rsid w:val="00093D4F"/>
    <w:rsid w:val="00093D62"/>
    <w:rsid w:val="00093DC9"/>
    <w:rsid w:val="00093E22"/>
    <w:rsid w:val="00095157"/>
    <w:rsid w:val="00095A70"/>
    <w:rsid w:val="00095E37"/>
    <w:rsid w:val="00097766"/>
    <w:rsid w:val="000A001E"/>
    <w:rsid w:val="000A311A"/>
    <w:rsid w:val="000A3C7D"/>
    <w:rsid w:val="000A6BC2"/>
    <w:rsid w:val="000A75B8"/>
    <w:rsid w:val="000A7A1C"/>
    <w:rsid w:val="000B12E0"/>
    <w:rsid w:val="000B27C9"/>
    <w:rsid w:val="000B58CC"/>
    <w:rsid w:val="000B5FFF"/>
    <w:rsid w:val="000C1FAF"/>
    <w:rsid w:val="000C59B9"/>
    <w:rsid w:val="000C5D74"/>
    <w:rsid w:val="000C7F9D"/>
    <w:rsid w:val="000D004F"/>
    <w:rsid w:val="000D05F2"/>
    <w:rsid w:val="000D1181"/>
    <w:rsid w:val="000D1378"/>
    <w:rsid w:val="000D2EA7"/>
    <w:rsid w:val="000D310B"/>
    <w:rsid w:val="000D5FCA"/>
    <w:rsid w:val="000E032E"/>
    <w:rsid w:val="000E0870"/>
    <w:rsid w:val="000E2964"/>
    <w:rsid w:val="000E365C"/>
    <w:rsid w:val="000E3774"/>
    <w:rsid w:val="000E5A93"/>
    <w:rsid w:val="000E6280"/>
    <w:rsid w:val="000F0132"/>
    <w:rsid w:val="000F31DD"/>
    <w:rsid w:val="000F769E"/>
    <w:rsid w:val="000F7817"/>
    <w:rsid w:val="00102F62"/>
    <w:rsid w:val="00104E09"/>
    <w:rsid w:val="00105224"/>
    <w:rsid w:val="00110F74"/>
    <w:rsid w:val="001136FC"/>
    <w:rsid w:val="001143E9"/>
    <w:rsid w:val="00114775"/>
    <w:rsid w:val="001155CB"/>
    <w:rsid w:val="00116DAE"/>
    <w:rsid w:val="00117741"/>
    <w:rsid w:val="0011785C"/>
    <w:rsid w:val="001201EF"/>
    <w:rsid w:val="0012206B"/>
    <w:rsid w:val="00124FC5"/>
    <w:rsid w:val="00125614"/>
    <w:rsid w:val="001276A1"/>
    <w:rsid w:val="00127D4D"/>
    <w:rsid w:val="0013671D"/>
    <w:rsid w:val="00137189"/>
    <w:rsid w:val="001407AA"/>
    <w:rsid w:val="00151FA0"/>
    <w:rsid w:val="001537CF"/>
    <w:rsid w:val="00154B91"/>
    <w:rsid w:val="00155649"/>
    <w:rsid w:val="00163BA4"/>
    <w:rsid w:val="00163DD1"/>
    <w:rsid w:val="00164337"/>
    <w:rsid w:val="001658C5"/>
    <w:rsid w:val="001672D9"/>
    <w:rsid w:val="00170398"/>
    <w:rsid w:val="00172E54"/>
    <w:rsid w:val="00173058"/>
    <w:rsid w:val="00174AE2"/>
    <w:rsid w:val="00176697"/>
    <w:rsid w:val="00176BA5"/>
    <w:rsid w:val="00180453"/>
    <w:rsid w:val="00186788"/>
    <w:rsid w:val="00187153"/>
    <w:rsid w:val="00190E46"/>
    <w:rsid w:val="00191419"/>
    <w:rsid w:val="00194CC9"/>
    <w:rsid w:val="001955B4"/>
    <w:rsid w:val="00195E70"/>
    <w:rsid w:val="00196803"/>
    <w:rsid w:val="001A038E"/>
    <w:rsid w:val="001A08A3"/>
    <w:rsid w:val="001A1029"/>
    <w:rsid w:val="001A16E0"/>
    <w:rsid w:val="001A2F43"/>
    <w:rsid w:val="001A34F8"/>
    <w:rsid w:val="001A37A4"/>
    <w:rsid w:val="001A424D"/>
    <w:rsid w:val="001A46F3"/>
    <w:rsid w:val="001A6D89"/>
    <w:rsid w:val="001B01CD"/>
    <w:rsid w:val="001B0F72"/>
    <w:rsid w:val="001B16C3"/>
    <w:rsid w:val="001B1A49"/>
    <w:rsid w:val="001B1EC3"/>
    <w:rsid w:val="001B1FD7"/>
    <w:rsid w:val="001B4EA7"/>
    <w:rsid w:val="001B640B"/>
    <w:rsid w:val="001C004C"/>
    <w:rsid w:val="001C0F2D"/>
    <w:rsid w:val="001C1D24"/>
    <w:rsid w:val="001C51B8"/>
    <w:rsid w:val="001C588B"/>
    <w:rsid w:val="001C5939"/>
    <w:rsid w:val="001C7296"/>
    <w:rsid w:val="001C7CC0"/>
    <w:rsid w:val="001C7E17"/>
    <w:rsid w:val="001D35F0"/>
    <w:rsid w:val="001E2447"/>
    <w:rsid w:val="001E29AA"/>
    <w:rsid w:val="001E3E1B"/>
    <w:rsid w:val="001E43DF"/>
    <w:rsid w:val="001F042A"/>
    <w:rsid w:val="001F0D0F"/>
    <w:rsid w:val="001F44FB"/>
    <w:rsid w:val="001F58D5"/>
    <w:rsid w:val="001F7522"/>
    <w:rsid w:val="00200002"/>
    <w:rsid w:val="00203A86"/>
    <w:rsid w:val="002066DD"/>
    <w:rsid w:val="002106B9"/>
    <w:rsid w:val="002134E8"/>
    <w:rsid w:val="00213D27"/>
    <w:rsid w:val="00215E11"/>
    <w:rsid w:val="002162BF"/>
    <w:rsid w:val="00220C33"/>
    <w:rsid w:val="002217C0"/>
    <w:rsid w:val="00224D8F"/>
    <w:rsid w:val="0022512A"/>
    <w:rsid w:val="00225245"/>
    <w:rsid w:val="00225F6B"/>
    <w:rsid w:val="002263D6"/>
    <w:rsid w:val="002307CF"/>
    <w:rsid w:val="002326D7"/>
    <w:rsid w:val="00233792"/>
    <w:rsid w:val="00233B99"/>
    <w:rsid w:val="00234ACA"/>
    <w:rsid w:val="00234B1B"/>
    <w:rsid w:val="00242EAE"/>
    <w:rsid w:val="002441AE"/>
    <w:rsid w:val="002443A9"/>
    <w:rsid w:val="00246796"/>
    <w:rsid w:val="00246FFB"/>
    <w:rsid w:val="002476F0"/>
    <w:rsid w:val="00250408"/>
    <w:rsid w:val="002504A2"/>
    <w:rsid w:val="00251B66"/>
    <w:rsid w:val="00252A46"/>
    <w:rsid w:val="00253D63"/>
    <w:rsid w:val="00255413"/>
    <w:rsid w:val="00255AB6"/>
    <w:rsid w:val="0026057E"/>
    <w:rsid w:val="00263698"/>
    <w:rsid w:val="00264FEA"/>
    <w:rsid w:val="00265AB3"/>
    <w:rsid w:val="00267178"/>
    <w:rsid w:val="0026771B"/>
    <w:rsid w:val="00271E77"/>
    <w:rsid w:val="00272428"/>
    <w:rsid w:val="00276C24"/>
    <w:rsid w:val="00280171"/>
    <w:rsid w:val="002827A2"/>
    <w:rsid w:val="00283104"/>
    <w:rsid w:val="002832CE"/>
    <w:rsid w:val="002833B3"/>
    <w:rsid w:val="00286C2F"/>
    <w:rsid w:val="0029054E"/>
    <w:rsid w:val="00292856"/>
    <w:rsid w:val="00296112"/>
    <w:rsid w:val="00297E0F"/>
    <w:rsid w:val="002A0392"/>
    <w:rsid w:val="002A156F"/>
    <w:rsid w:val="002A65BD"/>
    <w:rsid w:val="002B05CA"/>
    <w:rsid w:val="002B1C16"/>
    <w:rsid w:val="002B36FD"/>
    <w:rsid w:val="002B4309"/>
    <w:rsid w:val="002B6513"/>
    <w:rsid w:val="002C14E0"/>
    <w:rsid w:val="002C568B"/>
    <w:rsid w:val="002C6014"/>
    <w:rsid w:val="002C68D5"/>
    <w:rsid w:val="002C7D69"/>
    <w:rsid w:val="002D1070"/>
    <w:rsid w:val="002D37D3"/>
    <w:rsid w:val="002D6298"/>
    <w:rsid w:val="002D62FE"/>
    <w:rsid w:val="002E367D"/>
    <w:rsid w:val="002E3758"/>
    <w:rsid w:val="002E3ADC"/>
    <w:rsid w:val="002E3BCA"/>
    <w:rsid w:val="002E788A"/>
    <w:rsid w:val="002E7CBE"/>
    <w:rsid w:val="002E7F11"/>
    <w:rsid w:val="002F00B8"/>
    <w:rsid w:val="002F16C5"/>
    <w:rsid w:val="002F1C9D"/>
    <w:rsid w:val="002F388D"/>
    <w:rsid w:val="00300142"/>
    <w:rsid w:val="00300F1E"/>
    <w:rsid w:val="00303E50"/>
    <w:rsid w:val="00304304"/>
    <w:rsid w:val="00307C33"/>
    <w:rsid w:val="0031069E"/>
    <w:rsid w:val="00310750"/>
    <w:rsid w:val="00315943"/>
    <w:rsid w:val="00316C88"/>
    <w:rsid w:val="00316FB5"/>
    <w:rsid w:val="0032022D"/>
    <w:rsid w:val="003211C4"/>
    <w:rsid w:val="00321ED4"/>
    <w:rsid w:val="0032247F"/>
    <w:rsid w:val="00323CE4"/>
    <w:rsid w:val="00326B3E"/>
    <w:rsid w:val="00331021"/>
    <w:rsid w:val="003328C8"/>
    <w:rsid w:val="00335BFC"/>
    <w:rsid w:val="003416BE"/>
    <w:rsid w:val="003431A6"/>
    <w:rsid w:val="0034394B"/>
    <w:rsid w:val="00345960"/>
    <w:rsid w:val="003467B2"/>
    <w:rsid w:val="00357BD2"/>
    <w:rsid w:val="00360CC2"/>
    <w:rsid w:val="003633D2"/>
    <w:rsid w:val="0036581F"/>
    <w:rsid w:val="00372A81"/>
    <w:rsid w:val="00373DDE"/>
    <w:rsid w:val="0037493E"/>
    <w:rsid w:val="0037543B"/>
    <w:rsid w:val="0038061B"/>
    <w:rsid w:val="0038122A"/>
    <w:rsid w:val="00382486"/>
    <w:rsid w:val="00383B96"/>
    <w:rsid w:val="00384BB0"/>
    <w:rsid w:val="003856BA"/>
    <w:rsid w:val="00387F8C"/>
    <w:rsid w:val="00391EE0"/>
    <w:rsid w:val="00392EEA"/>
    <w:rsid w:val="003935B6"/>
    <w:rsid w:val="0039361F"/>
    <w:rsid w:val="003A058C"/>
    <w:rsid w:val="003A0C8D"/>
    <w:rsid w:val="003A107D"/>
    <w:rsid w:val="003A3E44"/>
    <w:rsid w:val="003A4374"/>
    <w:rsid w:val="003A475B"/>
    <w:rsid w:val="003A7E61"/>
    <w:rsid w:val="003B194D"/>
    <w:rsid w:val="003B6AB4"/>
    <w:rsid w:val="003B725D"/>
    <w:rsid w:val="003C105B"/>
    <w:rsid w:val="003C12B9"/>
    <w:rsid w:val="003C3C79"/>
    <w:rsid w:val="003C5D9E"/>
    <w:rsid w:val="003D1530"/>
    <w:rsid w:val="003D2EC2"/>
    <w:rsid w:val="003D3ADE"/>
    <w:rsid w:val="003D65CE"/>
    <w:rsid w:val="003D7DB0"/>
    <w:rsid w:val="003E08B6"/>
    <w:rsid w:val="003E0DC3"/>
    <w:rsid w:val="003E10E9"/>
    <w:rsid w:val="003E147C"/>
    <w:rsid w:val="003E1481"/>
    <w:rsid w:val="003E291E"/>
    <w:rsid w:val="003E3545"/>
    <w:rsid w:val="003E4C19"/>
    <w:rsid w:val="003E4F09"/>
    <w:rsid w:val="003E6335"/>
    <w:rsid w:val="003E6869"/>
    <w:rsid w:val="003F07CB"/>
    <w:rsid w:val="003F1997"/>
    <w:rsid w:val="003F2421"/>
    <w:rsid w:val="003F7833"/>
    <w:rsid w:val="00400F8B"/>
    <w:rsid w:val="00402E91"/>
    <w:rsid w:val="0040381D"/>
    <w:rsid w:val="00405FF8"/>
    <w:rsid w:val="004062B7"/>
    <w:rsid w:val="00407F67"/>
    <w:rsid w:val="00412022"/>
    <w:rsid w:val="00412639"/>
    <w:rsid w:val="004216A5"/>
    <w:rsid w:val="004227C0"/>
    <w:rsid w:val="00422B93"/>
    <w:rsid w:val="00424824"/>
    <w:rsid w:val="00425B4D"/>
    <w:rsid w:val="004260CF"/>
    <w:rsid w:val="00426A9D"/>
    <w:rsid w:val="00427257"/>
    <w:rsid w:val="00430C16"/>
    <w:rsid w:val="004317D4"/>
    <w:rsid w:val="004335A4"/>
    <w:rsid w:val="0043433A"/>
    <w:rsid w:val="00435149"/>
    <w:rsid w:val="0043585D"/>
    <w:rsid w:val="004364AA"/>
    <w:rsid w:val="004401FC"/>
    <w:rsid w:val="00440458"/>
    <w:rsid w:val="0044457E"/>
    <w:rsid w:val="004463D5"/>
    <w:rsid w:val="00446BCA"/>
    <w:rsid w:val="0045051D"/>
    <w:rsid w:val="00451687"/>
    <w:rsid w:val="00452404"/>
    <w:rsid w:val="0045300D"/>
    <w:rsid w:val="004533FA"/>
    <w:rsid w:val="00453480"/>
    <w:rsid w:val="00454EA0"/>
    <w:rsid w:val="00461E13"/>
    <w:rsid w:val="0046262C"/>
    <w:rsid w:val="0046301B"/>
    <w:rsid w:val="00464600"/>
    <w:rsid w:val="004664DF"/>
    <w:rsid w:val="00466B06"/>
    <w:rsid w:val="00467354"/>
    <w:rsid w:val="0046754E"/>
    <w:rsid w:val="004677CB"/>
    <w:rsid w:val="00471138"/>
    <w:rsid w:val="00471A12"/>
    <w:rsid w:val="00473891"/>
    <w:rsid w:val="00474455"/>
    <w:rsid w:val="00474B43"/>
    <w:rsid w:val="00480577"/>
    <w:rsid w:val="0048373B"/>
    <w:rsid w:val="004864A6"/>
    <w:rsid w:val="004864D1"/>
    <w:rsid w:val="004902C1"/>
    <w:rsid w:val="004904B9"/>
    <w:rsid w:val="00490581"/>
    <w:rsid w:val="00490BA9"/>
    <w:rsid w:val="0049120D"/>
    <w:rsid w:val="00491412"/>
    <w:rsid w:val="0049254F"/>
    <w:rsid w:val="004925E4"/>
    <w:rsid w:val="00494ABA"/>
    <w:rsid w:val="00495DBD"/>
    <w:rsid w:val="00497981"/>
    <w:rsid w:val="004A2618"/>
    <w:rsid w:val="004A3102"/>
    <w:rsid w:val="004A337E"/>
    <w:rsid w:val="004A3A89"/>
    <w:rsid w:val="004A4FD2"/>
    <w:rsid w:val="004A5C6F"/>
    <w:rsid w:val="004A7210"/>
    <w:rsid w:val="004B2B50"/>
    <w:rsid w:val="004B2EA0"/>
    <w:rsid w:val="004B336A"/>
    <w:rsid w:val="004B38AE"/>
    <w:rsid w:val="004B5BE3"/>
    <w:rsid w:val="004B6982"/>
    <w:rsid w:val="004B6DED"/>
    <w:rsid w:val="004B73F5"/>
    <w:rsid w:val="004C0772"/>
    <w:rsid w:val="004C14AA"/>
    <w:rsid w:val="004C3926"/>
    <w:rsid w:val="004C51A7"/>
    <w:rsid w:val="004C5487"/>
    <w:rsid w:val="004C6727"/>
    <w:rsid w:val="004C68BD"/>
    <w:rsid w:val="004D1D61"/>
    <w:rsid w:val="004D308E"/>
    <w:rsid w:val="004D47E4"/>
    <w:rsid w:val="004D7042"/>
    <w:rsid w:val="004D73FA"/>
    <w:rsid w:val="004D75C2"/>
    <w:rsid w:val="004E093F"/>
    <w:rsid w:val="004E188B"/>
    <w:rsid w:val="004E2933"/>
    <w:rsid w:val="004E2DAF"/>
    <w:rsid w:val="004E3FFF"/>
    <w:rsid w:val="004E4A90"/>
    <w:rsid w:val="004E7CAF"/>
    <w:rsid w:val="004F0A13"/>
    <w:rsid w:val="004F4DB1"/>
    <w:rsid w:val="004F62C0"/>
    <w:rsid w:val="004F71AC"/>
    <w:rsid w:val="004F77D6"/>
    <w:rsid w:val="004F7F07"/>
    <w:rsid w:val="00501443"/>
    <w:rsid w:val="00503AA6"/>
    <w:rsid w:val="00503AB8"/>
    <w:rsid w:val="00505185"/>
    <w:rsid w:val="0050785A"/>
    <w:rsid w:val="0051059D"/>
    <w:rsid w:val="0051225D"/>
    <w:rsid w:val="00513A31"/>
    <w:rsid w:val="0051480C"/>
    <w:rsid w:val="00514957"/>
    <w:rsid w:val="00514E58"/>
    <w:rsid w:val="00515C38"/>
    <w:rsid w:val="00516781"/>
    <w:rsid w:val="00517DAA"/>
    <w:rsid w:val="00522FF4"/>
    <w:rsid w:val="005254A5"/>
    <w:rsid w:val="00527CE1"/>
    <w:rsid w:val="00530E33"/>
    <w:rsid w:val="0053134F"/>
    <w:rsid w:val="005315C9"/>
    <w:rsid w:val="0053219C"/>
    <w:rsid w:val="005343E7"/>
    <w:rsid w:val="0053487F"/>
    <w:rsid w:val="00540E05"/>
    <w:rsid w:val="00541FA7"/>
    <w:rsid w:val="0054347B"/>
    <w:rsid w:val="00545698"/>
    <w:rsid w:val="00545FA0"/>
    <w:rsid w:val="00547558"/>
    <w:rsid w:val="00550468"/>
    <w:rsid w:val="005508BE"/>
    <w:rsid w:val="00550A1A"/>
    <w:rsid w:val="0055193F"/>
    <w:rsid w:val="00553BF1"/>
    <w:rsid w:val="00554F45"/>
    <w:rsid w:val="00555D0B"/>
    <w:rsid w:val="00555F5E"/>
    <w:rsid w:val="00556B60"/>
    <w:rsid w:val="00563918"/>
    <w:rsid w:val="00571294"/>
    <w:rsid w:val="00571B87"/>
    <w:rsid w:val="00572681"/>
    <w:rsid w:val="00573DFF"/>
    <w:rsid w:val="0058052B"/>
    <w:rsid w:val="00580B34"/>
    <w:rsid w:val="00580DBC"/>
    <w:rsid w:val="005821D7"/>
    <w:rsid w:val="00582903"/>
    <w:rsid w:val="00583A5C"/>
    <w:rsid w:val="00583B60"/>
    <w:rsid w:val="005850BC"/>
    <w:rsid w:val="00587DAE"/>
    <w:rsid w:val="00590416"/>
    <w:rsid w:val="00590436"/>
    <w:rsid w:val="005911AD"/>
    <w:rsid w:val="005922A4"/>
    <w:rsid w:val="00592E8B"/>
    <w:rsid w:val="0059516A"/>
    <w:rsid w:val="005955EC"/>
    <w:rsid w:val="00596329"/>
    <w:rsid w:val="005969DF"/>
    <w:rsid w:val="005A17BE"/>
    <w:rsid w:val="005A517E"/>
    <w:rsid w:val="005A79A8"/>
    <w:rsid w:val="005B3348"/>
    <w:rsid w:val="005B4017"/>
    <w:rsid w:val="005B5286"/>
    <w:rsid w:val="005B60D9"/>
    <w:rsid w:val="005B7A6A"/>
    <w:rsid w:val="005C3855"/>
    <w:rsid w:val="005C4F99"/>
    <w:rsid w:val="005D065A"/>
    <w:rsid w:val="005D2245"/>
    <w:rsid w:val="005D33B9"/>
    <w:rsid w:val="005D4EF3"/>
    <w:rsid w:val="005D672D"/>
    <w:rsid w:val="005E1A8A"/>
    <w:rsid w:val="005E3B66"/>
    <w:rsid w:val="005E50F3"/>
    <w:rsid w:val="005F0BE6"/>
    <w:rsid w:val="005F26C8"/>
    <w:rsid w:val="005F2B93"/>
    <w:rsid w:val="005F2FF8"/>
    <w:rsid w:val="005F60DC"/>
    <w:rsid w:val="005F7431"/>
    <w:rsid w:val="00600C3E"/>
    <w:rsid w:val="00601297"/>
    <w:rsid w:val="00603982"/>
    <w:rsid w:val="00605FE2"/>
    <w:rsid w:val="006072AD"/>
    <w:rsid w:val="0060759A"/>
    <w:rsid w:val="00611FEC"/>
    <w:rsid w:val="00615AE2"/>
    <w:rsid w:val="006160B2"/>
    <w:rsid w:val="0061697D"/>
    <w:rsid w:val="0062216A"/>
    <w:rsid w:val="00624885"/>
    <w:rsid w:val="00624C26"/>
    <w:rsid w:val="0063155D"/>
    <w:rsid w:val="00632243"/>
    <w:rsid w:val="00633151"/>
    <w:rsid w:val="00633952"/>
    <w:rsid w:val="00633E38"/>
    <w:rsid w:val="00635879"/>
    <w:rsid w:val="00641CC2"/>
    <w:rsid w:val="0064202B"/>
    <w:rsid w:val="00645C25"/>
    <w:rsid w:val="0064650E"/>
    <w:rsid w:val="0064691A"/>
    <w:rsid w:val="00647D3B"/>
    <w:rsid w:val="00650BED"/>
    <w:rsid w:val="00652B15"/>
    <w:rsid w:val="006543FD"/>
    <w:rsid w:val="00655D0D"/>
    <w:rsid w:val="00663CD0"/>
    <w:rsid w:val="00666FBB"/>
    <w:rsid w:val="00667BAD"/>
    <w:rsid w:val="00667BBE"/>
    <w:rsid w:val="006708ED"/>
    <w:rsid w:val="00672259"/>
    <w:rsid w:val="006735AB"/>
    <w:rsid w:val="00673BB5"/>
    <w:rsid w:val="006800C4"/>
    <w:rsid w:val="006819D6"/>
    <w:rsid w:val="0068255D"/>
    <w:rsid w:val="00682AD1"/>
    <w:rsid w:val="00682BDA"/>
    <w:rsid w:val="006833EA"/>
    <w:rsid w:val="006835A3"/>
    <w:rsid w:val="00683C3D"/>
    <w:rsid w:val="00686404"/>
    <w:rsid w:val="00691F0F"/>
    <w:rsid w:val="00693B0B"/>
    <w:rsid w:val="00695303"/>
    <w:rsid w:val="00696AAA"/>
    <w:rsid w:val="006A0CAB"/>
    <w:rsid w:val="006A390B"/>
    <w:rsid w:val="006A3F03"/>
    <w:rsid w:val="006A45F8"/>
    <w:rsid w:val="006A4898"/>
    <w:rsid w:val="006A5B88"/>
    <w:rsid w:val="006A67EB"/>
    <w:rsid w:val="006A7799"/>
    <w:rsid w:val="006B0899"/>
    <w:rsid w:val="006B0A82"/>
    <w:rsid w:val="006B6A92"/>
    <w:rsid w:val="006B7C23"/>
    <w:rsid w:val="006C1CC2"/>
    <w:rsid w:val="006C3FD4"/>
    <w:rsid w:val="006C4AC3"/>
    <w:rsid w:val="006D1095"/>
    <w:rsid w:val="006D19BC"/>
    <w:rsid w:val="006D2DBE"/>
    <w:rsid w:val="006D4778"/>
    <w:rsid w:val="006D4DD2"/>
    <w:rsid w:val="006D5E3C"/>
    <w:rsid w:val="006D75FC"/>
    <w:rsid w:val="006E01A8"/>
    <w:rsid w:val="006E14BF"/>
    <w:rsid w:val="006E1682"/>
    <w:rsid w:val="006E1AC5"/>
    <w:rsid w:val="006E1F3A"/>
    <w:rsid w:val="006E2FD8"/>
    <w:rsid w:val="006E3703"/>
    <w:rsid w:val="006E3B6D"/>
    <w:rsid w:val="006E3C62"/>
    <w:rsid w:val="006E53AE"/>
    <w:rsid w:val="006E58E2"/>
    <w:rsid w:val="006E6890"/>
    <w:rsid w:val="006F0C59"/>
    <w:rsid w:val="006F3575"/>
    <w:rsid w:val="006F3E84"/>
    <w:rsid w:val="006F4C0B"/>
    <w:rsid w:val="006F617F"/>
    <w:rsid w:val="00701E63"/>
    <w:rsid w:val="00701E80"/>
    <w:rsid w:val="00703501"/>
    <w:rsid w:val="0070438C"/>
    <w:rsid w:val="00705C13"/>
    <w:rsid w:val="007070AF"/>
    <w:rsid w:val="00711AD3"/>
    <w:rsid w:val="00711F98"/>
    <w:rsid w:val="00712E1B"/>
    <w:rsid w:val="00713737"/>
    <w:rsid w:val="00714DDB"/>
    <w:rsid w:val="007168CE"/>
    <w:rsid w:val="007220D5"/>
    <w:rsid w:val="007241E0"/>
    <w:rsid w:val="0072466E"/>
    <w:rsid w:val="007256AC"/>
    <w:rsid w:val="00725D64"/>
    <w:rsid w:val="00725D83"/>
    <w:rsid w:val="007272F0"/>
    <w:rsid w:val="007300A9"/>
    <w:rsid w:val="00731EAE"/>
    <w:rsid w:val="0073544F"/>
    <w:rsid w:val="0073573C"/>
    <w:rsid w:val="00736F80"/>
    <w:rsid w:val="00737819"/>
    <w:rsid w:val="00740CC5"/>
    <w:rsid w:val="0074105D"/>
    <w:rsid w:val="007416D2"/>
    <w:rsid w:val="007436A1"/>
    <w:rsid w:val="00746614"/>
    <w:rsid w:val="00747E28"/>
    <w:rsid w:val="00750C27"/>
    <w:rsid w:val="007513C2"/>
    <w:rsid w:val="00751A7A"/>
    <w:rsid w:val="00751B97"/>
    <w:rsid w:val="00751E39"/>
    <w:rsid w:val="0075227F"/>
    <w:rsid w:val="007525E7"/>
    <w:rsid w:val="007528D3"/>
    <w:rsid w:val="007541E7"/>
    <w:rsid w:val="00754DD1"/>
    <w:rsid w:val="0076445A"/>
    <w:rsid w:val="00765178"/>
    <w:rsid w:val="00765A25"/>
    <w:rsid w:val="00765FD2"/>
    <w:rsid w:val="00767958"/>
    <w:rsid w:val="00767BF8"/>
    <w:rsid w:val="007700E4"/>
    <w:rsid w:val="00770582"/>
    <w:rsid w:val="00770E25"/>
    <w:rsid w:val="00772C99"/>
    <w:rsid w:val="007730D4"/>
    <w:rsid w:val="0077359D"/>
    <w:rsid w:val="007740DE"/>
    <w:rsid w:val="00774996"/>
    <w:rsid w:val="00774AC0"/>
    <w:rsid w:val="0077557B"/>
    <w:rsid w:val="007770BE"/>
    <w:rsid w:val="0078015E"/>
    <w:rsid w:val="00783BA2"/>
    <w:rsid w:val="00785029"/>
    <w:rsid w:val="0078738C"/>
    <w:rsid w:val="00787529"/>
    <w:rsid w:val="00792973"/>
    <w:rsid w:val="00793372"/>
    <w:rsid w:val="00795B33"/>
    <w:rsid w:val="00797597"/>
    <w:rsid w:val="007A0B9A"/>
    <w:rsid w:val="007A25BB"/>
    <w:rsid w:val="007A4232"/>
    <w:rsid w:val="007B069E"/>
    <w:rsid w:val="007B1A0B"/>
    <w:rsid w:val="007B1E7B"/>
    <w:rsid w:val="007B1EAF"/>
    <w:rsid w:val="007B253C"/>
    <w:rsid w:val="007B290E"/>
    <w:rsid w:val="007B2BAA"/>
    <w:rsid w:val="007B33A4"/>
    <w:rsid w:val="007B3719"/>
    <w:rsid w:val="007B40D0"/>
    <w:rsid w:val="007B543D"/>
    <w:rsid w:val="007B7F7F"/>
    <w:rsid w:val="007C317E"/>
    <w:rsid w:val="007C4A5D"/>
    <w:rsid w:val="007C5BA4"/>
    <w:rsid w:val="007C5E13"/>
    <w:rsid w:val="007C5F57"/>
    <w:rsid w:val="007D0931"/>
    <w:rsid w:val="007D0B7B"/>
    <w:rsid w:val="007D17A1"/>
    <w:rsid w:val="007D3928"/>
    <w:rsid w:val="007D63B0"/>
    <w:rsid w:val="007D6C42"/>
    <w:rsid w:val="007E0359"/>
    <w:rsid w:val="007E0648"/>
    <w:rsid w:val="007E0FF3"/>
    <w:rsid w:val="007E166D"/>
    <w:rsid w:val="007E2330"/>
    <w:rsid w:val="007E46C8"/>
    <w:rsid w:val="007E7E1A"/>
    <w:rsid w:val="007F0504"/>
    <w:rsid w:val="007F199C"/>
    <w:rsid w:val="007F5EA3"/>
    <w:rsid w:val="007F6B23"/>
    <w:rsid w:val="007F76C4"/>
    <w:rsid w:val="00800CDF"/>
    <w:rsid w:val="00803EAC"/>
    <w:rsid w:val="0080603D"/>
    <w:rsid w:val="00810108"/>
    <w:rsid w:val="00810B57"/>
    <w:rsid w:val="00813F20"/>
    <w:rsid w:val="0081575C"/>
    <w:rsid w:val="008157CF"/>
    <w:rsid w:val="00816604"/>
    <w:rsid w:val="0081680B"/>
    <w:rsid w:val="008173F1"/>
    <w:rsid w:val="008176BA"/>
    <w:rsid w:val="00820986"/>
    <w:rsid w:val="00821577"/>
    <w:rsid w:val="00821926"/>
    <w:rsid w:val="0082552F"/>
    <w:rsid w:val="00826C04"/>
    <w:rsid w:val="008270A0"/>
    <w:rsid w:val="00827B76"/>
    <w:rsid w:val="00831B35"/>
    <w:rsid w:val="00832B53"/>
    <w:rsid w:val="00832ECE"/>
    <w:rsid w:val="00840CF1"/>
    <w:rsid w:val="00842E28"/>
    <w:rsid w:val="00843828"/>
    <w:rsid w:val="0084440E"/>
    <w:rsid w:val="00845A13"/>
    <w:rsid w:val="00845FF8"/>
    <w:rsid w:val="00846B36"/>
    <w:rsid w:val="00846E81"/>
    <w:rsid w:val="00847678"/>
    <w:rsid w:val="00851C1B"/>
    <w:rsid w:val="008522AD"/>
    <w:rsid w:val="00852436"/>
    <w:rsid w:val="00853D98"/>
    <w:rsid w:val="008552F7"/>
    <w:rsid w:val="00857078"/>
    <w:rsid w:val="00857914"/>
    <w:rsid w:val="0086090F"/>
    <w:rsid w:val="008617E3"/>
    <w:rsid w:val="0086190B"/>
    <w:rsid w:val="00862815"/>
    <w:rsid w:val="008636C0"/>
    <w:rsid w:val="008728F9"/>
    <w:rsid w:val="00873770"/>
    <w:rsid w:val="00874EA0"/>
    <w:rsid w:val="00875326"/>
    <w:rsid w:val="00876D5D"/>
    <w:rsid w:val="0087736C"/>
    <w:rsid w:val="00877370"/>
    <w:rsid w:val="00882496"/>
    <w:rsid w:val="00884C77"/>
    <w:rsid w:val="00886218"/>
    <w:rsid w:val="008925D2"/>
    <w:rsid w:val="00893762"/>
    <w:rsid w:val="008959E1"/>
    <w:rsid w:val="00897F8A"/>
    <w:rsid w:val="008A0E71"/>
    <w:rsid w:val="008A222E"/>
    <w:rsid w:val="008A2D8B"/>
    <w:rsid w:val="008A4573"/>
    <w:rsid w:val="008A6A93"/>
    <w:rsid w:val="008A7E03"/>
    <w:rsid w:val="008A7E6A"/>
    <w:rsid w:val="008B0203"/>
    <w:rsid w:val="008B4E16"/>
    <w:rsid w:val="008B5E19"/>
    <w:rsid w:val="008B6584"/>
    <w:rsid w:val="008B73CA"/>
    <w:rsid w:val="008C0DCD"/>
    <w:rsid w:val="008C2065"/>
    <w:rsid w:val="008C2DF2"/>
    <w:rsid w:val="008C36EE"/>
    <w:rsid w:val="008C6776"/>
    <w:rsid w:val="008C6BEA"/>
    <w:rsid w:val="008C6FB1"/>
    <w:rsid w:val="008D04B8"/>
    <w:rsid w:val="008D3D97"/>
    <w:rsid w:val="008D49A8"/>
    <w:rsid w:val="008D52D5"/>
    <w:rsid w:val="008D56ED"/>
    <w:rsid w:val="008E0C0A"/>
    <w:rsid w:val="008E0D53"/>
    <w:rsid w:val="008E2C23"/>
    <w:rsid w:val="008E4C41"/>
    <w:rsid w:val="008E58DF"/>
    <w:rsid w:val="008E629D"/>
    <w:rsid w:val="008F03E4"/>
    <w:rsid w:val="008F0861"/>
    <w:rsid w:val="008F2451"/>
    <w:rsid w:val="008F2CAB"/>
    <w:rsid w:val="008F56EE"/>
    <w:rsid w:val="008F6893"/>
    <w:rsid w:val="008F738F"/>
    <w:rsid w:val="00900F64"/>
    <w:rsid w:val="0090124F"/>
    <w:rsid w:val="009034C7"/>
    <w:rsid w:val="00904430"/>
    <w:rsid w:val="009077B2"/>
    <w:rsid w:val="009078D7"/>
    <w:rsid w:val="0091121B"/>
    <w:rsid w:val="00911E7D"/>
    <w:rsid w:val="009147E6"/>
    <w:rsid w:val="00914DE6"/>
    <w:rsid w:val="00915940"/>
    <w:rsid w:val="00920618"/>
    <w:rsid w:val="009207F9"/>
    <w:rsid w:val="009241E7"/>
    <w:rsid w:val="00924EEC"/>
    <w:rsid w:val="0092554E"/>
    <w:rsid w:val="00925B68"/>
    <w:rsid w:val="00926246"/>
    <w:rsid w:val="00927335"/>
    <w:rsid w:val="009307B4"/>
    <w:rsid w:val="0093101B"/>
    <w:rsid w:val="00932BDB"/>
    <w:rsid w:val="00934395"/>
    <w:rsid w:val="00941B3B"/>
    <w:rsid w:val="0094262B"/>
    <w:rsid w:val="00943EDB"/>
    <w:rsid w:val="009457BB"/>
    <w:rsid w:val="00945847"/>
    <w:rsid w:val="00945F06"/>
    <w:rsid w:val="00946705"/>
    <w:rsid w:val="00946A2B"/>
    <w:rsid w:val="00946C63"/>
    <w:rsid w:val="0094779F"/>
    <w:rsid w:val="00947FB4"/>
    <w:rsid w:val="0095077C"/>
    <w:rsid w:val="00951E1B"/>
    <w:rsid w:val="009524FD"/>
    <w:rsid w:val="00952D63"/>
    <w:rsid w:val="009539AD"/>
    <w:rsid w:val="00953C5F"/>
    <w:rsid w:val="0095454F"/>
    <w:rsid w:val="009616B4"/>
    <w:rsid w:val="00963265"/>
    <w:rsid w:val="00964E19"/>
    <w:rsid w:val="00966599"/>
    <w:rsid w:val="0097043D"/>
    <w:rsid w:val="00971DBE"/>
    <w:rsid w:val="00974357"/>
    <w:rsid w:val="009751E0"/>
    <w:rsid w:val="00977FA1"/>
    <w:rsid w:val="00980470"/>
    <w:rsid w:val="0098063D"/>
    <w:rsid w:val="0098192F"/>
    <w:rsid w:val="00981A11"/>
    <w:rsid w:val="00981F68"/>
    <w:rsid w:val="00983765"/>
    <w:rsid w:val="0098376A"/>
    <w:rsid w:val="00983882"/>
    <w:rsid w:val="00984C65"/>
    <w:rsid w:val="009921DB"/>
    <w:rsid w:val="00994697"/>
    <w:rsid w:val="009967A9"/>
    <w:rsid w:val="009A2EA3"/>
    <w:rsid w:val="009A3F1D"/>
    <w:rsid w:val="009B0330"/>
    <w:rsid w:val="009B47BF"/>
    <w:rsid w:val="009B52FB"/>
    <w:rsid w:val="009B5BDB"/>
    <w:rsid w:val="009B611D"/>
    <w:rsid w:val="009B750E"/>
    <w:rsid w:val="009B7F0C"/>
    <w:rsid w:val="009C2A2A"/>
    <w:rsid w:val="009C3A46"/>
    <w:rsid w:val="009C3FCA"/>
    <w:rsid w:val="009C4114"/>
    <w:rsid w:val="009C72EA"/>
    <w:rsid w:val="009D0B90"/>
    <w:rsid w:val="009D24E4"/>
    <w:rsid w:val="009D264B"/>
    <w:rsid w:val="009D3B97"/>
    <w:rsid w:val="009D42D0"/>
    <w:rsid w:val="009D5BED"/>
    <w:rsid w:val="009D7E68"/>
    <w:rsid w:val="009E170C"/>
    <w:rsid w:val="009E18C3"/>
    <w:rsid w:val="009E1E24"/>
    <w:rsid w:val="009E4B14"/>
    <w:rsid w:val="009E56A5"/>
    <w:rsid w:val="009E581B"/>
    <w:rsid w:val="009E6072"/>
    <w:rsid w:val="009E627F"/>
    <w:rsid w:val="009F08C3"/>
    <w:rsid w:val="009F0A91"/>
    <w:rsid w:val="009F2491"/>
    <w:rsid w:val="009F775E"/>
    <w:rsid w:val="00A004BD"/>
    <w:rsid w:val="00A00D86"/>
    <w:rsid w:val="00A0138C"/>
    <w:rsid w:val="00A020A0"/>
    <w:rsid w:val="00A028FD"/>
    <w:rsid w:val="00A02A88"/>
    <w:rsid w:val="00A03A03"/>
    <w:rsid w:val="00A05C22"/>
    <w:rsid w:val="00A1544B"/>
    <w:rsid w:val="00A16C5D"/>
    <w:rsid w:val="00A17FA0"/>
    <w:rsid w:val="00A2087F"/>
    <w:rsid w:val="00A21761"/>
    <w:rsid w:val="00A21A68"/>
    <w:rsid w:val="00A23D6F"/>
    <w:rsid w:val="00A27DF9"/>
    <w:rsid w:val="00A27EB1"/>
    <w:rsid w:val="00A32E51"/>
    <w:rsid w:val="00A3499A"/>
    <w:rsid w:val="00A40FEF"/>
    <w:rsid w:val="00A4119F"/>
    <w:rsid w:val="00A4231A"/>
    <w:rsid w:val="00A4232F"/>
    <w:rsid w:val="00A43B15"/>
    <w:rsid w:val="00A458B3"/>
    <w:rsid w:val="00A4698B"/>
    <w:rsid w:val="00A479ED"/>
    <w:rsid w:val="00A47C94"/>
    <w:rsid w:val="00A514AB"/>
    <w:rsid w:val="00A514B8"/>
    <w:rsid w:val="00A53232"/>
    <w:rsid w:val="00A555AC"/>
    <w:rsid w:val="00A57342"/>
    <w:rsid w:val="00A5779D"/>
    <w:rsid w:val="00A61794"/>
    <w:rsid w:val="00A64EA2"/>
    <w:rsid w:val="00A6654E"/>
    <w:rsid w:val="00A67C1D"/>
    <w:rsid w:val="00A71641"/>
    <w:rsid w:val="00A74523"/>
    <w:rsid w:val="00A758FB"/>
    <w:rsid w:val="00A75F6C"/>
    <w:rsid w:val="00A76FCE"/>
    <w:rsid w:val="00A773E4"/>
    <w:rsid w:val="00A776E3"/>
    <w:rsid w:val="00A77823"/>
    <w:rsid w:val="00A80196"/>
    <w:rsid w:val="00A84D95"/>
    <w:rsid w:val="00A85714"/>
    <w:rsid w:val="00A9056F"/>
    <w:rsid w:val="00A92139"/>
    <w:rsid w:val="00A93AF4"/>
    <w:rsid w:val="00A94F1C"/>
    <w:rsid w:val="00A95055"/>
    <w:rsid w:val="00A95E7E"/>
    <w:rsid w:val="00A960A0"/>
    <w:rsid w:val="00A97637"/>
    <w:rsid w:val="00AA05BA"/>
    <w:rsid w:val="00AA09BD"/>
    <w:rsid w:val="00AA18AD"/>
    <w:rsid w:val="00AA586D"/>
    <w:rsid w:val="00AA5E60"/>
    <w:rsid w:val="00AB0ABB"/>
    <w:rsid w:val="00AB1D0A"/>
    <w:rsid w:val="00AB205F"/>
    <w:rsid w:val="00AB59BD"/>
    <w:rsid w:val="00AB65ED"/>
    <w:rsid w:val="00AB7D33"/>
    <w:rsid w:val="00AC024E"/>
    <w:rsid w:val="00AC30B7"/>
    <w:rsid w:val="00AC3383"/>
    <w:rsid w:val="00AC5421"/>
    <w:rsid w:val="00AC6292"/>
    <w:rsid w:val="00AC62B4"/>
    <w:rsid w:val="00AC67F6"/>
    <w:rsid w:val="00AC680B"/>
    <w:rsid w:val="00AC6C42"/>
    <w:rsid w:val="00AD19E1"/>
    <w:rsid w:val="00AD348D"/>
    <w:rsid w:val="00AD60CD"/>
    <w:rsid w:val="00AD65B9"/>
    <w:rsid w:val="00AE05D8"/>
    <w:rsid w:val="00AE29F1"/>
    <w:rsid w:val="00AE4D47"/>
    <w:rsid w:val="00AE4F41"/>
    <w:rsid w:val="00AE665A"/>
    <w:rsid w:val="00AE6F72"/>
    <w:rsid w:val="00AE7C9F"/>
    <w:rsid w:val="00AF1956"/>
    <w:rsid w:val="00AF2385"/>
    <w:rsid w:val="00AF257F"/>
    <w:rsid w:val="00AF3D8A"/>
    <w:rsid w:val="00AF4214"/>
    <w:rsid w:val="00AF5581"/>
    <w:rsid w:val="00AF589F"/>
    <w:rsid w:val="00AF6247"/>
    <w:rsid w:val="00B01482"/>
    <w:rsid w:val="00B016B9"/>
    <w:rsid w:val="00B0279B"/>
    <w:rsid w:val="00B05BCB"/>
    <w:rsid w:val="00B06211"/>
    <w:rsid w:val="00B07007"/>
    <w:rsid w:val="00B120A3"/>
    <w:rsid w:val="00B1764B"/>
    <w:rsid w:val="00B21127"/>
    <w:rsid w:val="00B21CC5"/>
    <w:rsid w:val="00B245C2"/>
    <w:rsid w:val="00B24602"/>
    <w:rsid w:val="00B254DD"/>
    <w:rsid w:val="00B25C06"/>
    <w:rsid w:val="00B25E05"/>
    <w:rsid w:val="00B266BC"/>
    <w:rsid w:val="00B26F8E"/>
    <w:rsid w:val="00B30D26"/>
    <w:rsid w:val="00B314B2"/>
    <w:rsid w:val="00B33413"/>
    <w:rsid w:val="00B33664"/>
    <w:rsid w:val="00B33E53"/>
    <w:rsid w:val="00B35860"/>
    <w:rsid w:val="00B36D06"/>
    <w:rsid w:val="00B37376"/>
    <w:rsid w:val="00B41723"/>
    <w:rsid w:val="00B41E04"/>
    <w:rsid w:val="00B423AF"/>
    <w:rsid w:val="00B423D9"/>
    <w:rsid w:val="00B442C8"/>
    <w:rsid w:val="00B44CB8"/>
    <w:rsid w:val="00B463CE"/>
    <w:rsid w:val="00B466DE"/>
    <w:rsid w:val="00B510E1"/>
    <w:rsid w:val="00B52F40"/>
    <w:rsid w:val="00B53866"/>
    <w:rsid w:val="00B571B2"/>
    <w:rsid w:val="00B574BA"/>
    <w:rsid w:val="00B62F1D"/>
    <w:rsid w:val="00B64096"/>
    <w:rsid w:val="00B65A8F"/>
    <w:rsid w:val="00B7083B"/>
    <w:rsid w:val="00B71FC3"/>
    <w:rsid w:val="00B737D3"/>
    <w:rsid w:val="00B745AA"/>
    <w:rsid w:val="00B74CC3"/>
    <w:rsid w:val="00B74ED9"/>
    <w:rsid w:val="00B76A8C"/>
    <w:rsid w:val="00B81078"/>
    <w:rsid w:val="00B82EDE"/>
    <w:rsid w:val="00B841ED"/>
    <w:rsid w:val="00B84BCA"/>
    <w:rsid w:val="00B85532"/>
    <w:rsid w:val="00B86256"/>
    <w:rsid w:val="00B91A34"/>
    <w:rsid w:val="00B92D02"/>
    <w:rsid w:val="00B932BF"/>
    <w:rsid w:val="00B9384B"/>
    <w:rsid w:val="00B94774"/>
    <w:rsid w:val="00B95276"/>
    <w:rsid w:val="00B959BA"/>
    <w:rsid w:val="00B965FC"/>
    <w:rsid w:val="00B97491"/>
    <w:rsid w:val="00B97509"/>
    <w:rsid w:val="00BA25BF"/>
    <w:rsid w:val="00BA315B"/>
    <w:rsid w:val="00BA47D3"/>
    <w:rsid w:val="00BA5705"/>
    <w:rsid w:val="00BA6CA5"/>
    <w:rsid w:val="00BB158C"/>
    <w:rsid w:val="00BB2FF7"/>
    <w:rsid w:val="00BB47C5"/>
    <w:rsid w:val="00BB4D0C"/>
    <w:rsid w:val="00BB61D0"/>
    <w:rsid w:val="00BB7154"/>
    <w:rsid w:val="00BC1013"/>
    <w:rsid w:val="00BC1300"/>
    <w:rsid w:val="00BC1AB4"/>
    <w:rsid w:val="00BC4010"/>
    <w:rsid w:val="00BC41A4"/>
    <w:rsid w:val="00BC42C0"/>
    <w:rsid w:val="00BC5110"/>
    <w:rsid w:val="00BC5661"/>
    <w:rsid w:val="00BC5B8A"/>
    <w:rsid w:val="00BC76A0"/>
    <w:rsid w:val="00BC7C84"/>
    <w:rsid w:val="00BC7FBD"/>
    <w:rsid w:val="00BD1817"/>
    <w:rsid w:val="00BD2A6B"/>
    <w:rsid w:val="00BD69C7"/>
    <w:rsid w:val="00BD69D6"/>
    <w:rsid w:val="00BD6B64"/>
    <w:rsid w:val="00BD7328"/>
    <w:rsid w:val="00BE0620"/>
    <w:rsid w:val="00BE0A58"/>
    <w:rsid w:val="00BE148C"/>
    <w:rsid w:val="00BE39B7"/>
    <w:rsid w:val="00BE7037"/>
    <w:rsid w:val="00BE7C6C"/>
    <w:rsid w:val="00BE7E10"/>
    <w:rsid w:val="00BF3D41"/>
    <w:rsid w:val="00BF6203"/>
    <w:rsid w:val="00BF6E21"/>
    <w:rsid w:val="00BF70D0"/>
    <w:rsid w:val="00BF78B5"/>
    <w:rsid w:val="00C000FA"/>
    <w:rsid w:val="00C01320"/>
    <w:rsid w:val="00C018B8"/>
    <w:rsid w:val="00C02A97"/>
    <w:rsid w:val="00C0433B"/>
    <w:rsid w:val="00C10384"/>
    <w:rsid w:val="00C10A48"/>
    <w:rsid w:val="00C209B5"/>
    <w:rsid w:val="00C2452E"/>
    <w:rsid w:val="00C252DF"/>
    <w:rsid w:val="00C2741A"/>
    <w:rsid w:val="00C31539"/>
    <w:rsid w:val="00C334E7"/>
    <w:rsid w:val="00C33FC0"/>
    <w:rsid w:val="00C3405A"/>
    <w:rsid w:val="00C3415F"/>
    <w:rsid w:val="00C35433"/>
    <w:rsid w:val="00C3559B"/>
    <w:rsid w:val="00C360B5"/>
    <w:rsid w:val="00C365D2"/>
    <w:rsid w:val="00C411D4"/>
    <w:rsid w:val="00C42AF3"/>
    <w:rsid w:val="00C43FFB"/>
    <w:rsid w:val="00C44089"/>
    <w:rsid w:val="00C44C9D"/>
    <w:rsid w:val="00C46812"/>
    <w:rsid w:val="00C471B9"/>
    <w:rsid w:val="00C4798C"/>
    <w:rsid w:val="00C50E06"/>
    <w:rsid w:val="00C50F24"/>
    <w:rsid w:val="00C52986"/>
    <w:rsid w:val="00C539DA"/>
    <w:rsid w:val="00C55D9E"/>
    <w:rsid w:val="00C5607A"/>
    <w:rsid w:val="00C564A0"/>
    <w:rsid w:val="00C57361"/>
    <w:rsid w:val="00C61C3C"/>
    <w:rsid w:val="00C6236E"/>
    <w:rsid w:val="00C64791"/>
    <w:rsid w:val="00C65635"/>
    <w:rsid w:val="00C70311"/>
    <w:rsid w:val="00C70D53"/>
    <w:rsid w:val="00C71587"/>
    <w:rsid w:val="00C76FE7"/>
    <w:rsid w:val="00C773BB"/>
    <w:rsid w:val="00C84273"/>
    <w:rsid w:val="00C85ACA"/>
    <w:rsid w:val="00C9073A"/>
    <w:rsid w:val="00C908E5"/>
    <w:rsid w:val="00C9193C"/>
    <w:rsid w:val="00C949C2"/>
    <w:rsid w:val="00C9523B"/>
    <w:rsid w:val="00C963E3"/>
    <w:rsid w:val="00CA0694"/>
    <w:rsid w:val="00CA2932"/>
    <w:rsid w:val="00CA4B4A"/>
    <w:rsid w:val="00CB0975"/>
    <w:rsid w:val="00CB0BAF"/>
    <w:rsid w:val="00CB283E"/>
    <w:rsid w:val="00CB305E"/>
    <w:rsid w:val="00CB33C4"/>
    <w:rsid w:val="00CB3CD6"/>
    <w:rsid w:val="00CB6684"/>
    <w:rsid w:val="00CB6FD5"/>
    <w:rsid w:val="00CC0B2E"/>
    <w:rsid w:val="00CC0D34"/>
    <w:rsid w:val="00CC2847"/>
    <w:rsid w:val="00CC5652"/>
    <w:rsid w:val="00CC5C58"/>
    <w:rsid w:val="00CC6AD3"/>
    <w:rsid w:val="00CC6B11"/>
    <w:rsid w:val="00CC6F00"/>
    <w:rsid w:val="00CC721F"/>
    <w:rsid w:val="00CC7F9D"/>
    <w:rsid w:val="00CD0159"/>
    <w:rsid w:val="00CD030F"/>
    <w:rsid w:val="00CD0768"/>
    <w:rsid w:val="00CD0788"/>
    <w:rsid w:val="00CD2B00"/>
    <w:rsid w:val="00CD338B"/>
    <w:rsid w:val="00CD3822"/>
    <w:rsid w:val="00CD6C5A"/>
    <w:rsid w:val="00CE11A1"/>
    <w:rsid w:val="00CE5D28"/>
    <w:rsid w:val="00CE6D92"/>
    <w:rsid w:val="00CE796E"/>
    <w:rsid w:val="00CF000D"/>
    <w:rsid w:val="00CF1674"/>
    <w:rsid w:val="00CF1BDD"/>
    <w:rsid w:val="00CF3E2A"/>
    <w:rsid w:val="00CF469D"/>
    <w:rsid w:val="00CF53FE"/>
    <w:rsid w:val="00CF63C1"/>
    <w:rsid w:val="00CF6F39"/>
    <w:rsid w:val="00D00A37"/>
    <w:rsid w:val="00D02301"/>
    <w:rsid w:val="00D02E41"/>
    <w:rsid w:val="00D03642"/>
    <w:rsid w:val="00D062A0"/>
    <w:rsid w:val="00D06EA8"/>
    <w:rsid w:val="00D07658"/>
    <w:rsid w:val="00D07EE3"/>
    <w:rsid w:val="00D1079C"/>
    <w:rsid w:val="00D10EB7"/>
    <w:rsid w:val="00D110BA"/>
    <w:rsid w:val="00D11452"/>
    <w:rsid w:val="00D12E36"/>
    <w:rsid w:val="00D20AE5"/>
    <w:rsid w:val="00D21AFD"/>
    <w:rsid w:val="00D221F8"/>
    <w:rsid w:val="00D22712"/>
    <w:rsid w:val="00D2271F"/>
    <w:rsid w:val="00D24969"/>
    <w:rsid w:val="00D2711D"/>
    <w:rsid w:val="00D278B4"/>
    <w:rsid w:val="00D3153D"/>
    <w:rsid w:val="00D33112"/>
    <w:rsid w:val="00D337CD"/>
    <w:rsid w:val="00D34DAB"/>
    <w:rsid w:val="00D36574"/>
    <w:rsid w:val="00D4124F"/>
    <w:rsid w:val="00D414FD"/>
    <w:rsid w:val="00D442F6"/>
    <w:rsid w:val="00D45C35"/>
    <w:rsid w:val="00D506B5"/>
    <w:rsid w:val="00D50FAD"/>
    <w:rsid w:val="00D529E0"/>
    <w:rsid w:val="00D53B9C"/>
    <w:rsid w:val="00D54EA4"/>
    <w:rsid w:val="00D54F63"/>
    <w:rsid w:val="00D55385"/>
    <w:rsid w:val="00D558C3"/>
    <w:rsid w:val="00D56192"/>
    <w:rsid w:val="00D57729"/>
    <w:rsid w:val="00D61BEE"/>
    <w:rsid w:val="00D62C15"/>
    <w:rsid w:val="00D63166"/>
    <w:rsid w:val="00D634AF"/>
    <w:rsid w:val="00D67326"/>
    <w:rsid w:val="00D70B1E"/>
    <w:rsid w:val="00D717EC"/>
    <w:rsid w:val="00D7319D"/>
    <w:rsid w:val="00D7386E"/>
    <w:rsid w:val="00D744AF"/>
    <w:rsid w:val="00D74929"/>
    <w:rsid w:val="00D75189"/>
    <w:rsid w:val="00D759E4"/>
    <w:rsid w:val="00D767AE"/>
    <w:rsid w:val="00D7757F"/>
    <w:rsid w:val="00D82060"/>
    <w:rsid w:val="00D8263A"/>
    <w:rsid w:val="00D82657"/>
    <w:rsid w:val="00D83610"/>
    <w:rsid w:val="00D8379F"/>
    <w:rsid w:val="00D845C3"/>
    <w:rsid w:val="00D8534A"/>
    <w:rsid w:val="00D86088"/>
    <w:rsid w:val="00D863BE"/>
    <w:rsid w:val="00D8654D"/>
    <w:rsid w:val="00D903B0"/>
    <w:rsid w:val="00D9335B"/>
    <w:rsid w:val="00D93C79"/>
    <w:rsid w:val="00D954F0"/>
    <w:rsid w:val="00D961F8"/>
    <w:rsid w:val="00D9704C"/>
    <w:rsid w:val="00D971B4"/>
    <w:rsid w:val="00DA1854"/>
    <w:rsid w:val="00DA23FF"/>
    <w:rsid w:val="00DA5C14"/>
    <w:rsid w:val="00DA5F01"/>
    <w:rsid w:val="00DB0192"/>
    <w:rsid w:val="00DB38B8"/>
    <w:rsid w:val="00DB5662"/>
    <w:rsid w:val="00DB7AAC"/>
    <w:rsid w:val="00DC0989"/>
    <w:rsid w:val="00DC0ACD"/>
    <w:rsid w:val="00DC3773"/>
    <w:rsid w:val="00DC4618"/>
    <w:rsid w:val="00DC49D8"/>
    <w:rsid w:val="00DC53AB"/>
    <w:rsid w:val="00DC6BF0"/>
    <w:rsid w:val="00DC6C2F"/>
    <w:rsid w:val="00DD08C9"/>
    <w:rsid w:val="00DD2BB8"/>
    <w:rsid w:val="00DD3446"/>
    <w:rsid w:val="00DD46EC"/>
    <w:rsid w:val="00DD46FD"/>
    <w:rsid w:val="00DD5212"/>
    <w:rsid w:val="00DD59DD"/>
    <w:rsid w:val="00DD6324"/>
    <w:rsid w:val="00DD7352"/>
    <w:rsid w:val="00DE0BD6"/>
    <w:rsid w:val="00DE23AB"/>
    <w:rsid w:val="00DE2993"/>
    <w:rsid w:val="00DE55C9"/>
    <w:rsid w:val="00DE7E82"/>
    <w:rsid w:val="00DF224A"/>
    <w:rsid w:val="00DF2544"/>
    <w:rsid w:val="00DF36BE"/>
    <w:rsid w:val="00DF3C2F"/>
    <w:rsid w:val="00DF60CB"/>
    <w:rsid w:val="00DF6A2C"/>
    <w:rsid w:val="00DF6E02"/>
    <w:rsid w:val="00E02B7A"/>
    <w:rsid w:val="00E02ED5"/>
    <w:rsid w:val="00E03FF6"/>
    <w:rsid w:val="00E04A18"/>
    <w:rsid w:val="00E06BC3"/>
    <w:rsid w:val="00E078C2"/>
    <w:rsid w:val="00E10B68"/>
    <w:rsid w:val="00E12383"/>
    <w:rsid w:val="00E1356C"/>
    <w:rsid w:val="00E17B5F"/>
    <w:rsid w:val="00E208B0"/>
    <w:rsid w:val="00E208DC"/>
    <w:rsid w:val="00E20BB1"/>
    <w:rsid w:val="00E21453"/>
    <w:rsid w:val="00E252B7"/>
    <w:rsid w:val="00E31067"/>
    <w:rsid w:val="00E338FE"/>
    <w:rsid w:val="00E34024"/>
    <w:rsid w:val="00E3402E"/>
    <w:rsid w:val="00E349BE"/>
    <w:rsid w:val="00E354FE"/>
    <w:rsid w:val="00E35823"/>
    <w:rsid w:val="00E35B54"/>
    <w:rsid w:val="00E41475"/>
    <w:rsid w:val="00E41DD6"/>
    <w:rsid w:val="00E4643D"/>
    <w:rsid w:val="00E52D02"/>
    <w:rsid w:val="00E636CE"/>
    <w:rsid w:val="00E64885"/>
    <w:rsid w:val="00E67E03"/>
    <w:rsid w:val="00E717DF"/>
    <w:rsid w:val="00E72918"/>
    <w:rsid w:val="00E764A2"/>
    <w:rsid w:val="00E77147"/>
    <w:rsid w:val="00E77A14"/>
    <w:rsid w:val="00E80F73"/>
    <w:rsid w:val="00E8381E"/>
    <w:rsid w:val="00E83E93"/>
    <w:rsid w:val="00E84036"/>
    <w:rsid w:val="00E84963"/>
    <w:rsid w:val="00E85717"/>
    <w:rsid w:val="00E87C70"/>
    <w:rsid w:val="00E90F69"/>
    <w:rsid w:val="00E9188C"/>
    <w:rsid w:val="00E96400"/>
    <w:rsid w:val="00EA05BC"/>
    <w:rsid w:val="00EA17F3"/>
    <w:rsid w:val="00EA2DB5"/>
    <w:rsid w:val="00EA43BF"/>
    <w:rsid w:val="00EA4857"/>
    <w:rsid w:val="00EA50EE"/>
    <w:rsid w:val="00EB064B"/>
    <w:rsid w:val="00EB0F45"/>
    <w:rsid w:val="00EB3795"/>
    <w:rsid w:val="00EB3B88"/>
    <w:rsid w:val="00EB524D"/>
    <w:rsid w:val="00EB75ED"/>
    <w:rsid w:val="00EC0B12"/>
    <w:rsid w:val="00EC380F"/>
    <w:rsid w:val="00EC3FEA"/>
    <w:rsid w:val="00EC45FC"/>
    <w:rsid w:val="00EC66BB"/>
    <w:rsid w:val="00EC677A"/>
    <w:rsid w:val="00EC7366"/>
    <w:rsid w:val="00EC745B"/>
    <w:rsid w:val="00ED0569"/>
    <w:rsid w:val="00ED2812"/>
    <w:rsid w:val="00ED3705"/>
    <w:rsid w:val="00ED41B7"/>
    <w:rsid w:val="00ED4A20"/>
    <w:rsid w:val="00ED4B4B"/>
    <w:rsid w:val="00ED56C9"/>
    <w:rsid w:val="00ED781B"/>
    <w:rsid w:val="00ED791D"/>
    <w:rsid w:val="00EE0BD7"/>
    <w:rsid w:val="00EE1987"/>
    <w:rsid w:val="00EE29CF"/>
    <w:rsid w:val="00EE5B66"/>
    <w:rsid w:val="00EF3B3A"/>
    <w:rsid w:val="00EF5BF3"/>
    <w:rsid w:val="00EF691D"/>
    <w:rsid w:val="00EF6A61"/>
    <w:rsid w:val="00F0063A"/>
    <w:rsid w:val="00F00C6E"/>
    <w:rsid w:val="00F0129A"/>
    <w:rsid w:val="00F0382D"/>
    <w:rsid w:val="00F06C0C"/>
    <w:rsid w:val="00F07105"/>
    <w:rsid w:val="00F07B49"/>
    <w:rsid w:val="00F10F30"/>
    <w:rsid w:val="00F1235A"/>
    <w:rsid w:val="00F145D8"/>
    <w:rsid w:val="00F15458"/>
    <w:rsid w:val="00F1580A"/>
    <w:rsid w:val="00F160AF"/>
    <w:rsid w:val="00F1643E"/>
    <w:rsid w:val="00F16EE3"/>
    <w:rsid w:val="00F243C4"/>
    <w:rsid w:val="00F2629B"/>
    <w:rsid w:val="00F266D7"/>
    <w:rsid w:val="00F27DEB"/>
    <w:rsid w:val="00F30DD0"/>
    <w:rsid w:val="00F324F1"/>
    <w:rsid w:val="00F33DCC"/>
    <w:rsid w:val="00F34047"/>
    <w:rsid w:val="00F34165"/>
    <w:rsid w:val="00F36486"/>
    <w:rsid w:val="00F37115"/>
    <w:rsid w:val="00F403F0"/>
    <w:rsid w:val="00F42700"/>
    <w:rsid w:val="00F42CA5"/>
    <w:rsid w:val="00F43E36"/>
    <w:rsid w:val="00F4419D"/>
    <w:rsid w:val="00F45AA0"/>
    <w:rsid w:val="00F47DBC"/>
    <w:rsid w:val="00F54670"/>
    <w:rsid w:val="00F5695C"/>
    <w:rsid w:val="00F600A2"/>
    <w:rsid w:val="00F6137D"/>
    <w:rsid w:val="00F63B97"/>
    <w:rsid w:val="00F63EFE"/>
    <w:rsid w:val="00F64445"/>
    <w:rsid w:val="00F6504C"/>
    <w:rsid w:val="00F654CE"/>
    <w:rsid w:val="00F65884"/>
    <w:rsid w:val="00F6688B"/>
    <w:rsid w:val="00F71341"/>
    <w:rsid w:val="00F71AA7"/>
    <w:rsid w:val="00F723A7"/>
    <w:rsid w:val="00F726A2"/>
    <w:rsid w:val="00F72E6A"/>
    <w:rsid w:val="00F739F0"/>
    <w:rsid w:val="00F758E6"/>
    <w:rsid w:val="00F76128"/>
    <w:rsid w:val="00F77C36"/>
    <w:rsid w:val="00F81A7B"/>
    <w:rsid w:val="00F82224"/>
    <w:rsid w:val="00F84B36"/>
    <w:rsid w:val="00F866F5"/>
    <w:rsid w:val="00F867C6"/>
    <w:rsid w:val="00F87489"/>
    <w:rsid w:val="00F8753B"/>
    <w:rsid w:val="00F9219F"/>
    <w:rsid w:val="00F937F3"/>
    <w:rsid w:val="00F95F58"/>
    <w:rsid w:val="00FA043E"/>
    <w:rsid w:val="00FA71D9"/>
    <w:rsid w:val="00FB05A0"/>
    <w:rsid w:val="00FB0809"/>
    <w:rsid w:val="00FB0F1C"/>
    <w:rsid w:val="00FB3B76"/>
    <w:rsid w:val="00FB4361"/>
    <w:rsid w:val="00FB7F8F"/>
    <w:rsid w:val="00FC61F4"/>
    <w:rsid w:val="00FD1DCD"/>
    <w:rsid w:val="00FD53B2"/>
    <w:rsid w:val="00FE0E07"/>
    <w:rsid w:val="00FE278E"/>
    <w:rsid w:val="00FE2A2B"/>
    <w:rsid w:val="00FE2EB0"/>
    <w:rsid w:val="00FE5A80"/>
    <w:rsid w:val="00FE5E2C"/>
    <w:rsid w:val="00FF0368"/>
    <w:rsid w:val="00FF0F9E"/>
    <w:rsid w:val="00FF1736"/>
    <w:rsid w:val="00FF6E5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7DB0"/>
    <w:pPr>
      <w:keepNext/>
      <w:jc w:val="left"/>
      <w:outlineLvl w:val="0"/>
    </w:pPr>
    <w:rPr>
      <w:b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0F45"/>
    <w:pPr>
      <w:tabs>
        <w:tab w:val="num" w:pos="567"/>
        <w:tab w:val="decimal" w:pos="8080"/>
      </w:tabs>
      <w:spacing w:before="240" w:after="120" w:line="360" w:lineRule="auto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0F45"/>
    <w:pPr>
      <w:keepNext/>
      <w:tabs>
        <w:tab w:val="num" w:pos="360"/>
      </w:tabs>
      <w:spacing w:before="120" w:after="60" w:line="360" w:lineRule="auto"/>
      <w:ind w:left="360" w:hanging="3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0F45"/>
    <w:pPr>
      <w:keepNext/>
      <w:spacing w:before="240" w:after="6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B0F45"/>
    <w:pPr>
      <w:keepNext/>
      <w:tabs>
        <w:tab w:val="left" w:pos="567"/>
        <w:tab w:val="left" w:pos="709"/>
        <w:tab w:val="decimal" w:pos="8222"/>
      </w:tabs>
      <w:spacing w:before="240" w:after="120" w:line="360" w:lineRule="auto"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rtl w:val="0"/>
      <w:cs w:val="0"/>
    </w:rPr>
  </w:style>
  <w:style w:type="paragraph" w:styleId="Title">
    <w:name w:val="Title"/>
    <w:basedOn w:val="Normal"/>
    <w:link w:val="TitleChar"/>
    <w:uiPriority w:val="99"/>
    <w:qFormat/>
    <w:rsid w:val="0073544F"/>
    <w:pPr>
      <w:spacing w:before="240" w:after="120" w:line="360" w:lineRule="auto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73544F"/>
    <w:pPr>
      <w:spacing w:before="240" w:after="120" w:line="360" w:lineRule="auto"/>
      <w:ind w:firstLine="709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A475B"/>
    <w:rPr>
      <w:rFonts w:ascii="Arial" w:hAnsi="Arial" w:cs="Times New Roman"/>
      <w:sz w:val="24"/>
      <w:rtl w:val="0"/>
      <w:cs w:val="0"/>
    </w:rPr>
  </w:style>
  <w:style w:type="paragraph" w:styleId="Footer">
    <w:name w:val="footer"/>
    <w:basedOn w:val="Normal"/>
    <w:link w:val="FooterChar"/>
    <w:uiPriority w:val="99"/>
    <w:rsid w:val="0073544F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  <w:rtl w:val="0"/>
      <w:cs w:val="0"/>
    </w:rPr>
  </w:style>
  <w:style w:type="character" w:styleId="PageNumber">
    <w:name w:val="page number"/>
    <w:basedOn w:val="DefaultParagraphFont"/>
    <w:uiPriority w:val="99"/>
    <w:rsid w:val="0073544F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F07B4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rtl w:val="0"/>
      <w:cs w:val="0"/>
    </w:rPr>
  </w:style>
  <w:style w:type="paragraph" w:styleId="BodyTextIndent2">
    <w:name w:val="Body Text Indent 2"/>
    <w:basedOn w:val="Normal"/>
    <w:link w:val="BodyTextIndent2Char"/>
    <w:rsid w:val="00D634AF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locked/>
    <w:rsid w:val="00767BF8"/>
    <w:rPr>
      <w:rFonts w:ascii="Arial" w:hAnsi="Arial" w:cs="Times New Roman"/>
      <w:sz w:val="24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rsid w:val="00695303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A475B"/>
    <w:rPr>
      <w:rFonts w:ascii="Arial" w:hAnsi="Arial"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C4798C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0"/>
      <w:szCs w:val="20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EB0F45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  <w:rtl w:val="0"/>
      <w:cs w:val="0"/>
    </w:rPr>
  </w:style>
  <w:style w:type="paragraph" w:customStyle="1" w:styleId="kSk">
    <w:name w:val="kSk"/>
    <w:basedOn w:val="Normal"/>
    <w:uiPriority w:val="99"/>
    <w:rsid w:val="00EB0F45"/>
    <w:pPr>
      <w:tabs>
        <w:tab w:val="left" w:pos="426"/>
        <w:tab w:val="decimal" w:pos="8080"/>
      </w:tabs>
      <w:spacing w:after="240" w:line="360" w:lineRule="auto"/>
      <w:jc w:val="left"/>
    </w:pPr>
  </w:style>
  <w:style w:type="paragraph" w:styleId="Header">
    <w:name w:val="header"/>
    <w:basedOn w:val="Normal"/>
    <w:link w:val="HeaderChar"/>
    <w:uiPriority w:val="99"/>
    <w:rsid w:val="00EB0F4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  <w:rtl w:val="0"/>
      <w:cs w:val="0"/>
    </w:rPr>
  </w:style>
  <w:style w:type="paragraph" w:styleId="BodyText3">
    <w:name w:val="Body Text 3"/>
    <w:basedOn w:val="Normal"/>
    <w:link w:val="BodyText3Char"/>
    <w:uiPriority w:val="99"/>
    <w:rsid w:val="00EB0F45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Times New Roman"/>
      <w:sz w:val="16"/>
      <w:szCs w:val="16"/>
      <w:rtl w:val="0"/>
      <w:cs w:val="0"/>
    </w:rPr>
  </w:style>
  <w:style w:type="table" w:styleId="TableGrid">
    <w:name w:val="Table Grid"/>
    <w:basedOn w:val="TableNormal"/>
    <w:uiPriority w:val="99"/>
    <w:rsid w:val="00845F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harChar">
    <w:name w:val="Car Char Char"/>
    <w:basedOn w:val="Normal"/>
    <w:uiPriority w:val="99"/>
    <w:rsid w:val="00D903B0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7D392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43E1-961C-4800-8327-E6A2D2BE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3639</Words>
  <Characters>20743</Characters>
  <Application>Microsoft Office Word</Application>
  <DocSecurity>0</DocSecurity>
  <Lines>0</Lines>
  <Paragraphs>0</Paragraphs>
  <ScaleCrop>false</ScaleCrop>
  <Company>Sociálna poisťovňa</Company>
  <LinksUpToDate>false</LinksUpToDate>
  <CharactersWithSpaces>24334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Východiská k návrhu rozpočtu Sociálnej poisťovne</dc:title>
  <dc:creator>Deskpro</dc:creator>
  <cp:lastModifiedBy>Gašparíková, Jarmila</cp:lastModifiedBy>
  <cp:revision>2</cp:revision>
  <cp:lastPrinted>2012-10-10T09:29:00Z</cp:lastPrinted>
  <dcterms:created xsi:type="dcterms:W3CDTF">2012-10-12T10:53:00Z</dcterms:created>
  <dcterms:modified xsi:type="dcterms:W3CDTF">2012-10-12T10:53:00Z</dcterms:modified>
</cp:coreProperties>
</file>