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6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899"/>
        <w:gridCol w:w="4501"/>
        <w:gridCol w:w="1260"/>
        <w:gridCol w:w="1260"/>
        <w:gridCol w:w="1260"/>
        <w:gridCol w:w="4500"/>
        <w:gridCol w:w="720"/>
        <w:gridCol w:w="1800"/>
      </w:tblGrid>
      <w:tr>
        <w:tblPrEx>
          <w:tblW w:w="16200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c>
          <w:tcPr>
            <w:tcW w:w="1620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F72075">
            <w:pPr>
              <w:pStyle w:val="Heading1"/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TABUĽKA  ZHODY</w:t>
            </w:r>
          </w:p>
          <w:p w:rsidR="008C54C3" w:rsidRPr="00F72075">
            <w:pPr>
              <w:pStyle w:val="Heading1"/>
              <w:bidi w:val="0"/>
              <w:spacing w:after="12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="00F10011">
              <w:rPr>
                <w:rFonts w:ascii="Times New Roman" w:hAnsi="Times New Roman"/>
                <w:sz w:val="20"/>
                <w:szCs w:val="20"/>
              </w:rPr>
              <w:t>s právom Európskych spoločenstiev a právom Európskej únie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trHeight w:val="567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F72075">
            <w:pPr>
              <w:pStyle w:val="Heading4"/>
              <w:bidi w:val="0"/>
              <w:spacing w:before="120"/>
              <w:rPr>
                <w:rFonts w:ascii="Times New Roman" w:hAnsi="Times New Roman"/>
              </w:rPr>
            </w:pPr>
            <w:r w:rsidRPr="00F72075">
              <w:rPr>
                <w:rFonts w:ascii="Times New Roman" w:hAnsi="Times New Roman"/>
              </w:rPr>
              <w:t>Smernica</w:t>
            </w:r>
          </w:p>
          <w:p w:rsidR="008C54C3" w:rsidRPr="00F72075">
            <w:pPr>
              <w:pStyle w:val="BodyText3"/>
              <w:widowControl/>
              <w:tabs>
                <w:tab w:val="clear" w:pos="405"/>
                <w:tab w:val="clear" w:pos="720"/>
              </w:tabs>
              <w:autoSpaceDE w:val="0"/>
              <w:autoSpaceDN w:val="0"/>
              <w:bidi w:val="0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F72075">
            <w:pPr>
              <w:pStyle w:val="Heading4"/>
              <w:bidi w:val="0"/>
              <w:spacing w:before="120"/>
              <w:rPr>
                <w:rFonts w:ascii="Times New Roman" w:hAnsi="Times New Roman"/>
              </w:rPr>
            </w:pPr>
            <w:r w:rsidR="001255BF">
              <w:rPr>
                <w:rFonts w:ascii="Times New Roman" w:hAnsi="Times New Roman"/>
              </w:rPr>
              <w:t>P</w:t>
            </w:r>
            <w:r w:rsidRPr="00F72075">
              <w:rPr>
                <w:rFonts w:ascii="Times New Roman" w:hAnsi="Times New Roman"/>
              </w:rPr>
              <w:t>rávne predpisy Slovenskej republiky</w:t>
            </w:r>
          </w:p>
          <w:p w:rsidR="008C54C3" w:rsidRPr="00F72075">
            <w:pPr>
              <w:pStyle w:val="Header"/>
              <w:tabs>
                <w:tab w:val="left" w:pos="709"/>
              </w:tabs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F72075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F72075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F72075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F72075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F72075">
            <w:pPr>
              <w:pStyle w:val="BodyText2"/>
              <w:bidi w:val="0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F72075">
            <w:pPr>
              <w:pStyle w:val="BodyText2"/>
              <w:bidi w:val="0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F72075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F72075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2075" w:rsidR="005170A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F72075">
            <w:pPr>
              <w:pStyle w:val="Normlny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Článok</w:t>
            </w:r>
          </w:p>
          <w:p w:rsidR="00A9063F" w:rsidRPr="00F72075">
            <w:pPr>
              <w:pStyle w:val="Normlny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(Č, O,</w:t>
            </w:r>
          </w:p>
          <w:p w:rsidR="00A9063F" w:rsidRPr="00F72075">
            <w:pPr>
              <w:pStyle w:val="Normlny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V, P)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6F56" w:rsidRPr="001E6F56" w:rsidP="001E6F56">
            <w:pPr>
              <w:bidi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E6F56">
              <w:rPr>
                <w:rFonts w:ascii="Times New Roman" w:hAnsi="Times New Roman"/>
                <w:b/>
                <w:sz w:val="22"/>
                <w:szCs w:val="22"/>
              </w:rPr>
              <w:t xml:space="preserve">Smernica Rady </w:t>
            </w:r>
            <w:r w:rsidR="00142EF1">
              <w:rPr>
                <w:rFonts w:ascii="Times New Roman" w:hAnsi="Times New Roman"/>
                <w:b/>
                <w:sz w:val="22"/>
                <w:szCs w:val="22"/>
              </w:rPr>
              <w:t>2011/97/EÚ</w:t>
            </w:r>
            <w:r w:rsidRPr="001E6F56">
              <w:rPr>
                <w:rFonts w:ascii="Times New Roman" w:hAnsi="Times New Roman"/>
                <w:b/>
                <w:sz w:val="22"/>
                <w:szCs w:val="22"/>
              </w:rPr>
              <w:t xml:space="preserve"> z </w:t>
            </w:r>
            <w:r w:rsidR="00142EF1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1E6F56">
              <w:rPr>
                <w:rFonts w:ascii="Times New Roman" w:hAnsi="Times New Roman"/>
                <w:b/>
                <w:sz w:val="22"/>
                <w:szCs w:val="22"/>
              </w:rPr>
              <w:t xml:space="preserve">. decembra </w:t>
            </w:r>
            <w:r w:rsidR="00142EF1">
              <w:rPr>
                <w:rFonts w:ascii="Times New Roman" w:hAnsi="Times New Roman"/>
                <w:b/>
                <w:sz w:val="22"/>
                <w:szCs w:val="22"/>
              </w:rPr>
              <w:t>2011, ktorou sa mení a dopĺňa smernica 1999/31/ES, pokiaľ ide o osobitné kritériá skladovania kovovej ortuti považovanej za odpad</w:t>
            </w:r>
            <w:r w:rsidRPr="001E6F5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A9063F" w:rsidRPr="00F72075">
            <w:pPr>
              <w:pStyle w:val="Normlny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Text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F72075">
            <w:pPr>
              <w:pStyle w:val="Normlny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Spôsob transp.</w:t>
            </w:r>
          </w:p>
          <w:p w:rsidR="00A9063F" w:rsidRPr="00F72075">
            <w:pPr>
              <w:pStyle w:val="Normlny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(N, O, D, n.a.)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F72075">
            <w:pPr>
              <w:pStyle w:val="Normlny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Číslo</w:t>
            </w:r>
          </w:p>
          <w:p w:rsidR="00A9063F" w:rsidRPr="00F72075">
            <w:pPr>
              <w:pStyle w:val="Normlny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predpisu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F72075">
            <w:pPr>
              <w:pStyle w:val="Normlny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Článok (Č, §, O, V, P)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BE1E66" w:rsidP="00BE1E66">
            <w:pPr>
              <w:pStyle w:val="Normlny"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E1E66" w:rsidR="00BE1E66">
              <w:rPr>
                <w:rFonts w:ascii="Times New Roman" w:hAnsi="Times New Roman"/>
                <w:b/>
                <w:sz w:val="22"/>
                <w:szCs w:val="22"/>
                <w:lang w:eastAsia="cs-CZ"/>
              </w:rPr>
              <w:t>Návrh zákona, ktorým sa mení a dopĺňa zákon č. 223/2001 Z. z. o odpadoch a o zmene a doplnení niektorých zákonov v znení neskorších predpisov</w:t>
            </w:r>
            <w:r w:rsidR="0008182A">
              <w:rPr>
                <w:rFonts w:ascii="Times New Roman" w:hAnsi="Times New Roman"/>
                <w:b/>
                <w:sz w:val="22"/>
                <w:szCs w:val="22"/>
                <w:lang w:eastAsia="cs-CZ"/>
              </w:rPr>
              <w:t xml:space="preserve"> a o zmene a doplnení niektorých zákonov </w:t>
            </w:r>
            <w:r w:rsidRPr="00BE1E66" w:rsidR="00BE1E66">
              <w:rPr>
                <w:rFonts w:ascii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F72075">
            <w:pPr>
              <w:pStyle w:val="Normlny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Zhoda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F72075">
            <w:pPr>
              <w:pStyle w:val="Normlny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Poznámky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3E98" w:rsidRPr="00F72075" w:rsidP="00AC3F71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Č</w:t>
            </w:r>
            <w:r w:rsidR="00142EF1">
              <w:rPr>
                <w:rFonts w:ascii="Times New Roman" w:hAnsi="Times New Roman"/>
                <w:sz w:val="22"/>
                <w:szCs w:val="22"/>
              </w:rPr>
              <w:t>1</w:t>
            </w:r>
            <w:r w:rsidRPr="00F7207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3E98" w:rsidRPr="00F72075" w:rsidP="00ED1EEA">
            <w:pPr>
              <w:bidi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="00142EF1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Prí</w:t>
            </w:r>
            <w:r w:rsidR="00142EF1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lohy I, II a III k </w:t>
            </w:r>
            <w:r w:rsidR="00142EF1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smernici 1999/31/ES sa tý</w:t>
            </w:r>
            <w:r w:rsidR="00142EF1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mto menia a </w:t>
            </w:r>
            <w:r w:rsidR="00142EF1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dopĺň</w:t>
            </w:r>
            <w:r w:rsidR="00142EF1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ajú</w:t>
            </w:r>
            <w:r w:rsidR="00142EF1">
              <w:rPr>
                <w:rFonts w:ascii="Times New Roman" w:eastAsia="EUAlbertina-Regular-Identity-H" w:hAnsi="Times New Roman" w:hint="default"/>
                <w:sz w:val="22"/>
                <w:szCs w:val="22"/>
              </w:rPr>
              <w:t xml:space="preserve"> podľ</w:t>
            </w:r>
            <w:r w:rsidR="00142EF1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a prí</w:t>
            </w:r>
            <w:r w:rsidR="00142EF1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lohy tejto smernice</w:t>
            </w:r>
            <w:r w:rsidR="00351423">
              <w:rPr>
                <w:rFonts w:ascii="Times New Roman" w:eastAsia="EUAlbertina-Regular-Identity-H" w:hAnsi="Times New Roman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53E98" w:rsidRPr="00F72075" w:rsidP="00ED1EEA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  <w:highlight w:val="magenta"/>
              </w:rPr>
            </w:pPr>
            <w:r w:rsidR="008B6B58"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3E98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7C6" w:rsidR="00CB47C6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142EF1" w:rsidRPr="00F72075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  <w:highlight w:val="magent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617B">
            <w:pPr>
              <w:pStyle w:val="Normlny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Čl. I Bod 9</w:t>
            </w:r>
          </w:p>
          <w:p w:rsidR="00A53E98" w:rsidRPr="00CB47C6">
            <w:pPr>
              <w:pStyle w:val="Normlny"/>
              <w:bidi w:val="0"/>
              <w:jc w:val="center"/>
              <w:rPr>
                <w:rFonts w:ascii="Times New Roman" w:hAnsi="Times New Roman"/>
                <w:sz w:val="22"/>
                <w:szCs w:val="22"/>
                <w:highlight w:val="magenta"/>
              </w:rPr>
            </w:pPr>
            <w:r w:rsidRPr="00CB47C6" w:rsidR="00CB47C6">
              <w:rPr>
                <w:rFonts w:ascii="Times New Roman" w:hAnsi="Times New Roman"/>
                <w:sz w:val="22"/>
                <w:szCs w:val="22"/>
              </w:rPr>
              <w:t xml:space="preserve">§ </w:t>
            </w:r>
            <w:r w:rsidR="00142EF1">
              <w:rPr>
                <w:rFonts w:ascii="Times New Roman" w:hAnsi="Times New Roman"/>
                <w:sz w:val="22"/>
                <w:szCs w:val="22"/>
              </w:rPr>
              <w:t>2</w:t>
            </w:r>
            <w:r w:rsidRPr="00CB47C6" w:rsidR="00CB47C6">
              <w:rPr>
                <w:rFonts w:ascii="Times New Roman" w:hAnsi="Times New Roman"/>
                <w:sz w:val="22"/>
                <w:szCs w:val="22"/>
              </w:rPr>
              <w:t xml:space="preserve"> ods. </w:t>
            </w:r>
            <w:r w:rsidR="00351423">
              <w:rPr>
                <w:rFonts w:ascii="Times New Roman" w:hAnsi="Times New Roman"/>
                <w:sz w:val="22"/>
                <w:szCs w:val="22"/>
              </w:rPr>
              <w:t>3</w:t>
            </w:r>
            <w:r w:rsidR="0092617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3E98" w:rsidRPr="008C62E2" w:rsidP="00F76C7F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="0092617B">
              <w:rPr>
                <w:rFonts w:ascii="Times New Roman" w:hAnsi="Times New Roman"/>
                <w:sz w:val="22"/>
                <w:szCs w:val="22"/>
              </w:rPr>
              <w:t xml:space="preserve">(33) </w:t>
            </w:r>
            <w:r w:rsidRPr="008C62E2" w:rsidR="008C62E2">
              <w:rPr>
                <w:rFonts w:ascii="Times New Roman" w:hAnsi="Times New Roman"/>
                <w:sz w:val="22"/>
                <w:szCs w:val="22"/>
              </w:rPr>
              <w:t xml:space="preserve">Úložisko kovovej ortuti je miesto, ktoré slúži na dočasné uskladnenie kovovej ortuti, ktorá je odpadom. Kovovú ortuť je možné na úložisko kovovej ortuti uskladniť iba dočasne, a to aspoň na obdobie jedného kalendárneho roka, najviac však na obdobie piatich kalendárnych rokov za ustanovených podmienok [§ 68 ods. 3 písm. aa)]. Na prevádzku úložiska kovovej ortuti sa primerane použije § 19 ods.1, § 21 ods. 1 až </w:t>
            </w:r>
            <w:smartTag w:uri="urn:schemas-microsoft-com:office:smarttags" w:element="metricconverter">
              <w:smartTagPr>
                <w:attr w:name="ProductID" w:val="5 a"/>
              </w:smartTagPr>
              <w:r w:rsidRPr="008C62E2" w:rsidR="008C62E2">
                <w:rPr>
                  <w:rFonts w:ascii="Times New Roman" w:hAnsi="Times New Roman"/>
                  <w:sz w:val="22"/>
                  <w:szCs w:val="22"/>
                </w:rPr>
                <w:t>3 a</w:t>
              </w:r>
            </w:smartTag>
            <w:r w:rsidRPr="008C62E2" w:rsidR="008C62E2">
              <w:rPr>
                <w:rFonts w:ascii="Times New Roman" w:hAnsi="Times New Roman"/>
                <w:sz w:val="22"/>
                <w:szCs w:val="22"/>
              </w:rPr>
              <w:t xml:space="preserve"> ods. </w:t>
            </w:r>
            <w:smartTag w:uri="urn:schemas-microsoft-com:office:smarttags" w:element="metricconverter">
              <w:smartTagPr>
                <w:attr w:name="ProductID" w:val="6 a"/>
              </w:smartTagPr>
              <w:r w:rsidRPr="008C62E2" w:rsidR="008C62E2">
                <w:rPr>
                  <w:rFonts w:ascii="Times New Roman" w:hAnsi="Times New Roman"/>
                  <w:sz w:val="22"/>
                  <w:szCs w:val="22"/>
                </w:rPr>
                <w:t>6 a</w:t>
              </w:r>
            </w:smartTag>
            <w:r w:rsidRPr="008C62E2" w:rsidR="008C62E2">
              <w:rPr>
                <w:rFonts w:ascii="Times New Roman" w:hAnsi="Times New Roman"/>
                <w:sz w:val="22"/>
                <w:szCs w:val="22"/>
              </w:rPr>
              <w:t xml:space="preserve"> § 22.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3E98" w:rsidRPr="00F72075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53E98" w:rsidRPr="00F72075">
            <w:pPr>
              <w:pStyle w:val="Heading1"/>
              <w:bidi w:val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3E98" w:rsidRPr="00F72075" w:rsidP="00AC3F71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Č</w:t>
            </w:r>
            <w:r w:rsidR="00142EF1">
              <w:rPr>
                <w:rFonts w:ascii="Times New Roman" w:hAnsi="Times New Roman"/>
                <w:sz w:val="22"/>
                <w:szCs w:val="22"/>
              </w:rPr>
              <w:t xml:space="preserve"> 2</w:t>
            </w:r>
            <w:r w:rsidRPr="00F7207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2EF1">
              <w:rPr>
                <w:rFonts w:ascii="Times New Roman" w:hAnsi="Times New Roman"/>
                <w:sz w:val="22"/>
                <w:szCs w:val="22"/>
              </w:rPr>
              <w:t>O1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3E98" w:rsidRPr="00F72075" w:rsidP="00823B82">
            <w:pPr>
              <w:bidi w:val="0"/>
              <w:adjustRightInd w:val="0"/>
              <w:jc w:val="both"/>
              <w:rPr>
                <w:rFonts w:ascii="Times New Roman" w:eastAsia="EUAlbertina-Regular-Identity-H" w:hAnsi="Times New Roman"/>
                <w:sz w:val="22"/>
                <w:szCs w:val="22"/>
              </w:rPr>
            </w:pPr>
            <w:r w:rsidR="00142EF1">
              <w:rPr>
                <w:rFonts w:ascii="Times New Roman" w:eastAsia="EUAlbertina-Regular-Identity-H" w:hAnsi="Times New Roman"/>
                <w:sz w:val="22"/>
                <w:szCs w:val="22"/>
              </w:rPr>
              <w:t>1</w:t>
            </w:r>
            <w:r w:rsidRPr="00F72075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. Č</w:t>
            </w:r>
            <w:r w:rsidRPr="00F72075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lenské</w:t>
            </w:r>
            <w:r w:rsidRPr="00F72075">
              <w:rPr>
                <w:rFonts w:ascii="Times New Roman" w:eastAsia="EUAlbertina-Regular-Identity-H" w:hAnsi="Times New Roman" w:hint="default"/>
                <w:sz w:val="22"/>
                <w:szCs w:val="22"/>
              </w:rPr>
              <w:t xml:space="preserve"> š</w:t>
            </w:r>
            <w:r w:rsidRPr="00F72075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tá</w:t>
            </w:r>
            <w:r w:rsidRPr="00F72075">
              <w:rPr>
                <w:rFonts w:ascii="Times New Roman" w:eastAsia="EUAlbertina-Regular-Identity-H" w:hAnsi="Times New Roman" w:hint="default"/>
                <w:sz w:val="22"/>
                <w:szCs w:val="22"/>
              </w:rPr>
              <w:t xml:space="preserve">ty </w:t>
            </w:r>
            <w:r w:rsidR="00142EF1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uvedú</w:t>
            </w:r>
            <w:r w:rsidR="00142EF1">
              <w:rPr>
                <w:rFonts w:ascii="Times New Roman" w:eastAsia="EUAlbertina-Regular-Identity-H" w:hAnsi="Times New Roman" w:hint="default"/>
                <w:sz w:val="22"/>
                <w:szCs w:val="22"/>
              </w:rPr>
              <w:t xml:space="preserve"> do úč</w:t>
            </w:r>
            <w:r w:rsidR="00142EF1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innosti zá</w:t>
            </w:r>
            <w:r w:rsidR="00142EF1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kony, iné</w:t>
            </w:r>
            <w:r w:rsidR="00142EF1">
              <w:rPr>
                <w:rFonts w:ascii="Times New Roman" w:eastAsia="EUAlbertina-Regular-Identity-H" w:hAnsi="Times New Roman" w:hint="default"/>
                <w:sz w:val="22"/>
                <w:szCs w:val="22"/>
              </w:rPr>
              <w:t xml:space="preserve"> prá</w:t>
            </w:r>
            <w:r w:rsidR="00142EF1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vne predpisy a </w:t>
            </w:r>
            <w:r w:rsidR="00142EF1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sprá</w:t>
            </w:r>
            <w:r w:rsidR="00142EF1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vne opatrenia potrebné</w:t>
            </w:r>
            <w:r w:rsidR="00142EF1">
              <w:rPr>
                <w:rFonts w:ascii="Times New Roman" w:eastAsia="EUAlbertina-Regular-Identity-H" w:hAnsi="Times New Roman" w:hint="default"/>
                <w:sz w:val="22"/>
                <w:szCs w:val="22"/>
              </w:rPr>
              <w:t xml:space="preserve"> na dosiahnutie sú</w:t>
            </w:r>
            <w:r w:rsidR="00142EF1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ladu s </w:t>
            </w:r>
            <w:r w:rsidR="00142EF1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touto smernicou do 15. marca 2013. Komisii bezodkladne ozná</w:t>
            </w:r>
            <w:r w:rsidR="00142EF1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mia znenie tý</w:t>
            </w:r>
            <w:r w:rsidR="00142EF1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chto ustanovení</w:t>
            </w:r>
            <w:r w:rsidR="00142EF1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. Č</w:t>
            </w:r>
            <w:r w:rsidR="00142EF1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lenské</w:t>
            </w:r>
            <w:r w:rsidR="00142EF1">
              <w:rPr>
                <w:rFonts w:ascii="Times New Roman" w:eastAsia="EUAlbertina-Regular-Identity-H" w:hAnsi="Times New Roman" w:hint="default"/>
                <w:sz w:val="22"/>
                <w:szCs w:val="22"/>
              </w:rPr>
              <w:t xml:space="preserve"> š</w:t>
            </w:r>
            <w:r w:rsidR="00142EF1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tá</w:t>
            </w:r>
            <w:r w:rsidR="00142EF1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ty uvedú</w:t>
            </w:r>
            <w:r w:rsidR="00142EF1">
              <w:rPr>
                <w:rFonts w:ascii="Times New Roman" w:eastAsia="EUAlbertina-Regular-Identity-H" w:hAnsi="Times New Roman" w:hint="default"/>
                <w:sz w:val="22"/>
                <w:szCs w:val="22"/>
              </w:rPr>
              <w:t xml:space="preserve"> priamo v </w:t>
            </w:r>
            <w:r w:rsidR="00142EF1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prijatý</w:t>
            </w:r>
            <w:r w:rsidR="00142EF1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ch ustanoveniach alebo pri ú</w:t>
            </w:r>
            <w:r w:rsidR="00142EF1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radnom uverejnení</w:t>
            </w:r>
            <w:r w:rsidR="00142EF1">
              <w:rPr>
                <w:rFonts w:ascii="Times New Roman" w:eastAsia="EUAlbertina-Regular-Identity-H" w:hAnsi="Times New Roman" w:hint="default"/>
                <w:sz w:val="22"/>
                <w:szCs w:val="22"/>
              </w:rPr>
              <w:t xml:space="preserve"> odkaz na tú</w:t>
            </w:r>
            <w:r w:rsidR="00142EF1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to smernicu. Podrobnosti o </w:t>
            </w:r>
            <w:r w:rsidR="00142EF1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odkaze upravia č</w:t>
            </w:r>
            <w:r w:rsidR="00142EF1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lenské</w:t>
            </w:r>
            <w:r w:rsidR="00142EF1">
              <w:rPr>
                <w:rFonts w:ascii="Times New Roman" w:eastAsia="EUAlbertina-Regular-Identity-H" w:hAnsi="Times New Roman" w:hint="default"/>
                <w:sz w:val="22"/>
                <w:szCs w:val="22"/>
              </w:rPr>
              <w:t xml:space="preserve"> š</w:t>
            </w:r>
            <w:r w:rsidR="00142EF1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tá</w:t>
            </w:r>
            <w:r w:rsidR="00142EF1">
              <w:rPr>
                <w:rFonts w:ascii="Times New Roman" w:eastAsia="EUAlbertina-Regular-Identity-H" w:hAnsi="Times New Roman" w:hint="default"/>
                <w:sz w:val="22"/>
                <w:szCs w:val="22"/>
              </w:rPr>
              <w:t>ty.</w:t>
            </w:r>
            <w:r w:rsidRPr="00F72075">
              <w:rPr>
                <w:rFonts w:ascii="Times New Roman" w:eastAsia="EUAlbertina-Regular-Identity-H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53E98" w:rsidRPr="00F72075" w:rsidP="00ED1EEA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="00142EF1">
              <w:rPr>
                <w:rFonts w:ascii="Times New Roman" w:hAnsi="Times New Roman"/>
                <w:sz w:val="22"/>
                <w:szCs w:val="22"/>
              </w:rPr>
              <w:t>n.a.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3E98" w:rsidRPr="00CB47C6">
            <w:pPr>
              <w:bidi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  <w:highlight w:val="magent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3E98" w:rsidRPr="00F72075">
            <w:pPr>
              <w:pStyle w:val="Normlny"/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  <w:highlight w:val="magent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3E98" w:rsidRPr="00CB47C6" w:rsidP="00F76C7F">
            <w:pPr>
              <w:bidi w:val="0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3E98" w:rsidRPr="00F72075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53E98" w:rsidRPr="00F72075">
            <w:pPr>
              <w:pStyle w:val="Heading1"/>
              <w:bidi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n.a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trHeight w:val="1072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3E98" w:rsidRPr="00F72075" w:rsidP="00F76C7F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 xml:space="preserve">Č </w:t>
            </w:r>
            <w:r w:rsidR="00142EF1">
              <w:rPr>
                <w:rFonts w:ascii="Times New Roman" w:hAnsi="Times New Roman"/>
                <w:sz w:val="22"/>
                <w:szCs w:val="22"/>
              </w:rPr>
              <w:t>2 O</w:t>
            </w:r>
            <w:r w:rsidRPr="00F7207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2EF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3E98" w:rsidRPr="00F72075" w:rsidP="00F76C7F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2EF1">
              <w:rPr>
                <w:rFonts w:ascii="Times New Roman" w:hAnsi="Times New Roman"/>
                <w:sz w:val="22"/>
                <w:szCs w:val="22"/>
              </w:rPr>
              <w:t>Členské štáty oznámia Komisii znenie hlavných ustanovení vnútroštátnych právnych predpisov, ktoré príjmu v oblasti pôsobenia tejto smernice.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53E98" w:rsidRPr="00F72075" w:rsidP="00B21FD9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="00142EF1">
              <w:rPr>
                <w:rFonts w:ascii="Times New Roman" w:hAnsi="Times New Roman"/>
                <w:sz w:val="22"/>
                <w:szCs w:val="22"/>
              </w:rPr>
              <w:t>n.a.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3E98" w:rsidRPr="00F72075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53E98" w:rsidRPr="00F72075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53E98" w:rsidRPr="00F72075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53E98" w:rsidRPr="00F72075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53E98" w:rsidRPr="00F72075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A6F5C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92090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53E98" w:rsidRPr="00F72075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3E98" w:rsidRPr="00F72075">
            <w:pPr>
              <w:pStyle w:val="Normlny"/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53E98" w:rsidRPr="00F72075">
            <w:pPr>
              <w:pStyle w:val="Normlny"/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53E98" w:rsidRPr="00F72075">
            <w:pPr>
              <w:pStyle w:val="Normlny"/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53E98" w:rsidRPr="00F72075">
            <w:pPr>
              <w:pStyle w:val="Normlny"/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53E98" w:rsidRPr="00F72075">
            <w:pPr>
              <w:pStyle w:val="Normlny"/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A6F5C" w:rsidP="00B21FD9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692090" w:rsidP="00B21FD9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A53E98" w:rsidRPr="00F72075" w:rsidP="00AF5130">
            <w:pPr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5130" w:rsidRPr="007351A7" w:rsidP="00AF5130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53E98" w:rsidRPr="00F72075" w:rsidP="00F76C7F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53E98" w:rsidRPr="00F72075" w:rsidP="00F76C7F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3E98" w:rsidRPr="00F72075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53E98" w:rsidRPr="00B51188">
            <w:pPr>
              <w:pStyle w:val="Heading1"/>
              <w:bidi w:val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="00142EF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n.a.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2EF1" w:rsidRPr="00F72075" w:rsidP="00F76C7F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="00351423">
              <w:rPr>
                <w:rFonts w:ascii="Times New Roman" w:hAnsi="Times New Roman"/>
                <w:sz w:val="22"/>
                <w:szCs w:val="22"/>
              </w:rPr>
              <w:t>Č 3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2EF1" w:rsidRPr="00F72075" w:rsidP="00F76C7F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="00351423">
              <w:rPr>
                <w:rFonts w:ascii="Times New Roman" w:hAnsi="Times New Roman"/>
                <w:sz w:val="22"/>
                <w:szCs w:val="22"/>
              </w:rPr>
              <w:t>Táto smernica nadobúda účinnosť tretím dňom po jej uverejnení v Úradnom vestníku Európskej únie.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42EF1" w:rsidRPr="00F72075" w:rsidP="00B21FD9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="00351423">
              <w:rPr>
                <w:rFonts w:ascii="Times New Roman" w:hAnsi="Times New Roman"/>
                <w:sz w:val="22"/>
                <w:szCs w:val="22"/>
              </w:rPr>
              <w:t>n. a.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2EF1" w:rsidRPr="00F72075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2EF1" w:rsidRPr="00F72075">
            <w:pPr>
              <w:pStyle w:val="Normlny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2EF1" w:rsidP="00AF5130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2EF1" w:rsidRPr="00F72075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42EF1" w:rsidRPr="00351423">
            <w:pPr>
              <w:pStyle w:val="Heading1"/>
              <w:bidi w:val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51423" w:rsidR="00351423">
              <w:rPr>
                <w:rFonts w:ascii="Times New Roman" w:hAnsi="Times New Roman"/>
                <w:b w:val="0"/>
                <w:sz w:val="22"/>
                <w:szCs w:val="22"/>
              </w:rPr>
              <w:t>n. a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1423" w:rsidP="00F76C7F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 4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1423" w:rsidRPr="00F72075" w:rsidP="00F76C7F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Táto smernica je určená členským štátom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351423" w:rsidRPr="00F72075" w:rsidP="00B21FD9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n. a.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1423" w:rsidRPr="00F72075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1423" w:rsidRPr="00F72075">
            <w:pPr>
              <w:pStyle w:val="Normlny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1423" w:rsidP="00AF5130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1423" w:rsidRPr="00F72075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351423" w:rsidRPr="00351423">
            <w:pPr>
              <w:pStyle w:val="Heading1"/>
              <w:bidi w:val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51423">
              <w:rPr>
                <w:rFonts w:ascii="Times New Roman" w:hAnsi="Times New Roman"/>
                <w:b w:val="0"/>
                <w:sz w:val="22"/>
                <w:szCs w:val="22"/>
              </w:rPr>
              <w:t>n. a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1423" w:rsidP="00F76C7F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Príloha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1423" w:rsidRPr="00351423" w:rsidP="00351423">
            <w:pPr>
              <w:autoSpaceDE/>
              <w:autoSpaceDN/>
              <w:bidi w:val="0"/>
              <w:spacing w:before="75" w:after="75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351423">
              <w:rPr>
                <w:rFonts w:ascii="Times New Roman" w:hAnsi="Times New Roman"/>
                <w:sz w:val="22"/>
                <w:szCs w:val="22"/>
              </w:rPr>
              <w:t>Prílohy I, II a III k smernici 1999/31/ES sa menia a dopĺňajú takto:</w:t>
            </w:r>
          </w:p>
          <w:p w:rsidR="00351423" w:rsidRPr="00351423" w:rsidP="00351423">
            <w:pPr>
              <w:autoSpaceDE/>
              <w:autoSpaceDN/>
              <w:bidi w:val="0"/>
              <w:spacing w:before="75" w:after="75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351423">
              <w:rPr>
                <w:rFonts w:ascii="Times New Roman" w:hAnsi="Times New Roman"/>
                <w:sz w:val="22"/>
                <w:szCs w:val="22"/>
              </w:rPr>
              <w:t>1. V prílohe I sa dopĺňa tento bod:</w:t>
            </w:r>
          </w:p>
          <w:p w:rsidR="00351423" w:rsidRPr="00351423" w:rsidP="00351423">
            <w:pPr>
              <w:autoSpaceDE/>
              <w:autoSpaceDN/>
              <w:bidi w:val="0"/>
              <w:spacing w:before="75" w:after="75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351423">
              <w:rPr>
                <w:rFonts w:ascii="Times New Roman" w:hAnsi="Times New Roman"/>
                <w:sz w:val="22"/>
                <w:szCs w:val="22"/>
              </w:rPr>
              <w:t>"8. Dočasné uskladnenie kovovej ortuti</w:t>
            </w:r>
          </w:p>
          <w:p w:rsidR="00351423" w:rsidRPr="00351423" w:rsidP="00351423">
            <w:pPr>
              <w:autoSpaceDE/>
              <w:autoSpaceDN/>
              <w:bidi w:val="0"/>
              <w:spacing w:before="75" w:after="75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351423">
              <w:rPr>
                <w:rFonts w:ascii="Times New Roman" w:hAnsi="Times New Roman"/>
                <w:sz w:val="22"/>
                <w:szCs w:val="22"/>
              </w:rPr>
              <w:t>Na účely dočasného uskladnenia kovovej ortuti na obdobie dlhšie ako jeden rok sa uplatňujú tieto požiadavky:</w:t>
            </w:r>
          </w:p>
          <w:p w:rsidR="00351423" w:rsidRPr="00351423" w:rsidP="00351423">
            <w:pPr>
              <w:autoSpaceDE/>
              <w:autoSpaceDN/>
              <w:bidi w:val="0"/>
              <w:spacing w:before="75" w:after="75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351423">
              <w:rPr>
                <w:rFonts w:ascii="Times New Roman" w:hAnsi="Times New Roman"/>
                <w:sz w:val="22"/>
                <w:szCs w:val="22"/>
              </w:rPr>
              <w:t>- kovová ortuť sa skladuje oddelene od ostatného odpadu,</w:t>
            </w:r>
          </w:p>
          <w:p w:rsidR="00351423" w:rsidRPr="00351423" w:rsidP="00351423">
            <w:pPr>
              <w:autoSpaceDE/>
              <w:autoSpaceDN/>
              <w:bidi w:val="0"/>
              <w:spacing w:before="75" w:after="75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351423">
              <w:rPr>
                <w:rFonts w:ascii="Times New Roman" w:hAnsi="Times New Roman"/>
                <w:sz w:val="22"/>
                <w:szCs w:val="22"/>
              </w:rPr>
              <w:t>- kontajnery sa nachádzajú v zberných nádržiach s vhodným povrchom bez prasklín a netesností, ktorý neprepúšťa kovovú ortuť, a ich úložný objem zodpovedá množstvu skladovanej ortuti,</w:t>
            </w:r>
          </w:p>
          <w:p w:rsidR="00351423" w:rsidRPr="00351423" w:rsidP="00351423">
            <w:pPr>
              <w:autoSpaceDE/>
              <w:autoSpaceDN/>
              <w:bidi w:val="0"/>
              <w:spacing w:before="75" w:after="75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351423">
              <w:rPr>
                <w:rFonts w:ascii="Times New Roman" w:hAnsi="Times New Roman"/>
                <w:sz w:val="22"/>
                <w:szCs w:val="22"/>
              </w:rPr>
              <w:t>- úložisko je vybavené umelými alebo prírodnými bariérami, ktoré dostatočným spôsobom chránia životné prostredie pred emisiami ortuti, a jeho úložný objem zodpovedá celkovému množstvu uloženej ortuti,</w:t>
            </w:r>
          </w:p>
          <w:p w:rsidR="00351423" w:rsidRPr="00351423" w:rsidP="00351423">
            <w:pPr>
              <w:autoSpaceDE/>
              <w:autoSpaceDN/>
              <w:bidi w:val="0"/>
              <w:spacing w:before="75" w:after="75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351423">
              <w:rPr>
                <w:rFonts w:ascii="Times New Roman" w:hAnsi="Times New Roman"/>
                <w:sz w:val="22"/>
                <w:szCs w:val="22"/>
              </w:rPr>
              <w:t>- dno úložiska je pokryté tesniacimi materiálmi odolnými proti ortuti. Je vyspádované do zbernej nádrže,</w:t>
            </w:r>
          </w:p>
          <w:p w:rsidR="00351423" w:rsidRPr="00351423" w:rsidP="00351423">
            <w:pPr>
              <w:autoSpaceDE/>
              <w:autoSpaceDN/>
              <w:bidi w:val="0"/>
              <w:spacing w:before="75" w:after="75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351423">
              <w:rPr>
                <w:rFonts w:ascii="Times New Roman" w:hAnsi="Times New Roman"/>
                <w:sz w:val="22"/>
                <w:szCs w:val="22"/>
              </w:rPr>
              <w:t>- úložisko je vybavené protipožiarnym systémom,</w:t>
            </w:r>
          </w:p>
          <w:p w:rsidR="00351423" w:rsidRPr="00351423" w:rsidP="00351423">
            <w:pPr>
              <w:autoSpaceDE/>
              <w:autoSpaceDN/>
              <w:bidi w:val="0"/>
              <w:spacing w:before="75" w:after="75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351423">
              <w:rPr>
                <w:rFonts w:ascii="Times New Roman" w:hAnsi="Times New Roman"/>
                <w:sz w:val="22"/>
                <w:szCs w:val="22"/>
              </w:rPr>
              <w:t>- pri uskladnení sa zaistí ľahký prístup k všetkým kontajnerom."</w:t>
            </w:r>
          </w:p>
          <w:p w:rsidR="00351423" w:rsidRPr="00351423" w:rsidP="00351423">
            <w:pPr>
              <w:autoSpaceDE/>
              <w:autoSpaceDN/>
              <w:bidi w:val="0"/>
              <w:spacing w:before="75" w:after="75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351423">
              <w:rPr>
                <w:rFonts w:ascii="Times New Roman" w:hAnsi="Times New Roman"/>
                <w:sz w:val="22"/>
                <w:szCs w:val="22"/>
              </w:rPr>
              <w:t>2. V prílohe II sa dopĺňa tento bod:</w:t>
            </w:r>
          </w:p>
          <w:p w:rsidR="00351423" w:rsidRPr="00351423" w:rsidP="00351423">
            <w:pPr>
              <w:autoSpaceDE/>
              <w:autoSpaceDN/>
              <w:bidi w:val="0"/>
              <w:spacing w:before="75" w:after="75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351423">
              <w:rPr>
                <w:rFonts w:ascii="Times New Roman" w:hAnsi="Times New Roman"/>
                <w:sz w:val="22"/>
                <w:szCs w:val="22"/>
              </w:rPr>
              <w:t>"6. Osobitné požiadavky na kovovú ortuť</w:t>
            </w:r>
          </w:p>
          <w:p w:rsidR="00351423" w:rsidRPr="00351423" w:rsidP="00351423">
            <w:pPr>
              <w:autoSpaceDE/>
              <w:autoSpaceDN/>
              <w:bidi w:val="0"/>
              <w:spacing w:before="75" w:after="75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351423">
              <w:rPr>
                <w:rFonts w:ascii="Times New Roman" w:hAnsi="Times New Roman"/>
                <w:sz w:val="22"/>
                <w:szCs w:val="22"/>
              </w:rPr>
              <w:t>Na účely dočasného uskladnenia kovovej ortuti na obdobie dlhšie ako jeden rok sa uplatňujú tieto požiadavky:</w:t>
            </w:r>
          </w:p>
          <w:p w:rsidR="00351423" w:rsidRPr="00351423" w:rsidP="00351423">
            <w:pPr>
              <w:autoSpaceDE/>
              <w:autoSpaceDN/>
              <w:bidi w:val="0"/>
              <w:spacing w:before="75" w:after="75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351423">
              <w:rPr>
                <w:rFonts w:ascii="Times New Roman" w:hAnsi="Times New Roman"/>
                <w:sz w:val="22"/>
                <w:szCs w:val="22"/>
              </w:rPr>
              <w:t>A. Zloženie ortuti</w:t>
            </w:r>
          </w:p>
          <w:p w:rsidR="00351423" w:rsidRPr="00351423" w:rsidP="00351423">
            <w:pPr>
              <w:autoSpaceDE/>
              <w:autoSpaceDN/>
              <w:bidi w:val="0"/>
              <w:spacing w:before="75" w:after="75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351423">
              <w:rPr>
                <w:rFonts w:ascii="Times New Roman" w:hAnsi="Times New Roman"/>
                <w:sz w:val="22"/>
                <w:szCs w:val="22"/>
              </w:rPr>
              <w:t>Kovová ortuť spĺňa tieto špecifikácie:</w:t>
            </w:r>
          </w:p>
          <w:p w:rsidR="00351423" w:rsidRPr="00351423" w:rsidP="00351423">
            <w:pPr>
              <w:autoSpaceDE/>
              <w:autoSpaceDN/>
              <w:bidi w:val="0"/>
              <w:spacing w:before="75" w:after="75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351423">
              <w:rPr>
                <w:rFonts w:ascii="Times New Roman" w:hAnsi="Times New Roman"/>
                <w:sz w:val="22"/>
                <w:szCs w:val="22"/>
              </w:rPr>
              <w:t>- obsah ortuti vyšší než 99,9 hmotnostného percenta,</w:t>
            </w:r>
          </w:p>
          <w:p w:rsidR="00351423" w:rsidRPr="00351423" w:rsidP="00351423">
            <w:pPr>
              <w:autoSpaceDE/>
              <w:autoSpaceDN/>
              <w:bidi w:val="0"/>
              <w:spacing w:before="75" w:after="75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351423">
              <w:rPr>
                <w:rFonts w:ascii="Times New Roman" w:hAnsi="Times New Roman"/>
                <w:sz w:val="22"/>
                <w:szCs w:val="22"/>
              </w:rPr>
              <w:t>- bez obsahu nečistôt, ktoré môžu spôsobiť koróziu uhlíkovej alebo nehrdzavejúcej ocele (napr. roztok kyseliny dusičnej, roztoky chloridových solí).</w:t>
            </w:r>
          </w:p>
          <w:p w:rsidR="00351423" w:rsidRPr="00351423" w:rsidP="00351423">
            <w:pPr>
              <w:autoSpaceDE/>
              <w:autoSpaceDN/>
              <w:bidi w:val="0"/>
              <w:spacing w:before="75" w:after="75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351423">
              <w:rPr>
                <w:rFonts w:ascii="Times New Roman" w:hAnsi="Times New Roman"/>
                <w:sz w:val="22"/>
                <w:szCs w:val="22"/>
              </w:rPr>
              <w:t>B. Uzavretie v ochranných nádobách</w:t>
            </w:r>
          </w:p>
          <w:p w:rsidR="00351423" w:rsidRPr="00351423" w:rsidP="00351423">
            <w:pPr>
              <w:autoSpaceDE/>
              <w:autoSpaceDN/>
              <w:bidi w:val="0"/>
              <w:spacing w:before="75" w:after="75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351423">
              <w:rPr>
                <w:rFonts w:ascii="Times New Roman" w:hAnsi="Times New Roman"/>
                <w:sz w:val="22"/>
                <w:szCs w:val="22"/>
              </w:rPr>
              <w:t>Kontajnery používané na uskladnenie kovovej ortuti sú odolné proti korózii a nárazom. Nemajú zvary. Kontajnery spĺňajú najmä tieto špecifikácie:</w:t>
            </w:r>
          </w:p>
          <w:p w:rsidR="00351423" w:rsidRPr="00351423" w:rsidP="00351423">
            <w:pPr>
              <w:autoSpaceDE/>
              <w:autoSpaceDN/>
              <w:bidi w:val="0"/>
              <w:spacing w:before="75" w:after="75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351423">
              <w:rPr>
                <w:rFonts w:ascii="Times New Roman" w:hAnsi="Times New Roman"/>
                <w:sz w:val="22"/>
                <w:szCs w:val="22"/>
              </w:rPr>
              <w:t>- materiál kontajnera: uhlíková oceľ (aspoň ASTM A36) alebo nehrdzavejúca oceľ (AISI 304, 316L),</w:t>
            </w:r>
          </w:p>
          <w:p w:rsidR="00351423" w:rsidRPr="00351423" w:rsidP="00351423">
            <w:pPr>
              <w:autoSpaceDE/>
              <w:autoSpaceDN/>
              <w:bidi w:val="0"/>
              <w:spacing w:before="75" w:after="75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351423">
              <w:rPr>
                <w:rFonts w:ascii="Times New Roman" w:hAnsi="Times New Roman"/>
                <w:sz w:val="22"/>
                <w:szCs w:val="22"/>
              </w:rPr>
              <w:t>- kontajnery sú plynotesné a kvapalinotesné,</w:t>
            </w:r>
          </w:p>
          <w:p w:rsidR="00351423" w:rsidRPr="00351423" w:rsidP="00351423">
            <w:pPr>
              <w:autoSpaceDE/>
              <w:autoSpaceDN/>
              <w:bidi w:val="0"/>
              <w:spacing w:before="75" w:after="75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351423">
              <w:rPr>
                <w:rFonts w:ascii="Times New Roman" w:hAnsi="Times New Roman"/>
                <w:sz w:val="22"/>
                <w:szCs w:val="22"/>
              </w:rPr>
              <w:t>- vonkajší plášť kontajnera je odolný voči daným podmienkam uskladnenia,</w:t>
            </w:r>
          </w:p>
          <w:p w:rsidR="00351423" w:rsidRPr="00351423" w:rsidP="00351423">
            <w:pPr>
              <w:autoSpaceDE/>
              <w:autoSpaceDN/>
              <w:bidi w:val="0"/>
              <w:spacing w:before="75" w:after="75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351423">
              <w:rPr>
                <w:rFonts w:ascii="Times New Roman" w:hAnsi="Times New Roman"/>
                <w:sz w:val="22"/>
                <w:szCs w:val="22"/>
              </w:rPr>
              <w:t>- konštrukčný typ kontajnera musí úspešne prejsť skúškou pádom a skúškou tesnosti podľa kapitol 6.1.5.3 a 6.1.5.4 Odporúčaní OSN pre dopravu nebezpečného tovaru Príručky skúšok a kritérií.</w:t>
            </w:r>
          </w:p>
          <w:p w:rsidR="00351423" w:rsidRPr="00351423" w:rsidP="00351423">
            <w:pPr>
              <w:autoSpaceDE/>
              <w:autoSpaceDN/>
              <w:bidi w:val="0"/>
              <w:spacing w:before="75" w:after="75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351423">
              <w:rPr>
                <w:rFonts w:ascii="Times New Roman" w:hAnsi="Times New Roman"/>
                <w:sz w:val="22"/>
                <w:szCs w:val="22"/>
              </w:rPr>
              <w:t>Maximálna miera naplnenia kontajnera je 80 objemových percent, aby bol k dispozícii dostatočne voľný priestor, čím sa zaistí, že v dôsledku rozpínania kvapaliny spôsobeného vysokou teplotou nedôjde k úniku ortuti ani trvalému poškodeniu kontajnera.</w:t>
            </w:r>
          </w:p>
          <w:p w:rsidR="00351423" w:rsidRPr="00351423" w:rsidP="00351423">
            <w:pPr>
              <w:autoSpaceDE/>
              <w:autoSpaceDN/>
              <w:bidi w:val="0"/>
              <w:spacing w:before="75" w:after="75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351423">
              <w:rPr>
                <w:rFonts w:ascii="Times New Roman" w:hAnsi="Times New Roman"/>
                <w:sz w:val="22"/>
                <w:szCs w:val="22"/>
              </w:rPr>
              <w:t>C. Postupy prijímania</w:t>
            </w:r>
          </w:p>
          <w:p w:rsidR="00351423" w:rsidRPr="00351423" w:rsidP="00351423">
            <w:pPr>
              <w:autoSpaceDE/>
              <w:autoSpaceDN/>
              <w:bidi w:val="0"/>
              <w:spacing w:before="75" w:after="75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351423">
              <w:rPr>
                <w:rFonts w:ascii="Times New Roman" w:hAnsi="Times New Roman"/>
                <w:sz w:val="22"/>
                <w:szCs w:val="22"/>
              </w:rPr>
              <w:t>Na skládku možno prijať iba kontajnery, ktorým bolo vydané potvrdenie o splnení požiadaviek podľa tohto bodu.</w:t>
            </w:r>
          </w:p>
          <w:p w:rsidR="00351423" w:rsidRPr="00351423" w:rsidP="00351423">
            <w:pPr>
              <w:autoSpaceDE/>
              <w:autoSpaceDN/>
              <w:bidi w:val="0"/>
              <w:spacing w:before="75" w:after="75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351423">
              <w:rPr>
                <w:rFonts w:ascii="Times New Roman" w:hAnsi="Times New Roman"/>
                <w:sz w:val="22"/>
                <w:szCs w:val="22"/>
              </w:rPr>
              <w:t>Postupy prijímania spĺňajú tieto požiadavky:</w:t>
            </w:r>
          </w:p>
          <w:p w:rsidR="00351423" w:rsidRPr="00351423" w:rsidP="00351423">
            <w:pPr>
              <w:autoSpaceDE/>
              <w:autoSpaceDN/>
              <w:bidi w:val="0"/>
              <w:spacing w:before="75" w:after="75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351423">
              <w:rPr>
                <w:rFonts w:ascii="Times New Roman" w:hAnsi="Times New Roman"/>
                <w:sz w:val="22"/>
                <w:szCs w:val="22"/>
              </w:rPr>
              <w:t>- prijme sa iba kovová ortuť, ktorá spĺňa uvedené minimálne kritériá prijímania,</w:t>
            </w:r>
          </w:p>
          <w:p w:rsidR="00351423" w:rsidRPr="00351423" w:rsidP="00351423">
            <w:pPr>
              <w:autoSpaceDE/>
              <w:autoSpaceDN/>
              <w:bidi w:val="0"/>
              <w:spacing w:before="75" w:after="75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351423">
              <w:rPr>
                <w:rFonts w:ascii="Times New Roman" w:hAnsi="Times New Roman"/>
                <w:sz w:val="22"/>
                <w:szCs w:val="22"/>
              </w:rPr>
              <w:t>- kontajnery sa pred uložením vizuálne skontrolujú. Poškodené, netesniace alebo skorodované kontajnery sa neprijmú,</w:t>
            </w:r>
          </w:p>
          <w:p w:rsidR="00351423" w:rsidRPr="00351423" w:rsidP="00351423">
            <w:pPr>
              <w:autoSpaceDE/>
              <w:autoSpaceDN/>
              <w:bidi w:val="0"/>
              <w:spacing w:before="75" w:after="75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351423">
              <w:rPr>
                <w:rFonts w:ascii="Times New Roman" w:hAnsi="Times New Roman"/>
                <w:sz w:val="22"/>
                <w:szCs w:val="22"/>
              </w:rPr>
              <w:t>- kontajnery sú označené trvalou značkou (vyrazenou do kovu), ktorá obsahuje identifikačné číslo kontajnera, konštrukčný materiál, hmotnosť v prázdnom stave, referenciu výrobcu a dátum výroby,</w:t>
            </w:r>
          </w:p>
          <w:p w:rsidR="00351423" w:rsidRPr="00351423" w:rsidP="00351423">
            <w:pPr>
              <w:autoSpaceDE/>
              <w:autoSpaceDN/>
              <w:bidi w:val="0"/>
              <w:spacing w:before="75" w:after="75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351423">
              <w:rPr>
                <w:rFonts w:ascii="Times New Roman" w:hAnsi="Times New Roman"/>
                <w:sz w:val="22"/>
                <w:szCs w:val="22"/>
              </w:rPr>
              <w:t>- kontajnery sú označené štítkom, ktorý je na kontajner trvalo pripevnený a obsahuje identifikačné číslo potvrdenia.</w:t>
            </w:r>
          </w:p>
          <w:p w:rsidR="00351423" w:rsidRPr="00351423" w:rsidP="00351423">
            <w:pPr>
              <w:autoSpaceDE/>
              <w:autoSpaceDN/>
              <w:bidi w:val="0"/>
              <w:spacing w:before="75" w:after="75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351423">
              <w:rPr>
                <w:rFonts w:ascii="Times New Roman" w:hAnsi="Times New Roman"/>
                <w:sz w:val="22"/>
                <w:szCs w:val="22"/>
              </w:rPr>
              <w:t>D. Potvrdenie</w:t>
            </w:r>
          </w:p>
          <w:p w:rsidR="00351423" w:rsidRPr="00351423" w:rsidP="00351423">
            <w:pPr>
              <w:autoSpaceDE/>
              <w:autoSpaceDN/>
              <w:bidi w:val="0"/>
              <w:spacing w:before="75" w:after="75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351423">
              <w:rPr>
                <w:rFonts w:ascii="Times New Roman" w:hAnsi="Times New Roman"/>
                <w:sz w:val="22"/>
                <w:szCs w:val="22"/>
              </w:rPr>
              <w:t>Potvrdenie uvedené v časti C obsahuje tieto informácie:</w:t>
            </w:r>
          </w:p>
          <w:p w:rsidR="00351423" w:rsidRPr="00351423" w:rsidP="00351423">
            <w:pPr>
              <w:autoSpaceDE/>
              <w:autoSpaceDN/>
              <w:bidi w:val="0"/>
              <w:spacing w:before="75" w:after="75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351423">
              <w:rPr>
                <w:rFonts w:ascii="Times New Roman" w:hAnsi="Times New Roman"/>
                <w:sz w:val="22"/>
                <w:szCs w:val="22"/>
              </w:rPr>
              <w:t>- meno a adresu pôvodcu odpadu,</w:t>
            </w:r>
          </w:p>
          <w:p w:rsidR="00351423" w:rsidRPr="00351423" w:rsidP="00351423">
            <w:pPr>
              <w:autoSpaceDE/>
              <w:autoSpaceDN/>
              <w:bidi w:val="0"/>
              <w:spacing w:before="75" w:after="75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351423">
              <w:rPr>
                <w:rFonts w:ascii="Times New Roman" w:hAnsi="Times New Roman"/>
                <w:sz w:val="22"/>
                <w:szCs w:val="22"/>
              </w:rPr>
              <w:t>- meno a adresu osoby zodpovednej za plnenie,</w:t>
            </w:r>
          </w:p>
          <w:p w:rsidR="00351423" w:rsidRPr="00351423" w:rsidP="00351423">
            <w:pPr>
              <w:autoSpaceDE/>
              <w:autoSpaceDN/>
              <w:bidi w:val="0"/>
              <w:spacing w:before="75" w:after="75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351423">
              <w:rPr>
                <w:rFonts w:ascii="Times New Roman" w:hAnsi="Times New Roman"/>
                <w:sz w:val="22"/>
                <w:szCs w:val="22"/>
              </w:rPr>
              <w:t>- miesto a dátum plnenia,</w:t>
            </w:r>
          </w:p>
          <w:p w:rsidR="00351423" w:rsidRPr="00351423" w:rsidP="00351423">
            <w:pPr>
              <w:autoSpaceDE/>
              <w:autoSpaceDN/>
              <w:bidi w:val="0"/>
              <w:spacing w:before="75" w:after="75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351423">
              <w:rPr>
                <w:rFonts w:ascii="Times New Roman" w:hAnsi="Times New Roman"/>
                <w:sz w:val="22"/>
                <w:szCs w:val="22"/>
              </w:rPr>
              <w:t>- množstvo ortuti,</w:t>
            </w:r>
          </w:p>
          <w:p w:rsidR="00351423" w:rsidRPr="00351423" w:rsidP="00351423">
            <w:pPr>
              <w:autoSpaceDE/>
              <w:autoSpaceDN/>
              <w:bidi w:val="0"/>
              <w:spacing w:before="75" w:after="75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351423">
              <w:rPr>
                <w:rFonts w:ascii="Times New Roman" w:hAnsi="Times New Roman"/>
                <w:sz w:val="22"/>
                <w:szCs w:val="22"/>
              </w:rPr>
              <w:t>- čistotu ortuti a v prípade potreby opis nečistôt vrátane správy o rozbore,</w:t>
            </w:r>
          </w:p>
          <w:p w:rsidR="00351423" w:rsidRPr="00351423" w:rsidP="00351423">
            <w:pPr>
              <w:autoSpaceDE/>
              <w:autoSpaceDN/>
              <w:bidi w:val="0"/>
              <w:spacing w:before="75" w:after="75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351423">
              <w:rPr>
                <w:rFonts w:ascii="Times New Roman" w:hAnsi="Times New Roman"/>
                <w:sz w:val="22"/>
                <w:szCs w:val="22"/>
              </w:rPr>
              <w:t>- potvrdenie, že kontajnery sa používajú výlučne na prepravu/uskladnenie ortuti,</w:t>
            </w:r>
          </w:p>
          <w:p w:rsidR="00351423" w:rsidRPr="00351423" w:rsidP="00351423">
            <w:pPr>
              <w:autoSpaceDE/>
              <w:autoSpaceDN/>
              <w:bidi w:val="0"/>
              <w:spacing w:before="75" w:after="75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351423">
              <w:rPr>
                <w:rFonts w:ascii="Times New Roman" w:hAnsi="Times New Roman"/>
                <w:sz w:val="22"/>
                <w:szCs w:val="22"/>
              </w:rPr>
              <w:t>- identifikačné čísla kontajnerov,</w:t>
            </w:r>
          </w:p>
          <w:p w:rsidR="00351423" w:rsidRPr="00351423" w:rsidP="00351423">
            <w:pPr>
              <w:autoSpaceDE/>
              <w:autoSpaceDN/>
              <w:bidi w:val="0"/>
              <w:spacing w:before="75" w:after="75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351423">
              <w:rPr>
                <w:rFonts w:ascii="Times New Roman" w:hAnsi="Times New Roman"/>
                <w:sz w:val="22"/>
                <w:szCs w:val="22"/>
              </w:rPr>
              <w:t>- akékoľvek osobitné poznámky.</w:t>
            </w:r>
          </w:p>
          <w:p w:rsidR="00351423" w:rsidRPr="00351423" w:rsidP="00351423">
            <w:pPr>
              <w:autoSpaceDE/>
              <w:autoSpaceDN/>
              <w:bidi w:val="0"/>
              <w:spacing w:before="75" w:after="75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351423">
              <w:rPr>
                <w:rFonts w:ascii="Times New Roman" w:hAnsi="Times New Roman"/>
                <w:sz w:val="22"/>
                <w:szCs w:val="22"/>
              </w:rPr>
              <w:t>Potvrdenia vydáva pôvodca odpadu alebo v prípade, že to nie je možné, osoba, ktorá je zodpovedná za zaobchádzanie s odpadom."</w:t>
            </w:r>
          </w:p>
          <w:p w:rsidR="00351423" w:rsidRPr="00351423" w:rsidP="00351423">
            <w:pPr>
              <w:autoSpaceDE/>
              <w:autoSpaceDN/>
              <w:bidi w:val="0"/>
              <w:spacing w:before="75" w:after="75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351423">
              <w:rPr>
                <w:rFonts w:ascii="Times New Roman" w:hAnsi="Times New Roman"/>
                <w:sz w:val="22"/>
                <w:szCs w:val="22"/>
              </w:rPr>
              <w:t>3. V prílohe III sa dopĺňa tento bod:</w:t>
            </w:r>
          </w:p>
          <w:p w:rsidR="00351423" w:rsidRPr="00351423" w:rsidP="00351423">
            <w:pPr>
              <w:autoSpaceDE/>
              <w:autoSpaceDN/>
              <w:bidi w:val="0"/>
              <w:spacing w:before="75" w:after="75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351423">
              <w:rPr>
                <w:rFonts w:ascii="Times New Roman" w:hAnsi="Times New Roman"/>
                <w:sz w:val="22"/>
                <w:szCs w:val="22"/>
              </w:rPr>
              <w:t>"6. Osobitné požiadavky na kovovú ortuť</w:t>
            </w:r>
          </w:p>
          <w:p w:rsidR="00351423" w:rsidRPr="00351423" w:rsidP="00351423">
            <w:pPr>
              <w:autoSpaceDE/>
              <w:autoSpaceDN/>
              <w:bidi w:val="0"/>
              <w:spacing w:before="75" w:after="75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351423">
              <w:rPr>
                <w:rFonts w:ascii="Times New Roman" w:hAnsi="Times New Roman"/>
                <w:sz w:val="22"/>
                <w:szCs w:val="22"/>
              </w:rPr>
              <w:t>Na účely dočasného uskladnenia kovovej ortuti na obdobie dlhšie ako jeden rok sa uplatňujú tieto požiadavky:</w:t>
            </w:r>
          </w:p>
          <w:p w:rsidR="00351423" w:rsidRPr="00351423" w:rsidP="00351423">
            <w:pPr>
              <w:autoSpaceDE/>
              <w:autoSpaceDN/>
              <w:bidi w:val="0"/>
              <w:spacing w:before="75" w:after="75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351423">
              <w:rPr>
                <w:rFonts w:ascii="Times New Roman" w:hAnsi="Times New Roman"/>
                <w:sz w:val="22"/>
                <w:szCs w:val="22"/>
              </w:rPr>
              <w:t>A. Požiadavky na monitorovanie, kontrolu a núdzové situácie</w:t>
            </w:r>
          </w:p>
          <w:p w:rsidR="00351423" w:rsidRPr="00351423" w:rsidP="00351423">
            <w:pPr>
              <w:autoSpaceDE/>
              <w:autoSpaceDN/>
              <w:bidi w:val="0"/>
              <w:spacing w:before="75" w:after="75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351423">
              <w:rPr>
                <w:rFonts w:ascii="Times New Roman" w:hAnsi="Times New Roman"/>
                <w:sz w:val="22"/>
                <w:szCs w:val="22"/>
              </w:rPr>
              <w:t>Úložisko je vybavené systémom nepretržitého monitorovania výparov ortuti s citlivosťou aspoň 0,02 mg ortuti/m3. Senzory sa umiestnia na úrovni zeme a vo výške hlavy. Obsahujú systém varovania svetelným a zvukovým signálom. Údržba systému prebieha každoročne.</w:t>
            </w:r>
          </w:p>
          <w:p w:rsidR="00351423" w:rsidRPr="00351423" w:rsidP="00351423">
            <w:pPr>
              <w:autoSpaceDE/>
              <w:autoSpaceDN/>
              <w:bidi w:val="0"/>
              <w:spacing w:before="75" w:after="75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351423">
              <w:rPr>
                <w:rFonts w:ascii="Times New Roman" w:hAnsi="Times New Roman"/>
                <w:sz w:val="22"/>
                <w:szCs w:val="22"/>
              </w:rPr>
              <w:t>Úložisko a kontajnery aspoň raz za mesiac vizuálne kontroluje oprávnená osoba. V prípade zistenia únikov musí prevádzkovateľ okamžite podniknúť všetky potrebné kroky, aby sa predišlo akýmkoľvek emisiám ortuti do životného prostredia a aby sa obnovila bezpečnosť uskladnenia ortuti. Každý únik sa považuje za udalosť s významným nepriaznivým vplyvom na životné prostredie v zmysle článku 12 písm. b).</w:t>
            </w:r>
          </w:p>
          <w:p w:rsidR="00351423" w:rsidRPr="00351423" w:rsidP="00351423">
            <w:pPr>
              <w:autoSpaceDE/>
              <w:autoSpaceDN/>
              <w:bidi w:val="0"/>
              <w:spacing w:before="75" w:after="75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351423">
              <w:rPr>
                <w:rFonts w:ascii="Times New Roman" w:hAnsi="Times New Roman"/>
                <w:sz w:val="22"/>
                <w:szCs w:val="22"/>
              </w:rPr>
              <w:t>Úložisko musí mať k dispozícii núdzové plány a primerané ochranné vybavenie vhodné na zaobchádzanie s kovovou ortuťou.</w:t>
            </w:r>
          </w:p>
          <w:p w:rsidR="00351423" w:rsidRPr="00351423" w:rsidP="00351423">
            <w:pPr>
              <w:autoSpaceDE/>
              <w:autoSpaceDN/>
              <w:bidi w:val="0"/>
              <w:spacing w:before="75" w:after="75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351423">
              <w:rPr>
                <w:rFonts w:ascii="Times New Roman" w:hAnsi="Times New Roman"/>
                <w:sz w:val="22"/>
                <w:szCs w:val="22"/>
              </w:rPr>
              <w:t>B. Vedenie záznamov</w:t>
            </w:r>
          </w:p>
          <w:p w:rsidR="00351423" w:rsidRPr="00351423" w:rsidP="00351423">
            <w:pPr>
              <w:autoSpaceDE/>
              <w:autoSpaceDN/>
              <w:bidi w:val="0"/>
              <w:spacing w:before="75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351423">
              <w:rPr>
                <w:rFonts w:ascii="Times New Roman" w:hAnsi="Times New Roman"/>
                <w:sz w:val="22"/>
                <w:szCs w:val="22"/>
              </w:rPr>
              <w:t xml:space="preserve">Všetky dokumenty, ktoré obsahujú informácie uvedené v prílohe II bode </w:t>
            </w:r>
            <w:smartTag w:uri="urn:schemas-microsoft-com:office:smarttags" w:element="metricconverter">
              <w:smartTagPr>
                <w:attr w:name="ProductID" w:val="6 a"/>
              </w:smartTagPr>
              <w:r w:rsidRPr="00351423">
                <w:rPr>
                  <w:rFonts w:ascii="Times New Roman" w:hAnsi="Times New Roman"/>
                  <w:sz w:val="22"/>
                  <w:szCs w:val="22"/>
                </w:rPr>
                <w:t>6 a</w:t>
              </w:r>
            </w:smartTag>
            <w:r w:rsidRPr="00351423">
              <w:rPr>
                <w:rFonts w:ascii="Times New Roman" w:hAnsi="Times New Roman"/>
                <w:sz w:val="22"/>
                <w:szCs w:val="22"/>
              </w:rPr>
              <w:t xml:space="preserve"> v časti A tohto bodu, vrátane potvrdení vystavených pre kontajner, ako aj záznamy o vyskladnení a odoslaní kovovej ortuti po jej dočasnom uskladnení a o mieste určenia a plánovanom spracovaní sa vedú ešte aspoň tri roky po ukončení skladovania.</w:t>
            </w:r>
          </w:p>
          <w:p w:rsidR="00351423" w:rsidP="00F76C7F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351423" w:rsidP="00B21FD9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1423" w:rsidRPr="00F72075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1423" w:rsidRPr="00F72075">
            <w:pPr>
              <w:pStyle w:val="Normlny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1423" w:rsidP="00AF5130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1423" w:rsidRPr="00F72075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351423" w:rsidRPr="00351423">
            <w:pPr>
              <w:pStyle w:val="Heading1"/>
              <w:bidi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8C54C3" w:rsidRPr="00F72075">
      <w:pPr>
        <w:autoSpaceDE/>
        <w:autoSpaceDN/>
        <w:bidi w:val="0"/>
        <w:rPr>
          <w:rFonts w:ascii="Times New Roman" w:hAnsi="Times New Roman"/>
          <w:sz w:val="22"/>
          <w:szCs w:val="22"/>
          <w:highlight w:val="cyan"/>
        </w:rPr>
      </w:pPr>
    </w:p>
    <w:tbl>
      <w:tblPr>
        <w:tblStyle w:val="TableNormal"/>
        <w:tblpPr w:leftFromText="141" w:rightFromText="141" w:vertAnchor="text" w:horzAnchor="margin" w:tblpXSpec="center" w:tblpY="608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1186"/>
        <w:gridCol w:w="14974"/>
      </w:tblGrid>
      <w:tr>
        <w:tblPrEx>
          <w:tblW w:w="161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61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43EA0" w:rsidRPr="00F72075" w:rsidP="00043EA0">
            <w:pPr>
              <w:pStyle w:val="Heading2"/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 xml:space="preserve">Zoznam všeobecne záväzných právnych predpisov preberajúcich smernicu </w:t>
            </w:r>
            <w:r w:rsidR="001B18FC">
              <w:rPr>
                <w:rFonts w:ascii="Times New Roman" w:hAnsi="Times New Roman"/>
                <w:sz w:val="22"/>
                <w:szCs w:val="22"/>
              </w:rPr>
              <w:t>2011/97/EÚ</w:t>
            </w:r>
          </w:p>
        </w:tc>
      </w:tr>
      <w:tr>
        <w:tblPrEx>
          <w:tblW w:w="16160" w:type="dxa"/>
          <w:tblLayout w:type="fixed"/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3EA0" w:rsidRPr="00F72075" w:rsidP="00043EA0">
            <w:pPr>
              <w:bidi w:val="0"/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Por. č.</w:t>
            </w:r>
          </w:p>
        </w:tc>
        <w:tc>
          <w:tcPr>
            <w:tcW w:w="1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43EA0" w:rsidRPr="00F72075" w:rsidP="00043EA0">
            <w:pPr>
              <w:pStyle w:val="Normlny"/>
              <w:bidi w:val="0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F72075">
              <w:rPr>
                <w:rFonts w:ascii="Times New Roman" w:hAnsi="Times New Roman"/>
                <w:sz w:val="22"/>
                <w:szCs w:val="22"/>
                <w:lang w:eastAsia="sk-SK"/>
              </w:rPr>
              <w:t>Názov predpisu</w:t>
            </w:r>
          </w:p>
        </w:tc>
      </w:tr>
      <w:tr>
        <w:tblPrEx>
          <w:tblW w:w="16160" w:type="dxa"/>
          <w:tblLayout w:type="fixed"/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3EA0" w:rsidRPr="00F72075" w:rsidP="00043EA0">
            <w:pPr>
              <w:numPr>
                <w:numId w:val="1"/>
              </w:num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43EA0" w:rsidRPr="00CB47C6" w:rsidP="00043EA0">
            <w:pPr>
              <w:pStyle w:val="abc"/>
              <w:widowControl/>
              <w:tabs>
                <w:tab w:val="clear" w:pos="360"/>
                <w:tab w:val="clear" w:pos="680"/>
              </w:tabs>
              <w:bidi w:val="0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CB47C6" w:rsidR="00CB47C6">
              <w:rPr>
                <w:rFonts w:ascii="Times New Roman" w:hAnsi="Times New Roman"/>
                <w:sz w:val="22"/>
                <w:szCs w:val="22"/>
                <w:lang w:eastAsia="cs-CZ"/>
              </w:rPr>
              <w:t xml:space="preserve">Návrh zákona, ktorým sa mení a dopĺňa zákon č. 223/2001 Z. z. o odpadoch a o zmene a doplnení niektorých zákonov v znení neskorších predpisov </w:t>
            </w:r>
            <w:r w:rsidR="009E7916">
              <w:rPr>
                <w:rFonts w:ascii="Times New Roman" w:hAnsi="Times New Roman"/>
                <w:sz w:val="22"/>
                <w:szCs w:val="22"/>
                <w:lang w:eastAsia="cs-CZ"/>
              </w:rPr>
              <w:t xml:space="preserve"> a o zmene a doplnení niektorých zákonov </w:t>
            </w:r>
          </w:p>
        </w:tc>
      </w:tr>
      <w:tr>
        <w:tblPrEx>
          <w:tblW w:w="16160" w:type="dxa"/>
          <w:tblLayout w:type="fixed"/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AE535E" w:rsidRPr="00F72075" w:rsidP="00AE535E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2EF1">
              <w:rPr>
                <w:rFonts w:ascii="Times New Roman" w:hAnsi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9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AE535E" w:rsidRPr="00F72075" w:rsidP="00AE535E">
            <w:pPr>
              <w:pStyle w:val="abc"/>
              <w:widowControl/>
              <w:tabs>
                <w:tab w:val="clear" w:pos="360"/>
                <w:tab w:val="clear" w:pos="680"/>
              </w:tabs>
              <w:bidi w:val="0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="00142EF1">
              <w:rPr>
                <w:rFonts w:ascii="Times New Roman" w:hAnsi="Times New Roman"/>
                <w:sz w:val="22"/>
                <w:szCs w:val="22"/>
                <w:lang w:eastAsia="sk-SK"/>
              </w:rPr>
              <w:t>Návrh vyhlášky, ktorou sa mení a dopĺňa vyhláška č. 283/2001 Z. z. o vykonaní niektorých ustanovení zákona o odpadoch v znení neskorších predpisov</w:t>
            </w:r>
          </w:p>
        </w:tc>
      </w:tr>
    </w:tbl>
    <w:p w:rsidR="008C54C3" w:rsidRPr="00F72075">
      <w:pPr>
        <w:autoSpaceDE/>
        <w:autoSpaceDN/>
        <w:bidi w:val="0"/>
        <w:rPr>
          <w:rFonts w:ascii="Times New Roman" w:hAnsi="Times New Roman"/>
          <w:sz w:val="22"/>
          <w:szCs w:val="22"/>
        </w:rPr>
      </w:pPr>
      <w:r w:rsidRPr="00F72075">
        <w:rPr>
          <w:rFonts w:ascii="Times New Roman" w:hAnsi="Times New Roman"/>
          <w:sz w:val="22"/>
          <w:szCs w:val="22"/>
        </w:rPr>
        <w:t>LEGENDA:</w:t>
      </w:r>
    </w:p>
    <w:tbl>
      <w:tblPr>
        <w:tblStyle w:val="TableNormal"/>
        <w:tblW w:w="16200" w:type="dxa"/>
        <w:tblInd w:w="-47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82"/>
        <w:gridCol w:w="3893"/>
        <w:gridCol w:w="2410"/>
        <w:gridCol w:w="7415"/>
      </w:tblGrid>
      <w:tr>
        <w:tblPrEx>
          <w:tblW w:w="16200" w:type="dxa"/>
          <w:tblInd w:w="-47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F72075">
            <w:pPr>
              <w:pStyle w:val="Normlny"/>
              <w:autoSpaceDE/>
              <w:autoSpaceDN/>
              <w:bidi w:val="0"/>
              <w:spacing w:after="60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F72075">
              <w:rPr>
                <w:rFonts w:ascii="Times New Roman" w:hAnsi="Times New Roman"/>
                <w:sz w:val="22"/>
                <w:szCs w:val="22"/>
                <w:lang w:eastAsia="sk-SK"/>
              </w:rPr>
              <w:t>V stĺpci (1):</w:t>
            </w:r>
          </w:p>
          <w:p w:rsidR="008C54C3" w:rsidRPr="00F72075">
            <w:pPr>
              <w:autoSpaceDE/>
              <w:autoSpaceDN/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Č – článok</w:t>
            </w:r>
          </w:p>
          <w:p w:rsidR="008C54C3" w:rsidRPr="00F72075">
            <w:pPr>
              <w:autoSpaceDE/>
              <w:autoSpaceDN/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O – odsek</w:t>
            </w:r>
          </w:p>
          <w:p w:rsidR="008C54C3" w:rsidRPr="00F72075">
            <w:pPr>
              <w:autoSpaceDE/>
              <w:autoSpaceDN/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V – veta</w:t>
            </w:r>
          </w:p>
          <w:p w:rsidR="008C54C3" w:rsidRPr="00F72075">
            <w:pPr>
              <w:autoSpaceDE/>
              <w:autoSpaceDN/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 xml:space="preserve">P – </w:t>
            </w:r>
            <w:r w:rsidRPr="00F72075" w:rsidR="00DA0F6C">
              <w:rPr>
                <w:rFonts w:ascii="Times New Roman" w:hAnsi="Times New Roman"/>
                <w:sz w:val="22"/>
                <w:szCs w:val="22"/>
              </w:rPr>
              <w:t>číslo</w:t>
            </w:r>
            <w:r w:rsidRPr="00F72075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F72075" w:rsidR="00DA0F6C">
              <w:rPr>
                <w:rFonts w:ascii="Times New Roman" w:hAnsi="Times New Roman"/>
                <w:sz w:val="22"/>
                <w:szCs w:val="22"/>
              </w:rPr>
              <w:t>písmeno</w:t>
            </w:r>
            <w:r w:rsidRPr="00F72075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8C54C3" w:rsidRPr="00F72075">
            <w:pPr>
              <w:autoSpaceDE/>
              <w:autoSpaceDN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F72075">
            <w:pPr>
              <w:pStyle w:val="Normlny"/>
              <w:autoSpaceDE/>
              <w:autoSpaceDN/>
              <w:bidi w:val="0"/>
              <w:spacing w:after="60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F72075">
              <w:rPr>
                <w:rFonts w:ascii="Times New Roman" w:hAnsi="Times New Roman"/>
                <w:sz w:val="22"/>
                <w:szCs w:val="22"/>
                <w:lang w:eastAsia="sk-SK"/>
              </w:rPr>
              <w:t>V stĺpci (3):</w:t>
            </w:r>
          </w:p>
          <w:p w:rsidR="008C54C3" w:rsidRPr="00F72075">
            <w:pPr>
              <w:autoSpaceDE/>
              <w:autoSpaceDN/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N – bežná transpozícia</w:t>
            </w:r>
          </w:p>
          <w:p w:rsidR="008C54C3" w:rsidRPr="00F72075">
            <w:pPr>
              <w:autoSpaceDE/>
              <w:autoSpaceDN/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O – transpozícia s možnosťou voľby</w:t>
            </w:r>
          </w:p>
          <w:p w:rsidR="008C54C3" w:rsidRPr="00F72075">
            <w:pPr>
              <w:autoSpaceDE/>
              <w:autoSpaceDN/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D – transpozícia podľa úvahy (dobrovoľná)</w:t>
            </w:r>
          </w:p>
          <w:p w:rsidR="008C54C3" w:rsidRPr="00F72075">
            <w:pPr>
              <w:autoSpaceDE/>
              <w:autoSpaceDN/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n.a. – transpozícia sa neuskutočňuje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F72075">
            <w:pPr>
              <w:pStyle w:val="Normlny"/>
              <w:autoSpaceDE/>
              <w:autoSpaceDN/>
              <w:bidi w:val="0"/>
              <w:spacing w:after="60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F72075">
              <w:rPr>
                <w:rFonts w:ascii="Times New Roman" w:hAnsi="Times New Roman"/>
                <w:sz w:val="22"/>
                <w:szCs w:val="22"/>
                <w:lang w:eastAsia="sk-SK"/>
              </w:rPr>
              <w:t>V stĺpci (5):</w:t>
            </w:r>
          </w:p>
          <w:p w:rsidR="008C54C3" w:rsidRPr="00F72075">
            <w:pPr>
              <w:autoSpaceDE/>
              <w:autoSpaceDN/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Č – článok</w:t>
            </w:r>
          </w:p>
          <w:p w:rsidR="008C54C3" w:rsidRPr="00F72075">
            <w:pPr>
              <w:autoSpaceDE/>
              <w:autoSpaceDN/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§ – paragraf</w:t>
            </w:r>
          </w:p>
          <w:p w:rsidR="008C54C3" w:rsidRPr="00F72075">
            <w:pPr>
              <w:autoSpaceDE/>
              <w:autoSpaceDN/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O – odsek</w:t>
            </w:r>
          </w:p>
          <w:p w:rsidR="008C54C3" w:rsidRPr="00F72075">
            <w:pPr>
              <w:autoSpaceDE/>
              <w:autoSpaceDN/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V – veta</w:t>
            </w:r>
          </w:p>
          <w:p w:rsidR="008C54C3" w:rsidRPr="00F72075">
            <w:pPr>
              <w:autoSpaceDE/>
              <w:autoSpaceDN/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P – písmeno (číslo)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F72075">
            <w:pPr>
              <w:pStyle w:val="Normlny"/>
              <w:autoSpaceDE/>
              <w:autoSpaceDN/>
              <w:bidi w:val="0"/>
              <w:spacing w:after="60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F72075">
              <w:rPr>
                <w:rFonts w:ascii="Times New Roman" w:hAnsi="Times New Roman"/>
                <w:sz w:val="22"/>
                <w:szCs w:val="22"/>
                <w:lang w:eastAsia="sk-SK"/>
              </w:rPr>
              <w:t>V stĺpci (7):</w:t>
            </w:r>
          </w:p>
          <w:p w:rsidR="008C54C3" w:rsidRPr="00F72075" w:rsidP="008C54C3">
            <w:pPr>
              <w:autoSpaceDE/>
              <w:autoSpaceDN/>
              <w:bidi w:val="0"/>
              <w:ind w:left="290" w:hanging="290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Ú – úplná zhoda (ak bolo ustanovenie smernice prebraté v celom rozsahu, správne, v príslušnej form</w:t>
            </w:r>
            <w:r w:rsidRPr="00F72075" w:rsidR="00391DC5">
              <w:rPr>
                <w:rFonts w:ascii="Times New Roman" w:hAnsi="Times New Roman"/>
                <w:sz w:val="22"/>
                <w:szCs w:val="22"/>
              </w:rPr>
              <w:t>e</w:t>
            </w:r>
            <w:r w:rsidRPr="00F72075">
              <w:rPr>
                <w:rFonts w:ascii="Times New Roman" w:hAnsi="Times New Roman"/>
                <w:sz w:val="22"/>
                <w:szCs w:val="22"/>
              </w:rPr>
              <w:t xml:space="preserve">, so zabezpečenou inštitucionálnou </w:t>
            </w:r>
            <w:r w:rsidRPr="00F72075" w:rsidR="00AB1604">
              <w:rPr>
                <w:rFonts w:ascii="Times New Roman" w:hAnsi="Times New Roman"/>
                <w:sz w:val="22"/>
                <w:szCs w:val="22"/>
              </w:rPr>
              <w:t>i</w:t>
            </w:r>
            <w:r w:rsidRPr="00F72075">
              <w:rPr>
                <w:rFonts w:ascii="Times New Roman" w:hAnsi="Times New Roman"/>
                <w:sz w:val="22"/>
                <w:szCs w:val="22"/>
              </w:rPr>
              <w:t>nfraštruktúrou, s príslušnými sankciami a vo vzájomnej súvislosti)</w:t>
            </w:r>
          </w:p>
          <w:p w:rsidR="008C54C3" w:rsidRPr="00F72075">
            <w:pPr>
              <w:autoSpaceDE/>
              <w:autoSpaceDN/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Č – čiastočná zhoda (ak minimálne jedna z podmienok úplnej zhody nie je splnená)</w:t>
            </w:r>
          </w:p>
          <w:p w:rsidR="008C54C3" w:rsidRPr="00F72075">
            <w:pPr>
              <w:pStyle w:val="BodyTextIndent2"/>
              <w:bidi w:val="0"/>
              <w:ind w:left="290" w:hanging="290"/>
              <w:jc w:val="lef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F72075">
              <w:rPr>
                <w:rFonts w:ascii="Times New Roman" w:hAnsi="Times New Roman"/>
                <w:sz w:val="22"/>
                <w:szCs w:val="22"/>
                <w:lang w:val="sk-SK"/>
              </w:rPr>
              <w:t>Ž – žiadna zhoda (ak nebola dosiahnutá ani úplná ani čiast. zhoda alebo k prebratiu dôjde v budúcnosti)</w:t>
            </w:r>
          </w:p>
          <w:p w:rsidR="008C54C3" w:rsidRPr="00F72075">
            <w:pPr>
              <w:autoSpaceDE/>
              <w:autoSpaceDN/>
              <w:bidi w:val="0"/>
              <w:ind w:left="290" w:hanging="290"/>
              <w:rPr>
                <w:rFonts w:ascii="Times New Roman" w:hAnsi="Times New Roman"/>
                <w:sz w:val="22"/>
                <w:szCs w:val="22"/>
              </w:rPr>
            </w:pPr>
            <w:r w:rsidRPr="00F72075">
              <w:rPr>
                <w:rFonts w:ascii="Times New Roman" w:hAnsi="Times New Roman"/>
                <w:sz w:val="22"/>
                <w:szCs w:val="22"/>
              </w:rPr>
              <w:t>n.</w:t>
            </w:r>
            <w:r w:rsidRPr="00F72075" w:rsidR="005972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72075">
              <w:rPr>
                <w:rFonts w:ascii="Times New Roman" w:hAnsi="Times New Roman"/>
                <w:sz w:val="22"/>
                <w:szCs w:val="22"/>
              </w:rPr>
              <w:t>a. – neaplikovateľnosť (ak sa ustanovenie smernice netýka SR alebo nie je potrebné ho prebrať)</w:t>
            </w:r>
          </w:p>
        </w:tc>
      </w:tr>
    </w:tbl>
    <w:p w:rsidR="008C54C3" w:rsidRPr="00F72075">
      <w:pPr>
        <w:autoSpaceDE/>
        <w:autoSpaceDN/>
        <w:bidi w:val="0"/>
        <w:rPr>
          <w:rFonts w:ascii="Times New Roman" w:hAnsi="Times New Roman"/>
          <w:sz w:val="22"/>
          <w:szCs w:val="22"/>
        </w:rPr>
      </w:pPr>
    </w:p>
    <w:p w:rsidR="008C54C3" w:rsidRPr="00F72075">
      <w:pPr>
        <w:autoSpaceDE/>
        <w:autoSpaceDN/>
        <w:bidi w:val="0"/>
        <w:rPr>
          <w:rFonts w:ascii="Times New Roman" w:hAnsi="Times New Roman"/>
          <w:sz w:val="22"/>
          <w:szCs w:val="22"/>
        </w:rPr>
      </w:pPr>
    </w:p>
    <w:p w:rsidR="008C54C3" w:rsidRPr="00F72075">
      <w:pPr>
        <w:pStyle w:val="Header"/>
        <w:tabs>
          <w:tab w:val="clear" w:pos="4536"/>
          <w:tab w:val="clear" w:pos="9072"/>
        </w:tabs>
        <w:autoSpaceDE/>
        <w:autoSpaceDN/>
        <w:bidi w:val="0"/>
        <w:rPr>
          <w:rFonts w:ascii="Times New Roman" w:hAnsi="Times New Roman"/>
          <w:sz w:val="22"/>
          <w:szCs w:val="22"/>
        </w:rPr>
      </w:pPr>
    </w:p>
    <w:sectPr>
      <w:footerReference w:type="default" r:id="rId4"/>
      <w:pgSz w:w="16838" w:h="11906" w:orient="landscape" w:code="9"/>
      <w:pgMar w:top="851" w:right="851" w:bottom="851" w:left="851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EUAlbertina-Regular-Identity-H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EUAlbertina-Regular-Identity-H">
    <w:panose1 w:val="00000000000000000000"/>
    <w:charset w:val="80"/>
    <w:family w:val="auto"/>
    <w:pitch w:val="default"/>
    <w:sig w:usb0="00000000" w:usb1="00000000" w:usb2="0000000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63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9E7916">
      <w:rPr>
        <w:rStyle w:val="PageNumber"/>
        <w:rFonts w:ascii="Times New Roman" w:hAnsi="Times New Roman"/>
        <w:noProof/>
      </w:rPr>
      <w:t>6</w:t>
    </w:r>
    <w:r>
      <w:rPr>
        <w:rStyle w:val="PageNumber"/>
        <w:rFonts w:ascii="Times New Roman" w:hAnsi="Times New Roman"/>
      </w:rPr>
      <w:fldChar w:fldCharType="end"/>
    </w:r>
  </w:p>
  <w:p w:rsidR="006F2C63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200"/>
    <w:multiLevelType w:val="hybridMultilevel"/>
    <w:tmpl w:val="3028D396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">
    <w:nsid w:val="02051DF6"/>
    <w:multiLevelType w:val="hybridMultilevel"/>
    <w:tmpl w:val="4F30397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23855F5"/>
    <w:multiLevelType w:val="hybridMultilevel"/>
    <w:tmpl w:val="C6AC2AB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3175C"/>
    <w:multiLevelType w:val="hybridMultilevel"/>
    <w:tmpl w:val="BFEC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09FE7A2B"/>
    <w:multiLevelType w:val="hybridMultilevel"/>
    <w:tmpl w:val="2E3ABCE8"/>
    <w:lvl w:ilvl="0">
      <w:start w:val="13"/>
      <w:numFmt w:val="lowerLetter"/>
      <w:lvlText w:val="%1)"/>
      <w:lvlJc w:val="left"/>
      <w:pPr>
        <w:tabs>
          <w:tab w:val="num" w:pos="317"/>
        </w:tabs>
        <w:ind w:left="31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37"/>
        </w:tabs>
        <w:ind w:left="103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57"/>
        </w:tabs>
        <w:ind w:left="17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77"/>
        </w:tabs>
        <w:ind w:left="24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97"/>
        </w:tabs>
        <w:ind w:left="31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17"/>
        </w:tabs>
        <w:ind w:left="39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37"/>
        </w:tabs>
        <w:ind w:left="46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57"/>
        </w:tabs>
        <w:ind w:left="53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77"/>
        </w:tabs>
        <w:ind w:left="6077" w:hanging="180"/>
      </w:pPr>
      <w:rPr>
        <w:rFonts w:cs="Times New Roman"/>
        <w:rtl w:val="0"/>
        <w:cs w:val="0"/>
      </w:rPr>
    </w:lvl>
  </w:abstractNum>
  <w:abstractNum w:abstractNumId="5">
    <w:nsid w:val="0A9D5379"/>
    <w:multiLevelType w:val="hybridMultilevel"/>
    <w:tmpl w:val="BF3294F6"/>
    <w:lvl w:ilvl="0">
      <w:start w:val="1"/>
      <w:numFmt w:val="decimal"/>
      <w:lvlText w:val="(%1)"/>
      <w:lvlJc w:val="left"/>
      <w:pPr>
        <w:ind w:left="390" w:hanging="390"/>
      </w:pPr>
      <w:rPr>
        <w:rFonts w:cs="Times New Roman" w:hint="default"/>
        <w:rtl w:val="0"/>
        <w:cs w:val="0"/>
      </w:rPr>
    </w:lvl>
    <w:lvl w:ilvl="1">
      <w:start w:val="14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16487803"/>
    <w:multiLevelType w:val="hybridMultilevel"/>
    <w:tmpl w:val="4DAADD86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  <w:rtl w:val="0"/>
        <w:cs w:val="0"/>
      </w:rPr>
    </w:lvl>
  </w:abstractNum>
  <w:abstractNum w:abstractNumId="7">
    <w:nsid w:val="1AF013F8"/>
    <w:multiLevelType w:val="hybridMultilevel"/>
    <w:tmpl w:val="723283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1E612C60"/>
    <w:multiLevelType w:val="hybridMultilevel"/>
    <w:tmpl w:val="3A3467C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F5071B6"/>
    <w:multiLevelType w:val="hybridMultilevel"/>
    <w:tmpl w:val="69E871A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FE82C02"/>
    <w:multiLevelType w:val="hybridMultilevel"/>
    <w:tmpl w:val="27E60920"/>
    <w:lvl w:ilvl="0">
      <w:start w:val="15"/>
      <w:numFmt w:val="upperLetter"/>
      <w:lvlText w:val="%1)"/>
      <w:lvlJc w:val="left"/>
      <w:pPr>
        <w:ind w:left="46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8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0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2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4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6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8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0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26" w:hanging="180"/>
      </w:pPr>
      <w:rPr>
        <w:rFonts w:cs="Times New Roman"/>
        <w:rtl w:val="0"/>
        <w:cs w:val="0"/>
      </w:rPr>
    </w:lvl>
  </w:abstractNum>
  <w:abstractNum w:abstractNumId="11">
    <w:nsid w:val="250318E0"/>
    <w:multiLevelType w:val="hybridMultilevel"/>
    <w:tmpl w:val="1310A5A2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5CF25F6"/>
    <w:multiLevelType w:val="hybridMultilevel"/>
    <w:tmpl w:val="19D083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82B4163"/>
    <w:multiLevelType w:val="hybridMultilevel"/>
    <w:tmpl w:val="722C74D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  <w:rtl w:val="0"/>
        <w:cs w:val="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DCA6389"/>
    <w:multiLevelType w:val="hybridMultilevel"/>
    <w:tmpl w:val="DC16E5AA"/>
    <w:lvl w:ilvl="0">
      <w:start w:val="6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  <w:rtl w:val="0"/>
        <w:cs w:val="0"/>
      </w:rPr>
    </w:lvl>
  </w:abstractNum>
  <w:abstractNum w:abstractNumId="15">
    <w:nsid w:val="30CE1E6B"/>
    <w:multiLevelType w:val="hybridMultilevel"/>
    <w:tmpl w:val="EE2216B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A2155FD"/>
    <w:multiLevelType w:val="hybridMultilevel"/>
    <w:tmpl w:val="F7424BA2"/>
    <w:lvl w:ilvl="0">
      <w:start w:val="10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B782FBA"/>
    <w:multiLevelType w:val="hybridMultilevel"/>
    <w:tmpl w:val="CE62447C"/>
    <w:lvl w:ilvl="0">
      <w:start w:val="1"/>
      <w:numFmt w:val="lowerLetter"/>
      <w:lvlText w:val="%1)"/>
      <w:lvlJc w:val="left"/>
      <w:pPr>
        <w:ind w:left="111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3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5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7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9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1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3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5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70" w:hanging="180"/>
      </w:pPr>
      <w:rPr>
        <w:rFonts w:cs="Times New Roman"/>
        <w:rtl w:val="0"/>
        <w:cs w:val="0"/>
      </w:rPr>
    </w:lvl>
  </w:abstractNum>
  <w:abstractNum w:abstractNumId="18">
    <w:nsid w:val="3DAD5911"/>
    <w:multiLevelType w:val="multilevel"/>
    <w:tmpl w:val="DD300358"/>
    <w:lvl w:ilvl="0">
      <w:start w:val="4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E895DF1"/>
    <w:multiLevelType w:val="hybridMultilevel"/>
    <w:tmpl w:val="1216395A"/>
    <w:lvl w:ilvl="0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  <w:rtl w:val="0"/>
        <w:cs w:val="0"/>
      </w:rPr>
    </w:lvl>
  </w:abstractNum>
  <w:abstractNum w:abstractNumId="20">
    <w:nsid w:val="40B34B88"/>
    <w:multiLevelType w:val="hybridMultilevel"/>
    <w:tmpl w:val="844E1CBE"/>
    <w:lvl w:ilvl="0">
      <w:start w:val="1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rtl w:val="0"/>
        <w:cs w:val="0"/>
      </w:rPr>
    </w:lvl>
    <w:lvl w:ilvl="1">
      <w:start w:val="9"/>
      <w:numFmt w:val="decimal"/>
      <w:lvlText w:val="(%2)"/>
      <w:lvlJc w:val="left"/>
      <w:pPr>
        <w:tabs>
          <w:tab w:val="num" w:pos="1789"/>
        </w:tabs>
        <w:ind w:left="1789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  <w:rtl w:val="0"/>
        <w:cs w:val="0"/>
      </w:rPr>
    </w:lvl>
  </w:abstractNum>
  <w:abstractNum w:abstractNumId="21">
    <w:nsid w:val="416A3682"/>
    <w:multiLevelType w:val="hybridMultilevel"/>
    <w:tmpl w:val="577223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>
    <w:nsid w:val="442D2C53"/>
    <w:multiLevelType w:val="singleLevel"/>
    <w:tmpl w:val="BA38970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53B22F5"/>
    <w:multiLevelType w:val="hybridMultilevel"/>
    <w:tmpl w:val="338E3E86"/>
    <w:lvl w:ilvl="0">
      <w:start w:val="10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  <w:rtl w:val="0"/>
        <w:cs w:val="0"/>
      </w:rPr>
    </w:lvl>
  </w:abstractNum>
  <w:abstractNum w:abstractNumId="24">
    <w:nsid w:val="4D0E4AF2"/>
    <w:multiLevelType w:val="hybridMultilevel"/>
    <w:tmpl w:val="4AFABD1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F314C4D"/>
    <w:multiLevelType w:val="hybridMultilevel"/>
    <w:tmpl w:val="51743E14"/>
    <w:lvl w:ilvl="0">
      <w:start w:val="14"/>
      <w:numFmt w:val="lowerLetter"/>
      <w:lvlText w:val="%1)"/>
      <w:lvlJc w:val="left"/>
      <w:pPr>
        <w:ind w:left="74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6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8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0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2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4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6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8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09" w:hanging="180"/>
      </w:pPr>
      <w:rPr>
        <w:rFonts w:cs="Times New Roman"/>
        <w:rtl w:val="0"/>
        <w:cs w:val="0"/>
      </w:rPr>
    </w:lvl>
  </w:abstractNum>
  <w:abstractNum w:abstractNumId="26">
    <w:nsid w:val="53162EE4"/>
    <w:multiLevelType w:val="multilevel"/>
    <w:tmpl w:val="722C74D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  <w:rtl w:val="0"/>
        <w:cs w:val="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7">
    <w:nsid w:val="53E838FC"/>
    <w:multiLevelType w:val="hybridMultilevel"/>
    <w:tmpl w:val="C398123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  <w:szCs w:val="2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8">
    <w:nsid w:val="568D2A28"/>
    <w:multiLevelType w:val="multilevel"/>
    <w:tmpl w:val="32008BC8"/>
    <w:lvl w:ilvl="0">
      <w:start w:val="10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9">
    <w:nsid w:val="5C38169F"/>
    <w:multiLevelType w:val="hybridMultilevel"/>
    <w:tmpl w:val="16FAC14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rtl w:val="0"/>
        <w:cs w:val="0"/>
      </w:rPr>
    </w:lvl>
    <w:lvl w:ilvl="1">
      <w:start w:val="2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  <w:rtl w:val="0"/>
        <w:cs w:val="0"/>
      </w:rPr>
    </w:lvl>
    <w:lvl w:ilvl="2">
      <w:start w:val="16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3">
      <w:start w:val="7"/>
      <w:numFmt w:val="decimal"/>
      <w:lvlText w:val="(%4)"/>
      <w:lvlJc w:val="left"/>
      <w:pPr>
        <w:tabs>
          <w:tab w:val="num" w:pos="3420"/>
        </w:tabs>
        <w:ind w:left="342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  <w:rtl w:val="0"/>
        <w:cs w:val="0"/>
      </w:rPr>
    </w:lvl>
  </w:abstractNum>
  <w:abstractNum w:abstractNumId="30">
    <w:nsid w:val="63057790"/>
    <w:multiLevelType w:val="hybridMultilevel"/>
    <w:tmpl w:val="9A74FFF8"/>
    <w:lvl w:ilvl="0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1">
    <w:nsid w:val="68A010CA"/>
    <w:multiLevelType w:val="hybridMultilevel"/>
    <w:tmpl w:val="A47E1A44"/>
    <w:lvl w:ilvl="0">
      <w:start w:val="7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6C640374"/>
    <w:multiLevelType w:val="hybridMultilevel"/>
    <w:tmpl w:val="CC627F54"/>
    <w:lvl w:ilvl="0">
      <w:start w:val="4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0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73ED0DEA"/>
    <w:multiLevelType w:val="hybridMultilevel"/>
    <w:tmpl w:val="3CEEDDB4"/>
    <w:lvl w:ilvl="0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4">
    <w:nsid w:val="744F5B7E"/>
    <w:multiLevelType w:val="hybridMultilevel"/>
    <w:tmpl w:val="6902CD3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75F101D2"/>
    <w:multiLevelType w:val="hybridMultilevel"/>
    <w:tmpl w:val="12907DC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76626A07"/>
    <w:multiLevelType w:val="hybridMultilevel"/>
    <w:tmpl w:val="A6C8CA64"/>
    <w:lvl w:ilvl="0">
      <w:start w:val="1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7">
    <w:nsid w:val="78F51B70"/>
    <w:multiLevelType w:val="hybridMultilevel"/>
    <w:tmpl w:val="2C08B80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8">
    <w:nsid w:val="7FD323E0"/>
    <w:multiLevelType w:val="hybridMultilevel"/>
    <w:tmpl w:val="CF32575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29"/>
  </w:num>
  <w:num w:numId="3">
    <w:abstractNumId w:val="7"/>
  </w:num>
  <w:num w:numId="4">
    <w:abstractNumId w:val="12"/>
  </w:num>
  <w:num w:numId="5">
    <w:abstractNumId w:val="27"/>
  </w:num>
  <w:num w:numId="6">
    <w:abstractNumId w:val="33"/>
  </w:num>
  <w:num w:numId="7">
    <w:abstractNumId w:val="30"/>
  </w:num>
  <w:num w:numId="8">
    <w:abstractNumId w:val="13"/>
  </w:num>
  <w:num w:numId="9">
    <w:abstractNumId w:val="35"/>
  </w:num>
  <w:num w:numId="10">
    <w:abstractNumId w:val="5"/>
  </w:num>
  <w:num w:numId="11">
    <w:abstractNumId w:val="17"/>
  </w:num>
  <w:num w:numId="12">
    <w:abstractNumId w:val="31"/>
  </w:num>
  <w:num w:numId="13">
    <w:abstractNumId w:val="34"/>
  </w:num>
  <w:num w:numId="14">
    <w:abstractNumId w:val="25"/>
  </w:num>
  <w:num w:numId="15">
    <w:abstractNumId w:val="1"/>
  </w:num>
  <w:num w:numId="16">
    <w:abstractNumId w:val="10"/>
  </w:num>
  <w:num w:numId="17">
    <w:abstractNumId w:val="38"/>
  </w:num>
  <w:num w:numId="18">
    <w:abstractNumId w:val="37"/>
  </w:num>
  <w:num w:numId="19">
    <w:abstractNumId w:val="15"/>
  </w:num>
  <w:num w:numId="20">
    <w:abstractNumId w:val="19"/>
  </w:num>
  <w:num w:numId="21">
    <w:abstractNumId w:val="36"/>
  </w:num>
  <w:num w:numId="22">
    <w:abstractNumId w:val="9"/>
  </w:num>
  <w:num w:numId="23">
    <w:abstractNumId w:val="8"/>
  </w:num>
  <w:num w:numId="24">
    <w:abstractNumId w:val="2"/>
  </w:num>
  <w:num w:numId="25">
    <w:abstractNumId w:val="22"/>
  </w:num>
  <w:num w:numId="26">
    <w:abstractNumId w:val="4"/>
  </w:num>
  <w:num w:numId="27">
    <w:abstractNumId w:val="23"/>
  </w:num>
  <w:num w:numId="28">
    <w:abstractNumId w:val="0"/>
  </w:num>
  <w:num w:numId="29">
    <w:abstractNumId w:val="24"/>
  </w:num>
  <w:num w:numId="30">
    <w:abstractNumId w:val="32"/>
  </w:num>
  <w:num w:numId="31">
    <w:abstractNumId w:val="26"/>
  </w:num>
  <w:num w:numId="32">
    <w:abstractNumId w:val="14"/>
  </w:num>
  <w:num w:numId="33">
    <w:abstractNumId w:val="20"/>
  </w:num>
  <w:num w:numId="34">
    <w:abstractNumId w:val="18"/>
  </w:num>
  <w:num w:numId="35">
    <w:abstractNumId w:val="11"/>
  </w:num>
  <w:num w:numId="36">
    <w:abstractNumId w:val="6"/>
  </w:num>
  <w:num w:numId="37">
    <w:abstractNumId w:val="21"/>
  </w:num>
  <w:num w:numId="38">
    <w:abstractNumId w:val="16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9063F"/>
    <w:rsid w:val="00002D8D"/>
    <w:rsid w:val="000059B4"/>
    <w:rsid w:val="000066CD"/>
    <w:rsid w:val="00011425"/>
    <w:rsid w:val="0001304E"/>
    <w:rsid w:val="00017FCC"/>
    <w:rsid w:val="00024359"/>
    <w:rsid w:val="000261EB"/>
    <w:rsid w:val="000275E1"/>
    <w:rsid w:val="00033EB7"/>
    <w:rsid w:val="00037E1E"/>
    <w:rsid w:val="000411D1"/>
    <w:rsid w:val="00042DBE"/>
    <w:rsid w:val="00043EA0"/>
    <w:rsid w:val="000521FB"/>
    <w:rsid w:val="00055D3D"/>
    <w:rsid w:val="00057C91"/>
    <w:rsid w:val="000624E0"/>
    <w:rsid w:val="00062518"/>
    <w:rsid w:val="00063CC8"/>
    <w:rsid w:val="000652EF"/>
    <w:rsid w:val="000725ED"/>
    <w:rsid w:val="0007383F"/>
    <w:rsid w:val="000738E5"/>
    <w:rsid w:val="00073E95"/>
    <w:rsid w:val="00077FD9"/>
    <w:rsid w:val="0008182A"/>
    <w:rsid w:val="00084CA1"/>
    <w:rsid w:val="00085965"/>
    <w:rsid w:val="00094983"/>
    <w:rsid w:val="000A53E1"/>
    <w:rsid w:val="000B2E64"/>
    <w:rsid w:val="000B5541"/>
    <w:rsid w:val="000B65F3"/>
    <w:rsid w:val="000C2B48"/>
    <w:rsid w:val="000D4C85"/>
    <w:rsid w:val="000D4F33"/>
    <w:rsid w:val="000E5CED"/>
    <w:rsid w:val="000F3267"/>
    <w:rsid w:val="000F3E10"/>
    <w:rsid w:val="000F4A60"/>
    <w:rsid w:val="000F6976"/>
    <w:rsid w:val="000F7E7C"/>
    <w:rsid w:val="001000FE"/>
    <w:rsid w:val="00105541"/>
    <w:rsid w:val="00116343"/>
    <w:rsid w:val="001210B2"/>
    <w:rsid w:val="00122CA1"/>
    <w:rsid w:val="00122F45"/>
    <w:rsid w:val="00123ECB"/>
    <w:rsid w:val="001255BF"/>
    <w:rsid w:val="001266F1"/>
    <w:rsid w:val="00131113"/>
    <w:rsid w:val="001322B0"/>
    <w:rsid w:val="0013509E"/>
    <w:rsid w:val="00136BC6"/>
    <w:rsid w:val="00142EF1"/>
    <w:rsid w:val="00145388"/>
    <w:rsid w:val="00145607"/>
    <w:rsid w:val="00145A69"/>
    <w:rsid w:val="00151218"/>
    <w:rsid w:val="001565DA"/>
    <w:rsid w:val="001568AB"/>
    <w:rsid w:val="0017178D"/>
    <w:rsid w:val="00171FF9"/>
    <w:rsid w:val="0017523F"/>
    <w:rsid w:val="001755F3"/>
    <w:rsid w:val="00180A6E"/>
    <w:rsid w:val="00180A99"/>
    <w:rsid w:val="001810A8"/>
    <w:rsid w:val="001835E9"/>
    <w:rsid w:val="00187E62"/>
    <w:rsid w:val="0019075F"/>
    <w:rsid w:val="00190A0A"/>
    <w:rsid w:val="00195404"/>
    <w:rsid w:val="001A4B9D"/>
    <w:rsid w:val="001A4D4A"/>
    <w:rsid w:val="001B02EA"/>
    <w:rsid w:val="001B18FC"/>
    <w:rsid w:val="001B1D51"/>
    <w:rsid w:val="001C4427"/>
    <w:rsid w:val="001C444B"/>
    <w:rsid w:val="001C4F25"/>
    <w:rsid w:val="001C62B2"/>
    <w:rsid w:val="001E5FE8"/>
    <w:rsid w:val="001E6F56"/>
    <w:rsid w:val="001E76FC"/>
    <w:rsid w:val="001F092C"/>
    <w:rsid w:val="001F107D"/>
    <w:rsid w:val="001F15BA"/>
    <w:rsid w:val="001F162E"/>
    <w:rsid w:val="001F4F9E"/>
    <w:rsid w:val="001F553F"/>
    <w:rsid w:val="001F5D80"/>
    <w:rsid w:val="00203C54"/>
    <w:rsid w:val="00211127"/>
    <w:rsid w:val="002151F0"/>
    <w:rsid w:val="002171F3"/>
    <w:rsid w:val="00226FE0"/>
    <w:rsid w:val="00232E84"/>
    <w:rsid w:val="002404DF"/>
    <w:rsid w:val="0024648F"/>
    <w:rsid w:val="00254C57"/>
    <w:rsid w:val="002632E3"/>
    <w:rsid w:val="00263F55"/>
    <w:rsid w:val="002642D3"/>
    <w:rsid w:val="00267E0F"/>
    <w:rsid w:val="00270D5B"/>
    <w:rsid w:val="00274D97"/>
    <w:rsid w:val="0027533F"/>
    <w:rsid w:val="00280AAD"/>
    <w:rsid w:val="00281197"/>
    <w:rsid w:val="002821C5"/>
    <w:rsid w:val="002823A0"/>
    <w:rsid w:val="00282BC6"/>
    <w:rsid w:val="00283F1E"/>
    <w:rsid w:val="00283F9C"/>
    <w:rsid w:val="00291FDE"/>
    <w:rsid w:val="00292E4A"/>
    <w:rsid w:val="0029480E"/>
    <w:rsid w:val="00295668"/>
    <w:rsid w:val="00297DED"/>
    <w:rsid w:val="002A1AC4"/>
    <w:rsid w:val="002A6F5C"/>
    <w:rsid w:val="002B003A"/>
    <w:rsid w:val="002B15A1"/>
    <w:rsid w:val="002B39D3"/>
    <w:rsid w:val="002B60E5"/>
    <w:rsid w:val="002D0067"/>
    <w:rsid w:val="002D025C"/>
    <w:rsid w:val="002D0670"/>
    <w:rsid w:val="002D6BDD"/>
    <w:rsid w:val="002E19CF"/>
    <w:rsid w:val="002E33B9"/>
    <w:rsid w:val="002E5201"/>
    <w:rsid w:val="002F244E"/>
    <w:rsid w:val="002F3E6F"/>
    <w:rsid w:val="002F7F8F"/>
    <w:rsid w:val="00313482"/>
    <w:rsid w:val="00314DDD"/>
    <w:rsid w:val="00316FA5"/>
    <w:rsid w:val="00316FE3"/>
    <w:rsid w:val="003256F7"/>
    <w:rsid w:val="0032737F"/>
    <w:rsid w:val="00331758"/>
    <w:rsid w:val="00332198"/>
    <w:rsid w:val="00335458"/>
    <w:rsid w:val="003360D5"/>
    <w:rsid w:val="0034007E"/>
    <w:rsid w:val="0034226A"/>
    <w:rsid w:val="003430B3"/>
    <w:rsid w:val="00346867"/>
    <w:rsid w:val="00347AEE"/>
    <w:rsid w:val="00347BB6"/>
    <w:rsid w:val="00351423"/>
    <w:rsid w:val="00355E6F"/>
    <w:rsid w:val="00360074"/>
    <w:rsid w:val="00362611"/>
    <w:rsid w:val="00365484"/>
    <w:rsid w:val="00366257"/>
    <w:rsid w:val="00370291"/>
    <w:rsid w:val="003714F8"/>
    <w:rsid w:val="00373510"/>
    <w:rsid w:val="00373A9C"/>
    <w:rsid w:val="0037551D"/>
    <w:rsid w:val="003840C0"/>
    <w:rsid w:val="00385D5A"/>
    <w:rsid w:val="00391DC5"/>
    <w:rsid w:val="00392029"/>
    <w:rsid w:val="00394785"/>
    <w:rsid w:val="003A0B61"/>
    <w:rsid w:val="003A0CDF"/>
    <w:rsid w:val="003A46F4"/>
    <w:rsid w:val="003A4948"/>
    <w:rsid w:val="003A5233"/>
    <w:rsid w:val="003A568C"/>
    <w:rsid w:val="003C217B"/>
    <w:rsid w:val="003C3BA3"/>
    <w:rsid w:val="003C3EB4"/>
    <w:rsid w:val="003C55BD"/>
    <w:rsid w:val="003C7CA3"/>
    <w:rsid w:val="003D11EE"/>
    <w:rsid w:val="003D3792"/>
    <w:rsid w:val="003D65BC"/>
    <w:rsid w:val="003D6C94"/>
    <w:rsid w:val="003F5316"/>
    <w:rsid w:val="00400DE7"/>
    <w:rsid w:val="0040230A"/>
    <w:rsid w:val="0040530F"/>
    <w:rsid w:val="004210C0"/>
    <w:rsid w:val="00421605"/>
    <w:rsid w:val="00424753"/>
    <w:rsid w:val="00430A36"/>
    <w:rsid w:val="0043556A"/>
    <w:rsid w:val="00446B81"/>
    <w:rsid w:val="004479BA"/>
    <w:rsid w:val="00447A93"/>
    <w:rsid w:val="0045057B"/>
    <w:rsid w:val="00451123"/>
    <w:rsid w:val="00452413"/>
    <w:rsid w:val="00453D8E"/>
    <w:rsid w:val="0045637D"/>
    <w:rsid w:val="00457412"/>
    <w:rsid w:val="00461C0C"/>
    <w:rsid w:val="00465E32"/>
    <w:rsid w:val="00471066"/>
    <w:rsid w:val="0048306F"/>
    <w:rsid w:val="004842F8"/>
    <w:rsid w:val="00485721"/>
    <w:rsid w:val="00491B81"/>
    <w:rsid w:val="00493DAC"/>
    <w:rsid w:val="004941A4"/>
    <w:rsid w:val="00495D3D"/>
    <w:rsid w:val="004A05BB"/>
    <w:rsid w:val="004A1F6D"/>
    <w:rsid w:val="004A2323"/>
    <w:rsid w:val="004A758E"/>
    <w:rsid w:val="004A77BB"/>
    <w:rsid w:val="004B14D5"/>
    <w:rsid w:val="004B1D3F"/>
    <w:rsid w:val="004B1EE5"/>
    <w:rsid w:val="004B25B1"/>
    <w:rsid w:val="004D1F03"/>
    <w:rsid w:val="004D3D74"/>
    <w:rsid w:val="004D53B3"/>
    <w:rsid w:val="004D6897"/>
    <w:rsid w:val="004D7ACD"/>
    <w:rsid w:val="004E64BE"/>
    <w:rsid w:val="005017F4"/>
    <w:rsid w:val="00501B18"/>
    <w:rsid w:val="00510990"/>
    <w:rsid w:val="00511BA7"/>
    <w:rsid w:val="005170A9"/>
    <w:rsid w:val="00520388"/>
    <w:rsid w:val="00522386"/>
    <w:rsid w:val="005262FC"/>
    <w:rsid w:val="00526B9A"/>
    <w:rsid w:val="00526D67"/>
    <w:rsid w:val="005317EF"/>
    <w:rsid w:val="00534DF4"/>
    <w:rsid w:val="005466CC"/>
    <w:rsid w:val="00547DE5"/>
    <w:rsid w:val="00552FB0"/>
    <w:rsid w:val="00553732"/>
    <w:rsid w:val="00554848"/>
    <w:rsid w:val="00555F9E"/>
    <w:rsid w:val="00556953"/>
    <w:rsid w:val="0055799E"/>
    <w:rsid w:val="005609C7"/>
    <w:rsid w:val="00562B01"/>
    <w:rsid w:val="005631E4"/>
    <w:rsid w:val="00563205"/>
    <w:rsid w:val="0057600D"/>
    <w:rsid w:val="005820AE"/>
    <w:rsid w:val="005827DD"/>
    <w:rsid w:val="005859F5"/>
    <w:rsid w:val="00595A3E"/>
    <w:rsid w:val="00595FAB"/>
    <w:rsid w:val="005972AA"/>
    <w:rsid w:val="005A06E6"/>
    <w:rsid w:val="005A7F64"/>
    <w:rsid w:val="005B32DE"/>
    <w:rsid w:val="005B57DA"/>
    <w:rsid w:val="005B5D19"/>
    <w:rsid w:val="005B62DA"/>
    <w:rsid w:val="005D548D"/>
    <w:rsid w:val="005D55F0"/>
    <w:rsid w:val="005E2677"/>
    <w:rsid w:val="005F2DB5"/>
    <w:rsid w:val="00600842"/>
    <w:rsid w:val="00606E7A"/>
    <w:rsid w:val="00615EE5"/>
    <w:rsid w:val="00616EAF"/>
    <w:rsid w:val="00626E1F"/>
    <w:rsid w:val="00633E4E"/>
    <w:rsid w:val="006402D2"/>
    <w:rsid w:val="00642AD4"/>
    <w:rsid w:val="006463F0"/>
    <w:rsid w:val="00646807"/>
    <w:rsid w:val="00646C97"/>
    <w:rsid w:val="00653046"/>
    <w:rsid w:val="006550A8"/>
    <w:rsid w:val="00656204"/>
    <w:rsid w:val="00656EB1"/>
    <w:rsid w:val="00657465"/>
    <w:rsid w:val="00664C5A"/>
    <w:rsid w:val="00664C8F"/>
    <w:rsid w:val="006659A8"/>
    <w:rsid w:val="00670AB9"/>
    <w:rsid w:val="00676259"/>
    <w:rsid w:val="00682410"/>
    <w:rsid w:val="00682BD8"/>
    <w:rsid w:val="00691D1B"/>
    <w:rsid w:val="00692090"/>
    <w:rsid w:val="00695E67"/>
    <w:rsid w:val="0069614F"/>
    <w:rsid w:val="006A3214"/>
    <w:rsid w:val="006A3E60"/>
    <w:rsid w:val="006B2E35"/>
    <w:rsid w:val="006B3880"/>
    <w:rsid w:val="006B3965"/>
    <w:rsid w:val="006C0CB6"/>
    <w:rsid w:val="006D1789"/>
    <w:rsid w:val="006D46A8"/>
    <w:rsid w:val="006D4F63"/>
    <w:rsid w:val="006E4A3A"/>
    <w:rsid w:val="006E62AB"/>
    <w:rsid w:val="006F0347"/>
    <w:rsid w:val="006F2C63"/>
    <w:rsid w:val="006F555D"/>
    <w:rsid w:val="006F66F1"/>
    <w:rsid w:val="006F710A"/>
    <w:rsid w:val="00703841"/>
    <w:rsid w:val="00714D3D"/>
    <w:rsid w:val="00715C9D"/>
    <w:rsid w:val="00721FE4"/>
    <w:rsid w:val="0072298F"/>
    <w:rsid w:val="00722A3D"/>
    <w:rsid w:val="007255E7"/>
    <w:rsid w:val="00732CB5"/>
    <w:rsid w:val="007351A7"/>
    <w:rsid w:val="007356B1"/>
    <w:rsid w:val="00736180"/>
    <w:rsid w:val="00740A01"/>
    <w:rsid w:val="007450F8"/>
    <w:rsid w:val="007469D6"/>
    <w:rsid w:val="00751956"/>
    <w:rsid w:val="0075553D"/>
    <w:rsid w:val="00762DDC"/>
    <w:rsid w:val="0076408F"/>
    <w:rsid w:val="00767D3D"/>
    <w:rsid w:val="00772E65"/>
    <w:rsid w:val="007738B5"/>
    <w:rsid w:val="00775B17"/>
    <w:rsid w:val="007761BD"/>
    <w:rsid w:val="0078639A"/>
    <w:rsid w:val="00786C7A"/>
    <w:rsid w:val="007904CE"/>
    <w:rsid w:val="0079376C"/>
    <w:rsid w:val="007952CA"/>
    <w:rsid w:val="00795704"/>
    <w:rsid w:val="007A00AC"/>
    <w:rsid w:val="007A1689"/>
    <w:rsid w:val="007A5682"/>
    <w:rsid w:val="007B1F37"/>
    <w:rsid w:val="007B3A0D"/>
    <w:rsid w:val="007B745F"/>
    <w:rsid w:val="007C1C4C"/>
    <w:rsid w:val="007C700D"/>
    <w:rsid w:val="007D0442"/>
    <w:rsid w:val="007D467C"/>
    <w:rsid w:val="007D5BEA"/>
    <w:rsid w:val="007E362E"/>
    <w:rsid w:val="007E3A28"/>
    <w:rsid w:val="007E7936"/>
    <w:rsid w:val="007F1090"/>
    <w:rsid w:val="007F1959"/>
    <w:rsid w:val="007F2D67"/>
    <w:rsid w:val="007F3D1E"/>
    <w:rsid w:val="007F7343"/>
    <w:rsid w:val="00802B3C"/>
    <w:rsid w:val="008054A5"/>
    <w:rsid w:val="00810E00"/>
    <w:rsid w:val="008121F3"/>
    <w:rsid w:val="008157CA"/>
    <w:rsid w:val="00820EFB"/>
    <w:rsid w:val="00821E85"/>
    <w:rsid w:val="00823B82"/>
    <w:rsid w:val="00830605"/>
    <w:rsid w:val="00834F1F"/>
    <w:rsid w:val="008458F7"/>
    <w:rsid w:val="00852FDF"/>
    <w:rsid w:val="00857D64"/>
    <w:rsid w:val="00860563"/>
    <w:rsid w:val="00860F56"/>
    <w:rsid w:val="00863B6E"/>
    <w:rsid w:val="00863E86"/>
    <w:rsid w:val="00867B56"/>
    <w:rsid w:val="00867C7E"/>
    <w:rsid w:val="00880FF2"/>
    <w:rsid w:val="00881FDA"/>
    <w:rsid w:val="00884BC8"/>
    <w:rsid w:val="00886F02"/>
    <w:rsid w:val="00895D1A"/>
    <w:rsid w:val="00897386"/>
    <w:rsid w:val="008A05E4"/>
    <w:rsid w:val="008A2D9A"/>
    <w:rsid w:val="008A32E1"/>
    <w:rsid w:val="008A43B9"/>
    <w:rsid w:val="008A61AB"/>
    <w:rsid w:val="008B178F"/>
    <w:rsid w:val="008B194D"/>
    <w:rsid w:val="008B4061"/>
    <w:rsid w:val="008B5050"/>
    <w:rsid w:val="008B6B58"/>
    <w:rsid w:val="008C0989"/>
    <w:rsid w:val="008C102F"/>
    <w:rsid w:val="008C54C3"/>
    <w:rsid w:val="008C62E2"/>
    <w:rsid w:val="008D4595"/>
    <w:rsid w:val="008D58D2"/>
    <w:rsid w:val="008E2411"/>
    <w:rsid w:val="008E5B95"/>
    <w:rsid w:val="008E6577"/>
    <w:rsid w:val="008F356C"/>
    <w:rsid w:val="00903FAA"/>
    <w:rsid w:val="0091403F"/>
    <w:rsid w:val="00915C1A"/>
    <w:rsid w:val="009173E3"/>
    <w:rsid w:val="00921CD1"/>
    <w:rsid w:val="0092472C"/>
    <w:rsid w:val="0092613D"/>
    <w:rsid w:val="0092617B"/>
    <w:rsid w:val="00930367"/>
    <w:rsid w:val="00930373"/>
    <w:rsid w:val="0093223F"/>
    <w:rsid w:val="009528D5"/>
    <w:rsid w:val="009578AE"/>
    <w:rsid w:val="00965F9D"/>
    <w:rsid w:val="00971C79"/>
    <w:rsid w:val="009729E1"/>
    <w:rsid w:val="00974BF3"/>
    <w:rsid w:val="009779CF"/>
    <w:rsid w:val="00980059"/>
    <w:rsid w:val="00981185"/>
    <w:rsid w:val="00981779"/>
    <w:rsid w:val="00982A75"/>
    <w:rsid w:val="00983177"/>
    <w:rsid w:val="00983293"/>
    <w:rsid w:val="00983E8E"/>
    <w:rsid w:val="00983FDB"/>
    <w:rsid w:val="00985BDF"/>
    <w:rsid w:val="00987134"/>
    <w:rsid w:val="00994299"/>
    <w:rsid w:val="00995F57"/>
    <w:rsid w:val="00997BE3"/>
    <w:rsid w:val="009A17EA"/>
    <w:rsid w:val="009A34BD"/>
    <w:rsid w:val="009A47AF"/>
    <w:rsid w:val="009C16D2"/>
    <w:rsid w:val="009D255C"/>
    <w:rsid w:val="009E313C"/>
    <w:rsid w:val="009E3595"/>
    <w:rsid w:val="009E5688"/>
    <w:rsid w:val="009E7834"/>
    <w:rsid w:val="009E7916"/>
    <w:rsid w:val="009F44FC"/>
    <w:rsid w:val="009F55AB"/>
    <w:rsid w:val="00A01294"/>
    <w:rsid w:val="00A054CE"/>
    <w:rsid w:val="00A06D52"/>
    <w:rsid w:val="00A100AF"/>
    <w:rsid w:val="00A13C3B"/>
    <w:rsid w:val="00A16B2F"/>
    <w:rsid w:val="00A2211E"/>
    <w:rsid w:val="00A27D4E"/>
    <w:rsid w:val="00A30687"/>
    <w:rsid w:val="00A341E5"/>
    <w:rsid w:val="00A34A5E"/>
    <w:rsid w:val="00A35667"/>
    <w:rsid w:val="00A37578"/>
    <w:rsid w:val="00A437A8"/>
    <w:rsid w:val="00A43EF3"/>
    <w:rsid w:val="00A4453B"/>
    <w:rsid w:val="00A45F81"/>
    <w:rsid w:val="00A46FEF"/>
    <w:rsid w:val="00A52EC0"/>
    <w:rsid w:val="00A53E98"/>
    <w:rsid w:val="00A55719"/>
    <w:rsid w:val="00A57180"/>
    <w:rsid w:val="00A64FDF"/>
    <w:rsid w:val="00A661D6"/>
    <w:rsid w:val="00A800F4"/>
    <w:rsid w:val="00A82AA2"/>
    <w:rsid w:val="00A83CE4"/>
    <w:rsid w:val="00A9063F"/>
    <w:rsid w:val="00A91EEA"/>
    <w:rsid w:val="00AA3E72"/>
    <w:rsid w:val="00AB0B3C"/>
    <w:rsid w:val="00AB1604"/>
    <w:rsid w:val="00AC1356"/>
    <w:rsid w:val="00AC3F71"/>
    <w:rsid w:val="00AC4FAF"/>
    <w:rsid w:val="00AC5B58"/>
    <w:rsid w:val="00AC5DE3"/>
    <w:rsid w:val="00AD032F"/>
    <w:rsid w:val="00AD2461"/>
    <w:rsid w:val="00AD2610"/>
    <w:rsid w:val="00AD3068"/>
    <w:rsid w:val="00AD352C"/>
    <w:rsid w:val="00AD45B6"/>
    <w:rsid w:val="00AE0C5E"/>
    <w:rsid w:val="00AE1256"/>
    <w:rsid w:val="00AE3AF0"/>
    <w:rsid w:val="00AE535E"/>
    <w:rsid w:val="00AE76FE"/>
    <w:rsid w:val="00AE7D7A"/>
    <w:rsid w:val="00AF1975"/>
    <w:rsid w:val="00AF5130"/>
    <w:rsid w:val="00B01D4D"/>
    <w:rsid w:val="00B02F8C"/>
    <w:rsid w:val="00B031B0"/>
    <w:rsid w:val="00B06577"/>
    <w:rsid w:val="00B065B0"/>
    <w:rsid w:val="00B118AB"/>
    <w:rsid w:val="00B12B36"/>
    <w:rsid w:val="00B14139"/>
    <w:rsid w:val="00B1678B"/>
    <w:rsid w:val="00B177D4"/>
    <w:rsid w:val="00B202C8"/>
    <w:rsid w:val="00B20FE6"/>
    <w:rsid w:val="00B2105E"/>
    <w:rsid w:val="00B21741"/>
    <w:rsid w:val="00B21FD9"/>
    <w:rsid w:val="00B25285"/>
    <w:rsid w:val="00B325FC"/>
    <w:rsid w:val="00B42354"/>
    <w:rsid w:val="00B44320"/>
    <w:rsid w:val="00B450E6"/>
    <w:rsid w:val="00B505B1"/>
    <w:rsid w:val="00B51188"/>
    <w:rsid w:val="00B55136"/>
    <w:rsid w:val="00B67891"/>
    <w:rsid w:val="00B71EDE"/>
    <w:rsid w:val="00B733AC"/>
    <w:rsid w:val="00B741A3"/>
    <w:rsid w:val="00B75D22"/>
    <w:rsid w:val="00B80EF1"/>
    <w:rsid w:val="00B8193C"/>
    <w:rsid w:val="00B83629"/>
    <w:rsid w:val="00B83A9B"/>
    <w:rsid w:val="00B85264"/>
    <w:rsid w:val="00B865D8"/>
    <w:rsid w:val="00B91E42"/>
    <w:rsid w:val="00B91F5C"/>
    <w:rsid w:val="00B93651"/>
    <w:rsid w:val="00B94801"/>
    <w:rsid w:val="00B95A78"/>
    <w:rsid w:val="00BA26E2"/>
    <w:rsid w:val="00BA5385"/>
    <w:rsid w:val="00BA6C15"/>
    <w:rsid w:val="00BB3024"/>
    <w:rsid w:val="00BB40D7"/>
    <w:rsid w:val="00BB5A5D"/>
    <w:rsid w:val="00BC01F7"/>
    <w:rsid w:val="00BC1FAC"/>
    <w:rsid w:val="00BC222B"/>
    <w:rsid w:val="00BC2967"/>
    <w:rsid w:val="00BD037D"/>
    <w:rsid w:val="00BD3110"/>
    <w:rsid w:val="00BD3A01"/>
    <w:rsid w:val="00BD66C6"/>
    <w:rsid w:val="00BE1E66"/>
    <w:rsid w:val="00BE6469"/>
    <w:rsid w:val="00BF2F4B"/>
    <w:rsid w:val="00BF3700"/>
    <w:rsid w:val="00BF6AE3"/>
    <w:rsid w:val="00BF7F76"/>
    <w:rsid w:val="00C0067C"/>
    <w:rsid w:val="00C03668"/>
    <w:rsid w:val="00C03B25"/>
    <w:rsid w:val="00C10356"/>
    <w:rsid w:val="00C114C1"/>
    <w:rsid w:val="00C11605"/>
    <w:rsid w:val="00C12C4C"/>
    <w:rsid w:val="00C169DD"/>
    <w:rsid w:val="00C21681"/>
    <w:rsid w:val="00C321C2"/>
    <w:rsid w:val="00C47906"/>
    <w:rsid w:val="00C524C6"/>
    <w:rsid w:val="00C554CB"/>
    <w:rsid w:val="00C5727C"/>
    <w:rsid w:val="00C57296"/>
    <w:rsid w:val="00C63994"/>
    <w:rsid w:val="00C715AB"/>
    <w:rsid w:val="00C736DC"/>
    <w:rsid w:val="00C75029"/>
    <w:rsid w:val="00C809E9"/>
    <w:rsid w:val="00C818D0"/>
    <w:rsid w:val="00C91269"/>
    <w:rsid w:val="00CA0AE6"/>
    <w:rsid w:val="00CA2C6E"/>
    <w:rsid w:val="00CA478D"/>
    <w:rsid w:val="00CA7C49"/>
    <w:rsid w:val="00CB0C39"/>
    <w:rsid w:val="00CB0D70"/>
    <w:rsid w:val="00CB1FA4"/>
    <w:rsid w:val="00CB292D"/>
    <w:rsid w:val="00CB47C6"/>
    <w:rsid w:val="00CB5B8E"/>
    <w:rsid w:val="00CB5D15"/>
    <w:rsid w:val="00CC0DC9"/>
    <w:rsid w:val="00CC1A28"/>
    <w:rsid w:val="00CC3127"/>
    <w:rsid w:val="00CC3258"/>
    <w:rsid w:val="00CC59C5"/>
    <w:rsid w:val="00CC6B38"/>
    <w:rsid w:val="00CD4F30"/>
    <w:rsid w:val="00CE0980"/>
    <w:rsid w:val="00CE5759"/>
    <w:rsid w:val="00CE65A2"/>
    <w:rsid w:val="00CF0E3B"/>
    <w:rsid w:val="00CF65DB"/>
    <w:rsid w:val="00D02825"/>
    <w:rsid w:val="00D02ABE"/>
    <w:rsid w:val="00D078A6"/>
    <w:rsid w:val="00D113BD"/>
    <w:rsid w:val="00D163C2"/>
    <w:rsid w:val="00D2105D"/>
    <w:rsid w:val="00D21AA5"/>
    <w:rsid w:val="00D25FE8"/>
    <w:rsid w:val="00D26C6E"/>
    <w:rsid w:val="00D27CF4"/>
    <w:rsid w:val="00D30725"/>
    <w:rsid w:val="00D30B81"/>
    <w:rsid w:val="00D336A8"/>
    <w:rsid w:val="00D33E9A"/>
    <w:rsid w:val="00D40DEA"/>
    <w:rsid w:val="00D42FCE"/>
    <w:rsid w:val="00D43D2A"/>
    <w:rsid w:val="00D537E4"/>
    <w:rsid w:val="00D5474F"/>
    <w:rsid w:val="00D60A41"/>
    <w:rsid w:val="00D62DF5"/>
    <w:rsid w:val="00D63223"/>
    <w:rsid w:val="00D65628"/>
    <w:rsid w:val="00D67359"/>
    <w:rsid w:val="00D67EAF"/>
    <w:rsid w:val="00D7304E"/>
    <w:rsid w:val="00D74D24"/>
    <w:rsid w:val="00D821D2"/>
    <w:rsid w:val="00D84A49"/>
    <w:rsid w:val="00D86D90"/>
    <w:rsid w:val="00D90267"/>
    <w:rsid w:val="00D90AD0"/>
    <w:rsid w:val="00DA0F6C"/>
    <w:rsid w:val="00DA23E5"/>
    <w:rsid w:val="00DA268D"/>
    <w:rsid w:val="00DA6D88"/>
    <w:rsid w:val="00DA76FC"/>
    <w:rsid w:val="00DB06D1"/>
    <w:rsid w:val="00DB47B3"/>
    <w:rsid w:val="00DB47FC"/>
    <w:rsid w:val="00DB7662"/>
    <w:rsid w:val="00DC03A1"/>
    <w:rsid w:val="00DC5AD0"/>
    <w:rsid w:val="00DD0053"/>
    <w:rsid w:val="00DD1ABE"/>
    <w:rsid w:val="00DD2DA3"/>
    <w:rsid w:val="00DD7341"/>
    <w:rsid w:val="00DF0853"/>
    <w:rsid w:val="00DF2419"/>
    <w:rsid w:val="00DF275A"/>
    <w:rsid w:val="00DF5A4D"/>
    <w:rsid w:val="00E00947"/>
    <w:rsid w:val="00E02442"/>
    <w:rsid w:val="00E02975"/>
    <w:rsid w:val="00E03175"/>
    <w:rsid w:val="00E101CD"/>
    <w:rsid w:val="00E10E25"/>
    <w:rsid w:val="00E1755E"/>
    <w:rsid w:val="00E20946"/>
    <w:rsid w:val="00E264BE"/>
    <w:rsid w:val="00E2704A"/>
    <w:rsid w:val="00E33AD6"/>
    <w:rsid w:val="00E34139"/>
    <w:rsid w:val="00E430A1"/>
    <w:rsid w:val="00E4533A"/>
    <w:rsid w:val="00E456E9"/>
    <w:rsid w:val="00E471DD"/>
    <w:rsid w:val="00E5186B"/>
    <w:rsid w:val="00E53BDD"/>
    <w:rsid w:val="00E61C67"/>
    <w:rsid w:val="00E64888"/>
    <w:rsid w:val="00E661F2"/>
    <w:rsid w:val="00E66B65"/>
    <w:rsid w:val="00E67CA5"/>
    <w:rsid w:val="00E73E10"/>
    <w:rsid w:val="00E754F3"/>
    <w:rsid w:val="00E80706"/>
    <w:rsid w:val="00E80DBE"/>
    <w:rsid w:val="00E83767"/>
    <w:rsid w:val="00E844D5"/>
    <w:rsid w:val="00E90596"/>
    <w:rsid w:val="00E91493"/>
    <w:rsid w:val="00E91F63"/>
    <w:rsid w:val="00E9286C"/>
    <w:rsid w:val="00E9428E"/>
    <w:rsid w:val="00EA4EF9"/>
    <w:rsid w:val="00EA50BE"/>
    <w:rsid w:val="00EB5D72"/>
    <w:rsid w:val="00EC0933"/>
    <w:rsid w:val="00ED01F6"/>
    <w:rsid w:val="00ED1EEA"/>
    <w:rsid w:val="00ED2000"/>
    <w:rsid w:val="00ED3C66"/>
    <w:rsid w:val="00EE1B08"/>
    <w:rsid w:val="00EE5231"/>
    <w:rsid w:val="00EF1AF2"/>
    <w:rsid w:val="00EF56A7"/>
    <w:rsid w:val="00F02682"/>
    <w:rsid w:val="00F034BB"/>
    <w:rsid w:val="00F0535B"/>
    <w:rsid w:val="00F05D01"/>
    <w:rsid w:val="00F0783D"/>
    <w:rsid w:val="00F10011"/>
    <w:rsid w:val="00F117C4"/>
    <w:rsid w:val="00F1407A"/>
    <w:rsid w:val="00F1700E"/>
    <w:rsid w:val="00F1708D"/>
    <w:rsid w:val="00F23B92"/>
    <w:rsid w:val="00F25D54"/>
    <w:rsid w:val="00F2623F"/>
    <w:rsid w:val="00F265DB"/>
    <w:rsid w:val="00F273BE"/>
    <w:rsid w:val="00F35D7F"/>
    <w:rsid w:val="00F36516"/>
    <w:rsid w:val="00F36CE0"/>
    <w:rsid w:val="00F37776"/>
    <w:rsid w:val="00F42CCE"/>
    <w:rsid w:val="00F45BBD"/>
    <w:rsid w:val="00F46B28"/>
    <w:rsid w:val="00F523D7"/>
    <w:rsid w:val="00F57FCF"/>
    <w:rsid w:val="00F66179"/>
    <w:rsid w:val="00F72075"/>
    <w:rsid w:val="00F74A35"/>
    <w:rsid w:val="00F76C7F"/>
    <w:rsid w:val="00F815BB"/>
    <w:rsid w:val="00F8304F"/>
    <w:rsid w:val="00F84C7D"/>
    <w:rsid w:val="00F92C0E"/>
    <w:rsid w:val="00F93782"/>
    <w:rsid w:val="00F949E6"/>
    <w:rsid w:val="00F97870"/>
    <w:rsid w:val="00FA0E6E"/>
    <w:rsid w:val="00FB00B9"/>
    <w:rsid w:val="00FB6307"/>
    <w:rsid w:val="00FC1CAF"/>
    <w:rsid w:val="00FC3CF9"/>
    <w:rsid w:val="00FD07AF"/>
    <w:rsid w:val="00FD5708"/>
    <w:rsid w:val="00FD5C57"/>
    <w:rsid w:val="00FE27E8"/>
    <w:rsid w:val="00FE2D56"/>
    <w:rsid w:val="00FE3761"/>
    <w:rsid w:val="00FF39A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156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caption" w:locked="0" w:uiPriority="35" w:qFormat="1"/>
    <w:lsdException w:name="Title" w:locked="0" w:semiHidden="0" w:uiPriority="10" w:unhideWhenUsed="0" w:qFormat="1"/>
    <w:lsdException w:name="Default Paragraph Font" w:locked="0" w:uiPriority="1"/>
    <w:lsdException w:name="Subtitle" w:locked="0" w:semiHidden="0" w:uiPriority="11" w:unhideWhenUsed="0" w:qFormat="1"/>
    <w:lsdException w:name="Strong" w:locked="0" w:semiHidden="0" w:uiPriority="22" w:unhideWhenUsed="0" w:qFormat="1"/>
    <w:lsdException w:name="Emphasis" w:locked="0" w:semiHidden="0" w:uiPriority="20" w:unhideWhenUsed="0" w:qFormat="1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uiPriority w:val="99"/>
    <w:rsid w:val="00BE6469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9"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Nadpis4Char"/>
    <w:uiPriority w:val="99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Nadpis5Char"/>
    <w:uiPriority w:val="99"/>
    <w:locked/>
    <w:rsid w:val="005A06E6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rtl w:val="0"/>
      <w:cs w:val="0"/>
    </w:rPr>
  </w:style>
  <w:style w:type="paragraph" w:styleId="BodyText3">
    <w:name w:val="Body Text 3"/>
    <w:basedOn w:val="Normal"/>
    <w:link w:val="Zkladntext3Char"/>
    <w:uiPriority w:val="99"/>
    <w:rsid w:val="003C3BA3"/>
    <w:pPr>
      <w:widowControl w:val="0"/>
      <w:tabs>
        <w:tab w:val="left" w:pos="405"/>
        <w:tab w:val="left" w:pos="720"/>
      </w:tabs>
      <w:autoSpaceDE/>
      <w:autoSpaceDN/>
      <w:jc w:val="both"/>
    </w:pPr>
    <w:rPr>
      <w:sz w:val="16"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Normlny">
    <w:name w:val="_Normálny"/>
    <w:basedOn w:val="Normal"/>
    <w:uiPriority w:val="99"/>
    <w:pPr>
      <w:jc w:val="left"/>
    </w:pPr>
    <w:rPr>
      <w:sz w:val="20"/>
      <w:szCs w:val="20"/>
      <w:lang w:eastAsia="en-US"/>
    </w:rPr>
  </w:style>
  <w:style w:type="paragraph" w:styleId="FootnoteText">
    <w:name w:val="footnote text"/>
    <w:basedOn w:val="Normal"/>
    <w:link w:val="TextpoznmkypodiarouChar"/>
    <w:uiPriority w:val="99"/>
    <w:semiHidden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customStyle="1" w:styleId="PARA">
    <w:name w:val="PARA"/>
    <w:basedOn w:val="Normal"/>
    <w:next w:val="Normal"/>
    <w:uiPriority w:val="99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al"/>
    <w:uiPriority w:val="99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autoSpaceDE/>
      <w:autoSpaceDN/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055D3D"/>
    <w:pPr>
      <w:autoSpaceDE/>
      <w:autoSpaceDN/>
      <w:ind w:firstLine="709"/>
      <w:jc w:val="both"/>
    </w:pPr>
    <w:rPr>
      <w:sz w:val="28"/>
      <w:szCs w:val="20"/>
      <w:lang w:val="cs-CZ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customStyle="1" w:styleId="tw4winMark">
    <w:name w:val="tw4winMark"/>
    <w:uiPriority w:val="99"/>
    <w:rsid w:val="00F273BE"/>
    <w:rPr>
      <w:rFonts w:ascii="Courier New" w:hAnsi="Courier New" w:cs="Courier New"/>
      <w:vanish/>
      <w:color w:val="800080"/>
      <w:sz w:val="24"/>
      <w:vertAlign w:val="subscript"/>
    </w:rPr>
  </w:style>
  <w:style w:type="paragraph" w:customStyle="1" w:styleId="BodyText21">
    <w:name w:val="Body Text 21"/>
    <w:basedOn w:val="Normal"/>
    <w:uiPriority w:val="99"/>
    <w:rsid w:val="00CC6B38"/>
    <w:pPr>
      <w:autoSpaceDE/>
      <w:autoSpaceDN/>
      <w:spacing w:before="120" w:line="240" w:lineRule="atLeast"/>
      <w:jc w:val="both"/>
    </w:pPr>
    <w:rPr>
      <w:sz w:val="20"/>
      <w:szCs w:val="20"/>
    </w:rPr>
  </w:style>
  <w:style w:type="paragraph" w:styleId="BodyText">
    <w:name w:val="Body Text"/>
    <w:basedOn w:val="Normal"/>
    <w:link w:val="ZkladntextChar"/>
    <w:uiPriority w:val="99"/>
    <w:rsid w:val="00CC6B38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Dtumvpredpise">
    <w:name w:val="Dátum v predpise"/>
    <w:basedOn w:val="Normal"/>
    <w:uiPriority w:val="99"/>
    <w:rsid w:val="001C4427"/>
    <w:pPr>
      <w:widowControl w:val="0"/>
      <w:autoSpaceDE/>
      <w:autoSpaceDN/>
      <w:spacing w:before="120" w:after="120"/>
      <w:jc w:val="center"/>
    </w:pPr>
    <w:rPr>
      <w:rFonts w:ascii="Arial" w:hAnsi="Arial"/>
      <w:spacing w:val="20"/>
      <w:sz w:val="28"/>
      <w:szCs w:val="20"/>
      <w:lang w:eastAsia="cs-CZ"/>
    </w:rPr>
  </w:style>
  <w:style w:type="paragraph" w:customStyle="1" w:styleId="Odstavecseseznamem">
    <w:name w:val="Odstavec se seznamem"/>
    <w:basedOn w:val="Normal"/>
    <w:uiPriority w:val="99"/>
    <w:rsid w:val="00971C79"/>
    <w:pPr>
      <w:autoSpaceDE/>
      <w:autoSpaceDN/>
      <w:ind w:left="708"/>
      <w:jc w:val="left"/>
    </w:pPr>
  </w:style>
  <w:style w:type="paragraph" w:customStyle="1" w:styleId="Textparagrafu">
    <w:name w:val="Text paragrafu"/>
    <w:basedOn w:val="Normal"/>
    <w:uiPriority w:val="99"/>
    <w:rsid w:val="00DD0053"/>
    <w:pPr>
      <w:autoSpaceDE/>
      <w:autoSpaceDN/>
      <w:spacing w:before="240"/>
      <w:ind w:firstLine="425"/>
      <w:jc w:val="both"/>
      <w:outlineLvl w:val="5"/>
    </w:pPr>
    <w:rPr>
      <w:szCs w:val="20"/>
      <w:lang w:val="cs-CZ"/>
    </w:rPr>
  </w:style>
  <w:style w:type="paragraph" w:styleId="PlainText">
    <w:name w:val="Plain Text"/>
    <w:basedOn w:val="Normal"/>
    <w:link w:val="ObyajntextChar"/>
    <w:uiPriority w:val="99"/>
    <w:rsid w:val="00AC3F71"/>
    <w:pPr>
      <w:autoSpaceDE/>
      <w:autoSpaceDN/>
      <w:jc w:val="left"/>
    </w:pPr>
    <w:rPr>
      <w:rFonts w:ascii="Courier New" w:hAnsi="Courier New"/>
      <w:sz w:val="20"/>
      <w:szCs w:val="20"/>
      <w:lang w:val="cs-CZ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rtl w:val="0"/>
      <w:cs w:val="0"/>
    </w:rPr>
  </w:style>
  <w:style w:type="paragraph" w:styleId="ListParagraph">
    <w:name w:val="List Paragraph"/>
    <w:basedOn w:val="Normal"/>
    <w:uiPriority w:val="99"/>
    <w:rsid w:val="00017FCC"/>
    <w:pPr>
      <w:autoSpaceDE/>
      <w:autoSpaceDN/>
      <w:ind w:left="708"/>
      <w:jc w:val="left"/>
    </w:pPr>
    <w:rPr>
      <w:lang w:eastAsia="en-US"/>
    </w:rPr>
  </w:style>
  <w:style w:type="paragraph" w:styleId="BodyTextIndent">
    <w:name w:val="Body Text Indent"/>
    <w:basedOn w:val="Normal"/>
    <w:link w:val="ZarkazkladnhotextuChar"/>
    <w:uiPriority w:val="99"/>
    <w:semiHidden/>
    <w:rsid w:val="00D42FCE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D42FCE"/>
    <w:rPr>
      <w:rFonts w:cs="Times New Roman"/>
      <w:sz w:val="24"/>
      <w:szCs w:val="24"/>
      <w:rtl w:val="0"/>
      <w:cs w:val="0"/>
    </w:rPr>
  </w:style>
  <w:style w:type="character" w:styleId="Emphasis">
    <w:name w:val="Emphasis"/>
    <w:basedOn w:val="DefaultParagraphFont"/>
    <w:uiPriority w:val="99"/>
    <w:locked/>
    <w:rsid w:val="00D42FCE"/>
    <w:rPr>
      <w:rFonts w:cs="Times New Roman"/>
      <w:i/>
      <w:iCs/>
      <w:rtl w:val="0"/>
      <w:cs w:val="0"/>
    </w:rPr>
  </w:style>
  <w:style w:type="paragraph" w:styleId="NormalWeb">
    <w:name w:val="Normal (Web)"/>
    <w:basedOn w:val="Normal"/>
    <w:uiPriority w:val="99"/>
    <w:rsid w:val="00E264BE"/>
    <w:pPr>
      <w:autoSpaceDE/>
      <w:autoSpaceDN/>
      <w:spacing w:before="100" w:beforeAutospacing="1" w:after="100" w:afterAutospacing="1"/>
      <w:jc w:val="left"/>
    </w:pPr>
  </w:style>
  <w:style w:type="paragraph" w:customStyle="1" w:styleId="Normln">
    <w:name w:val="Normální"/>
    <w:basedOn w:val="Normal"/>
    <w:next w:val="Normal"/>
    <w:uiPriority w:val="99"/>
    <w:rsid w:val="00033EB7"/>
    <w:pPr>
      <w:adjustRightInd w:val="0"/>
      <w:jc w:val="left"/>
    </w:pPr>
    <w:rPr>
      <w:rFonts w:ascii="Courier New" w:hAnsi="Courier New" w:cs="Courier New"/>
    </w:rPr>
  </w:style>
  <w:style w:type="character" w:customStyle="1" w:styleId="CharChar1">
    <w:name w:val="Char Char1"/>
    <w:basedOn w:val="DefaultParagraphFont"/>
    <w:uiPriority w:val="99"/>
    <w:semiHidden/>
    <w:rsid w:val="00B85264"/>
    <w:rPr>
      <w:rFonts w:cs="Times New Roman"/>
      <w:rtl w:val="0"/>
      <w:cs w:val="0"/>
      <w:lang w:val="x-none" w:eastAsia="en-US"/>
    </w:rPr>
  </w:style>
  <w:style w:type="paragraph" w:customStyle="1" w:styleId="poznamka">
    <w:name w:val="poznamka"/>
    <w:basedOn w:val="Normal"/>
    <w:uiPriority w:val="99"/>
    <w:rsid w:val="00BA6C15"/>
    <w:pPr>
      <w:autoSpaceDE/>
      <w:autoSpaceDN/>
      <w:spacing w:before="100" w:beforeAutospacing="1" w:after="100" w:afterAutospacing="1"/>
      <w:jc w:val="left"/>
    </w:pPr>
    <w:rPr>
      <w:rFonts w:ascii="Tahoma" w:hAnsi="Tahoma" w:cs="Tahoma"/>
      <w:color w:val="000000"/>
      <w:sz w:val="20"/>
      <w:szCs w:val="20"/>
    </w:rPr>
  </w:style>
  <w:style w:type="character" w:customStyle="1" w:styleId="ppp-input-value1">
    <w:name w:val="ppp-input-value1"/>
    <w:basedOn w:val="DefaultParagraphFont"/>
    <w:uiPriority w:val="99"/>
    <w:rsid w:val="00921CD1"/>
    <w:rPr>
      <w:rFonts w:ascii="Tahoma" w:hAnsi="Tahoma" w:cs="Tahoma"/>
      <w:color w:val="837A73"/>
      <w:sz w:val="16"/>
      <w:szCs w:val="16"/>
      <w:rtl w:val="0"/>
      <w:cs w:val="0"/>
    </w:rPr>
  </w:style>
  <w:style w:type="character" w:styleId="CommentReference">
    <w:name w:val="annotation reference"/>
    <w:basedOn w:val="DefaultParagraphFont"/>
    <w:uiPriority w:val="99"/>
    <w:locked/>
    <w:rsid w:val="00E53BDD"/>
    <w:rPr>
      <w:rFonts w:cs="Times New Roman"/>
      <w:sz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29</TotalTime>
  <Pages>6</Pages>
  <Words>1187</Words>
  <Characters>6772</Characters>
  <Application>Microsoft Office Word</Application>
  <DocSecurity>0</DocSecurity>
  <Lines>0</Lines>
  <Paragraphs>0</Paragraphs>
  <ScaleCrop>false</ScaleCrop>
  <Company>ÚV SR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bodorova</dc:creator>
  <cp:lastModifiedBy>aa</cp:lastModifiedBy>
  <cp:revision>12</cp:revision>
  <cp:lastPrinted>2012-09-27T15:05:00Z</cp:lastPrinted>
  <dcterms:created xsi:type="dcterms:W3CDTF">2012-08-20T07:28:00Z</dcterms:created>
  <dcterms:modified xsi:type="dcterms:W3CDTF">2012-10-11T11:05:00Z</dcterms:modified>
</cp:coreProperties>
</file>