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p>
    <w:p w:rsidR="000C0368" w:rsidP="000C0368">
      <w:pPr>
        <w:bidi w:val="0"/>
        <w:jc w:val="center"/>
        <w:rPr>
          <w:rFonts w:ascii="Times New Roman" w:hAnsi="Times New Roman"/>
          <w:b/>
          <w:sz w:val="32"/>
          <w:szCs w:val="32"/>
        </w:rPr>
      </w:pPr>
      <w:r>
        <w:rPr>
          <w:rFonts w:ascii="Times New Roman" w:hAnsi="Times New Roman"/>
          <w:b/>
          <w:sz w:val="32"/>
          <w:szCs w:val="32"/>
        </w:rPr>
        <w:t xml:space="preserve">SPRÁVA O SIEDMOM ROKU ČLENSTVA SR V EÚ </w:t>
      </w:r>
    </w:p>
    <w:p w:rsidR="000C0368" w:rsidP="000C0368">
      <w:pPr>
        <w:bidi w:val="0"/>
        <w:rPr>
          <w:rFonts w:ascii="Times New Roman" w:hAnsi="Times New Roman"/>
          <w:b/>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rPr>
          <w:rFonts w:ascii="Times New Roman" w:hAnsi="Times New Roman"/>
          <w:b/>
          <w:u w:val="single"/>
        </w:rPr>
      </w:pPr>
    </w:p>
    <w:p w:rsidR="000C0368" w:rsidP="000C0368">
      <w:pPr>
        <w:bidi w:val="0"/>
        <w:jc w:val="center"/>
        <w:rPr>
          <w:rFonts w:ascii="Times New Roman" w:hAnsi="Times New Roman"/>
          <w:b/>
        </w:rPr>
      </w:pPr>
      <w:r>
        <w:rPr>
          <w:rFonts w:ascii="Times New Roman" w:hAnsi="Times New Roman"/>
          <w:b/>
        </w:rPr>
        <w:t>Ministerstvo zahraničných vecí SR</w:t>
      </w:r>
    </w:p>
    <w:p w:rsidR="000C0368" w:rsidP="000C0368">
      <w:pPr>
        <w:bidi w:val="0"/>
        <w:jc w:val="center"/>
        <w:rPr>
          <w:rFonts w:ascii="Times New Roman" w:hAnsi="Times New Roman"/>
        </w:rPr>
        <w:sectPr w:rsidSect="000C0368">
          <w:footerReference w:type="even" r:id="rId4"/>
          <w:pgSz w:w="11906" w:h="16838"/>
          <w:pgMar w:top="1417" w:right="1417" w:bottom="1417" w:left="1417" w:header="708" w:footer="708" w:gutter="0"/>
          <w:lnNumType w:distance="0"/>
          <w:pgNumType w:start="8"/>
          <w:cols w:space="708"/>
          <w:noEndnote w:val="0"/>
          <w:titlePg/>
          <w:bidi w:val="0"/>
          <w:docGrid w:linePitch="360"/>
        </w:sectPr>
      </w:pPr>
      <w:r>
        <w:rPr>
          <w:rFonts w:ascii="Times New Roman" w:hAnsi="Times New Roman"/>
        </w:rPr>
        <w:t>2011</w:t>
      </w:r>
    </w:p>
    <w:p w:rsidR="000C0368" w:rsidP="000C0368">
      <w:pPr>
        <w:bidi w:val="0"/>
        <w:jc w:val="center"/>
        <w:rPr>
          <w:rFonts w:ascii="Times New Roman" w:hAnsi="Times New Roman"/>
        </w:rPr>
      </w:pPr>
    </w:p>
    <w:p w:rsidR="000C0368" w:rsidRPr="00C11ADA" w:rsidP="000C0368">
      <w:pPr>
        <w:bidi w:val="0"/>
        <w:jc w:val="center"/>
        <w:rPr>
          <w:rFonts w:ascii="Times New Roman" w:hAnsi="Times New Roman"/>
          <w:b/>
        </w:rPr>
      </w:pPr>
      <w:r w:rsidRPr="00C11ADA">
        <w:rPr>
          <w:rFonts w:ascii="Times New Roman" w:hAnsi="Times New Roman"/>
          <w:b/>
        </w:rPr>
        <w:t>ÚVOD</w:t>
      </w:r>
    </w:p>
    <w:p w:rsidR="000C0368" w:rsidP="000C0368">
      <w:pPr>
        <w:pStyle w:val="Default"/>
        <w:bidi w:val="0"/>
        <w:jc w:val="both"/>
        <w:rPr>
          <w:bCs/>
        </w:rPr>
      </w:pPr>
    </w:p>
    <w:p w:rsidR="000C0368" w:rsidP="000C0368">
      <w:pPr>
        <w:bidi w:val="0"/>
        <w:ind w:firstLine="708"/>
        <w:jc w:val="both"/>
        <w:rPr>
          <w:rFonts w:ascii="Times New Roman" w:hAnsi="Times New Roman"/>
        </w:rPr>
      </w:pPr>
      <w:r>
        <w:rPr>
          <w:rFonts w:ascii="Times New Roman" w:hAnsi="Times New Roman"/>
        </w:rPr>
        <w:t xml:space="preserve">Členstvo SR v EÚ potvrdzuje, že miera </w:t>
      </w:r>
      <w:r w:rsidRPr="008608EF">
        <w:rPr>
          <w:rFonts w:ascii="Times New Roman" w:hAnsi="Times New Roman"/>
          <w:b/>
        </w:rPr>
        <w:t>úspechu presadenia národných záujmov závisí od miery pochopenia, že ide o formovanie vnútorného/národného prostredia v európskom kontexte</w:t>
      </w:r>
      <w:r>
        <w:rPr>
          <w:rFonts w:ascii="Times New Roman" w:hAnsi="Times New Roman"/>
          <w:b/>
        </w:rPr>
        <w:t xml:space="preserve">. </w:t>
      </w:r>
      <w:r w:rsidRPr="0073067E">
        <w:rPr>
          <w:rFonts w:ascii="Times New Roman" w:hAnsi="Times New Roman"/>
        </w:rPr>
        <w:t>Ďalším prvkom po dosiahnutí dohody je schopnosť</w:t>
      </w:r>
      <w:r>
        <w:rPr>
          <w:rFonts w:ascii="Times New Roman" w:hAnsi="Times New Roman"/>
        </w:rPr>
        <w:t xml:space="preserve"> efektívne pretransformovať európske ciele a politiky do národného kontextu. Oba procesy by mali tvoriť synergický celok a zaisťovať trvalý a udržateľný rozvoj Slovenska. Ďalším fenoménom, ktorý pomaly stráca svoj prvotný význam je delenie štátov na „staré“ a „nové“ – jednoznačne je možné konštatovať, že </w:t>
      </w:r>
      <w:r w:rsidRPr="008608EF">
        <w:rPr>
          <w:rFonts w:ascii="Times New Roman" w:hAnsi="Times New Roman"/>
          <w:b/>
        </w:rPr>
        <w:t>spoločné menovatele záujmov jednotlivých členských krajín viac ako dátum ich vstupu do EÚ determinuje</w:t>
      </w:r>
      <w:r>
        <w:rPr>
          <w:rFonts w:ascii="Times New Roman" w:hAnsi="Times New Roman"/>
        </w:rPr>
        <w:t xml:space="preserve"> ich geografická poloha (</w:t>
      </w:r>
      <w:r w:rsidRPr="00A6459C">
        <w:rPr>
          <w:rFonts w:ascii="Times New Roman" w:hAnsi="Times New Roman"/>
          <w:i/>
        </w:rPr>
        <w:t>vektory s</w:t>
      </w:r>
      <w:r>
        <w:rPr>
          <w:rFonts w:ascii="Times New Roman" w:hAnsi="Times New Roman"/>
          <w:i/>
        </w:rPr>
        <w:t>e</w:t>
      </w:r>
      <w:r w:rsidRPr="00A6459C">
        <w:rPr>
          <w:rFonts w:ascii="Times New Roman" w:hAnsi="Times New Roman"/>
          <w:i/>
        </w:rPr>
        <w:t>ver-juh a východ-západ</w:t>
      </w:r>
      <w:r>
        <w:rPr>
          <w:rFonts w:ascii="Times New Roman" w:hAnsi="Times New Roman"/>
        </w:rPr>
        <w:t>), historický a ekonomický vývoj, stav ekonomiky ako aj zahranično-politické strategické záujmy. V neposlednej miere je potrebné uvedomiť si fakt, že v dôsledku geopolitických zmien (</w:t>
      </w:r>
      <w:r w:rsidRPr="00A6459C">
        <w:rPr>
          <w:rFonts w:ascii="Times New Roman" w:hAnsi="Times New Roman"/>
          <w:i/>
        </w:rPr>
        <w:t xml:space="preserve">aj v ich </w:t>
      </w:r>
      <w:r>
        <w:rPr>
          <w:rFonts w:ascii="Times New Roman" w:hAnsi="Times New Roman"/>
          <w:i/>
        </w:rPr>
        <w:t xml:space="preserve">užšom </w:t>
      </w:r>
      <w:r w:rsidRPr="00A6459C">
        <w:rPr>
          <w:rFonts w:ascii="Times New Roman" w:hAnsi="Times New Roman"/>
          <w:i/>
        </w:rPr>
        <w:t>kontinentálnom kontexte</w:t>
      </w:r>
      <w:r>
        <w:rPr>
          <w:rFonts w:ascii="Times New Roman" w:hAnsi="Times New Roman"/>
        </w:rPr>
        <w:t>) dochádza viac k prehĺbeniu diskusie medzi komunitárnymi a národnými prístupmi (</w:t>
      </w:r>
      <w:r w:rsidRPr="00A6459C">
        <w:rPr>
          <w:rFonts w:ascii="Times New Roman" w:hAnsi="Times New Roman"/>
          <w:i/>
        </w:rPr>
        <w:t>s posilňovaním národných</w:t>
      </w:r>
      <w:r>
        <w:rPr>
          <w:rFonts w:ascii="Times New Roman" w:hAnsi="Times New Roman"/>
        </w:rPr>
        <w:t>) a k dialógu medzi „veľkými“ a „malými“, či výstižnejšie medzi tzv. čistými prispievateľmi a čistými príjemcami (</w:t>
      </w:r>
      <w:r w:rsidRPr="00A6459C">
        <w:rPr>
          <w:rFonts w:ascii="Times New Roman" w:hAnsi="Times New Roman"/>
          <w:i/>
        </w:rPr>
        <w:t>aj v kontexte aktuálnej diskusie k nov</w:t>
      </w:r>
      <w:r>
        <w:rPr>
          <w:rFonts w:ascii="Times New Roman" w:hAnsi="Times New Roman"/>
          <w:i/>
        </w:rPr>
        <w:t>é</w:t>
      </w:r>
      <w:r w:rsidRPr="00A6459C">
        <w:rPr>
          <w:rFonts w:ascii="Times New Roman" w:hAnsi="Times New Roman"/>
          <w:i/>
        </w:rPr>
        <w:t>mu viacročnému finančnému rámcu</w:t>
      </w:r>
      <w:r>
        <w:rPr>
          <w:rFonts w:ascii="Times New Roman" w:hAnsi="Times New Roman"/>
          <w:i/>
        </w:rPr>
        <w:t>, kde sa vymedzuje a mení pozícia Nemecka a Veľkej Británie</w:t>
      </w:r>
      <w:r>
        <w:rPr>
          <w:rFonts w:ascii="Times New Roman" w:hAnsi="Times New Roman"/>
        </w:rPr>
        <w:t xml:space="preserve">). </w:t>
      </w:r>
    </w:p>
    <w:p w:rsidR="000C0368" w:rsidP="000C0368">
      <w:pPr>
        <w:bidi w:val="0"/>
        <w:ind w:firstLine="708"/>
        <w:jc w:val="both"/>
        <w:rPr>
          <w:rFonts w:ascii="Times New Roman" w:hAnsi="Times New Roman"/>
        </w:rPr>
      </w:pPr>
      <w:r>
        <w:rPr>
          <w:rFonts w:ascii="Times New Roman" w:hAnsi="Times New Roman"/>
        </w:rPr>
        <w:t xml:space="preserve">Po parlamentných voľbách v júni 2010 sa sformovala nová vládna koalícia, ktorá deklarovala záujem viesť naďalej aktívnu európsku politiku odrážajúcu fakt, že </w:t>
      </w:r>
      <w:r w:rsidRPr="00FE0598">
        <w:rPr>
          <w:rFonts w:ascii="Times New Roman" w:hAnsi="Times New Roman"/>
          <w:b/>
        </w:rPr>
        <w:t>SR nielen patrí do EÚ, ale ju aj spoluvytvára</w:t>
      </w:r>
      <w:r>
        <w:rPr>
          <w:rFonts w:ascii="Times New Roman" w:hAnsi="Times New Roman"/>
        </w:rPr>
        <w:t xml:space="preserve">. Ďalším determinantom siedmeho roku členstva bolo ročné </w:t>
      </w:r>
      <w:r w:rsidRPr="00FE0598">
        <w:rPr>
          <w:rFonts w:ascii="Times New Roman" w:hAnsi="Times New Roman"/>
          <w:b/>
        </w:rPr>
        <w:t>predsedníctvo SR vo Vyšehradskej skupine</w:t>
      </w:r>
      <w:r>
        <w:rPr>
          <w:rFonts w:ascii="Times New Roman" w:hAnsi="Times New Roman"/>
        </w:rPr>
        <w:t xml:space="preserve"> (V4), ktoré začalo v júli 2010 a vytvorilo účinnú platformu na presadzovanie slovenských záujmov v EÚ aj v spolupráci s najbližšími partnermi, vrátane formátu V4+. </w:t>
      </w:r>
    </w:p>
    <w:p w:rsidR="000C0368" w:rsidP="000C0368">
      <w:pPr>
        <w:bidi w:val="0"/>
        <w:ind w:firstLine="708"/>
        <w:jc w:val="both"/>
        <w:rPr>
          <w:rFonts w:ascii="Times New Roman" w:hAnsi="Times New Roman"/>
        </w:rPr>
      </w:pPr>
      <w:r w:rsidRPr="00FE0598">
        <w:rPr>
          <w:rFonts w:ascii="Times New Roman" w:hAnsi="Times New Roman"/>
          <w:b/>
        </w:rPr>
        <w:t>Ústrednou témou EÚ v sledovanom období bola hospodárska a finančná politika</w:t>
      </w:r>
      <w:r>
        <w:rPr>
          <w:rFonts w:ascii="Times New Roman" w:hAnsi="Times New Roman"/>
        </w:rPr>
        <w:t xml:space="preserve">. Jedným z dôsledkov globálnej krízy bolo uvedomenie si vysokej miery vzájomnej hospodárskej a finančnej prepojenosti členských krajín EÚ. Tieto procesy viedli k potrebe posilňovania hospodárskej spolupráce a konsolidácie eurozóny. V júni 2010 bola prijatá </w:t>
      </w:r>
      <w:r w:rsidRPr="00FE0598">
        <w:rPr>
          <w:rFonts w:ascii="Times New Roman" w:hAnsi="Times New Roman"/>
          <w:b/>
        </w:rPr>
        <w:t>Stratégia Európa 2020</w:t>
      </w:r>
      <w:r>
        <w:rPr>
          <w:rFonts w:ascii="Times New Roman" w:hAnsi="Times New Roman"/>
        </w:rPr>
        <w:t xml:space="preserve"> pre zamestnanosť, inteligentný, udržateľný a inkluzívny rast, ktorá sa stala kľúčovým programovým dokumentom EÚ na najbližšie desaťročie. V nadväznosti na ňu vláda SR prijala v apríli Národný program reforiem, ktorý stanovil národné ciele SR.</w:t>
      </w:r>
    </w:p>
    <w:p w:rsidR="000C0368" w:rsidP="000C0368">
      <w:pPr>
        <w:bidi w:val="0"/>
        <w:ind w:firstLine="708"/>
        <w:jc w:val="both"/>
        <w:rPr>
          <w:rFonts w:ascii="Times New Roman" w:hAnsi="Times New Roman"/>
        </w:rPr>
      </w:pPr>
      <w:r>
        <w:rPr>
          <w:rFonts w:ascii="Times New Roman" w:hAnsi="Times New Roman"/>
        </w:rPr>
        <w:t xml:space="preserve">V rámci opatrení zameraných na stabilizáciu verejných financií krajín eurozóny </w:t>
      </w:r>
      <w:r w:rsidRPr="00FE0598">
        <w:rPr>
          <w:rFonts w:ascii="Times New Roman" w:hAnsi="Times New Roman"/>
          <w:b/>
        </w:rPr>
        <w:t>bola SR aktívnym zástancom posilnenia Paktu stability a rastu a zodpovednej správy ekonomických záležitostí</w:t>
      </w:r>
      <w:r>
        <w:rPr>
          <w:rFonts w:ascii="Times New Roman" w:hAnsi="Times New Roman"/>
        </w:rPr>
        <w:t xml:space="preserve"> vrátane sprísnenia fiškálnej disciplíny, rozšírenia ekonomického dohľadu a najmä aplikácie stáleho krízového mechanizmu.</w:t>
      </w:r>
    </w:p>
    <w:p w:rsidR="000C0368" w:rsidP="000C0368">
      <w:pPr>
        <w:bidi w:val="0"/>
        <w:ind w:firstLine="708"/>
        <w:jc w:val="both"/>
        <w:rPr>
          <w:rFonts w:ascii="Times New Roman" w:hAnsi="Times New Roman"/>
        </w:rPr>
      </w:pPr>
      <w:r>
        <w:rPr>
          <w:rFonts w:ascii="Times New Roman" w:hAnsi="Times New Roman"/>
        </w:rPr>
        <w:t xml:space="preserve">Pri rozhodovaní o pôžičke Grécku a o zriadení ochranného valu viedla SR snaha presadiť kroky zamerané na trvalejšie riešenie problému. Za dôležité považujeme zmenu nazerania na </w:t>
      </w:r>
      <w:r w:rsidRPr="00FE0598">
        <w:rPr>
          <w:rFonts w:ascii="Times New Roman" w:hAnsi="Times New Roman"/>
          <w:b/>
        </w:rPr>
        <w:t>riešenie problému zadlženosti krajín eurozóny</w:t>
      </w:r>
      <w:r>
        <w:rPr>
          <w:rFonts w:ascii="Times New Roman" w:hAnsi="Times New Roman"/>
        </w:rPr>
        <w:t xml:space="preserve"> a pochopenie, že </w:t>
      </w:r>
      <w:r w:rsidRPr="00FE0598">
        <w:rPr>
          <w:rFonts w:ascii="Times New Roman" w:hAnsi="Times New Roman"/>
          <w:b/>
        </w:rPr>
        <w:t>pôžička nepomôže, ak sa nerieši podstata problému</w:t>
      </w:r>
      <w:r>
        <w:rPr>
          <w:rFonts w:ascii="Times New Roman" w:hAnsi="Times New Roman"/>
        </w:rPr>
        <w:t xml:space="preserve">. SR prispela k tejto zmene optiky svojím postojom, ktorý bol na začiatku predmetom kritiky, no s odstupom času sa ukázal ako </w:t>
      </w:r>
      <w:r w:rsidRPr="00FE0598">
        <w:rPr>
          <w:rFonts w:ascii="Times New Roman" w:hAnsi="Times New Roman"/>
          <w:b/>
        </w:rPr>
        <w:t>opodstatnený, hodnotovo principiálny a perspektívny</w:t>
      </w:r>
      <w:r>
        <w:rPr>
          <w:rFonts w:ascii="Times New Roman" w:hAnsi="Times New Roman"/>
        </w:rPr>
        <w:t>.</w:t>
      </w:r>
    </w:p>
    <w:p w:rsidR="000C0368" w:rsidP="000C0368">
      <w:pPr>
        <w:bidi w:val="0"/>
        <w:ind w:firstLine="708"/>
        <w:jc w:val="both"/>
        <w:rPr>
          <w:rFonts w:ascii="Times New Roman" w:hAnsi="Times New Roman"/>
        </w:rPr>
      </w:pPr>
      <w:r>
        <w:rPr>
          <w:rFonts w:ascii="Times New Roman" w:hAnsi="Times New Roman"/>
        </w:rPr>
        <w:t xml:space="preserve">Rok 2010 bol v znamení </w:t>
      </w:r>
      <w:r w:rsidRPr="00FE0598">
        <w:rPr>
          <w:rFonts w:ascii="Times New Roman" w:hAnsi="Times New Roman"/>
          <w:b/>
        </w:rPr>
        <w:t>implementácie Lisabonskej zmluvy</w:t>
      </w:r>
      <w:r>
        <w:rPr>
          <w:rFonts w:ascii="Times New Roman" w:hAnsi="Times New Roman"/>
        </w:rPr>
        <w:t xml:space="preserve"> a priniesol prvé skúsenosti s reformovaným inštitucionálnym usporiadaním EÚ. Ustanovená bola </w:t>
      </w:r>
      <w:r w:rsidRPr="00FE0598">
        <w:rPr>
          <w:rFonts w:ascii="Times New Roman" w:hAnsi="Times New Roman"/>
          <w:b/>
        </w:rPr>
        <w:t>Európska služba pre vonkajšiu činnosť</w:t>
      </w:r>
      <w:r>
        <w:rPr>
          <w:rFonts w:ascii="Times New Roman" w:hAnsi="Times New Roman"/>
        </w:rPr>
        <w:t xml:space="preserve"> (ESVČ), ktorá má prispieť k lepšej koordinácii spoločnej zahraničnej a bezpečnostnej politiky EÚ. </w:t>
      </w:r>
    </w:p>
    <w:p w:rsidR="000C0368" w:rsidP="000C0368">
      <w:pPr>
        <w:bidi w:val="0"/>
        <w:ind w:firstLine="708"/>
        <w:jc w:val="both"/>
        <w:rPr>
          <w:rFonts w:ascii="Times New Roman" w:hAnsi="Times New Roman"/>
        </w:rPr>
      </w:pPr>
      <w:r>
        <w:rPr>
          <w:rFonts w:ascii="Times New Roman" w:hAnsi="Times New Roman"/>
        </w:rPr>
        <w:t xml:space="preserve">SR sa aktívne zapojila do diskusií o budúcom </w:t>
      </w:r>
      <w:r w:rsidRPr="00FE0598">
        <w:rPr>
          <w:rFonts w:ascii="Times New Roman" w:hAnsi="Times New Roman"/>
          <w:b/>
        </w:rPr>
        <w:t>Viacročnom finančnom rámci po roku 2013</w:t>
      </w:r>
      <w:r>
        <w:rPr>
          <w:rFonts w:ascii="Times New Roman" w:hAnsi="Times New Roman"/>
        </w:rPr>
        <w:t xml:space="preserve">, </w:t>
      </w:r>
      <w:r w:rsidRPr="00FE0598">
        <w:rPr>
          <w:rFonts w:ascii="Times New Roman" w:hAnsi="Times New Roman"/>
          <w:b/>
        </w:rPr>
        <w:t>politike súdržnosti, či reforme spoločnej poľnohospodárskej politiky</w:t>
      </w:r>
      <w:r>
        <w:rPr>
          <w:rFonts w:ascii="Times New Roman" w:hAnsi="Times New Roman"/>
        </w:rPr>
        <w:t xml:space="preserve">. Významné kroky sa podarilo realizovať pri </w:t>
      </w:r>
      <w:r w:rsidRPr="00FE0598">
        <w:rPr>
          <w:rFonts w:ascii="Times New Roman" w:hAnsi="Times New Roman"/>
          <w:b/>
        </w:rPr>
        <w:t>posilňovaní energetickej bezpečnosti EÚ</w:t>
      </w:r>
      <w:r>
        <w:rPr>
          <w:rFonts w:ascii="Times New Roman" w:hAnsi="Times New Roman"/>
        </w:rPr>
        <w:t xml:space="preserve">, </w:t>
      </w:r>
      <w:r>
        <w:rPr>
          <w:rFonts w:ascii="Times New Roman" w:hAnsi="Times New Roman"/>
          <w:color w:val="000000"/>
        </w:rPr>
        <w:t xml:space="preserve">diverzifikácii </w:t>
      </w:r>
      <w:r>
        <w:rPr>
          <w:rFonts w:ascii="Times New Roman" w:hAnsi="Times New Roman"/>
        </w:rPr>
        <w:t>a vytváraní podmienok pre dobudovanie vnútornej energetickej infraštruktúry EÚ, integrovaného vnútorného trhu a zlepšenie energetickej efektívnosti.</w:t>
      </w:r>
    </w:p>
    <w:p w:rsidR="000C0368" w:rsidP="000C0368">
      <w:pPr>
        <w:bidi w:val="0"/>
        <w:ind w:firstLine="708"/>
        <w:jc w:val="both"/>
        <w:rPr>
          <w:rFonts w:ascii="Times New Roman" w:hAnsi="Times New Roman"/>
          <w:b/>
        </w:rPr>
      </w:pPr>
      <w:r>
        <w:rPr>
          <w:rFonts w:ascii="Times New Roman" w:hAnsi="Times New Roman"/>
        </w:rPr>
        <w:t xml:space="preserve">V oblasti </w:t>
      </w:r>
      <w:r w:rsidRPr="00FE0598">
        <w:rPr>
          <w:rFonts w:ascii="Times New Roman" w:hAnsi="Times New Roman"/>
          <w:b/>
        </w:rPr>
        <w:t>ďalšieho rozširovania EÚ</w:t>
      </w:r>
      <w:r>
        <w:rPr>
          <w:rFonts w:ascii="Times New Roman" w:hAnsi="Times New Roman"/>
        </w:rPr>
        <w:t xml:space="preserve"> sa SR prioritne angažovala v európskej perspektíve pre </w:t>
      </w:r>
      <w:r w:rsidRPr="00FE0598">
        <w:rPr>
          <w:rFonts w:ascii="Times New Roman" w:hAnsi="Times New Roman"/>
          <w:b/>
        </w:rPr>
        <w:t>západný Balkán</w:t>
      </w:r>
      <w:r>
        <w:rPr>
          <w:rFonts w:ascii="Times New Roman" w:hAnsi="Times New Roman"/>
        </w:rPr>
        <w:t xml:space="preserve">. V rámci celkovej revízie a zlepšenia implementácie Európskej susedskej politiky sa SR snažila o </w:t>
      </w:r>
      <w:r w:rsidRPr="00FE0598">
        <w:rPr>
          <w:rFonts w:ascii="Times New Roman" w:hAnsi="Times New Roman"/>
          <w:b/>
        </w:rPr>
        <w:t>zefektívnenie projektu Východného partnerstva</w:t>
      </w:r>
      <w:r>
        <w:rPr>
          <w:rFonts w:ascii="Times New Roman" w:hAnsi="Times New Roman"/>
        </w:rPr>
        <w:t xml:space="preserve">. SR sa výrazne angažovala za </w:t>
      </w:r>
      <w:r w:rsidRPr="00FE0598">
        <w:rPr>
          <w:rFonts w:ascii="Times New Roman" w:hAnsi="Times New Roman"/>
          <w:b/>
        </w:rPr>
        <w:t>ochranu ľudských práv a podporu demokratických hodnôt</w:t>
      </w:r>
      <w:r>
        <w:rPr>
          <w:rFonts w:ascii="Times New Roman" w:hAnsi="Times New Roman"/>
        </w:rPr>
        <w:t xml:space="preserve"> vo svete s osobitným zameraním na vývoj v Bielorusku, na Kube a v Mjanmarsku a zasadzovala sa aj za </w:t>
      </w:r>
      <w:r w:rsidRPr="00FE0598">
        <w:rPr>
          <w:rFonts w:ascii="Times New Roman" w:hAnsi="Times New Roman"/>
          <w:b/>
        </w:rPr>
        <w:t>posilnenie aktivít EÚ v boji proti diskriminácii kresťanov vo svete</w:t>
      </w:r>
      <w:r>
        <w:rPr>
          <w:rFonts w:ascii="Times New Roman" w:hAnsi="Times New Roman"/>
          <w:b/>
        </w:rPr>
        <w:t>.</w:t>
      </w:r>
    </w:p>
    <w:p w:rsidR="000C0368" w:rsidRPr="00301A40" w:rsidP="000C0368">
      <w:pPr>
        <w:pStyle w:val="BodyText"/>
        <w:bidi w:val="0"/>
        <w:ind w:firstLine="708"/>
        <w:jc w:val="both"/>
        <w:rPr>
          <w:rFonts w:ascii="Times New Roman" w:hAnsi="Times New Roman"/>
        </w:rPr>
      </w:pPr>
      <w:r>
        <w:rPr>
          <w:rFonts w:ascii="Times New Roman" w:hAnsi="Times New Roman"/>
        </w:rPr>
        <w:t>Pre SR bolo dôležité, že belgické predsedníctvo a m</w:t>
      </w:r>
      <w:r w:rsidRPr="00301A40">
        <w:rPr>
          <w:rFonts w:ascii="Times New Roman" w:hAnsi="Times New Roman"/>
        </w:rPr>
        <w:t>aďarské predsedníctvo v Rade EÚ sa intenzívne venovali ekonomickej agende, či pokroku v prístupových rokovaní s Chorvátskom o vstupe do EÚ.</w:t>
      </w:r>
    </w:p>
    <w:p w:rsidR="000C0368" w:rsidRPr="00D97207" w:rsidP="000C0368">
      <w:pPr>
        <w:pStyle w:val="BodyText"/>
        <w:bidi w:val="0"/>
        <w:ind w:left="2832" w:firstLine="708"/>
        <w:rPr>
          <w:rFonts w:ascii="Times New Roman" w:hAnsi="Times New Roman"/>
        </w:rPr>
      </w:pPr>
      <w:r>
        <w:rPr>
          <w:rFonts w:ascii="Times New Roman" w:hAnsi="Times New Roman"/>
          <w:b/>
        </w:rPr>
        <w:t>EURÓPSKA RADA</w:t>
      </w:r>
    </w:p>
    <w:p w:rsidR="000C0368" w:rsidRPr="00A729B0" w:rsidP="000C0368">
      <w:pPr>
        <w:autoSpaceDE w:val="0"/>
        <w:autoSpaceDN w:val="0"/>
        <w:bidi w:val="0"/>
        <w:adjustRightInd w:val="0"/>
        <w:ind w:firstLine="708"/>
        <w:jc w:val="both"/>
        <w:rPr>
          <w:rFonts w:ascii="Times New Roman" w:hAnsi="Times New Roman"/>
        </w:rPr>
      </w:pPr>
      <w:r w:rsidRPr="00A729B0">
        <w:rPr>
          <w:rFonts w:ascii="Times New Roman" w:hAnsi="Times New Roman"/>
        </w:rPr>
        <w:t xml:space="preserve">Zasadnutiam Európskej rady dominovala predovšetkým téma hospodárskej </w:t>
      </w:r>
      <w:r>
        <w:rPr>
          <w:rFonts w:ascii="Times New Roman" w:hAnsi="Times New Roman"/>
        </w:rPr>
        <w:t xml:space="preserve">a finančnej </w:t>
      </w:r>
      <w:r w:rsidRPr="00A729B0">
        <w:rPr>
          <w:rFonts w:ascii="Times New Roman" w:hAnsi="Times New Roman"/>
        </w:rPr>
        <w:t>politiky.</w:t>
      </w:r>
    </w:p>
    <w:p w:rsidR="000C0368" w:rsidRPr="00822386" w:rsidP="000C0368">
      <w:pPr>
        <w:autoSpaceDE w:val="0"/>
        <w:autoSpaceDN w:val="0"/>
        <w:bidi w:val="0"/>
        <w:adjustRightInd w:val="0"/>
        <w:ind w:firstLine="708"/>
        <w:jc w:val="both"/>
        <w:rPr>
          <w:rFonts w:ascii="Times New Roman" w:hAnsi="Times New Roman"/>
          <w:b/>
          <w:bCs/>
          <w:color w:val="000000"/>
        </w:rPr>
      </w:pPr>
      <w:r w:rsidRPr="00822386">
        <w:rPr>
          <w:rFonts w:ascii="Times New Roman" w:hAnsi="Times New Roman"/>
          <w:color w:val="000000"/>
        </w:rPr>
        <w:t xml:space="preserve">7. mája 2010 summit členských štátov eurozóny schválil </w:t>
      </w:r>
      <w:r w:rsidRPr="00822386">
        <w:rPr>
          <w:rFonts w:ascii="Times New Roman" w:hAnsi="Times New Roman"/>
          <w:b/>
          <w:bCs/>
          <w:color w:val="000000"/>
        </w:rPr>
        <w:t>poskytnutie pôžičky Grécku</w:t>
      </w:r>
      <w:r w:rsidRPr="00822386">
        <w:rPr>
          <w:rFonts w:ascii="Times New Roman" w:hAnsi="Times New Roman"/>
          <w:color w:val="000000"/>
        </w:rPr>
        <w:t xml:space="preserve">. Toto rozhodnutie bolo následne formálne schválené 17. júna 2011 na zasadnutí Európskej rady. SR sa k pôžičke Grécku nepripojila, </w:t>
      </w:r>
      <w:r w:rsidRPr="00822386">
        <w:rPr>
          <w:rFonts w:ascii="Times New Roman" w:hAnsi="Times New Roman"/>
          <w:b/>
          <w:bCs/>
          <w:color w:val="000000"/>
        </w:rPr>
        <w:t>nakoľko v danom prípade nešlo o záruky, ale o hotovostnú pôžičku krajine, ktorá sa dostala do problémov kvôli dlhodobo neudržateľnej sociálnej politike svojej vlády.</w:t>
      </w:r>
    </w:p>
    <w:p w:rsidR="000C0368" w:rsidRPr="00A729B0" w:rsidP="000C0368">
      <w:pPr>
        <w:autoSpaceDE w:val="0"/>
        <w:autoSpaceDN w:val="0"/>
        <w:bidi w:val="0"/>
        <w:adjustRightInd w:val="0"/>
        <w:ind w:firstLine="708"/>
        <w:jc w:val="both"/>
        <w:rPr>
          <w:rFonts w:ascii="Times New Roman" w:hAnsi="Times New Roman"/>
        </w:rPr>
      </w:pPr>
      <w:r>
        <w:rPr>
          <w:rFonts w:ascii="Times New Roman" w:hAnsi="Times New Roman"/>
        </w:rPr>
        <w:t>ER v júni 2010</w:t>
      </w:r>
      <w:r w:rsidRPr="00A729B0">
        <w:rPr>
          <w:rFonts w:ascii="Times New Roman" w:hAnsi="Times New Roman"/>
        </w:rPr>
        <w:t xml:space="preserve"> </w:t>
      </w:r>
      <w:r>
        <w:rPr>
          <w:rFonts w:ascii="Times New Roman" w:hAnsi="Times New Roman"/>
        </w:rPr>
        <w:t>schválila</w:t>
      </w:r>
      <w:r w:rsidRPr="00A729B0">
        <w:rPr>
          <w:rFonts w:ascii="Times New Roman" w:hAnsi="Times New Roman"/>
        </w:rPr>
        <w:t xml:space="preserve"> aj </w:t>
      </w:r>
      <w:r w:rsidRPr="00A729B0">
        <w:rPr>
          <w:rFonts w:ascii="Times New Roman" w:hAnsi="Times New Roman"/>
          <w:b/>
          <w:bCs/>
        </w:rPr>
        <w:t>Stratégi</w:t>
      </w:r>
      <w:r>
        <w:rPr>
          <w:rFonts w:ascii="Times New Roman" w:hAnsi="Times New Roman"/>
          <w:b/>
          <w:bCs/>
        </w:rPr>
        <w:t>u</w:t>
      </w:r>
      <w:r w:rsidRPr="00A729B0">
        <w:rPr>
          <w:rFonts w:ascii="Times New Roman" w:hAnsi="Times New Roman"/>
          <w:b/>
          <w:bCs/>
        </w:rPr>
        <w:t xml:space="preserve"> Európa 2020</w:t>
      </w:r>
      <w:r w:rsidRPr="00A729B0">
        <w:rPr>
          <w:rFonts w:ascii="Times New Roman" w:hAnsi="Times New Roman"/>
        </w:rPr>
        <w:t xml:space="preserve">. Lídri EÚ sa zaoberali správou Skupiny pre reflexiu a rozhodli o otvorení prístupových rokovaní o vstupe Islandu do </w:t>
      </w:r>
      <w:r>
        <w:rPr>
          <w:rFonts w:ascii="Times New Roman" w:hAnsi="Times New Roman"/>
        </w:rPr>
        <w:t>EÚ.</w:t>
      </w:r>
      <w:r w:rsidRPr="00A729B0">
        <w:rPr>
          <w:rFonts w:ascii="Times New Roman" w:hAnsi="Times New Roman"/>
        </w:rPr>
        <w:t xml:space="preserve"> SR</w:t>
      </w:r>
      <w:r>
        <w:rPr>
          <w:rFonts w:ascii="Times New Roman" w:hAnsi="Times New Roman"/>
        </w:rPr>
        <w:t xml:space="preserve"> sa</w:t>
      </w:r>
      <w:r w:rsidRPr="00A729B0">
        <w:rPr>
          <w:rFonts w:ascii="Times New Roman" w:hAnsi="Times New Roman"/>
        </w:rPr>
        <w:t xml:space="preserve"> zaviazala posilniť rozpočtovú disciplínu a aktívne prispievať k dosiahnutiu 5 hlavných cieľov Stratégi</w:t>
      </w:r>
      <w:r>
        <w:rPr>
          <w:rFonts w:ascii="Times New Roman" w:hAnsi="Times New Roman"/>
        </w:rPr>
        <w:t>e</w:t>
      </w:r>
      <w:r w:rsidRPr="00A729B0">
        <w:rPr>
          <w:rFonts w:ascii="Times New Roman" w:hAnsi="Times New Roman"/>
        </w:rPr>
        <w:t xml:space="preserve"> Európa 2020. </w:t>
      </w:r>
    </w:p>
    <w:p w:rsidR="000C0368" w:rsidP="000C0368">
      <w:pPr>
        <w:autoSpaceDE w:val="0"/>
        <w:autoSpaceDN w:val="0"/>
        <w:bidi w:val="0"/>
        <w:adjustRightInd w:val="0"/>
        <w:ind w:firstLine="708"/>
        <w:jc w:val="both"/>
        <w:rPr>
          <w:rFonts w:ascii="Times New Roman" w:hAnsi="Times New Roman"/>
        </w:rPr>
      </w:pPr>
      <w:r w:rsidRPr="00A729B0">
        <w:rPr>
          <w:rFonts w:ascii="Times New Roman" w:hAnsi="Times New Roman"/>
        </w:rPr>
        <w:t xml:space="preserve">Septembrová </w:t>
      </w:r>
      <w:r>
        <w:rPr>
          <w:rFonts w:ascii="Times New Roman" w:hAnsi="Times New Roman"/>
        </w:rPr>
        <w:t xml:space="preserve">(2010) </w:t>
      </w:r>
      <w:r w:rsidRPr="00A729B0">
        <w:rPr>
          <w:rFonts w:ascii="Times New Roman" w:hAnsi="Times New Roman"/>
        </w:rPr>
        <w:t xml:space="preserve">Európska rada rokovala </w:t>
      </w:r>
      <w:r w:rsidRPr="00A729B0">
        <w:rPr>
          <w:rFonts w:ascii="Times New Roman" w:hAnsi="Times New Roman"/>
          <w:b/>
          <w:bCs/>
        </w:rPr>
        <w:t>o strategických partneroch EÚ</w:t>
      </w:r>
      <w:r w:rsidRPr="00A729B0">
        <w:rPr>
          <w:rFonts w:ascii="Times New Roman" w:hAnsi="Times New Roman"/>
        </w:rPr>
        <w:t xml:space="preserve"> </w:t>
      </w:r>
      <w:r>
        <w:rPr>
          <w:rFonts w:ascii="Times New Roman" w:hAnsi="Times New Roman"/>
        </w:rPr>
        <w:t xml:space="preserve">(USA, Rusko, Brazília, India, Čína) </w:t>
      </w:r>
      <w:r w:rsidRPr="00A729B0">
        <w:rPr>
          <w:rFonts w:ascii="Times New Roman" w:hAnsi="Times New Roman"/>
        </w:rPr>
        <w:t xml:space="preserve">a o pokroku v práci osobitnej skupiny na posilnenie hospodárskeho riadenia. Z hľadiska SR je dôležité sledovanie vývoja v budovaní novej kvality vzťahov medzi EÚ a jej strategickými partnermi a  prispievanie k posilneniu hospodárskeho riadenia. </w:t>
      </w:r>
    </w:p>
    <w:p w:rsidR="000C0368" w:rsidRPr="00A729B0" w:rsidP="000C0368">
      <w:pPr>
        <w:autoSpaceDE w:val="0"/>
        <w:autoSpaceDN w:val="0"/>
        <w:bidi w:val="0"/>
        <w:adjustRightInd w:val="0"/>
        <w:ind w:firstLine="708"/>
        <w:jc w:val="both"/>
        <w:rPr>
          <w:rFonts w:ascii="Times New Roman" w:hAnsi="Times New Roman"/>
        </w:rPr>
      </w:pPr>
      <w:r w:rsidRPr="00A729B0">
        <w:rPr>
          <w:rFonts w:ascii="Times New Roman" w:hAnsi="Times New Roman"/>
        </w:rPr>
        <w:t>Na zasadnutí Európskej rady 28.–29.</w:t>
      </w:r>
      <w:r>
        <w:rPr>
          <w:rFonts w:ascii="Times New Roman" w:hAnsi="Times New Roman"/>
        </w:rPr>
        <w:t xml:space="preserve"> októbra </w:t>
      </w:r>
      <w:r w:rsidRPr="00A729B0">
        <w:rPr>
          <w:rFonts w:ascii="Times New Roman" w:hAnsi="Times New Roman"/>
        </w:rPr>
        <w:t xml:space="preserve">2010 bola schválená </w:t>
      </w:r>
      <w:r w:rsidRPr="00A729B0">
        <w:rPr>
          <w:rFonts w:ascii="Times New Roman" w:hAnsi="Times New Roman"/>
          <w:b/>
          <w:bCs/>
        </w:rPr>
        <w:t>záverečná správa</w:t>
      </w:r>
      <w:r w:rsidRPr="00A729B0">
        <w:rPr>
          <w:rFonts w:ascii="Times New Roman" w:hAnsi="Times New Roman"/>
        </w:rPr>
        <w:t xml:space="preserve"> osobitnej skupiny </w:t>
      </w:r>
      <w:r w:rsidRPr="00A729B0">
        <w:rPr>
          <w:rFonts w:ascii="Times New Roman" w:hAnsi="Times New Roman"/>
          <w:b/>
          <w:bCs/>
        </w:rPr>
        <w:t>pre hospodárskej riadenie</w:t>
      </w:r>
      <w:r w:rsidRPr="00A729B0">
        <w:rPr>
          <w:rFonts w:ascii="Times New Roman" w:hAnsi="Times New Roman"/>
        </w:rPr>
        <w:t>, ktorej realizácia má výrazne posilniť ekonomický pilier hospodárskej a menovej únie, zvýšiť fiškálnu disciplínu, rozšíriť ekonomický dohľad, prehĺbiť koordináciu a vytvoriť pevný rámec krízového riadenia.</w:t>
      </w:r>
      <w:r>
        <w:rPr>
          <w:rFonts w:ascii="Times New Roman" w:hAnsi="Times New Roman"/>
        </w:rPr>
        <w:t xml:space="preserve"> Slovensko uvedené opatrenia podporilo.</w:t>
      </w:r>
    </w:p>
    <w:p w:rsidR="000C0368" w:rsidRPr="00A729B0" w:rsidP="000C0368">
      <w:pPr>
        <w:autoSpaceDE w:val="0"/>
        <w:autoSpaceDN w:val="0"/>
        <w:bidi w:val="0"/>
        <w:adjustRightInd w:val="0"/>
        <w:ind w:firstLine="708"/>
        <w:jc w:val="both"/>
        <w:rPr>
          <w:rFonts w:ascii="Times New Roman" w:hAnsi="Times New Roman"/>
        </w:rPr>
      </w:pPr>
      <w:r w:rsidRPr="00A729B0">
        <w:rPr>
          <w:rFonts w:ascii="Times New Roman" w:hAnsi="Times New Roman"/>
        </w:rPr>
        <w:t xml:space="preserve">Na decembrovom zasadnutí Európskej rady bolo rozhodnuté o potrebe vytvoriť systémové riešenie na zabezpečenie finančnej stability eurozóny v podobe </w:t>
      </w:r>
      <w:r w:rsidRPr="00A729B0">
        <w:rPr>
          <w:rFonts w:ascii="Times New Roman" w:hAnsi="Times New Roman"/>
          <w:b/>
          <w:bCs/>
        </w:rPr>
        <w:t>Európskeho stabilizačného mechanizmu</w:t>
      </w:r>
      <w:r>
        <w:rPr>
          <w:rFonts w:ascii="Times New Roman" w:hAnsi="Times New Roman"/>
          <w:b/>
          <w:bCs/>
        </w:rPr>
        <w:t xml:space="preserve"> (ESM)</w:t>
      </w:r>
      <w:r w:rsidRPr="00A729B0">
        <w:rPr>
          <w:rFonts w:ascii="Times New Roman" w:hAnsi="Times New Roman"/>
        </w:rPr>
        <w:t xml:space="preserve">. Zároveň bol schválený návrh rozhodnutia </w:t>
      </w:r>
      <w:r w:rsidRPr="00A729B0">
        <w:rPr>
          <w:rFonts w:ascii="Times New Roman" w:hAnsi="Times New Roman"/>
          <w:b/>
          <w:bCs/>
        </w:rPr>
        <w:t xml:space="preserve">o zmene a doplnení Zmluvy o fungovaní EÚ </w:t>
      </w:r>
      <w:r w:rsidRPr="00A729B0">
        <w:rPr>
          <w:rFonts w:ascii="Times New Roman" w:hAnsi="Times New Roman"/>
        </w:rPr>
        <w:t xml:space="preserve">ako nevyhnutnej podmienky pre vytvorenie ESM. Národné schvaľovacie procedúry v členských štátoch majú prebehnúť do konca roka 2012, tak aby doplnená Zmluva nadobudla platnosť k 1.1.2013. </w:t>
      </w:r>
    </w:p>
    <w:p w:rsidR="000C0368" w:rsidRPr="00A729B0" w:rsidP="000C0368">
      <w:pPr>
        <w:autoSpaceDE w:val="0"/>
        <w:autoSpaceDN w:val="0"/>
        <w:bidi w:val="0"/>
        <w:adjustRightInd w:val="0"/>
        <w:ind w:firstLine="708"/>
        <w:jc w:val="both"/>
        <w:rPr>
          <w:rFonts w:ascii="Times New Roman" w:hAnsi="Times New Roman"/>
        </w:rPr>
      </w:pPr>
      <w:r w:rsidRPr="00A729B0">
        <w:rPr>
          <w:rFonts w:ascii="Times New Roman" w:hAnsi="Times New Roman"/>
        </w:rPr>
        <w:t>Limitovaná revízia Lisabonskej zmluvy bol</w:t>
      </w:r>
      <w:r>
        <w:rPr>
          <w:rFonts w:ascii="Times New Roman" w:hAnsi="Times New Roman"/>
        </w:rPr>
        <w:t>a</w:t>
      </w:r>
      <w:r w:rsidRPr="00A729B0">
        <w:rPr>
          <w:rFonts w:ascii="Times New Roman" w:hAnsi="Times New Roman"/>
        </w:rPr>
        <w:t xml:space="preserve"> prijatá Európskou radou v marci 2011. SR v nadväznosti na decembrové zasadnutie pozorne sledovala </w:t>
      </w:r>
      <w:r>
        <w:rPr>
          <w:rFonts w:ascii="Times New Roman" w:hAnsi="Times New Roman"/>
        </w:rPr>
        <w:t xml:space="preserve">a aktívne sa zapájala do diskusie o formovaní </w:t>
      </w:r>
      <w:r w:rsidRPr="00A729B0">
        <w:rPr>
          <w:rFonts w:ascii="Times New Roman" w:hAnsi="Times New Roman"/>
        </w:rPr>
        <w:t>dohod</w:t>
      </w:r>
      <w:r>
        <w:rPr>
          <w:rFonts w:ascii="Times New Roman" w:hAnsi="Times New Roman"/>
        </w:rPr>
        <w:t>y</w:t>
      </w:r>
      <w:r w:rsidRPr="00A729B0">
        <w:rPr>
          <w:rFonts w:ascii="Times New Roman" w:hAnsi="Times New Roman"/>
        </w:rPr>
        <w:t xml:space="preserve"> </w:t>
      </w:r>
      <w:r>
        <w:rPr>
          <w:rFonts w:ascii="Times New Roman" w:hAnsi="Times New Roman"/>
        </w:rPr>
        <w:t>k</w:t>
      </w:r>
      <w:r w:rsidRPr="00A729B0">
        <w:rPr>
          <w:rFonts w:ascii="Times New Roman" w:hAnsi="Times New Roman"/>
        </w:rPr>
        <w:t xml:space="preserve"> balíčku 6 legislatívnych návrhov Komisie, ktorý má byť prijatý v júni 2011</w:t>
      </w:r>
      <w:r>
        <w:rPr>
          <w:rFonts w:ascii="Times New Roman" w:hAnsi="Times New Roman"/>
        </w:rPr>
        <w:t xml:space="preserve">. </w:t>
      </w:r>
      <w:r w:rsidRPr="00A729B0">
        <w:rPr>
          <w:rFonts w:ascii="Times New Roman" w:hAnsi="Times New Roman"/>
        </w:rPr>
        <w:t>Cieľom SR je otvoriť prístupové rokovania s Čiernou Horou v roku 2011. V tejto súvislosti sa SR zaviazala pomôcť pri odstraňovaní nedostatkov Čiernej Hory identifikovaných Komisiou v novembri 2010.</w:t>
      </w:r>
    </w:p>
    <w:p w:rsidR="000C0368" w:rsidRPr="00A729B0" w:rsidP="000C0368">
      <w:pPr>
        <w:autoSpaceDE w:val="0"/>
        <w:autoSpaceDN w:val="0"/>
        <w:bidi w:val="0"/>
        <w:adjustRightInd w:val="0"/>
        <w:ind w:firstLine="708"/>
        <w:jc w:val="both"/>
        <w:rPr>
          <w:rFonts w:ascii="Times New Roman" w:hAnsi="Times New Roman"/>
        </w:rPr>
      </w:pPr>
      <w:r w:rsidRPr="00A729B0">
        <w:rPr>
          <w:rFonts w:ascii="Times New Roman" w:hAnsi="Times New Roman"/>
        </w:rPr>
        <w:t xml:space="preserve">V decembri 2010 Európska rada rozhodla o </w:t>
      </w:r>
      <w:r w:rsidRPr="00A729B0">
        <w:rPr>
          <w:rFonts w:ascii="Times New Roman" w:hAnsi="Times New Roman"/>
          <w:b/>
          <w:bCs/>
        </w:rPr>
        <w:t>udelení kandidátskeho štatútu Čiernej Hore</w:t>
      </w:r>
      <w:r>
        <w:rPr>
          <w:rFonts w:ascii="Times New Roman" w:hAnsi="Times New Roman"/>
        </w:rPr>
        <w:t xml:space="preserve">, keď SR zohrala aktívnu úlohu pri formovaní záverov a prijatí rozhodnutia. </w:t>
      </w:r>
    </w:p>
    <w:p w:rsidR="000C0368" w:rsidP="000C0368">
      <w:pPr>
        <w:autoSpaceDE w:val="0"/>
        <w:autoSpaceDN w:val="0"/>
        <w:bidi w:val="0"/>
        <w:adjustRightInd w:val="0"/>
        <w:ind w:firstLine="708"/>
        <w:jc w:val="both"/>
        <w:rPr>
          <w:rFonts w:ascii="Times New Roman" w:hAnsi="Times New Roman"/>
        </w:rPr>
      </w:pPr>
      <w:r w:rsidRPr="004D477F">
        <w:rPr>
          <w:rFonts w:ascii="Times New Roman" w:hAnsi="Times New Roman"/>
        </w:rPr>
        <w:t xml:space="preserve">Na zasadnutí Európskej rady 4. februára 2011, ktoré bolo zamerané na energetiku, sa dosiahla dohoda o potrebe vytvorenia vnútorného trhu s energiou do roku </w:t>
      </w:r>
      <w:smartTag w:uri="urn:schemas-microsoft-com:office:smarttags" w:element="metricconverter">
        <w:smartTagPr>
          <w:attr w:name="ProductID" w:val="2014 a"/>
        </w:smartTagPr>
        <w:r w:rsidRPr="004D477F">
          <w:rPr>
            <w:rFonts w:ascii="Times New Roman" w:hAnsi="Times New Roman"/>
          </w:rPr>
          <w:t>2014 a</w:t>
        </w:r>
      </w:smartTag>
      <w:r w:rsidRPr="004D477F">
        <w:rPr>
          <w:rFonts w:ascii="Times New Roman" w:hAnsi="Times New Roman"/>
        </w:rPr>
        <w:t xml:space="preserve"> k stanoveniu cieľa v oblasti energetickej efektívnosti na úrovni EÚ dosiahnuť 20% úspory energie do roku 2020.</w:t>
      </w:r>
      <w:r w:rsidRPr="00A729B0">
        <w:rPr>
          <w:rFonts w:ascii="Times New Roman" w:hAnsi="Times New Roman"/>
        </w:rPr>
        <w:t xml:space="preserve"> Závery Európskej rady označili </w:t>
      </w:r>
      <w:r w:rsidRPr="00A729B0">
        <w:rPr>
          <w:rFonts w:ascii="Times New Roman" w:hAnsi="Times New Roman"/>
          <w:b/>
          <w:bCs/>
        </w:rPr>
        <w:t>stredoeurópsky región ako jednu z prioritných oblastí pre rozvoj infraštruktúry</w:t>
      </w:r>
      <w:r w:rsidRPr="00A729B0">
        <w:rPr>
          <w:rFonts w:ascii="Times New Roman" w:hAnsi="Times New Roman"/>
        </w:rPr>
        <w:t xml:space="preserve"> a obsahovali potrebu zavŕšenia budovania Európskeho výskumného priestoru do roku 2014. V nadväznosti na závery je z pohľadu SR dôležité zachovanie možnosti financovania energetických projektov z verejných zdrojov a dobrovoľnosti pri stanovovaní cieľa v oblasti energetickej efektívnosti. </w:t>
      </w:r>
      <w:r>
        <w:rPr>
          <w:rFonts w:ascii="Times New Roman" w:hAnsi="Times New Roman"/>
        </w:rPr>
        <w:t xml:space="preserve">SR ako predsednícka krajina V4 zároveň aktívne prispela k posilneniu vnímania potreby budovania severo-južných prepojení čo viedlo k vytvoreniu High Level Working Group pod vedením komisára G. Oettingera následne po rokovaní ER. </w:t>
      </w:r>
    </w:p>
    <w:p w:rsidR="000C0368" w:rsidRPr="00A729B0" w:rsidP="000C0368">
      <w:pPr>
        <w:autoSpaceDE w:val="0"/>
        <w:autoSpaceDN w:val="0"/>
        <w:bidi w:val="0"/>
        <w:adjustRightInd w:val="0"/>
        <w:ind w:firstLine="708"/>
        <w:jc w:val="both"/>
        <w:rPr>
          <w:rFonts w:ascii="Times New Roman" w:hAnsi="Times New Roman"/>
        </w:rPr>
      </w:pPr>
      <w:r>
        <w:rPr>
          <w:rFonts w:ascii="Times New Roman" w:hAnsi="Times New Roman"/>
        </w:rPr>
        <w:t>Mimoriadna Rada 4. februára 2011 venovala osobitnú pozornosť diskusii o návrhu tzv. Paktu konkurencieschopnosti, ktorý sa neskôr transformoval do Paktu Euro+.</w:t>
      </w:r>
    </w:p>
    <w:p w:rsidR="000C0368" w:rsidRPr="00A729B0" w:rsidP="000C0368">
      <w:pPr>
        <w:autoSpaceDE w:val="0"/>
        <w:autoSpaceDN w:val="0"/>
        <w:bidi w:val="0"/>
        <w:adjustRightInd w:val="0"/>
        <w:ind w:firstLine="708"/>
        <w:jc w:val="both"/>
        <w:rPr>
          <w:rFonts w:ascii="Times New Roman" w:hAnsi="Times New Roman"/>
        </w:rPr>
      </w:pPr>
      <w:r w:rsidRPr="00A729B0">
        <w:rPr>
          <w:rFonts w:ascii="Times New Roman" w:hAnsi="Times New Roman"/>
        </w:rPr>
        <w:t xml:space="preserve">Mimoriadna Európska rada 11. </w:t>
      </w:r>
      <w:r>
        <w:rPr>
          <w:rFonts w:ascii="Times New Roman" w:hAnsi="Times New Roman"/>
        </w:rPr>
        <w:t>marca</w:t>
      </w:r>
      <w:r w:rsidRPr="00A729B0">
        <w:rPr>
          <w:rFonts w:ascii="Times New Roman" w:hAnsi="Times New Roman"/>
        </w:rPr>
        <w:t xml:space="preserve"> 2011 odsúdila násilností páchané líbyjským režimom a v</w:t>
      </w:r>
      <w:r>
        <w:rPr>
          <w:rFonts w:ascii="Times New Roman" w:hAnsi="Times New Roman"/>
        </w:rPr>
        <w:t>y</w:t>
      </w:r>
      <w:r w:rsidRPr="00A729B0">
        <w:rPr>
          <w:rFonts w:ascii="Times New Roman" w:hAnsi="Times New Roman"/>
        </w:rPr>
        <w:t>zva</w:t>
      </w:r>
      <w:r>
        <w:rPr>
          <w:rFonts w:ascii="Times New Roman" w:hAnsi="Times New Roman"/>
        </w:rPr>
        <w:t>la</w:t>
      </w:r>
      <w:r w:rsidRPr="00A729B0">
        <w:rPr>
          <w:rFonts w:ascii="Times New Roman" w:hAnsi="Times New Roman"/>
        </w:rPr>
        <w:t xml:space="preserve"> M. Kaddáfi</w:t>
      </w:r>
      <w:r>
        <w:rPr>
          <w:rFonts w:ascii="Times New Roman" w:hAnsi="Times New Roman"/>
        </w:rPr>
        <w:t>ho, aby sa vzdal moci</w:t>
      </w:r>
      <w:r w:rsidRPr="00A729B0">
        <w:rPr>
          <w:rFonts w:ascii="Times New Roman" w:hAnsi="Times New Roman"/>
        </w:rPr>
        <w:t xml:space="preserve">. EÚ zároveň stanovila politické smerovanie a priority pre budúcu politiku a aktivity EÚ </w:t>
      </w:r>
      <w:r w:rsidRPr="00A729B0">
        <w:rPr>
          <w:rFonts w:ascii="Times New Roman" w:hAnsi="Times New Roman"/>
          <w:b/>
          <w:bCs/>
        </w:rPr>
        <w:t>v južnom susedstve</w:t>
      </w:r>
      <w:r w:rsidRPr="00A729B0">
        <w:rPr>
          <w:rFonts w:ascii="Times New Roman" w:hAnsi="Times New Roman"/>
        </w:rPr>
        <w:t>.</w:t>
      </w:r>
    </w:p>
    <w:p w:rsidR="000C0368" w:rsidRPr="00A729B0" w:rsidP="000C0368">
      <w:pPr>
        <w:autoSpaceDE w:val="0"/>
        <w:autoSpaceDN w:val="0"/>
        <w:bidi w:val="0"/>
        <w:adjustRightInd w:val="0"/>
        <w:ind w:firstLine="708"/>
        <w:jc w:val="both"/>
        <w:rPr>
          <w:rFonts w:ascii="Times New Roman" w:hAnsi="Times New Roman"/>
        </w:rPr>
      </w:pPr>
      <w:r w:rsidRPr="00A729B0">
        <w:rPr>
          <w:rFonts w:ascii="Times New Roman" w:hAnsi="Times New Roman"/>
        </w:rPr>
        <w:t xml:space="preserve">Summit eurozóny 11. </w:t>
      </w:r>
      <w:r>
        <w:rPr>
          <w:rFonts w:ascii="Times New Roman" w:hAnsi="Times New Roman"/>
        </w:rPr>
        <w:t>marca</w:t>
      </w:r>
      <w:r w:rsidRPr="00A729B0">
        <w:rPr>
          <w:rFonts w:ascii="Times New Roman" w:hAnsi="Times New Roman"/>
        </w:rPr>
        <w:t xml:space="preserve"> 2011 rokoval o podobe komplexného balíka opatrení, ktorý zahŕňa začiatok prvej fázy tzv. </w:t>
      </w:r>
      <w:r w:rsidRPr="00A729B0">
        <w:rPr>
          <w:rFonts w:ascii="Times New Roman" w:hAnsi="Times New Roman"/>
          <w:b/>
          <w:bCs/>
        </w:rPr>
        <w:t>európskeho semestra</w:t>
      </w:r>
      <w:r w:rsidRPr="00A729B0">
        <w:rPr>
          <w:rFonts w:ascii="Times New Roman" w:hAnsi="Times New Roman"/>
        </w:rPr>
        <w:t xml:space="preserve">, o dohode o balíčku legislatívnych návrhov k hospodárskemu riadeniu, vytvorení Európskeho stabilizačného mechanizmu a na neho nadväzujúcu limitovanú zmenu </w:t>
      </w:r>
      <w:r>
        <w:rPr>
          <w:rFonts w:ascii="Times New Roman" w:hAnsi="Times New Roman"/>
        </w:rPr>
        <w:t>Lisabonskej z</w:t>
      </w:r>
      <w:r w:rsidRPr="00A729B0">
        <w:rPr>
          <w:rFonts w:ascii="Times New Roman" w:hAnsi="Times New Roman"/>
        </w:rPr>
        <w:t xml:space="preserve">mluvy. Lídri EÚ potvrdili dohodu o </w:t>
      </w:r>
      <w:r w:rsidRPr="00A729B0">
        <w:rPr>
          <w:rFonts w:ascii="Times New Roman" w:hAnsi="Times New Roman"/>
          <w:b/>
          <w:bCs/>
        </w:rPr>
        <w:t>Pakte pre euro Plus</w:t>
      </w:r>
      <w:r w:rsidRPr="00A729B0">
        <w:rPr>
          <w:rFonts w:ascii="Times New Roman" w:hAnsi="Times New Roman"/>
        </w:rPr>
        <w:t>, do ktorého sa podarilo presadiť slovenské priority: explicitnú zmienku o tom, že priame dane zostávajú v národnej kompetencii a</w:t>
      </w:r>
      <w:r>
        <w:rPr>
          <w:rFonts w:ascii="Times New Roman" w:hAnsi="Times New Roman"/>
        </w:rPr>
        <w:t> </w:t>
      </w:r>
      <w:r w:rsidRPr="00A729B0">
        <w:rPr>
          <w:rFonts w:ascii="Times New Roman" w:hAnsi="Times New Roman"/>
        </w:rPr>
        <w:t>stanovenie</w:t>
      </w:r>
      <w:r>
        <w:rPr>
          <w:rFonts w:ascii="Times New Roman" w:hAnsi="Times New Roman"/>
        </w:rPr>
        <w:t xml:space="preserve"> podmienky, že vek</w:t>
      </w:r>
      <w:r w:rsidRPr="00A729B0">
        <w:rPr>
          <w:rFonts w:ascii="Times New Roman" w:hAnsi="Times New Roman"/>
        </w:rPr>
        <w:t xml:space="preserve"> odchodu do dôchodku bude závisieť od demografického vývoja v krajine. </w:t>
      </w:r>
    </w:p>
    <w:p w:rsidR="000C0368" w:rsidRPr="00A729B0" w:rsidP="000C0368">
      <w:pPr>
        <w:autoSpaceDE w:val="0"/>
        <w:autoSpaceDN w:val="0"/>
        <w:bidi w:val="0"/>
        <w:adjustRightInd w:val="0"/>
        <w:ind w:firstLine="708"/>
        <w:jc w:val="both"/>
        <w:rPr>
          <w:rFonts w:ascii="Times New Roman" w:hAnsi="Times New Roman"/>
        </w:rPr>
      </w:pPr>
      <w:r>
        <w:rPr>
          <w:rFonts w:ascii="Times New Roman" w:hAnsi="Times New Roman"/>
        </w:rPr>
        <w:t>Zasadnutie Európskej rady</w:t>
      </w:r>
      <w:r w:rsidRPr="00A729B0">
        <w:rPr>
          <w:rFonts w:ascii="Times New Roman" w:hAnsi="Times New Roman"/>
        </w:rPr>
        <w:t xml:space="preserve"> 24. – 25. 3. 2011, ktoré schválilo výsledky mimoriadneho summitu eurozóny, bolo členskými štátmi EÚ označené za </w:t>
      </w:r>
      <w:r w:rsidRPr="00A729B0">
        <w:rPr>
          <w:rFonts w:ascii="Times New Roman" w:hAnsi="Times New Roman"/>
          <w:b/>
          <w:bCs/>
        </w:rPr>
        <w:t>historický medzník</w:t>
      </w:r>
      <w:r w:rsidRPr="00A729B0">
        <w:rPr>
          <w:rFonts w:ascii="Times New Roman" w:hAnsi="Times New Roman"/>
        </w:rPr>
        <w:t>. Bolo rozhodnuté o tom, že Európsky stabilizačný mechanizmus (</w:t>
      </w:r>
      <w:r w:rsidRPr="00A729B0">
        <w:rPr>
          <w:rFonts w:ascii="Times New Roman" w:hAnsi="Times New Roman"/>
          <w:i/>
          <w:iCs/>
        </w:rPr>
        <w:t>s pôžičkovou kapacitou 500 mld. EUR</w:t>
      </w:r>
      <w:r w:rsidRPr="00A729B0">
        <w:rPr>
          <w:rFonts w:ascii="Times New Roman" w:hAnsi="Times New Roman"/>
        </w:rPr>
        <w:t xml:space="preserve">) bude vytvorený medzinárodnou zmluvou medzi členmi eurozóny ako medzivládnou organizáciou, podľa medzinárodného práva verejného so sídlom v Luxemburgu. SR sa sústredila na </w:t>
      </w:r>
      <w:r w:rsidRPr="00A729B0">
        <w:rPr>
          <w:rFonts w:ascii="Times New Roman" w:hAnsi="Times New Roman"/>
          <w:b/>
          <w:bCs/>
        </w:rPr>
        <w:t>zmenu distribučného kľúča ESM</w:t>
      </w:r>
      <w:r w:rsidRPr="00A729B0">
        <w:rPr>
          <w:rFonts w:ascii="Times New Roman" w:hAnsi="Times New Roman"/>
        </w:rPr>
        <w:t xml:space="preserve">, ktorý bol neproporčný a znevýhodňoval menšie krajiny. </w:t>
      </w:r>
      <w:r>
        <w:rPr>
          <w:rFonts w:ascii="Times New Roman" w:hAnsi="Times New Roman"/>
        </w:rPr>
        <w:t xml:space="preserve">Tento cieľ sa podarilo dosiahnuť. </w:t>
      </w:r>
      <w:r w:rsidRPr="00A729B0">
        <w:rPr>
          <w:rFonts w:ascii="Times New Roman" w:hAnsi="Times New Roman"/>
        </w:rPr>
        <w:t>Nový kompromis je spravodlivejší, lepšie zohľadňuje silu ekonomík jednotlivých krajín a pre SR znamená celkové zníženie príspevku do ESM až o 1,162 mld. EUR.</w:t>
      </w:r>
    </w:p>
    <w:p w:rsidR="000C0368" w:rsidRPr="00A729B0" w:rsidP="000C0368">
      <w:pPr>
        <w:bidi w:val="0"/>
        <w:ind w:firstLine="708"/>
        <w:jc w:val="both"/>
        <w:rPr>
          <w:rFonts w:ascii="Times New Roman" w:hAnsi="Times New Roman"/>
        </w:rPr>
      </w:pPr>
      <w:r>
        <w:rPr>
          <w:rFonts w:ascii="Times New Roman" w:hAnsi="Times New Roman"/>
        </w:rPr>
        <w:t>Na júnovej ER</w:t>
      </w:r>
      <w:r w:rsidRPr="00A729B0">
        <w:rPr>
          <w:rFonts w:ascii="Times New Roman" w:hAnsi="Times New Roman"/>
        </w:rPr>
        <w:t xml:space="preserve"> očakávajú členské štáty EÚ od maďarského predsedníctva predovšetkým dosiahnutie dohody o posilnení hospodárskeho riadenia EÚ v r</w:t>
      </w:r>
      <w:r>
        <w:rPr>
          <w:rFonts w:ascii="Times New Roman" w:hAnsi="Times New Roman"/>
        </w:rPr>
        <w:t>eakcii na kríz</w:t>
      </w:r>
      <w:r w:rsidRPr="00A729B0">
        <w:rPr>
          <w:rFonts w:ascii="Times New Roman" w:hAnsi="Times New Roman"/>
        </w:rPr>
        <w:t>u</w:t>
      </w:r>
      <w:r>
        <w:rPr>
          <w:rFonts w:ascii="Times New Roman" w:hAnsi="Times New Roman"/>
        </w:rPr>
        <w:t>, ktorá zasiahla</w:t>
      </w:r>
      <w:r w:rsidRPr="00A729B0">
        <w:rPr>
          <w:rFonts w:ascii="Times New Roman" w:hAnsi="Times New Roman"/>
        </w:rPr>
        <w:t xml:space="preserve"> Európu, prijatie Dunajskej stratégie a Stratégie pre inklúziu rómskej komunity. </w:t>
      </w:r>
      <w:r>
        <w:rPr>
          <w:rFonts w:ascii="Times New Roman" w:hAnsi="Times New Roman"/>
        </w:rPr>
        <w:t xml:space="preserve">Aktuálnou sa stala otázka migrácie a posilnenie Schengenskej spolupráce. </w:t>
      </w:r>
      <w:r w:rsidRPr="00A729B0">
        <w:rPr>
          <w:rFonts w:ascii="Times New Roman" w:hAnsi="Times New Roman"/>
        </w:rPr>
        <w:t>Proces rozširovania by mal viesť k ukončeniu prístupových rokovaní s Chorvátskom, za čo sa Slovensko osobitne zasadzuje. V druhom polroku 2011 sa očakáva príprava rokovaní o</w:t>
      </w:r>
      <w:r>
        <w:rPr>
          <w:rFonts w:ascii="Times New Roman" w:hAnsi="Times New Roman"/>
        </w:rPr>
        <w:t xml:space="preserve"> viacročnej </w:t>
      </w:r>
      <w:r w:rsidRPr="00A729B0">
        <w:rPr>
          <w:rFonts w:ascii="Times New Roman" w:hAnsi="Times New Roman"/>
        </w:rPr>
        <w:t>finančnej perspektíve na roky 2014-</w:t>
      </w:r>
      <w:smartTag w:uri="urn:schemas-microsoft-com:office:smarttags" w:element="metricconverter">
        <w:smartTagPr>
          <w:attr w:name="ProductID" w:val="2020 a"/>
        </w:smartTagPr>
        <w:r w:rsidRPr="00A729B0">
          <w:rPr>
            <w:rFonts w:ascii="Times New Roman" w:hAnsi="Times New Roman"/>
          </w:rPr>
          <w:t>2020 a</w:t>
        </w:r>
      </w:smartTag>
      <w:r w:rsidRPr="00A729B0">
        <w:rPr>
          <w:rFonts w:ascii="Times New Roman" w:hAnsi="Times New Roman"/>
        </w:rPr>
        <w:t xml:space="preserve"> s ohľadom na priority poľského predsedníctva aj ďalší rozvoj vzťahov v rámci Východného partnerstva,  ako i zlepšenie fungovania vonkajšej energetickej politiky EÚ. V nadväznosti na budovanie efektívnej Európskej služby pre vonkajšiu činnosť (ESVČ) sa bude poľské predsedníctvo usilovať o rozvoj európskej bezpečnostnej a obrannej politiky.</w:t>
      </w:r>
    </w:p>
    <w:p w:rsidR="000C0368" w:rsidP="000C0368">
      <w:pPr>
        <w:bidi w:val="0"/>
        <w:rPr>
          <w:rFonts w:ascii="Times New Roman" w:hAnsi="Times New Roman"/>
          <w:b/>
          <w:u w:val="single"/>
        </w:rPr>
      </w:pPr>
    </w:p>
    <w:p w:rsidR="000C0368" w:rsidP="000C0368">
      <w:pPr>
        <w:bidi w:val="0"/>
        <w:jc w:val="center"/>
        <w:rPr>
          <w:rFonts w:ascii="Times New Roman" w:hAnsi="Times New Roman"/>
          <w:b/>
        </w:rPr>
      </w:pPr>
      <w:r>
        <w:rPr>
          <w:rFonts w:ascii="Times New Roman" w:hAnsi="Times New Roman"/>
          <w:b/>
        </w:rPr>
        <w:t>VŠEOBECNÉ ZÁLEŽITOSTI</w:t>
      </w:r>
    </w:p>
    <w:p w:rsidR="000C0368" w:rsidP="000C0368">
      <w:pPr>
        <w:bidi w:val="0"/>
        <w:rPr>
          <w:rFonts w:ascii="Times New Roman" w:hAnsi="Times New Roman"/>
          <w:b/>
        </w:rPr>
      </w:pPr>
    </w:p>
    <w:p w:rsidR="000C0368" w:rsidRPr="002D1000" w:rsidP="000C0368">
      <w:pPr>
        <w:bidi w:val="0"/>
        <w:ind w:firstLine="709"/>
        <w:jc w:val="both"/>
        <w:rPr>
          <w:rFonts w:ascii="Times New Roman" w:hAnsi="Times New Roman"/>
        </w:rPr>
      </w:pPr>
      <w:r>
        <w:rPr>
          <w:rFonts w:ascii="Times New Roman" w:hAnsi="Times New Roman"/>
        </w:rPr>
        <w:t xml:space="preserve">Kľúčovým determinantom vývoja bola interpretácia a implementácia lisabonskej zmluvy. </w:t>
      </w:r>
      <w:r w:rsidRPr="002F6025">
        <w:rPr>
          <w:rFonts w:ascii="Times New Roman" w:eastAsia="Arial" w:hAnsi="Times New Roman" w:hint="default"/>
        </w:rPr>
        <w:t>Lisabonská</w:t>
      </w:r>
      <w:r w:rsidRPr="002F6025">
        <w:rPr>
          <w:rFonts w:ascii="Times New Roman" w:eastAsia="Arial" w:hAnsi="Times New Roman" w:hint="default"/>
        </w:rPr>
        <w:t xml:space="preserve"> zmluva </w:t>
      </w:r>
      <w:r w:rsidRPr="00406ED1">
        <w:rPr>
          <w:rFonts w:ascii="Times New Roman" w:eastAsia="Arial" w:hAnsi="Times New Roman"/>
          <w:b/>
        </w:rPr>
        <w:t>posil</w:t>
      </w:r>
      <w:r>
        <w:rPr>
          <w:rFonts w:ascii="Times New Roman" w:eastAsia="Arial" w:hAnsi="Times New Roman" w:hint="default"/>
          <w:b/>
        </w:rPr>
        <w:t>nila najmä</w:t>
      </w:r>
      <w:r>
        <w:rPr>
          <w:rFonts w:ascii="Times New Roman" w:eastAsia="Arial" w:hAnsi="Times New Roman" w:hint="default"/>
          <w:b/>
        </w:rPr>
        <w:t xml:space="preserve"> </w:t>
      </w:r>
      <w:r w:rsidRPr="00406ED1">
        <w:rPr>
          <w:rFonts w:ascii="Times New Roman" w:eastAsia="Arial" w:hAnsi="Times New Roman" w:hint="default"/>
          <w:b/>
        </w:rPr>
        <w:t>prá</w:t>
      </w:r>
      <w:r w:rsidRPr="00406ED1">
        <w:rPr>
          <w:rFonts w:ascii="Times New Roman" w:eastAsia="Arial" w:hAnsi="Times New Roman" w:hint="default"/>
          <w:b/>
        </w:rPr>
        <w:t>vomoc</w:t>
      </w:r>
      <w:r>
        <w:rPr>
          <w:rFonts w:ascii="Times New Roman" w:eastAsia="Arial" w:hAnsi="Times New Roman" w:hint="default"/>
          <w:b/>
        </w:rPr>
        <w:t>i Euró</w:t>
      </w:r>
      <w:r>
        <w:rPr>
          <w:rFonts w:ascii="Times New Roman" w:eastAsia="Arial" w:hAnsi="Times New Roman" w:hint="default"/>
          <w:b/>
        </w:rPr>
        <w:t>pskej rady, Rady,</w:t>
      </w:r>
      <w:r w:rsidRPr="00406ED1">
        <w:rPr>
          <w:rFonts w:ascii="Times New Roman" w:eastAsia="Arial" w:hAnsi="Times New Roman" w:hint="default"/>
          <w:b/>
        </w:rPr>
        <w:t xml:space="preserve"> Euró</w:t>
      </w:r>
      <w:r w:rsidRPr="00406ED1">
        <w:rPr>
          <w:rFonts w:ascii="Times New Roman" w:eastAsia="Arial" w:hAnsi="Times New Roman" w:hint="default"/>
          <w:b/>
        </w:rPr>
        <w:t>pskeho parlamentu</w:t>
      </w:r>
      <w:r>
        <w:rPr>
          <w:rFonts w:ascii="Times New Roman" w:eastAsia="Arial" w:hAnsi="Times New Roman"/>
        </w:rPr>
        <w:t xml:space="preserve"> (EP) a </w:t>
      </w:r>
      <w:r>
        <w:rPr>
          <w:rFonts w:ascii="Times New Roman" w:eastAsia="Arial" w:hAnsi="Times New Roman" w:hint="default"/>
        </w:rPr>
        <w:t>Rady pre vš</w:t>
      </w:r>
      <w:r>
        <w:rPr>
          <w:rFonts w:ascii="Times New Roman" w:eastAsia="Arial" w:hAnsi="Times New Roman" w:hint="default"/>
        </w:rPr>
        <w:t>eobecné</w:t>
      </w:r>
      <w:r>
        <w:rPr>
          <w:rFonts w:ascii="Times New Roman" w:eastAsia="Arial" w:hAnsi="Times New Roman" w:hint="default"/>
        </w:rPr>
        <w:t xml:space="preserve"> zá</w:t>
      </w:r>
      <w:r>
        <w:rPr>
          <w:rFonts w:ascii="Times New Roman" w:eastAsia="Arial" w:hAnsi="Times New Roman" w:hint="default"/>
        </w:rPr>
        <w:t>lež</w:t>
      </w:r>
      <w:r>
        <w:rPr>
          <w:rFonts w:ascii="Times New Roman" w:eastAsia="Arial" w:hAnsi="Times New Roman" w:hint="default"/>
        </w:rPr>
        <w:t>itosti, ktorá</w:t>
      </w:r>
      <w:r>
        <w:rPr>
          <w:rFonts w:ascii="Times New Roman" w:eastAsia="Arial" w:hAnsi="Times New Roman" w:hint="default"/>
        </w:rPr>
        <w:t xml:space="preserve"> </w:t>
      </w:r>
      <w:r>
        <w:rPr>
          <w:rFonts w:ascii="Times New Roman" w:hAnsi="Times New Roman"/>
        </w:rPr>
        <w:t>fungovala v režime stanovenom Lisabonskou zmluvou.</w:t>
      </w:r>
    </w:p>
    <w:p w:rsidR="000C0368" w:rsidP="000C0368">
      <w:pPr>
        <w:bidi w:val="0"/>
        <w:ind w:firstLine="709"/>
        <w:jc w:val="both"/>
        <w:rPr>
          <w:rFonts w:ascii="Times New Roman" w:eastAsia="Arial" w:hAnsi="Times New Roman"/>
          <w:color w:val="000000"/>
        </w:rPr>
      </w:pPr>
      <w:r>
        <w:rPr>
          <w:rFonts w:ascii="Times New Roman" w:eastAsia="Arial" w:hAnsi="Times New Roman" w:hint="default"/>
        </w:rPr>
        <w:t>Euró</w:t>
      </w:r>
      <w:r>
        <w:rPr>
          <w:rFonts w:ascii="Times New Roman" w:eastAsia="Arial" w:hAnsi="Times New Roman" w:hint="default"/>
        </w:rPr>
        <w:t xml:space="preserve">psky parlament </w:t>
      </w:r>
      <w:r w:rsidRPr="002F6025">
        <w:rPr>
          <w:rFonts w:ascii="Times New Roman" w:hAnsi="Times New Roman"/>
        </w:rPr>
        <w:t xml:space="preserve">získal v hlavných oblastiach prijímania rozhodnutí EÚ </w:t>
      </w:r>
      <w:r w:rsidRPr="00406ED1">
        <w:rPr>
          <w:rFonts w:ascii="Times New Roman" w:hAnsi="Times New Roman"/>
          <w:b/>
        </w:rPr>
        <w:t>rovnocenné postavenie ako členské štáty</w:t>
      </w:r>
      <w:r>
        <w:rPr>
          <w:rFonts w:ascii="Times New Roman" w:hAnsi="Times New Roman"/>
        </w:rPr>
        <w:t xml:space="preserve"> zastúpené v Rade. Má </w:t>
      </w:r>
      <w:r>
        <w:rPr>
          <w:rFonts w:ascii="Times New Roman" w:eastAsia="Arial" w:hAnsi="Times New Roman" w:hint="default"/>
        </w:rPr>
        <w:t>š</w:t>
      </w:r>
      <w:r>
        <w:rPr>
          <w:rFonts w:ascii="Times New Roman" w:eastAsia="Arial" w:hAnsi="Times New Roman" w:hint="default"/>
        </w:rPr>
        <w:t xml:space="preserve">tyri </w:t>
      </w:r>
      <w:r w:rsidRPr="002F6025">
        <w:rPr>
          <w:rFonts w:ascii="Times New Roman" w:eastAsia="Arial" w:hAnsi="Times New Roman"/>
        </w:rPr>
        <w:t>hlavn</w:t>
      </w:r>
      <w:r>
        <w:rPr>
          <w:rFonts w:ascii="Times New Roman" w:eastAsia="Arial" w:hAnsi="Times New Roman" w:hint="default"/>
        </w:rPr>
        <w:t>é</w:t>
      </w:r>
      <w:r w:rsidRPr="002F6025">
        <w:rPr>
          <w:rFonts w:ascii="Times New Roman" w:eastAsia="Arial" w:hAnsi="Times New Roman"/>
        </w:rPr>
        <w:t xml:space="preserve"> funkci</w:t>
      </w:r>
      <w:r>
        <w:rPr>
          <w:rFonts w:ascii="Times New Roman" w:eastAsia="Arial" w:hAnsi="Times New Roman"/>
        </w:rPr>
        <w:t>e, z </w:t>
      </w:r>
      <w:r>
        <w:rPr>
          <w:rFonts w:ascii="Times New Roman" w:eastAsia="Arial" w:hAnsi="Times New Roman" w:hint="default"/>
        </w:rPr>
        <w:t>ktorý</w:t>
      </w:r>
      <w:r>
        <w:rPr>
          <w:rFonts w:ascii="Times New Roman" w:eastAsia="Arial" w:hAnsi="Times New Roman" w:hint="default"/>
        </w:rPr>
        <w:t>ch dve</w:t>
      </w:r>
      <w:r w:rsidRPr="002F6025">
        <w:rPr>
          <w:rFonts w:ascii="Times New Roman" w:eastAsia="Arial" w:hAnsi="Times New Roman" w:hint="default"/>
        </w:rPr>
        <w:t xml:space="preserve"> vykoná</w:t>
      </w:r>
      <w:r w:rsidRPr="002F6025">
        <w:rPr>
          <w:rFonts w:ascii="Times New Roman" w:eastAsia="Arial" w:hAnsi="Times New Roman" w:hint="default"/>
        </w:rPr>
        <w:t>va spoloč</w:t>
      </w:r>
      <w:r w:rsidRPr="002F6025">
        <w:rPr>
          <w:rFonts w:ascii="Times New Roman" w:eastAsia="Arial" w:hAnsi="Times New Roman" w:hint="default"/>
        </w:rPr>
        <w:t>ne s</w:t>
      </w:r>
      <w:r>
        <w:rPr>
          <w:rFonts w:ascii="Times New Roman" w:eastAsia="Arial" w:hAnsi="Times New Roman"/>
        </w:rPr>
        <w:t> </w:t>
      </w:r>
      <w:r w:rsidRPr="002F6025">
        <w:rPr>
          <w:rFonts w:ascii="Times New Roman" w:eastAsia="Arial" w:hAnsi="Times New Roman"/>
        </w:rPr>
        <w:t>Radou</w:t>
      </w:r>
      <w:r>
        <w:rPr>
          <w:rFonts w:ascii="Times New Roman" w:eastAsia="Arial" w:hAnsi="Times New Roman"/>
        </w:rPr>
        <w:t xml:space="preserve">: </w:t>
      </w:r>
      <w:r w:rsidRPr="00B64620">
        <w:rPr>
          <w:rFonts w:ascii="Times New Roman" w:hAnsi="Times New Roman"/>
        </w:rPr>
        <w:t xml:space="preserve"> </w:t>
      </w:r>
      <w:r w:rsidRPr="002F6025">
        <w:rPr>
          <w:rFonts w:ascii="Times New Roman" w:hAnsi="Times New Roman"/>
        </w:rPr>
        <w:t>prijímanie legislatívy EÚ a</w:t>
      </w:r>
      <w:r>
        <w:rPr>
          <w:rFonts w:ascii="Times New Roman" w:hAnsi="Times New Roman"/>
        </w:rPr>
        <w:t> rozpočtovú</w:t>
      </w:r>
      <w:r w:rsidRPr="002F6025">
        <w:rPr>
          <w:rFonts w:ascii="Times New Roman" w:hAnsi="Times New Roman"/>
        </w:rPr>
        <w:t xml:space="preserve"> oblas</w:t>
      </w:r>
      <w:r>
        <w:rPr>
          <w:rFonts w:ascii="Times New Roman" w:hAnsi="Times New Roman"/>
        </w:rPr>
        <w:t>ť</w:t>
      </w:r>
      <w:r w:rsidRPr="002F6025">
        <w:rPr>
          <w:rFonts w:ascii="Times New Roman" w:eastAsia="Arial" w:hAnsi="Times New Roman"/>
        </w:rPr>
        <w:t>.</w:t>
      </w:r>
      <w:r>
        <w:rPr>
          <w:rFonts w:ascii="Times New Roman" w:eastAsia="Arial" w:hAnsi="Times New Roman" w:hint="default"/>
        </w:rPr>
        <w:t xml:space="preserve"> Zabezpeč</w:t>
      </w:r>
      <w:r>
        <w:rPr>
          <w:rFonts w:ascii="Times New Roman" w:eastAsia="Arial" w:hAnsi="Times New Roman" w:hint="default"/>
        </w:rPr>
        <w:t xml:space="preserve">uje </w:t>
      </w:r>
      <w:r w:rsidRPr="002F6025">
        <w:rPr>
          <w:rFonts w:ascii="Times New Roman" w:eastAsia="Arial" w:hAnsi="Times New Roman"/>
        </w:rPr>
        <w:t>funkci</w:t>
      </w:r>
      <w:r>
        <w:rPr>
          <w:rFonts w:ascii="Times New Roman" w:eastAsia="Arial" w:hAnsi="Times New Roman"/>
        </w:rPr>
        <w:t>u</w:t>
      </w:r>
      <w:r w:rsidRPr="002F6025">
        <w:rPr>
          <w:rFonts w:ascii="Times New Roman" w:eastAsia="Arial" w:hAnsi="Times New Roman"/>
        </w:rPr>
        <w:t xml:space="preserve"> politickej kontroly</w:t>
      </w:r>
      <w:r>
        <w:rPr>
          <w:rFonts w:ascii="Times New Roman" w:eastAsia="Arial" w:hAnsi="Times New Roman"/>
        </w:rPr>
        <w:t xml:space="preserve"> (</w:t>
      </w:r>
      <w:r w:rsidRPr="0032528F">
        <w:rPr>
          <w:rFonts w:ascii="Times New Roman" w:eastAsia="Arial" w:hAnsi="Times New Roman" w:hint="default"/>
          <w:i/>
        </w:rPr>
        <w:t>voľ</w:t>
      </w:r>
      <w:r w:rsidRPr="0032528F">
        <w:rPr>
          <w:rFonts w:ascii="Times New Roman" w:eastAsia="Arial" w:hAnsi="Times New Roman" w:hint="default"/>
          <w:i/>
        </w:rPr>
        <w:t xml:space="preserve">ba </w:t>
      </w:r>
      <w:r w:rsidRPr="0032528F">
        <w:rPr>
          <w:rFonts w:ascii="Times New Roman" w:eastAsia="Arial" w:hAnsi="Times New Roman" w:hint="default"/>
          <w:i/>
        </w:rPr>
        <w:t>predsedu Euró</w:t>
      </w:r>
      <w:r w:rsidRPr="0032528F">
        <w:rPr>
          <w:rFonts w:ascii="Times New Roman" w:eastAsia="Arial" w:hAnsi="Times New Roman" w:hint="default"/>
          <w:i/>
        </w:rPr>
        <w:t>pskej komisie, schvaľ</w:t>
      </w:r>
      <w:r w:rsidRPr="0032528F">
        <w:rPr>
          <w:rFonts w:ascii="Times New Roman" w:eastAsia="Arial" w:hAnsi="Times New Roman" w:hint="default"/>
          <w:i/>
        </w:rPr>
        <w:t>ovanie kolé</w:t>
      </w:r>
      <w:r w:rsidRPr="0032528F">
        <w:rPr>
          <w:rFonts w:ascii="Times New Roman" w:eastAsia="Arial" w:hAnsi="Times New Roman" w:hint="default"/>
          <w:i/>
        </w:rPr>
        <w:t>gia komisá</w:t>
      </w:r>
      <w:r w:rsidRPr="0032528F">
        <w:rPr>
          <w:rFonts w:ascii="Times New Roman" w:eastAsia="Arial" w:hAnsi="Times New Roman" w:hint="default"/>
          <w:i/>
        </w:rPr>
        <w:t>rov</w:t>
      </w:r>
      <w:r>
        <w:rPr>
          <w:rFonts w:ascii="Times New Roman" w:eastAsia="Arial" w:hAnsi="Times New Roman"/>
        </w:rPr>
        <w:t>) a </w:t>
      </w:r>
      <w:r w:rsidRPr="002F6025">
        <w:rPr>
          <w:rFonts w:ascii="Times New Roman" w:eastAsia="Arial" w:hAnsi="Times New Roman"/>
        </w:rPr>
        <w:t>poradn</w:t>
      </w:r>
      <w:r>
        <w:rPr>
          <w:rFonts w:ascii="Times New Roman" w:eastAsia="Arial" w:hAnsi="Times New Roman" w:hint="default"/>
        </w:rPr>
        <w:t>ú</w:t>
      </w:r>
      <w:r w:rsidRPr="002F6025">
        <w:rPr>
          <w:rFonts w:ascii="Times New Roman" w:eastAsia="Arial" w:hAnsi="Times New Roman"/>
        </w:rPr>
        <w:t xml:space="preserve"> funkci</w:t>
      </w:r>
      <w:r>
        <w:rPr>
          <w:rFonts w:ascii="Times New Roman" w:eastAsia="Arial" w:hAnsi="Times New Roman"/>
        </w:rPr>
        <w:t>u</w:t>
      </w:r>
      <w:r w:rsidRPr="002F6025">
        <w:rPr>
          <w:rFonts w:ascii="Times New Roman" w:eastAsia="Arial" w:hAnsi="Times New Roman"/>
        </w:rPr>
        <w:t xml:space="preserve"> vyslov</w:t>
      </w:r>
      <w:r>
        <w:rPr>
          <w:rFonts w:ascii="Times New Roman" w:eastAsia="Arial" w:hAnsi="Times New Roman"/>
        </w:rPr>
        <w:t>ovania</w:t>
      </w:r>
      <w:r w:rsidRPr="002F6025">
        <w:rPr>
          <w:rFonts w:ascii="Times New Roman" w:eastAsia="Arial" w:hAnsi="Times New Roman" w:hint="default"/>
        </w:rPr>
        <w:t xml:space="preserve"> sú</w:t>
      </w:r>
      <w:r w:rsidRPr="002F6025">
        <w:rPr>
          <w:rFonts w:ascii="Times New Roman" w:eastAsia="Arial" w:hAnsi="Times New Roman" w:hint="default"/>
        </w:rPr>
        <w:t>hlas</w:t>
      </w:r>
      <w:r>
        <w:rPr>
          <w:rFonts w:ascii="Times New Roman" w:eastAsia="Arial" w:hAnsi="Times New Roman"/>
        </w:rPr>
        <w:t>u</w:t>
      </w:r>
      <w:r w:rsidRPr="002F6025">
        <w:rPr>
          <w:rFonts w:ascii="Times New Roman" w:eastAsia="Arial" w:hAnsi="Times New Roman" w:hint="default"/>
        </w:rPr>
        <w:t xml:space="preserve"> s medziná</w:t>
      </w:r>
      <w:r w:rsidRPr="002F6025">
        <w:rPr>
          <w:rFonts w:ascii="Times New Roman" w:eastAsia="Arial" w:hAnsi="Times New Roman" w:hint="default"/>
        </w:rPr>
        <w:t>rodný</w:t>
      </w:r>
      <w:r w:rsidRPr="002F6025">
        <w:rPr>
          <w:rFonts w:ascii="Times New Roman" w:eastAsia="Arial" w:hAnsi="Times New Roman" w:hint="default"/>
        </w:rPr>
        <w:t>mi zmluvami</w:t>
      </w:r>
      <w:r>
        <w:rPr>
          <w:rFonts w:ascii="Times New Roman" w:eastAsia="Arial" w:hAnsi="Times New Roman"/>
        </w:rPr>
        <w:t xml:space="preserve"> </w:t>
      </w:r>
      <w:r w:rsidRPr="002F6025">
        <w:rPr>
          <w:rFonts w:ascii="Times New Roman" w:eastAsia="Arial" w:hAnsi="Times New Roman" w:hint="default"/>
        </w:rPr>
        <w:t>EÚ</w:t>
      </w:r>
      <w:r w:rsidRPr="002F6025">
        <w:rPr>
          <w:rFonts w:ascii="Times New Roman" w:eastAsia="Arial" w:hAnsi="Times New Roman" w:hint="default"/>
        </w:rPr>
        <w:t xml:space="preserve"> s </w:t>
      </w:r>
      <w:r w:rsidRPr="002F6025">
        <w:rPr>
          <w:rFonts w:ascii="Times New Roman" w:eastAsia="Arial" w:hAnsi="Times New Roman" w:hint="default"/>
        </w:rPr>
        <w:t>tretí</w:t>
      </w:r>
      <w:r w:rsidRPr="002F6025">
        <w:rPr>
          <w:rFonts w:ascii="Times New Roman" w:eastAsia="Arial" w:hAnsi="Times New Roman" w:hint="default"/>
        </w:rPr>
        <w:t>mi š</w:t>
      </w:r>
      <w:r w:rsidRPr="002F6025">
        <w:rPr>
          <w:rFonts w:ascii="Times New Roman" w:eastAsia="Arial" w:hAnsi="Times New Roman" w:hint="default"/>
        </w:rPr>
        <w:t>tá</w:t>
      </w:r>
      <w:r w:rsidRPr="002F6025">
        <w:rPr>
          <w:rFonts w:ascii="Times New Roman" w:eastAsia="Arial" w:hAnsi="Times New Roman" w:hint="default"/>
        </w:rPr>
        <w:t>tmi a</w:t>
      </w:r>
      <w:r>
        <w:rPr>
          <w:rFonts w:ascii="Times New Roman" w:eastAsia="Arial" w:hAnsi="Times New Roman"/>
        </w:rPr>
        <w:t> </w:t>
      </w:r>
      <w:r w:rsidRPr="002F6025">
        <w:rPr>
          <w:rFonts w:ascii="Times New Roman" w:eastAsia="Arial" w:hAnsi="Times New Roman"/>
        </w:rPr>
        <w:t>zmluv</w:t>
      </w:r>
      <w:r>
        <w:rPr>
          <w:rFonts w:ascii="Times New Roman" w:eastAsia="Arial" w:hAnsi="Times New Roman"/>
        </w:rPr>
        <w:t>ami</w:t>
      </w:r>
      <w:r w:rsidRPr="002F6025">
        <w:rPr>
          <w:rFonts w:ascii="Times New Roman" w:eastAsia="Arial" w:hAnsi="Times New Roman"/>
        </w:rPr>
        <w:t xml:space="preserve"> s </w:t>
      </w:r>
      <w:r w:rsidRPr="002F6025">
        <w:rPr>
          <w:rFonts w:ascii="Times New Roman" w:eastAsia="Arial" w:hAnsi="Times New Roman" w:hint="default"/>
        </w:rPr>
        <w:t>rozpoč</w:t>
      </w:r>
      <w:r w:rsidRPr="002F6025">
        <w:rPr>
          <w:rFonts w:ascii="Times New Roman" w:eastAsia="Arial" w:hAnsi="Times New Roman" w:hint="default"/>
        </w:rPr>
        <w:t>tový</w:t>
      </w:r>
      <w:r w:rsidRPr="002F6025">
        <w:rPr>
          <w:rFonts w:ascii="Times New Roman" w:eastAsia="Arial" w:hAnsi="Times New Roman" w:hint="default"/>
        </w:rPr>
        <w:t>mi impliká</w:t>
      </w:r>
      <w:r w:rsidRPr="002F6025">
        <w:rPr>
          <w:rFonts w:ascii="Times New Roman" w:eastAsia="Arial" w:hAnsi="Times New Roman" w:hint="default"/>
        </w:rPr>
        <w:t>ciami pre EÚ.</w:t>
      </w:r>
      <w:r>
        <w:rPr>
          <w:rFonts w:ascii="Times New Roman" w:eastAsia="Arial" w:hAnsi="Times New Roman"/>
        </w:rPr>
        <w:t xml:space="preserve"> </w:t>
      </w:r>
      <w:r w:rsidRPr="002F6025">
        <w:rPr>
          <w:rFonts w:ascii="Times New Roman" w:eastAsia="Arial" w:hAnsi="Times New Roman" w:hint="default"/>
          <w:color w:val="000000"/>
        </w:rPr>
        <w:t>Pri hodnotení</w:t>
      </w:r>
      <w:r w:rsidRPr="002F6025">
        <w:rPr>
          <w:rFonts w:ascii="Times New Roman" w:eastAsia="Arial" w:hAnsi="Times New Roman" w:hint="default"/>
          <w:color w:val="000000"/>
        </w:rPr>
        <w:t xml:space="preserve"> vý</w:t>
      </w:r>
      <w:r w:rsidRPr="002F6025">
        <w:rPr>
          <w:rFonts w:ascii="Times New Roman" w:eastAsia="Arial" w:hAnsi="Times New Roman" w:hint="default"/>
          <w:color w:val="000000"/>
        </w:rPr>
        <w:t>znamu zmien v postavení</w:t>
      </w:r>
      <w:r w:rsidRPr="002F6025">
        <w:rPr>
          <w:rFonts w:ascii="Times New Roman" w:eastAsia="Arial" w:hAnsi="Times New Roman" w:hint="default"/>
          <w:color w:val="000000"/>
        </w:rPr>
        <w:t xml:space="preserve"> </w:t>
      </w:r>
      <w:r>
        <w:rPr>
          <w:rFonts w:ascii="Times New Roman" w:eastAsia="Arial" w:hAnsi="Times New Roman"/>
          <w:color w:val="000000"/>
        </w:rPr>
        <w:t>E</w:t>
      </w:r>
      <w:r w:rsidRPr="002F6025">
        <w:rPr>
          <w:rFonts w:ascii="Times New Roman" w:eastAsia="Arial" w:hAnsi="Times New Roman"/>
          <w:color w:val="000000"/>
        </w:rPr>
        <w:t xml:space="preserve">P </w:t>
      </w:r>
      <w:r>
        <w:rPr>
          <w:rFonts w:ascii="Times New Roman" w:eastAsia="Arial" w:hAnsi="Times New Roman" w:hint="default"/>
          <w:color w:val="000000"/>
        </w:rPr>
        <w:t>je potrebné</w:t>
      </w:r>
      <w:r>
        <w:rPr>
          <w:rFonts w:ascii="Times New Roman" w:eastAsia="Arial" w:hAnsi="Times New Roman" w:hint="default"/>
          <w:color w:val="000000"/>
        </w:rPr>
        <w:t xml:space="preserve"> pripomenú</w:t>
      </w:r>
      <w:r>
        <w:rPr>
          <w:rFonts w:ascii="Times New Roman" w:eastAsia="Arial" w:hAnsi="Times New Roman" w:hint="default"/>
          <w:color w:val="000000"/>
        </w:rPr>
        <w:t>ť</w:t>
      </w:r>
      <w:r>
        <w:rPr>
          <w:rFonts w:ascii="Times New Roman" w:eastAsia="Arial" w:hAnsi="Times New Roman" w:hint="default"/>
          <w:color w:val="000000"/>
        </w:rPr>
        <w:t xml:space="preserve"> </w:t>
      </w:r>
      <w:r w:rsidRPr="002F6025">
        <w:rPr>
          <w:rFonts w:ascii="Times New Roman" w:eastAsia="Arial" w:hAnsi="Times New Roman" w:hint="default"/>
          <w:color w:val="000000"/>
        </w:rPr>
        <w:t>dô</w:t>
      </w:r>
      <w:r w:rsidRPr="002F6025">
        <w:rPr>
          <w:rFonts w:ascii="Times New Roman" w:eastAsia="Arial" w:hAnsi="Times New Roman" w:hint="default"/>
          <w:color w:val="000000"/>
        </w:rPr>
        <w:t>lež</w:t>
      </w:r>
      <w:r w:rsidRPr="002F6025">
        <w:rPr>
          <w:rFonts w:ascii="Times New Roman" w:eastAsia="Arial" w:hAnsi="Times New Roman" w:hint="default"/>
          <w:color w:val="000000"/>
        </w:rPr>
        <w:t>itý</w:t>
      </w:r>
      <w:r w:rsidRPr="002F6025">
        <w:rPr>
          <w:rFonts w:ascii="Times New Roman" w:eastAsia="Arial" w:hAnsi="Times New Roman" w:hint="default"/>
          <w:color w:val="000000"/>
        </w:rPr>
        <w:t xml:space="preserve"> fakt</w:t>
      </w:r>
      <w:r>
        <w:rPr>
          <w:rFonts w:ascii="Times New Roman" w:eastAsia="Arial" w:hAnsi="Times New Roman" w:hint="default"/>
          <w:color w:val="000000"/>
        </w:rPr>
        <w:t>, ž</w:t>
      </w:r>
      <w:r>
        <w:rPr>
          <w:rFonts w:ascii="Times New Roman" w:eastAsia="Arial" w:hAnsi="Times New Roman" w:hint="default"/>
          <w:color w:val="000000"/>
        </w:rPr>
        <w:t>e EP</w:t>
      </w:r>
      <w:r w:rsidRPr="002F6025">
        <w:rPr>
          <w:rFonts w:ascii="Times New Roman" w:eastAsia="Arial" w:hAnsi="Times New Roman" w:hint="default"/>
          <w:color w:val="000000"/>
        </w:rPr>
        <w:t xml:space="preserve"> nemôž</w:t>
      </w:r>
      <w:r w:rsidRPr="002F6025">
        <w:rPr>
          <w:rFonts w:ascii="Times New Roman" w:eastAsia="Arial" w:hAnsi="Times New Roman" w:hint="default"/>
          <w:color w:val="000000"/>
        </w:rPr>
        <w:t>e prijí</w:t>
      </w:r>
      <w:r w:rsidRPr="002F6025">
        <w:rPr>
          <w:rFonts w:ascii="Times New Roman" w:eastAsia="Arial" w:hAnsi="Times New Roman" w:hint="default"/>
          <w:color w:val="000000"/>
        </w:rPr>
        <w:t>mať</w:t>
      </w:r>
      <w:r w:rsidRPr="002F6025">
        <w:rPr>
          <w:rFonts w:ascii="Times New Roman" w:eastAsia="Arial" w:hAnsi="Times New Roman" w:hint="default"/>
          <w:color w:val="000000"/>
        </w:rPr>
        <w:t xml:space="preserve"> </w:t>
      </w:r>
      <w:r>
        <w:rPr>
          <w:rFonts w:ascii="Times New Roman" w:eastAsia="Arial" w:hAnsi="Times New Roman"/>
          <w:color w:val="000000"/>
        </w:rPr>
        <w:t xml:space="preserve">rozhodnutia </w:t>
      </w:r>
      <w:r w:rsidRPr="002F6025">
        <w:rPr>
          <w:rFonts w:ascii="Times New Roman" w:eastAsia="Arial" w:hAnsi="Times New Roman" w:hint="default"/>
          <w:color w:val="000000"/>
        </w:rPr>
        <w:t>samostatne, ale len spoloč</w:t>
      </w:r>
      <w:r w:rsidRPr="002F6025">
        <w:rPr>
          <w:rFonts w:ascii="Times New Roman" w:eastAsia="Arial" w:hAnsi="Times New Roman" w:hint="default"/>
          <w:color w:val="000000"/>
        </w:rPr>
        <w:t xml:space="preserve">ne s Radou. </w:t>
      </w:r>
      <w:r>
        <w:rPr>
          <w:rFonts w:ascii="Times New Roman" w:eastAsia="Arial" w:hAnsi="Times New Roman"/>
          <w:color w:val="000000"/>
        </w:rPr>
        <w:t>A</w:t>
      </w:r>
      <w:r w:rsidRPr="002F6025">
        <w:rPr>
          <w:rFonts w:ascii="Times New Roman" w:eastAsia="Arial" w:hAnsi="Times New Roman" w:hint="default"/>
          <w:color w:val="000000"/>
        </w:rPr>
        <w:t>tmosfé</w:t>
      </w:r>
      <w:r w:rsidRPr="002F6025">
        <w:rPr>
          <w:rFonts w:ascii="Times New Roman" w:eastAsia="Arial" w:hAnsi="Times New Roman" w:hint="default"/>
          <w:color w:val="000000"/>
        </w:rPr>
        <w:t xml:space="preserve">ra </w:t>
      </w:r>
      <w:r>
        <w:rPr>
          <w:rFonts w:ascii="Times New Roman" w:eastAsia="Arial" w:hAnsi="Times New Roman"/>
          <w:color w:val="000000"/>
        </w:rPr>
        <w:t>v E</w:t>
      </w:r>
      <w:r w:rsidRPr="002F6025">
        <w:rPr>
          <w:rFonts w:ascii="Times New Roman" w:eastAsia="Arial" w:hAnsi="Times New Roman" w:hint="default"/>
          <w:color w:val="000000"/>
        </w:rPr>
        <w:t>P tento fakt zatiaľ</w:t>
      </w:r>
      <w:r w:rsidRPr="002F6025">
        <w:rPr>
          <w:rFonts w:ascii="Times New Roman" w:eastAsia="Arial" w:hAnsi="Times New Roman" w:hint="default"/>
          <w:color w:val="000000"/>
        </w:rPr>
        <w:t xml:space="preserve"> nezohľ</w:t>
      </w:r>
      <w:r w:rsidRPr="002F6025">
        <w:rPr>
          <w:rFonts w:ascii="Times New Roman" w:eastAsia="Arial" w:hAnsi="Times New Roman" w:hint="default"/>
          <w:color w:val="000000"/>
        </w:rPr>
        <w:t>adň</w:t>
      </w:r>
      <w:r w:rsidRPr="002F6025">
        <w:rPr>
          <w:rFonts w:ascii="Times New Roman" w:eastAsia="Arial" w:hAnsi="Times New Roman" w:hint="default"/>
          <w:color w:val="000000"/>
        </w:rPr>
        <w:t>uje</w:t>
      </w:r>
      <w:r>
        <w:rPr>
          <w:rFonts w:ascii="Times New Roman" w:eastAsia="Arial" w:hAnsi="Times New Roman"/>
          <w:color w:val="000000"/>
        </w:rPr>
        <w:t xml:space="preserve"> v plnej miere a </w:t>
      </w:r>
      <w:r>
        <w:rPr>
          <w:rFonts w:ascii="Times New Roman" w:eastAsia="Arial" w:hAnsi="Times New Roman" w:hint="default"/>
          <w:color w:val="000000"/>
        </w:rPr>
        <w:t>opomí</w:t>
      </w:r>
      <w:r>
        <w:rPr>
          <w:rFonts w:ascii="Times New Roman" w:eastAsia="Arial" w:hAnsi="Times New Roman" w:hint="default"/>
          <w:color w:val="000000"/>
        </w:rPr>
        <w:t>na vý</w:t>
      </w:r>
      <w:r>
        <w:rPr>
          <w:rFonts w:ascii="Times New Roman" w:eastAsia="Arial" w:hAnsi="Times New Roman" w:hint="default"/>
          <w:color w:val="000000"/>
        </w:rPr>
        <w:t>znam spoluprá</w:t>
      </w:r>
      <w:r>
        <w:rPr>
          <w:rFonts w:ascii="Times New Roman" w:eastAsia="Arial" w:hAnsi="Times New Roman" w:hint="default"/>
          <w:color w:val="000000"/>
        </w:rPr>
        <w:t>ce s Radou ako systé</w:t>
      </w:r>
      <w:r>
        <w:rPr>
          <w:rFonts w:ascii="Times New Roman" w:eastAsia="Arial" w:hAnsi="Times New Roman" w:hint="default"/>
          <w:color w:val="000000"/>
        </w:rPr>
        <w:t>mové</w:t>
      </w:r>
      <w:r>
        <w:rPr>
          <w:rFonts w:ascii="Times New Roman" w:eastAsia="Arial" w:hAnsi="Times New Roman" w:hint="default"/>
          <w:color w:val="000000"/>
        </w:rPr>
        <w:t>ho prvku v </w:t>
      </w:r>
      <w:r>
        <w:rPr>
          <w:rFonts w:ascii="Times New Roman" w:eastAsia="Arial" w:hAnsi="Times New Roman" w:hint="default"/>
          <w:color w:val="000000"/>
        </w:rPr>
        <w:t>procese tvorby legislatí</w:t>
      </w:r>
      <w:r>
        <w:rPr>
          <w:rFonts w:ascii="Times New Roman" w:eastAsia="Arial" w:hAnsi="Times New Roman" w:hint="default"/>
          <w:color w:val="000000"/>
        </w:rPr>
        <w:t>vy EÚ</w:t>
      </w:r>
      <w:r w:rsidRPr="002F6025">
        <w:rPr>
          <w:rFonts w:ascii="Times New Roman" w:eastAsia="Arial" w:hAnsi="Times New Roman"/>
          <w:color w:val="000000"/>
        </w:rPr>
        <w:t>.</w:t>
      </w:r>
    </w:p>
    <w:p w:rsidR="000C0368" w:rsidRPr="00502266" w:rsidP="000C0368">
      <w:pPr>
        <w:bidi w:val="0"/>
        <w:ind w:firstLine="709"/>
        <w:jc w:val="both"/>
        <w:rPr>
          <w:rFonts w:ascii="Times New Roman" w:hAnsi="Times New Roman"/>
        </w:rPr>
      </w:pPr>
      <w:r w:rsidRPr="00502266">
        <w:rPr>
          <w:rFonts w:ascii="Times New Roman" w:hAnsi="Times New Roman"/>
        </w:rPr>
        <w:t xml:space="preserve">SR ako </w:t>
      </w:r>
      <w:r w:rsidRPr="00406ED1">
        <w:rPr>
          <w:rFonts w:ascii="Times New Roman" w:hAnsi="Times New Roman"/>
          <w:b/>
        </w:rPr>
        <w:t>jedna z prvých krajín</w:t>
      </w:r>
      <w:r w:rsidRPr="00502266">
        <w:rPr>
          <w:rFonts w:ascii="Times New Roman" w:hAnsi="Times New Roman"/>
        </w:rPr>
        <w:t xml:space="preserve"> 25. 11. 2010 ratifikovala Protokol, ktorým sa mení a dopĺňa </w:t>
      </w:r>
      <w:r w:rsidRPr="00406ED1">
        <w:rPr>
          <w:rFonts w:ascii="Times New Roman" w:hAnsi="Times New Roman"/>
          <w:b/>
        </w:rPr>
        <w:t>Protokol o prechodných ustanoveniach</w:t>
      </w:r>
      <w:r w:rsidRPr="00502266">
        <w:rPr>
          <w:rFonts w:ascii="Times New Roman" w:hAnsi="Times New Roman"/>
        </w:rPr>
        <w:t xml:space="preserve">, ktorý je pripojený k základným zmluvám EÚ. Protokol vstúpi do platnosti po jeho ratifikovaní všetkými členskými krajinami. </w:t>
      </w:r>
    </w:p>
    <w:p w:rsidR="000C0368" w:rsidRPr="00A729B0" w:rsidP="000C0368">
      <w:pPr>
        <w:pStyle w:val="BodyText"/>
        <w:autoSpaceDE w:val="0"/>
        <w:autoSpaceDN w:val="0"/>
        <w:bidi w:val="0"/>
        <w:adjustRightInd w:val="0"/>
        <w:spacing w:after="0"/>
        <w:ind w:firstLine="709"/>
        <w:jc w:val="both"/>
        <w:rPr>
          <w:rFonts w:ascii="Times New Roman" w:hAnsi="Times New Roman"/>
          <w:color w:val="FF0000"/>
        </w:rPr>
      </w:pPr>
      <w:r>
        <w:rPr>
          <w:rFonts w:ascii="Times New Roman" w:hAnsi="Times New Roman"/>
        </w:rPr>
        <w:t xml:space="preserve">V sledovanom období bola </w:t>
      </w:r>
      <w:r w:rsidRPr="00A061A7">
        <w:rPr>
          <w:rFonts w:ascii="Times New Roman" w:hAnsi="Times New Roman"/>
          <w:b/>
        </w:rPr>
        <w:t>zriadená Európska služba pre vonkajšiu činnosť</w:t>
      </w:r>
      <w:r>
        <w:rPr>
          <w:rFonts w:ascii="Times New Roman" w:hAnsi="Times New Roman"/>
        </w:rPr>
        <w:t xml:space="preserve"> (ESVČ). ESVČ predstavuje novú výzvu pre posilnenie slovenského zastúpenia v inštitúciách EÚ. </w:t>
      </w:r>
      <w:r w:rsidRPr="00A061A7">
        <w:rPr>
          <w:rFonts w:ascii="Times New Roman" w:hAnsi="Times New Roman"/>
          <w:b/>
        </w:rPr>
        <w:t>Vymenovanie M. Lajčáka</w:t>
      </w:r>
      <w:r>
        <w:rPr>
          <w:rFonts w:ascii="Times New Roman" w:hAnsi="Times New Roman"/>
        </w:rPr>
        <w:t xml:space="preserve"> do funkcie výkonného riaditeľa ESVČ pre Rusko, Východné partnerstvo a západný Balkán </w:t>
      </w:r>
      <w:r w:rsidRPr="00DE22D1">
        <w:rPr>
          <w:rFonts w:ascii="Times New Roman" w:hAnsi="Times New Roman"/>
          <w:color w:val="000000"/>
        </w:rPr>
        <w:t xml:space="preserve">je svedectvom renomé </w:t>
      </w:r>
      <w:r>
        <w:rPr>
          <w:rFonts w:ascii="Times New Roman" w:hAnsi="Times New Roman"/>
          <w:color w:val="000000"/>
        </w:rPr>
        <w:t xml:space="preserve">slovenskej diplomacie </w:t>
      </w:r>
      <w:r w:rsidRPr="00DE22D1">
        <w:rPr>
          <w:rFonts w:ascii="Times New Roman" w:hAnsi="Times New Roman"/>
          <w:color w:val="000000"/>
        </w:rPr>
        <w:t>a ocenením našich skúseností a potenciálu v oblasti susedskej politiky</w:t>
      </w:r>
      <w:r>
        <w:rPr>
          <w:rFonts w:ascii="Times New Roman" w:hAnsi="Times New Roman"/>
          <w:color w:val="000000"/>
        </w:rPr>
        <w:t xml:space="preserve">. Zároveň poukazuje na to, v akých oblastiach a akým spôsobom je možné presadzovať </w:t>
      </w:r>
      <w:r>
        <w:rPr>
          <w:rFonts w:ascii="Times New Roman" w:hAnsi="Times New Roman"/>
        </w:rPr>
        <w:t>vhodných kandidátov do inštitúcií EÚ.</w:t>
      </w:r>
    </w:p>
    <w:p w:rsidR="000C0368" w:rsidP="000C0368">
      <w:pPr>
        <w:bidi w:val="0"/>
        <w:ind w:firstLine="709"/>
        <w:jc w:val="both"/>
        <w:rPr>
          <w:rFonts w:ascii="Times New Roman" w:hAnsi="Times New Roman"/>
        </w:rPr>
      </w:pPr>
      <w:r>
        <w:rPr>
          <w:rFonts w:ascii="Times New Roman" w:hAnsi="Times New Roman"/>
        </w:rPr>
        <w:t xml:space="preserve">V decembri 2010 bolo prijaté nariadenie o </w:t>
      </w:r>
      <w:r w:rsidRPr="00F465D5">
        <w:rPr>
          <w:rFonts w:ascii="Times New Roman" w:hAnsi="Times New Roman"/>
          <w:b/>
        </w:rPr>
        <w:t>inštitúte občianskej iniciatívy</w:t>
      </w:r>
      <w:r>
        <w:rPr>
          <w:rFonts w:ascii="Times New Roman" w:hAnsi="Times New Roman"/>
        </w:rPr>
        <w:t>, k jej konečnej podobe aktívne prispela aj SR. Iniciatíva umožní 1 miliónu občanov EÚ vyzvať Európsku komisiu, aby pripravila novú legislatívu, ktorá patrí do pôsobnosti EÚ.</w:t>
      </w:r>
    </w:p>
    <w:p w:rsidR="000C0368" w:rsidP="000C0368">
      <w:pPr>
        <w:bidi w:val="0"/>
        <w:rPr>
          <w:rFonts w:ascii="Times New Roman" w:hAnsi="Times New Roman"/>
        </w:rPr>
      </w:pPr>
    </w:p>
    <w:p w:rsidR="000C0368" w:rsidP="000C0368">
      <w:pPr>
        <w:bidi w:val="0"/>
        <w:rPr>
          <w:rFonts w:ascii="Times New Roman" w:hAnsi="Times New Roman"/>
          <w:b/>
        </w:rPr>
      </w:pPr>
      <w:r>
        <w:rPr>
          <w:rFonts w:ascii="Times New Roman" w:hAnsi="Times New Roman"/>
          <w:b/>
        </w:rPr>
        <w:t xml:space="preserve">Rozpočet EÚ  </w:t>
      </w:r>
    </w:p>
    <w:p w:rsidR="000C0368" w:rsidP="000C0368">
      <w:pPr>
        <w:bidi w:val="0"/>
        <w:ind w:firstLine="708"/>
        <w:jc w:val="both"/>
        <w:rPr>
          <w:rFonts w:ascii="Times New Roman" w:hAnsi="Times New Roman"/>
        </w:rPr>
      </w:pPr>
      <w:r>
        <w:rPr>
          <w:rFonts w:ascii="Times New Roman" w:hAnsi="Times New Roman"/>
        </w:rPr>
        <w:t xml:space="preserve">Dňa 19. 10. 2010 prijala Európska komisia </w:t>
      </w:r>
      <w:r w:rsidRPr="00556771">
        <w:rPr>
          <w:rFonts w:ascii="Times New Roman" w:hAnsi="Times New Roman"/>
          <w:b/>
        </w:rPr>
        <w:t>návrh k revízii rozpočtu EÚ</w:t>
      </w:r>
      <w:r>
        <w:rPr>
          <w:rFonts w:ascii="Times New Roman" w:hAnsi="Times New Roman"/>
        </w:rPr>
        <w:t>, ktorý je zároveň jedným z východísk</w:t>
      </w:r>
      <w:r w:rsidRPr="00556771">
        <w:rPr>
          <w:rFonts w:ascii="Times New Roman" w:hAnsi="Times New Roman"/>
          <w:b/>
        </w:rPr>
        <w:t xml:space="preserve"> pre prípravu budúceho viacročného finančného rámca</w:t>
      </w:r>
      <w:r>
        <w:rPr>
          <w:rFonts w:ascii="Times New Roman" w:hAnsi="Times New Roman"/>
        </w:rPr>
        <w:t xml:space="preserve"> (BVFR) od roku 2014. Za aktívnej účasti slovenských expertov sa v sledovanom období uskutočnilo viacero multilaterálnych a bilaterálnych konzultácií k BVFR, vrátane konzultácií  kohéznych krajín v Rige, Varšave a Bukurešti. Osobitné stretnutie zorganizovala SR v novembri 2010 v Bruseli. </w:t>
      </w:r>
    </w:p>
    <w:p w:rsidR="000C0368" w:rsidP="000C0368">
      <w:pPr>
        <w:bidi w:val="0"/>
        <w:ind w:firstLine="708"/>
        <w:jc w:val="both"/>
        <w:rPr>
          <w:rFonts w:ascii="Times New Roman" w:hAnsi="Times New Roman"/>
        </w:rPr>
      </w:pPr>
      <w:r>
        <w:rPr>
          <w:rFonts w:ascii="Times New Roman" w:hAnsi="Times New Roman"/>
        </w:rPr>
        <w:t>Maďarsko plánuje v závere svojho predsedníctva dosiahnuť</w:t>
      </w:r>
      <w:r>
        <w:rPr>
          <w:rFonts w:ascii="Times New Roman" w:hAnsi="Times New Roman"/>
          <w:szCs w:val="22"/>
        </w:rPr>
        <w:t xml:space="preserve"> dohodu so zástupcami tria budúcich predsedníctiev (Poľsko, Dánsko a Cyprus) o procedurálnych postupoch, ktorá by zaručovala konzistentnosť procesu negociácií o BVFR. Vzhľadom na nové právomoci EP podľa Lisabonskej zmluvy o fungovaní EÚ, má Maďarsko tiež ambíciu  dosiahnuť dohodu  s EP o procese vzájomných konzultácií Rady a EP a začlenení EP do prípravy BVFR.</w:t>
      </w:r>
      <w:r>
        <w:rPr>
          <w:rFonts w:ascii="Times New Roman" w:hAnsi="Times New Roman"/>
        </w:rPr>
        <w:t xml:space="preserve"> Dňa 29. júna 2011 sa očakáva predloženie návrhu EK k BVFR a v 2. polroku 2011 predloženie konkrétnych legislatívnych návrhov, súvisiacich s BVFR. Následné negociácie by mali prebiehať počas poľského predsedníctva (2. polrok 2011) a dánskeho predsedníctva (1. polrok 2012), s cieľom dosiahnuť dohodu v rámci Rady do júna 2012. Druhý polrok 2012 počas cyperského predsedníctva by mal byť venovaný negociáciám s EP. Cieľom je dosiahnuť finálnu dohodu o podobe BVFR do konca roku 2012. </w:t>
      </w:r>
    </w:p>
    <w:p w:rsidR="000C0368" w:rsidP="000C0368">
      <w:pPr>
        <w:bidi w:val="0"/>
        <w:ind w:firstLine="708"/>
        <w:jc w:val="both"/>
        <w:rPr>
          <w:rFonts w:ascii="Times New Roman" w:hAnsi="Times New Roman"/>
        </w:rPr>
      </w:pPr>
      <w:r w:rsidRPr="00556771">
        <w:rPr>
          <w:rFonts w:ascii="Times New Roman" w:hAnsi="Times New Roman"/>
          <w:b/>
        </w:rPr>
        <w:t>Rozpočet EÚ na rok 2011</w:t>
      </w:r>
      <w:r>
        <w:rPr>
          <w:rFonts w:ascii="Times New Roman" w:hAnsi="Times New Roman"/>
        </w:rPr>
        <w:t xml:space="preserve"> bol prvýkrát prijímaný v zmysle Lisabonskej zmluvy o fungovaní EÚ prostredníctvom jedného čítania na rozdiel od doterajších dvoch čítaní. Schválený rozpočet EÚ na rok 2011 predpokladá platby v celkovej výške 126,5 mld. EUR (medziročný rast o 2,9 %) a záväzky vo výške 141,9 mld. EUR.</w:t>
      </w:r>
    </w:p>
    <w:p w:rsidR="000C0368" w:rsidRPr="009D025A" w:rsidP="000C0368">
      <w:pPr>
        <w:bidi w:val="0"/>
        <w:ind w:firstLine="708"/>
        <w:jc w:val="both"/>
        <w:rPr>
          <w:rFonts w:ascii="Times New Roman" w:hAnsi="Times New Roman"/>
          <w:b/>
        </w:rPr>
      </w:pPr>
      <w:r>
        <w:rPr>
          <w:rFonts w:ascii="Times New Roman" w:hAnsi="Times New Roman"/>
        </w:rPr>
        <w:t xml:space="preserve">Na základe údajov Európskej komisie, SR v období od vstupu do EÚ od 1.5.2004 do 31.12.2009 odviedla do všeobecného rozpočtu EÚ príspevky v celkovej výške 2,806 mld. EUR a za rovnaké obdobie čerpala prostriedky vo výške 5,211 mld. EUR. </w:t>
      </w:r>
      <w:r w:rsidRPr="00993778">
        <w:rPr>
          <w:rFonts w:ascii="Times New Roman" w:hAnsi="Times New Roman"/>
          <w:b/>
        </w:rPr>
        <w:t>Čistá finančná pozícia SR k rozpočtu EÚ vyjadrená na hotovostnom princípe za obdobie od 1.5.2004 do 31.12.2009 dosiahla + 2,405 mld. EUR</w:t>
      </w:r>
      <w:r>
        <w:rPr>
          <w:rFonts w:ascii="Times New Roman" w:hAnsi="Times New Roman"/>
        </w:rPr>
        <w:t xml:space="preserve">. Európska komisia zverejňuje konečné konsolidované údaje </w:t>
      </w:r>
      <w:r>
        <w:rPr>
          <w:rFonts w:ascii="Times New Roman" w:hAnsi="Times New Roman"/>
          <w:color w:val="000000"/>
        </w:rPr>
        <w:t xml:space="preserve">o čerpaní finančných prostriedkov </w:t>
      </w:r>
      <w:r>
        <w:rPr>
          <w:rFonts w:ascii="Times New Roman" w:hAnsi="Times New Roman"/>
        </w:rPr>
        <w:t xml:space="preserve">rozpočtu EÚ s oneskorením a zatiaľ nie sú k dispozícii údaje za rok 2010. Predbežne je možné očakávať, že </w:t>
      </w:r>
      <w:r w:rsidRPr="0032528F">
        <w:rPr>
          <w:rFonts w:ascii="Times New Roman" w:hAnsi="Times New Roman"/>
          <w:b/>
        </w:rPr>
        <w:t>čistá finančná pozícia SR  voči rozpočtu EÚ bude  za obdobie od 1.5.2004 do 31.12.2010 v intervale od + 3,250 do + 3,650 mld. EUR.</w:t>
      </w:r>
    </w:p>
    <w:p w:rsidR="000C0368" w:rsidP="000C0368">
      <w:pPr>
        <w:bidi w:val="0"/>
        <w:ind w:firstLine="708"/>
        <w:jc w:val="both"/>
        <w:rPr>
          <w:rFonts w:ascii="Times New Roman" w:hAnsi="Times New Roman"/>
        </w:rPr>
      </w:pPr>
      <w:r>
        <w:rPr>
          <w:rFonts w:ascii="Times New Roman" w:hAnsi="Times New Roman"/>
        </w:rPr>
        <w:t xml:space="preserve">Pri schvaľovaní </w:t>
      </w:r>
      <w:r w:rsidRPr="005230F8">
        <w:rPr>
          <w:rFonts w:ascii="Times New Roman" w:hAnsi="Times New Roman"/>
          <w:b/>
        </w:rPr>
        <w:t>návrhu rozpočtu EÚ na rok 2012</w:t>
      </w:r>
      <w:r>
        <w:rPr>
          <w:rFonts w:ascii="Times New Roman" w:hAnsi="Times New Roman"/>
        </w:rPr>
        <w:t xml:space="preserve"> sa SR sústredí na rovnováhu medzi obmedzeným rastom výdavkov rozpočtu ako celku a zabezpečením primeraného a dostatočného financovania pre rozpočtové oblasti, ktoré sú pre SR prioritou (</w:t>
      </w:r>
      <w:r w:rsidRPr="00123E63">
        <w:rPr>
          <w:rFonts w:ascii="Times New Roman" w:hAnsi="Times New Roman"/>
          <w:i/>
        </w:rPr>
        <w:t>politika súdržnosti a spoločná poľnohospodárska politika tvoriace prevažnú väčšinu príjmov SR z rozpočtu EÚ</w:t>
      </w:r>
      <w:r>
        <w:rPr>
          <w:rFonts w:ascii="Times New Roman" w:hAnsi="Times New Roman"/>
        </w:rPr>
        <w:t xml:space="preserve">). Naša </w:t>
      </w:r>
      <w:r w:rsidRPr="00123E63">
        <w:rPr>
          <w:rFonts w:ascii="Times New Roman" w:hAnsi="Times New Roman"/>
          <w:b/>
        </w:rPr>
        <w:t>pozícia je determinovaná kontinuálnym hospodárskym rastom SR, ktorý spôsobuje pomerne intenzívny rast príspevkov SR do rozpočtu EÚ</w:t>
      </w:r>
      <w:r>
        <w:rPr>
          <w:rFonts w:ascii="Times New Roman" w:hAnsi="Times New Roman"/>
        </w:rPr>
        <w:t>, ako aj potrebou zabezpečenia kontinuity a dostatočného finančného krytia pre realizáciu zazmluvnených programov a projektov financovaných z prostriedkov EÚ. SR podporuje zjednodušenie súčasného systému vlastných zdrojov rozpočtu EÚ (</w:t>
      </w:r>
      <w:r w:rsidRPr="00123E63">
        <w:rPr>
          <w:rFonts w:ascii="Times New Roman" w:hAnsi="Times New Roman"/>
          <w:i/>
        </w:rPr>
        <w:t>zrušenie zdroja založeného na DPH a rôznych kompenzačných mechanizmov</w:t>
      </w:r>
      <w:r>
        <w:rPr>
          <w:rFonts w:ascii="Times New Roman" w:hAnsi="Times New Roman"/>
        </w:rPr>
        <w:t>), je otvorená na diskusiu o zavedení nových vlastných zdrojov a nepodporuje zavedenie novej spoločnej horizontálnej dane EÚ.</w:t>
      </w:r>
    </w:p>
    <w:p w:rsidR="000C0368" w:rsidP="000C0368">
      <w:pPr>
        <w:bidi w:val="0"/>
        <w:ind w:firstLine="708"/>
        <w:jc w:val="both"/>
        <w:rPr>
          <w:rFonts w:ascii="Times New Roman" w:hAnsi="Times New Roman"/>
        </w:rPr>
      </w:pPr>
    </w:p>
    <w:p w:rsidR="000C0368" w:rsidRPr="00F8460F" w:rsidP="000C0368">
      <w:pPr>
        <w:bidi w:val="0"/>
        <w:ind w:firstLine="708"/>
        <w:jc w:val="both"/>
        <w:rPr>
          <w:rFonts w:ascii="Times New Roman" w:hAnsi="Times New Roman"/>
          <w:b/>
          <w:i/>
        </w:rPr>
      </w:pPr>
      <w:r w:rsidRPr="00F8460F">
        <w:rPr>
          <w:rFonts w:ascii="Times New Roman" w:hAnsi="Times New Roman"/>
          <w:b/>
          <w:i/>
        </w:rPr>
        <w:t xml:space="preserve">Poznámka: </w:t>
      </w:r>
    </w:p>
    <w:p w:rsidR="000C0368" w:rsidRPr="00F8460F" w:rsidP="000C0368">
      <w:pPr>
        <w:bidi w:val="0"/>
        <w:ind w:firstLine="708"/>
        <w:jc w:val="both"/>
        <w:rPr>
          <w:rFonts w:ascii="Times New Roman" w:hAnsi="Times New Roman"/>
          <w:i/>
        </w:rPr>
      </w:pPr>
      <w:r w:rsidRPr="00F8460F">
        <w:rPr>
          <w:rFonts w:ascii="Times New Roman" w:hAnsi="Times New Roman"/>
          <w:i/>
        </w:rPr>
        <w:t>V prílohe sa nachádza tabuľka - súhrn hlavných výdavkových oblastí rozpočtu EÚ za roky 2007 – 2009, s uvedením, v akej výške financovala SR príslušnú výdavkovú oblasť, koľko prostriedkov z nej získala (čerpala), čo umožňuje stanoviť koeficient efektívnosti (koľko eur získala SR z jedného vloženého eura). Tabuľka potvrdzuje, že SR má vo všeobecnosti vyššiu mieru efektívnosti v politikách, v ktorých sú výdavky pevne alokované jednotlivým krajinám (napr. 1B - Kohézia pre rast a zamestnanosť) a menšiu v politikách, v ktorých sú výdavky prideľované na základe výberu najlepšieho projektu (napr. 1A – Konkurencieschopnosť pre rast a zamestnanosť).</w:t>
      </w:r>
    </w:p>
    <w:p w:rsidR="000C0368" w:rsidP="000C0368">
      <w:pPr>
        <w:bidi w:val="0"/>
        <w:jc w:val="both"/>
        <w:rPr>
          <w:rFonts w:ascii="Times New Roman" w:hAnsi="Times New Roman"/>
        </w:rPr>
      </w:pPr>
    </w:p>
    <w:p w:rsidR="000C0368" w:rsidRPr="00634942" w:rsidP="000C0368">
      <w:pPr>
        <w:bidi w:val="0"/>
        <w:rPr>
          <w:rFonts w:ascii="Times New Roman" w:hAnsi="Times New Roman"/>
          <w:b/>
        </w:rPr>
      </w:pPr>
      <w:r w:rsidRPr="00634942">
        <w:rPr>
          <w:rFonts w:ascii="Times New Roman" w:hAnsi="Times New Roman"/>
          <w:b/>
        </w:rPr>
        <w:t xml:space="preserve">Politika súdržnosti </w:t>
      </w:r>
    </w:p>
    <w:p w:rsidR="000C0368" w:rsidRPr="00634942" w:rsidP="000C0368">
      <w:pPr>
        <w:autoSpaceDE w:val="0"/>
        <w:autoSpaceDN w:val="0"/>
        <w:bidi w:val="0"/>
        <w:adjustRightInd w:val="0"/>
        <w:ind w:firstLine="708"/>
        <w:jc w:val="both"/>
        <w:rPr>
          <w:rFonts w:ascii="Times New Roman" w:hAnsi="Times New Roman"/>
        </w:rPr>
      </w:pPr>
      <w:r w:rsidRPr="00634942">
        <w:rPr>
          <w:rFonts w:ascii="Times New Roman" w:hAnsi="Times New Roman"/>
        </w:rPr>
        <w:t>Európska komisia uverejňuje každé tri roky správu o súdržnosti</w:t>
      </w:r>
      <w:r w:rsidRPr="00634942">
        <w:rPr>
          <w:rFonts w:ascii="Times New Roman" w:hAnsi="Times New Roman"/>
          <w:b/>
          <w:bCs/>
        </w:rPr>
        <w:t>,</w:t>
      </w:r>
      <w:r w:rsidRPr="00634942">
        <w:rPr>
          <w:rFonts w:ascii="Times New Roman" w:hAnsi="Times New Roman"/>
        </w:rPr>
        <w:t xml:space="preserve"> ktorej obsahom je dosiahnutý pokrok a spôsob, akým k nemu prispeli EÚ a členské štáty. </w:t>
      </w:r>
      <w:r w:rsidRPr="0018216D">
        <w:rPr>
          <w:rFonts w:ascii="Times New Roman" w:hAnsi="Times New Roman"/>
          <w:b/>
        </w:rPr>
        <w:t xml:space="preserve">„Piata správa o hospodárskej, sociálnej a územnej súdržnosti“ </w:t>
      </w:r>
      <w:r w:rsidRPr="00634942">
        <w:rPr>
          <w:rFonts w:ascii="Times New Roman" w:hAnsi="Times New Roman"/>
        </w:rPr>
        <w:t>(</w:t>
      </w:r>
      <w:r w:rsidRPr="00123E63">
        <w:rPr>
          <w:rFonts w:ascii="Times New Roman" w:hAnsi="Times New Roman"/>
          <w:i/>
        </w:rPr>
        <w:t>ďalej len „piata správa o súdržnosti“</w:t>
      </w:r>
      <w:r w:rsidRPr="00634942">
        <w:rPr>
          <w:rFonts w:ascii="Times New Roman" w:hAnsi="Times New Roman"/>
        </w:rPr>
        <w:t xml:space="preserve">) bola zverejnená 10. novembra 2010. </w:t>
      </w:r>
      <w:r>
        <w:rPr>
          <w:rFonts w:ascii="Times New Roman" w:hAnsi="Times New Roman"/>
        </w:rPr>
        <w:t>Prináša</w:t>
      </w:r>
      <w:r w:rsidRPr="00634942">
        <w:rPr>
          <w:rFonts w:ascii="Times New Roman" w:hAnsi="Times New Roman"/>
        </w:rPr>
        <w:t xml:space="preserve"> rozsiahle hodnotenie situácie a trendov v oblasti hospodárstva, sociálnych vecí a životného prostredia v regiónoch EÚ a stanovuje niekoľko návrhov na podobu politiky súdržnosti EÚ po roku 2013. Správa poskytuje množstvo údajov k celkovému príspevku politiky súdržnosti v prospech rastu všetkých regiónov prostredníctvom priamych investícií, ale aj nepriamych obchodných výhod. </w:t>
      </w:r>
    </w:p>
    <w:p w:rsidR="000C0368" w:rsidRPr="00634942" w:rsidP="000C0368">
      <w:pPr>
        <w:autoSpaceDE w:val="0"/>
        <w:autoSpaceDN w:val="0"/>
        <w:bidi w:val="0"/>
        <w:adjustRightInd w:val="0"/>
        <w:ind w:firstLine="708"/>
        <w:jc w:val="both"/>
        <w:rPr>
          <w:rFonts w:ascii="Times New Roman" w:hAnsi="Times New Roman"/>
        </w:rPr>
      </w:pPr>
      <w:r w:rsidRPr="00634942">
        <w:rPr>
          <w:rFonts w:ascii="Times New Roman" w:hAnsi="Times New Roman"/>
        </w:rPr>
        <w:t xml:space="preserve">SR </w:t>
      </w:r>
      <w:r>
        <w:rPr>
          <w:rFonts w:ascii="Times New Roman" w:hAnsi="Times New Roman"/>
        </w:rPr>
        <w:t>sa</w:t>
      </w:r>
      <w:r w:rsidRPr="00634942">
        <w:rPr>
          <w:rFonts w:ascii="Times New Roman" w:hAnsi="Times New Roman"/>
        </w:rPr>
        <w:t xml:space="preserve"> zapojila do verejnej diskusie k záverom piatej správy o súdržnosti, ktorej predbežné vyhodnotenie prezentovala Európska komisia dňa 4. februára 2011. </w:t>
      </w:r>
      <w:r w:rsidRPr="00634942">
        <w:rPr>
          <w:rFonts w:ascii="Times New Roman" w:hAnsi="Times New Roman"/>
          <w:bCs/>
        </w:rPr>
        <w:t xml:space="preserve">Informáciu o príspevku SR v rámci procesu verejných konzultácií k záverom z piatej správy Komisie o hospodárskej, sociálnej a územnej súdržnosti, </w:t>
      </w:r>
      <w:r w:rsidRPr="00634942">
        <w:rPr>
          <w:rFonts w:ascii="Times New Roman" w:hAnsi="Times New Roman"/>
        </w:rPr>
        <w:t>vzala vláda SR na vedomie dňa 26. januára 2011.</w:t>
      </w:r>
    </w:p>
    <w:p w:rsidR="000C0368" w:rsidRPr="00634942" w:rsidP="000C0368">
      <w:pPr>
        <w:autoSpaceDE w:val="0"/>
        <w:autoSpaceDN w:val="0"/>
        <w:bidi w:val="0"/>
        <w:adjustRightInd w:val="0"/>
        <w:ind w:firstLine="708"/>
        <w:jc w:val="both"/>
        <w:rPr>
          <w:rFonts w:ascii="Times New Roman" w:hAnsi="Times New Roman"/>
        </w:rPr>
      </w:pPr>
      <w:r w:rsidRPr="0018216D">
        <w:rPr>
          <w:rFonts w:ascii="Times New Roman" w:hAnsi="Times New Roman"/>
          <w:b/>
          <w:bCs/>
        </w:rPr>
        <w:t>Medzi hlavné strategické priority SR patria</w:t>
      </w:r>
      <w:r w:rsidRPr="0018216D">
        <w:rPr>
          <w:rFonts w:ascii="Times New Roman" w:hAnsi="Times New Roman"/>
          <w:b/>
        </w:rPr>
        <w:t xml:space="preserve"> </w:t>
      </w:r>
      <w:r w:rsidRPr="0018216D">
        <w:rPr>
          <w:rFonts w:ascii="Times New Roman" w:hAnsi="Times New Roman"/>
          <w:b/>
          <w:bCs/>
        </w:rPr>
        <w:t>politiky, oblasti a nástroje, ktoré majú, resp. budú mať čo najväčšiu pridanú hodnotu pre SR a v ktorých má SR predpoklady na čo najvyššie čerpanie prostriedkov z rozpočtu EÚ</w:t>
      </w:r>
      <w:r>
        <w:rPr>
          <w:rFonts w:ascii="Times New Roman" w:hAnsi="Times New Roman"/>
          <w:b/>
          <w:bCs/>
        </w:rPr>
        <w:t xml:space="preserve"> </w:t>
      </w:r>
      <w:r w:rsidRPr="00AB21CA">
        <w:rPr>
          <w:rFonts w:ascii="Times New Roman" w:hAnsi="Times New Roman"/>
          <w:bCs/>
        </w:rPr>
        <w:t>(napriek zložitosti prípravy a realizácie projektov zostáva prioritou operačný program Doprava)</w:t>
      </w:r>
      <w:r>
        <w:rPr>
          <w:rFonts w:ascii="Times New Roman" w:hAnsi="Times New Roman"/>
          <w:b/>
          <w:bCs/>
        </w:rPr>
        <w:t>.</w:t>
      </w:r>
      <w:r w:rsidRPr="00634942">
        <w:rPr>
          <w:rFonts w:ascii="Times New Roman" w:hAnsi="Times New Roman"/>
        </w:rPr>
        <w:t xml:space="preserve"> V súlade s</w:t>
      </w:r>
      <w:r>
        <w:rPr>
          <w:rFonts w:ascii="Times New Roman" w:hAnsi="Times New Roman"/>
        </w:rPr>
        <w:t> </w:t>
      </w:r>
      <w:r w:rsidRPr="00634942">
        <w:rPr>
          <w:rFonts w:ascii="Times New Roman" w:hAnsi="Times New Roman"/>
        </w:rPr>
        <w:t>koncentráciou</w:t>
      </w:r>
      <w:r>
        <w:rPr>
          <w:rFonts w:ascii="Times New Roman" w:hAnsi="Times New Roman"/>
        </w:rPr>
        <w:t xml:space="preserve"> </w:t>
      </w:r>
      <w:r w:rsidRPr="00634942">
        <w:rPr>
          <w:rFonts w:ascii="Times New Roman" w:hAnsi="Times New Roman"/>
        </w:rPr>
        <w:t xml:space="preserve">podpory na obmedzený počet cieľov </w:t>
      </w:r>
      <w:r w:rsidRPr="0018216D">
        <w:rPr>
          <w:rFonts w:ascii="Times New Roman" w:hAnsi="Times New Roman"/>
          <w:b/>
        </w:rPr>
        <w:t>SR presadzuje 4 prioritné oblasti podpory v regiónoch</w:t>
      </w:r>
      <w:r w:rsidRPr="00634942">
        <w:rPr>
          <w:rFonts w:ascii="Times New Roman" w:hAnsi="Times New Roman"/>
        </w:rPr>
        <w:t xml:space="preserve"> </w:t>
      </w:r>
      <w:r w:rsidRPr="00812EC9">
        <w:rPr>
          <w:rFonts w:ascii="Times New Roman" w:hAnsi="Times New Roman"/>
          <w:b/>
        </w:rPr>
        <w:t>(</w:t>
      </w:r>
      <w:r w:rsidRPr="00812EC9">
        <w:rPr>
          <w:rFonts w:ascii="Times New Roman" w:hAnsi="Times New Roman"/>
          <w:b/>
          <w:i/>
        </w:rPr>
        <w:t>budovanie základnej infraštruktúry; podpora ľudských zdrojov a zamestnanosti; zvyšovanie investícií do vedy, výskumu a inovácií; sústredenie pozornosti na hospodárstvo zeleného rastu</w:t>
      </w:r>
      <w:r w:rsidRPr="00812EC9">
        <w:rPr>
          <w:rFonts w:ascii="Times New Roman" w:hAnsi="Times New Roman"/>
          <w:b/>
        </w:rPr>
        <w:t>)</w:t>
      </w:r>
      <w:r w:rsidRPr="00634942">
        <w:rPr>
          <w:rFonts w:ascii="Times New Roman" w:hAnsi="Times New Roman"/>
        </w:rPr>
        <w:t xml:space="preserve">, v ktorých má SR potenciál na znižovanie </w:t>
      </w:r>
      <w:r>
        <w:rPr>
          <w:rFonts w:ascii="Times New Roman" w:hAnsi="Times New Roman"/>
        </w:rPr>
        <w:t xml:space="preserve">rozvojových rozdielov. Spomínané prioritné oblasti nasledujúceho programového obdobia sú spomenuté a širšie zadefinované v </w:t>
      </w:r>
      <w:r w:rsidRPr="00812EC9">
        <w:rPr>
          <w:rFonts w:ascii="Times New Roman" w:hAnsi="Times New Roman"/>
          <w:b/>
        </w:rPr>
        <w:t>Národnom programe reforiem Slovenskej republiky 2011 – 2014</w:t>
      </w:r>
      <w:r>
        <w:rPr>
          <w:rFonts w:ascii="Times New Roman" w:hAnsi="Times New Roman"/>
        </w:rPr>
        <w:t xml:space="preserve">, ktorý bol schválený na rokovaní vlády dňa </w:t>
      </w:r>
      <w:r>
        <w:rPr>
          <w:rStyle w:val="spanr"/>
          <w:rFonts w:ascii="Times New Roman" w:hAnsi="Times New Roman"/>
        </w:rPr>
        <w:t>20.4.2011.</w:t>
      </w:r>
      <w:r>
        <w:rPr>
          <w:rFonts w:ascii="Times New Roman" w:hAnsi="Times New Roman"/>
        </w:rPr>
        <w:t xml:space="preserve"> </w:t>
      </w:r>
    </w:p>
    <w:p w:rsidR="000C0368" w:rsidP="000C0368">
      <w:pPr>
        <w:pStyle w:val="NormalWeb"/>
        <w:bidi w:val="0"/>
        <w:spacing w:before="0" w:beforeAutospacing="0" w:after="0" w:afterAutospacing="0"/>
        <w:jc w:val="both"/>
        <w:rPr>
          <w:rFonts w:ascii="Times New Roman" w:hAnsi="Times New Roman"/>
        </w:rPr>
      </w:pPr>
      <w:r>
        <w:rPr>
          <w:rFonts w:ascii="Arial Narrow" w:hAnsi="Arial Narrow"/>
          <w:sz w:val="22"/>
          <w:szCs w:val="22"/>
        </w:rPr>
        <w:t> </w:t>
      </w:r>
    </w:p>
    <w:p w:rsidR="000C0368" w:rsidP="000C0368">
      <w:pPr>
        <w:autoSpaceDE w:val="0"/>
        <w:autoSpaceDN w:val="0"/>
        <w:bidi w:val="0"/>
        <w:adjustRightInd w:val="0"/>
        <w:jc w:val="both"/>
        <w:rPr>
          <w:rFonts w:ascii="Times New Roman" w:hAnsi="Times New Roman"/>
          <w:b/>
        </w:rPr>
      </w:pPr>
    </w:p>
    <w:p w:rsidR="000C0368" w:rsidRPr="007D5E33" w:rsidP="000C0368">
      <w:pPr>
        <w:bidi w:val="0"/>
        <w:rPr>
          <w:rFonts w:ascii="Times New Roman" w:hAnsi="Times New Roman"/>
          <w:b/>
          <w:color w:val="FF0000"/>
        </w:rPr>
      </w:pPr>
      <w:r>
        <w:rPr>
          <w:rFonts w:ascii="Times New Roman" w:hAnsi="Times New Roman"/>
          <w:b/>
        </w:rPr>
        <w:t xml:space="preserve">Rozšírenie EÚ </w:t>
      </w:r>
    </w:p>
    <w:p w:rsidR="000C0368" w:rsidP="000C0368">
      <w:pPr>
        <w:bidi w:val="0"/>
        <w:ind w:firstLine="708"/>
        <w:jc w:val="both"/>
        <w:rPr>
          <w:rFonts w:ascii="Times New Roman" w:hAnsi="Times New Roman"/>
        </w:rPr>
      </w:pPr>
      <w:r>
        <w:rPr>
          <w:rFonts w:ascii="Times New Roman" w:hAnsi="Times New Roman"/>
        </w:rPr>
        <w:t xml:space="preserve">SR aktívne podporovala a formovala proces </w:t>
      </w:r>
      <w:r w:rsidRPr="00FD61C1">
        <w:rPr>
          <w:rFonts w:ascii="Times New Roman" w:hAnsi="Times New Roman"/>
          <w:b/>
        </w:rPr>
        <w:t>integráci</w:t>
      </w:r>
      <w:r>
        <w:rPr>
          <w:rFonts w:ascii="Times New Roman" w:hAnsi="Times New Roman"/>
          <w:b/>
        </w:rPr>
        <w:t>e</w:t>
      </w:r>
      <w:r w:rsidRPr="00FD61C1">
        <w:rPr>
          <w:rFonts w:ascii="Times New Roman" w:hAnsi="Times New Roman"/>
          <w:b/>
        </w:rPr>
        <w:t xml:space="preserve"> krajín západného Balkánu do EÚ</w:t>
      </w:r>
      <w:r>
        <w:rPr>
          <w:rFonts w:ascii="Times New Roman" w:hAnsi="Times New Roman"/>
        </w:rPr>
        <w:t xml:space="preserve">, udržujúc jeho dynamiku a politickú viditeľnosť tohto procesu. SR podporovala pokračujúci prístupový proces </w:t>
      </w:r>
      <w:r w:rsidRPr="00FD61C1">
        <w:rPr>
          <w:rFonts w:ascii="Times New Roman" w:hAnsi="Times New Roman"/>
          <w:b/>
        </w:rPr>
        <w:t>Chorvátska</w:t>
      </w:r>
      <w:r>
        <w:rPr>
          <w:rFonts w:ascii="Times New Roman" w:hAnsi="Times New Roman"/>
        </w:rPr>
        <w:t xml:space="preserve"> do EÚ, poskytujúc politickú aj praktickú podporu formou odovzdávania našich skúsenosti z prístupových rokovaní s cieľom ukončiť rokovania do leta 2011. V decembri 2010 SR s partnermi úspešne presadila udelenie </w:t>
      </w:r>
      <w:r w:rsidRPr="00FD61C1">
        <w:rPr>
          <w:rFonts w:ascii="Times New Roman" w:hAnsi="Times New Roman"/>
          <w:b/>
        </w:rPr>
        <w:t>kandidátskeho štatútu pre Čiernu Horu</w:t>
      </w:r>
      <w:r>
        <w:rPr>
          <w:rFonts w:ascii="Times New Roman" w:hAnsi="Times New Roman"/>
        </w:rPr>
        <w:t xml:space="preserve">. Zároveň sa zasadila o </w:t>
      </w:r>
      <w:r w:rsidRPr="00FD61C1">
        <w:rPr>
          <w:rFonts w:ascii="Times New Roman" w:hAnsi="Times New Roman"/>
          <w:b/>
        </w:rPr>
        <w:t>pokrok v integračnom procese Srbska</w:t>
      </w:r>
      <w:r>
        <w:rPr>
          <w:rFonts w:ascii="Times New Roman" w:hAnsi="Times New Roman"/>
        </w:rPr>
        <w:t xml:space="preserve"> a podporila žiadosť adresovanú Európskej komisii na vypracovanie posudku k prihláške Srbska o členstvo v EÚ. V októbri 2010 prezident SR ratifikoval Dohodu o stabilizácii a pridružení medzi Európskymi spoločenstvami a ich členskými štátmi a Srbskom. SR podporovala európsku integráciu Albánska a Bosny a Hercegoviny a schválila rozhodnutie Rady EÚ o liberalizácii vízového režimu pre občanov týchto krajín. SR uvítala začatie prístupového procesu s Islandom a podporovala prístupové rozhovory Turecka a EÚ. </w:t>
      </w:r>
    </w:p>
    <w:p w:rsidR="000C0368" w:rsidP="000C0368">
      <w:pPr>
        <w:pStyle w:val="BodyText"/>
        <w:bidi w:val="0"/>
        <w:ind w:firstLine="708"/>
        <w:jc w:val="both"/>
        <w:rPr>
          <w:rFonts w:ascii="Times New Roman" w:hAnsi="Times New Roman"/>
        </w:rPr>
      </w:pPr>
      <w:r>
        <w:rPr>
          <w:rFonts w:ascii="Times New Roman" w:hAnsi="Times New Roman"/>
        </w:rPr>
        <w:t xml:space="preserve">V októbri 2010 SR ako predsednícka krajina V4 zorganizovala </w:t>
      </w:r>
      <w:r w:rsidRPr="00FD61C1">
        <w:rPr>
          <w:rFonts w:ascii="Times New Roman" w:hAnsi="Times New Roman"/>
          <w:b/>
        </w:rPr>
        <w:t>neformálne stretnutie ministrov zahraničných vecí V4 a západného Balkánu</w:t>
      </w:r>
      <w:r>
        <w:rPr>
          <w:rFonts w:ascii="Times New Roman" w:hAnsi="Times New Roman"/>
        </w:rPr>
        <w:t xml:space="preserve"> za účasti komisára Š. Füleho spolu s medzinárodnou konferenciou k európskej integrácii krajín západného Balkánu. </w:t>
      </w:r>
    </w:p>
    <w:p w:rsidR="000C0368" w:rsidP="000C0368">
      <w:pPr>
        <w:bidi w:val="0"/>
        <w:rPr>
          <w:rFonts w:ascii="Times New Roman" w:hAnsi="Times New Roman"/>
          <w:b/>
        </w:rPr>
      </w:pPr>
      <w:r w:rsidRPr="00A83AE9">
        <w:rPr>
          <w:rFonts w:ascii="Times New Roman" w:hAnsi="Times New Roman"/>
          <w:b/>
        </w:rPr>
        <w:t>Rómska stratégia</w:t>
      </w:r>
      <w:r>
        <w:rPr>
          <w:rFonts w:ascii="Times New Roman" w:hAnsi="Times New Roman"/>
          <w:b/>
        </w:rPr>
        <w:t xml:space="preserve"> </w:t>
      </w:r>
    </w:p>
    <w:p w:rsidR="000C0368" w:rsidP="000C0368">
      <w:pPr>
        <w:bidi w:val="0"/>
        <w:ind w:firstLine="540"/>
        <w:jc w:val="both"/>
        <w:rPr>
          <w:rFonts w:ascii="Times New Roman" w:hAnsi="Times New Roman"/>
          <w:noProof/>
        </w:rPr>
      </w:pPr>
      <w:r>
        <w:rPr>
          <w:rFonts w:ascii="Times New Roman" w:hAnsi="Times New Roman"/>
        </w:rPr>
        <w:t xml:space="preserve">V máji 2011 bolo na Rade ministrov EPSCO prijaté </w:t>
      </w:r>
      <w:r w:rsidRPr="00FD61C1">
        <w:rPr>
          <w:rFonts w:ascii="Times New Roman" w:hAnsi="Times New Roman"/>
          <w:b/>
        </w:rPr>
        <w:t>Oznámenie o rámci EÚ pre vnútroštátne stratégie integrácie Rómov do roku 2020</w:t>
      </w:r>
      <w:r>
        <w:rPr>
          <w:rFonts w:ascii="Times New Roman" w:hAnsi="Times New Roman"/>
        </w:rPr>
        <w:t xml:space="preserve">, podľa ktorého na plnenie národných </w:t>
      </w:r>
      <w:r>
        <w:rPr>
          <w:rFonts w:ascii="Times New Roman" w:hAnsi="Times New Roman"/>
          <w:noProof/>
        </w:rPr>
        <w:t>stratégií budú zavedené cielené opatrenia a zabezpečené dostatočné financovanie (</w:t>
      </w:r>
      <w:r w:rsidRPr="00123E63">
        <w:rPr>
          <w:rFonts w:ascii="Times New Roman" w:hAnsi="Times New Roman"/>
          <w:i/>
          <w:noProof/>
        </w:rPr>
        <w:t>členskými štátmi, EÚ a z iných zdrojov</w:t>
      </w:r>
      <w:r>
        <w:rPr>
          <w:rFonts w:ascii="Times New Roman" w:hAnsi="Times New Roman"/>
          <w:noProof/>
        </w:rPr>
        <w:t>).</w:t>
      </w:r>
    </w:p>
    <w:p w:rsidR="000C0368" w:rsidP="000C0368">
      <w:pPr>
        <w:bidi w:val="0"/>
        <w:ind w:firstLine="540"/>
        <w:jc w:val="both"/>
        <w:rPr>
          <w:rFonts w:ascii="Times New Roman" w:hAnsi="Times New Roman"/>
        </w:rPr>
      </w:pPr>
      <w:r>
        <w:rPr>
          <w:rFonts w:ascii="Times New Roman" w:hAnsi="Times New Roman"/>
        </w:rPr>
        <w:t xml:space="preserve">SR aktívne podporovala jednu z priorít maďarského predsedníctva. </w:t>
      </w:r>
      <w:r>
        <w:rPr>
          <w:rFonts w:ascii="Times New Roman" w:hAnsi="Times New Roman"/>
          <w:noProof/>
        </w:rPr>
        <w:t xml:space="preserve">SR sa </w:t>
      </w:r>
      <w:r>
        <w:rPr>
          <w:rFonts w:ascii="Times New Roman" w:hAnsi="Times New Roman"/>
        </w:rPr>
        <w:t>stotožňuje s potrebou odlíšiť diskrimináciu a segregáciu Rómov na sociálno-ekonomickom základe a na základe etnickom. Aj keď sú tieto dva elementy v praxi silne prepojené a vedú k rovnakej situácii sociálneho vylúčenia, diskriminácii a segregačným tendenciám, je potrebné pri modelovaní verejných politík rozlišovať medzi nástrojmi majúcimi za cieľ potieranie príčin diskriminácie sociálno-ekonomickej a etnickej.</w:t>
      </w:r>
    </w:p>
    <w:p w:rsidR="000C0368" w:rsidP="000C0368">
      <w:pPr>
        <w:bidi w:val="0"/>
        <w:jc w:val="both"/>
        <w:rPr>
          <w:rFonts w:ascii="Times New Roman" w:hAnsi="Times New Roman"/>
        </w:rPr>
      </w:pPr>
    </w:p>
    <w:p w:rsidR="000C0368" w:rsidP="000C0368">
      <w:pPr>
        <w:bidi w:val="0"/>
        <w:rPr>
          <w:rFonts w:ascii="Times New Roman" w:hAnsi="Times New Roman"/>
          <w:b/>
        </w:rPr>
      </w:pPr>
      <w:r>
        <w:rPr>
          <w:rFonts w:ascii="Times New Roman" w:hAnsi="Times New Roman"/>
          <w:b/>
        </w:rPr>
        <w:t xml:space="preserve">Dunajská </w:t>
      </w:r>
      <w:r w:rsidRPr="00A83AE9">
        <w:rPr>
          <w:rFonts w:ascii="Times New Roman" w:hAnsi="Times New Roman"/>
          <w:b/>
        </w:rPr>
        <w:t>stratégia</w:t>
      </w:r>
    </w:p>
    <w:p w:rsidR="000C0368" w:rsidRPr="00634942" w:rsidP="000C0368">
      <w:pPr>
        <w:autoSpaceDE w:val="0"/>
        <w:autoSpaceDN w:val="0"/>
        <w:bidi w:val="0"/>
        <w:adjustRightInd w:val="0"/>
        <w:ind w:firstLine="709"/>
        <w:jc w:val="both"/>
        <w:rPr>
          <w:rFonts w:ascii="Times New Roman" w:hAnsi="Times New Roman"/>
        </w:rPr>
      </w:pPr>
      <w:r w:rsidRPr="00634942">
        <w:rPr>
          <w:rFonts w:ascii="Times New Roman" w:hAnsi="Times New Roman"/>
        </w:rPr>
        <w:t xml:space="preserve">V decembri 2010 Európska komisia zverejnila návrh Oznámenia a Akčného plánu </w:t>
      </w:r>
      <w:r w:rsidRPr="00634942">
        <w:rPr>
          <w:rFonts w:ascii="Times New Roman" w:hAnsi="Times New Roman"/>
          <w:b/>
          <w:bCs/>
        </w:rPr>
        <w:t>Stratégie EÚ pre dunajský región</w:t>
      </w:r>
      <w:r w:rsidRPr="00634942">
        <w:rPr>
          <w:rFonts w:ascii="Times New Roman" w:hAnsi="Times New Roman"/>
        </w:rPr>
        <w:t xml:space="preserve">, ktoré reflektovali výsledky rokovaní 5 odborných konferencií uskutočnených v prvom polroku 2010. Aprílová Rada pre všeobecné záležitosti schválila závery Rady k </w:t>
      </w:r>
      <w:r w:rsidRPr="00634942">
        <w:rPr>
          <w:rFonts w:ascii="Times New Roman" w:hAnsi="Times New Roman"/>
          <w:i/>
          <w:iCs/>
        </w:rPr>
        <w:t>Stratégii pre dunajský región</w:t>
      </w:r>
      <w:r w:rsidRPr="00634942">
        <w:rPr>
          <w:rFonts w:ascii="Times New Roman" w:hAnsi="Times New Roman"/>
        </w:rPr>
        <w:t>. Stratégia by mala byť prijatá počas zasadnutia Európskej rady 24.6.2011.</w:t>
      </w:r>
    </w:p>
    <w:p w:rsidR="000C0368" w:rsidRPr="00634942" w:rsidP="000C0368">
      <w:pPr>
        <w:autoSpaceDE w:val="0"/>
        <w:autoSpaceDN w:val="0"/>
        <w:bidi w:val="0"/>
        <w:adjustRightInd w:val="0"/>
        <w:ind w:firstLine="709"/>
        <w:jc w:val="both"/>
        <w:rPr>
          <w:rFonts w:ascii="Times New Roman" w:hAnsi="Times New Roman"/>
        </w:rPr>
      </w:pPr>
      <w:r w:rsidRPr="00634942">
        <w:rPr>
          <w:rFonts w:ascii="Times New Roman" w:hAnsi="Times New Roman"/>
        </w:rPr>
        <w:t xml:space="preserve">SR bude </w:t>
      </w:r>
      <w:r w:rsidRPr="00634942">
        <w:rPr>
          <w:rFonts w:ascii="Times New Roman" w:hAnsi="Times New Roman"/>
          <w:b/>
          <w:bCs/>
        </w:rPr>
        <w:t>spolukoordinátorom dvoch prioritných oblastí</w:t>
      </w:r>
      <w:r w:rsidRPr="00634942">
        <w:rPr>
          <w:rFonts w:ascii="Times New Roman" w:hAnsi="Times New Roman"/>
        </w:rPr>
        <w:t>: Obnova a zachovanie kvality vôd (</w:t>
      </w:r>
      <w:r w:rsidRPr="00FA142C">
        <w:rPr>
          <w:rFonts w:ascii="Times New Roman" w:hAnsi="Times New Roman"/>
          <w:i/>
        </w:rPr>
        <w:t xml:space="preserve">spolu s </w:t>
      </w:r>
      <w:r>
        <w:rPr>
          <w:rFonts w:ascii="Times New Roman" w:hAnsi="Times New Roman"/>
          <w:i/>
        </w:rPr>
        <w:t>Maďarskom</w:t>
      </w:r>
      <w:r w:rsidRPr="00634942">
        <w:rPr>
          <w:rFonts w:ascii="Times New Roman" w:hAnsi="Times New Roman"/>
        </w:rPr>
        <w:t>) a Rozvoj vedomostnej spoločnosti (</w:t>
      </w:r>
      <w:r w:rsidRPr="00FA142C">
        <w:rPr>
          <w:rFonts w:ascii="Times New Roman" w:hAnsi="Times New Roman"/>
          <w:i/>
        </w:rPr>
        <w:t>spolu so Srbskom</w:t>
      </w:r>
      <w:r w:rsidRPr="00634942">
        <w:rPr>
          <w:rFonts w:ascii="Times New Roman" w:hAnsi="Times New Roman"/>
        </w:rPr>
        <w:t xml:space="preserve">). Spoločným stretnutím národných kontaktných bodov a koordinátorov prioritných oblastí v  Gödöllő 8.-10.5.2011 sa </w:t>
      </w:r>
      <w:r w:rsidRPr="00634942">
        <w:rPr>
          <w:rFonts w:ascii="Times New Roman" w:hAnsi="Times New Roman"/>
          <w:b/>
          <w:bCs/>
        </w:rPr>
        <w:t>naštartovala pred-implementačná fáza</w:t>
      </w:r>
      <w:r w:rsidRPr="00634942">
        <w:rPr>
          <w:rFonts w:ascii="Times New Roman" w:hAnsi="Times New Roman"/>
        </w:rPr>
        <w:t>.</w:t>
      </w:r>
    </w:p>
    <w:p w:rsidR="000C0368" w:rsidP="000C0368">
      <w:pPr>
        <w:bidi w:val="0"/>
        <w:ind w:firstLine="708"/>
        <w:jc w:val="both"/>
        <w:rPr>
          <w:rFonts w:ascii="Times New Roman" w:hAnsi="Times New Roman"/>
        </w:rPr>
      </w:pPr>
      <w:r w:rsidRPr="00634942">
        <w:rPr>
          <w:rFonts w:ascii="Times New Roman" w:hAnsi="Times New Roman"/>
        </w:rPr>
        <w:t xml:space="preserve">Dunajská stratégia je výzvou na </w:t>
      </w:r>
      <w:r w:rsidRPr="00634942">
        <w:rPr>
          <w:rFonts w:ascii="Times New Roman" w:hAnsi="Times New Roman"/>
          <w:b/>
          <w:bCs/>
        </w:rPr>
        <w:t xml:space="preserve">prehĺbenie a posilnenie vzájomnej spolupráce a koordinácie. </w:t>
      </w:r>
      <w:r w:rsidRPr="00634942">
        <w:rPr>
          <w:rFonts w:ascii="Times New Roman" w:hAnsi="Times New Roman"/>
        </w:rPr>
        <w:t xml:space="preserve">Vytvára priestor pre obojstranne výhodný </w:t>
      </w:r>
      <w:r w:rsidRPr="00634942">
        <w:rPr>
          <w:rFonts w:ascii="Times New Roman" w:hAnsi="Times New Roman"/>
          <w:b/>
          <w:bCs/>
        </w:rPr>
        <w:t>rozvoj spolupráce s nečlenskými krajinami</w:t>
      </w:r>
      <w:r w:rsidRPr="00634942">
        <w:rPr>
          <w:rFonts w:ascii="Times New Roman" w:hAnsi="Times New Roman"/>
        </w:rPr>
        <w:t xml:space="preserve"> regiónu a pre podporu integračných ambícií kandidátskych a potenciálne kandidátskych krajín.</w:t>
      </w:r>
      <w:r>
        <w:rPr>
          <w:rFonts w:ascii="Times New Roman" w:hAnsi="Times New Roman"/>
        </w:rPr>
        <w:t xml:space="preserve"> Je možné predpokladať, že nový Viacročný finančný rámec bude prihliadať na realizáciu makroregionálnych stratégií a schopnosť členských štátov pripraviť projekty v širšom regionálnom kontexte, čo síce neznamená vyčlenenie nových zdrojov, ale implikuje možnú previazanosť na kohézne zdroje.</w:t>
      </w:r>
    </w:p>
    <w:p w:rsidR="000C0368" w:rsidP="000C0368">
      <w:pPr>
        <w:bidi w:val="0"/>
        <w:ind w:firstLine="708"/>
        <w:jc w:val="both"/>
        <w:rPr>
          <w:rFonts w:ascii="Times New Roman" w:hAnsi="Times New Roman"/>
        </w:rPr>
      </w:pPr>
    </w:p>
    <w:p w:rsidR="000C0368" w:rsidP="000C0368">
      <w:pPr>
        <w:bidi w:val="0"/>
        <w:ind w:firstLine="708"/>
        <w:jc w:val="both"/>
        <w:rPr>
          <w:rFonts w:ascii="Times New Roman" w:hAnsi="Times New Roman"/>
        </w:rPr>
      </w:pPr>
    </w:p>
    <w:p w:rsidR="000C0368" w:rsidP="000C0368">
      <w:pPr>
        <w:bidi w:val="0"/>
        <w:rPr>
          <w:rFonts w:ascii="Times New Roman" w:hAnsi="Times New Roman"/>
        </w:rPr>
      </w:pPr>
    </w:p>
    <w:p w:rsidR="000C0368" w:rsidP="000C0368">
      <w:pPr>
        <w:bidi w:val="0"/>
        <w:rPr>
          <w:rFonts w:ascii="Times New Roman" w:hAnsi="Times New Roman"/>
          <w:b/>
        </w:rPr>
      </w:pPr>
    </w:p>
    <w:p w:rsidR="000C0368" w:rsidP="000C0368">
      <w:pPr>
        <w:bidi w:val="0"/>
        <w:jc w:val="center"/>
        <w:rPr>
          <w:rFonts w:ascii="Times New Roman" w:hAnsi="Times New Roman"/>
          <w:b/>
        </w:rPr>
      </w:pPr>
      <w:r>
        <w:rPr>
          <w:rFonts w:ascii="Times New Roman" w:hAnsi="Times New Roman"/>
          <w:b/>
        </w:rPr>
        <w:t>VONKAJŠIE ZÁLEŽITOSTI</w:t>
      </w:r>
    </w:p>
    <w:p w:rsidR="000C0368" w:rsidP="000C0368">
      <w:pPr>
        <w:bidi w:val="0"/>
        <w:rPr>
          <w:rFonts w:ascii="Times New Roman" w:hAnsi="Times New Roman"/>
        </w:rPr>
      </w:pPr>
    </w:p>
    <w:p w:rsidR="000C0368" w:rsidP="000C0368">
      <w:pPr>
        <w:bidi w:val="0"/>
        <w:rPr>
          <w:rFonts w:ascii="Times New Roman" w:hAnsi="Times New Roman"/>
          <w:b/>
        </w:rPr>
      </w:pPr>
      <w:r>
        <w:rPr>
          <w:rFonts w:ascii="Times New Roman" w:hAnsi="Times New Roman"/>
          <w:b/>
        </w:rPr>
        <w:t>Zahraničná a bezpečnostná politika</w:t>
      </w:r>
    </w:p>
    <w:p w:rsidR="000C0368" w:rsidP="000C0368">
      <w:pPr>
        <w:bidi w:val="0"/>
        <w:ind w:firstLine="708"/>
        <w:jc w:val="both"/>
        <w:rPr>
          <w:rFonts w:ascii="Times New Roman" w:hAnsi="Times New Roman"/>
        </w:rPr>
      </w:pPr>
      <w:r w:rsidRPr="00FD61C1">
        <w:rPr>
          <w:rFonts w:ascii="Times New Roman" w:hAnsi="Times New Roman"/>
          <w:b/>
        </w:rPr>
        <w:t>Revolučný vývoj a zmeny v krajinách severnej Afriky a Blízkeho východu</w:t>
      </w:r>
      <w:r>
        <w:rPr>
          <w:rFonts w:ascii="Times New Roman" w:hAnsi="Times New Roman"/>
        </w:rPr>
        <w:t xml:space="preserve"> </w:t>
      </w:r>
      <w:r w:rsidRPr="00BE1089">
        <w:rPr>
          <w:rFonts w:ascii="Times New Roman" w:hAnsi="Times New Roman"/>
          <w:i/>
        </w:rPr>
        <w:t>(južné susedstvo EÚ)</w:t>
      </w:r>
      <w:r>
        <w:rPr>
          <w:rFonts w:ascii="Times New Roman" w:hAnsi="Times New Roman"/>
        </w:rPr>
        <w:t xml:space="preserve"> sa stali v poslednom období dominujúcou témou SZBP. SR v EÚ presadzuje, aby </w:t>
      </w:r>
      <w:r w:rsidRPr="00FD61C1">
        <w:rPr>
          <w:rFonts w:ascii="Times New Roman" w:hAnsi="Times New Roman"/>
          <w:b/>
        </w:rPr>
        <w:t>susedská politika EÚ bola vyvážená</w:t>
      </w:r>
      <w:r>
        <w:rPr>
          <w:rFonts w:ascii="Times New Roman" w:hAnsi="Times New Roman"/>
        </w:rPr>
        <w:t xml:space="preserve"> a odpovedala intenzite vzťahov a hĺbke reforiem v susedských krajinách.</w:t>
      </w:r>
    </w:p>
    <w:p w:rsidR="000C0368" w:rsidP="000C0368">
      <w:pPr>
        <w:bidi w:val="0"/>
        <w:ind w:firstLine="708"/>
        <w:jc w:val="both"/>
        <w:rPr>
          <w:rFonts w:ascii="Times New Roman" w:hAnsi="Times New Roman"/>
        </w:rPr>
      </w:pPr>
      <w:r>
        <w:rPr>
          <w:rFonts w:ascii="Times New Roman" w:hAnsi="Times New Roman"/>
        </w:rPr>
        <w:t xml:space="preserve">Spoločná zahraničná a bezpečnostná politika EÚ (SZBP) bola ovplyvnená </w:t>
      </w:r>
      <w:r w:rsidRPr="00FD61C1">
        <w:rPr>
          <w:rFonts w:ascii="Times New Roman" w:hAnsi="Times New Roman"/>
          <w:b/>
        </w:rPr>
        <w:t>implementáciou Lisabonskej zmluvy</w:t>
      </w:r>
      <w:r>
        <w:rPr>
          <w:rFonts w:ascii="Times New Roman" w:hAnsi="Times New Roman"/>
        </w:rPr>
        <w:t xml:space="preserve">, na základe ktorej bola vytvorená funkcia Vysokého predstaviteľa pre zahraničné veci a bezpečnostnú politiku, do ktorej bola menovaná C. Ashtonová a zároveň bola zriadená Európska služba pre vonkajšiu činnosť (ESVČ).  Osobitnú pozornosť SR venovala politike Východného partnerstva s cieľom posilnenia politickej a hospodárskej spolupráce. Dňa 3. 3. 2011 sa v Bratislave uskutočnilo </w:t>
      </w:r>
      <w:r w:rsidRPr="00FD61C1">
        <w:rPr>
          <w:rFonts w:ascii="Times New Roman" w:hAnsi="Times New Roman"/>
          <w:b/>
        </w:rPr>
        <w:t>stretnutie ministrov zahraničných vecí krajín V4, NSR a Východného partnerstva</w:t>
      </w:r>
      <w:r>
        <w:rPr>
          <w:rFonts w:ascii="Times New Roman" w:hAnsi="Times New Roman"/>
        </w:rPr>
        <w:t xml:space="preserve"> za účasti vysokej predstaviteľky C. Ashtonovej a eurokomisára Š. Füleho. Ministri zahraničných vecí V4 a Nemecka prijali o.i. spoločné vyhlásenie k Východnému partnerstvu, ktoré bude nosným rámcovým politickým dokumentom pred pripravovaným summitom vo Varšave v októbri 2011.</w:t>
      </w:r>
    </w:p>
    <w:p w:rsidR="000C0368" w:rsidP="000C0368">
      <w:pPr>
        <w:bidi w:val="0"/>
        <w:ind w:firstLine="708"/>
        <w:jc w:val="both"/>
        <w:rPr>
          <w:rFonts w:ascii="Times New Roman" w:hAnsi="Times New Roman"/>
        </w:rPr>
      </w:pPr>
      <w:r>
        <w:rPr>
          <w:rFonts w:ascii="Times New Roman" w:hAnsi="Times New Roman"/>
        </w:rPr>
        <w:t xml:space="preserve">SR sa na pôde EÚ výrazne angažovala za </w:t>
      </w:r>
      <w:r w:rsidRPr="00FD61C1">
        <w:rPr>
          <w:rFonts w:ascii="Times New Roman" w:hAnsi="Times New Roman"/>
          <w:b/>
        </w:rPr>
        <w:t>ochranu ľudských práv a podporu demokratických hodnôt</w:t>
      </w:r>
      <w:r>
        <w:rPr>
          <w:rFonts w:ascii="Times New Roman" w:hAnsi="Times New Roman"/>
        </w:rPr>
        <w:t xml:space="preserve"> vo svete s osobitným zameraním na negatívny vývoj v Bielorusku, na Kube a Mjanmarsku a zasadzovala sa aj za posilnenie aktivít EÚ v boji </w:t>
      </w:r>
      <w:r w:rsidRPr="00FD61C1">
        <w:rPr>
          <w:rFonts w:ascii="Times New Roman" w:hAnsi="Times New Roman"/>
          <w:b/>
        </w:rPr>
        <w:t>proti diskriminácii kresťanov</w:t>
      </w:r>
      <w:r>
        <w:rPr>
          <w:rFonts w:ascii="Times New Roman" w:hAnsi="Times New Roman"/>
        </w:rPr>
        <w:t xml:space="preserve"> vo svete.</w:t>
      </w:r>
    </w:p>
    <w:p w:rsidR="000C0368" w:rsidP="000C0368">
      <w:pPr>
        <w:bidi w:val="0"/>
        <w:ind w:firstLine="708"/>
        <w:jc w:val="both"/>
        <w:rPr>
          <w:rFonts w:ascii="Times New Roman" w:hAnsi="Times New Roman"/>
        </w:rPr>
      </w:pPr>
      <w:r w:rsidRPr="009620FF">
        <w:rPr>
          <w:rFonts w:ascii="Times New Roman" w:hAnsi="Times New Roman"/>
        </w:rPr>
        <w:t>SR sa aktívne angažovala v operáciách a misiách medzinárodného krízového manažmentu, pričom pozornosť venovala najmä prioritným regiónom.</w:t>
      </w:r>
      <w:r>
        <w:rPr>
          <w:rFonts w:ascii="Times New Roman" w:hAnsi="Times New Roman"/>
        </w:rPr>
        <w:t xml:space="preserve"> </w:t>
      </w:r>
      <w:r w:rsidRPr="009620FF">
        <w:rPr>
          <w:rFonts w:ascii="Times New Roman" w:hAnsi="Times New Roman"/>
        </w:rPr>
        <w:t>Za hodnotené obdobie SR poskytla národné príspevky do nasledovných operácií a misií EÚ: EUFOR ALTHEA v Bosne a Hercegovine (</w:t>
      </w:r>
      <w:r w:rsidRPr="00FA4182">
        <w:rPr>
          <w:rFonts w:ascii="Times New Roman" w:hAnsi="Times New Roman"/>
          <w:i/>
        </w:rPr>
        <w:t>k aprílu 2011 celkom 45 príslušníkov OS SR; SR v roku 2011 vyslala do operácie tri LOT tímy a súčasne prevzala vedúcu úlohu v Regionálnom koordinačnom centre Juh</w:t>
      </w:r>
      <w:r w:rsidRPr="009620FF">
        <w:rPr>
          <w:rFonts w:ascii="Times New Roman" w:hAnsi="Times New Roman"/>
        </w:rPr>
        <w:t>)</w:t>
      </w:r>
      <w:r>
        <w:rPr>
          <w:rFonts w:ascii="Times New Roman" w:hAnsi="Times New Roman"/>
        </w:rPr>
        <w:t>,</w:t>
      </w:r>
      <w:r>
        <w:rPr>
          <w:rFonts w:ascii="Times New Roman" w:hAnsi="Times New Roman"/>
          <w:bCs/>
        </w:rPr>
        <w:t xml:space="preserve"> EULEX v Kosove </w:t>
      </w:r>
      <w:r w:rsidRPr="00E72FA4">
        <w:rPr>
          <w:rFonts w:ascii="Times New Roman" w:hAnsi="Times New Roman"/>
          <w:i/>
        </w:rPr>
        <w:t xml:space="preserve">(6 </w:t>
      </w:r>
      <w:r>
        <w:rPr>
          <w:rFonts w:ascii="Times New Roman" w:hAnsi="Times New Roman"/>
          <w:i/>
        </w:rPr>
        <w:t>policajtov</w:t>
      </w:r>
      <w:r w:rsidRPr="00E72FA4">
        <w:rPr>
          <w:rFonts w:ascii="Times New Roman" w:hAnsi="Times New Roman"/>
          <w:i/>
        </w:rPr>
        <w:t>)</w:t>
      </w:r>
      <w:r>
        <w:rPr>
          <w:rFonts w:ascii="Times New Roman" w:hAnsi="Times New Roman"/>
        </w:rPr>
        <w:t xml:space="preserve">, EUPM v Bosne a Hercegovine </w:t>
      </w:r>
      <w:r w:rsidRPr="00E72FA4">
        <w:rPr>
          <w:rFonts w:ascii="Times New Roman" w:hAnsi="Times New Roman"/>
          <w:i/>
        </w:rPr>
        <w:t>(4 policajti)</w:t>
      </w:r>
      <w:r>
        <w:rPr>
          <w:rFonts w:ascii="Times New Roman" w:hAnsi="Times New Roman"/>
        </w:rPr>
        <w:t xml:space="preserve">, východnej dimenzie EUMM v Gruzínsku </w:t>
      </w:r>
      <w:r w:rsidRPr="00E72FA4">
        <w:rPr>
          <w:rFonts w:ascii="Times New Roman" w:hAnsi="Times New Roman"/>
          <w:i/>
        </w:rPr>
        <w:t>(2 policajti a 1 vojak)</w:t>
      </w:r>
      <w:r>
        <w:rPr>
          <w:rFonts w:ascii="Times New Roman" w:hAnsi="Times New Roman"/>
        </w:rPr>
        <w:t xml:space="preserve"> a EUBAM na ukrajinsko-moldavskej hranici </w:t>
      </w:r>
      <w:r w:rsidRPr="00E72FA4">
        <w:rPr>
          <w:rFonts w:ascii="Times New Roman" w:hAnsi="Times New Roman"/>
          <w:i/>
        </w:rPr>
        <w:t>(3 policajti a 2 colníci)</w:t>
      </w:r>
      <w:r>
        <w:rPr>
          <w:rFonts w:ascii="Times New Roman" w:hAnsi="Times New Roman"/>
        </w:rPr>
        <w:t xml:space="preserve"> a Afganistanu </w:t>
      </w:r>
      <w:r w:rsidRPr="00A235AE">
        <w:rPr>
          <w:rFonts w:ascii="Times New Roman" w:hAnsi="Times New Roman"/>
          <w:i/>
        </w:rPr>
        <w:t>(EUPOL, 2 policajti)</w:t>
      </w:r>
      <w:r>
        <w:rPr>
          <w:rFonts w:ascii="Times New Roman" w:hAnsi="Times New Roman"/>
        </w:rPr>
        <w:t xml:space="preserve">. </w:t>
      </w:r>
      <w:r w:rsidRPr="009620FF">
        <w:rPr>
          <w:rFonts w:ascii="Times New Roman" w:hAnsi="Times New Roman"/>
        </w:rPr>
        <w:t>V súvislosti s plánovanou operáciou SBOP EUFOR v Líbyi, SR vyslala v apríli 2011 jedného dôstojníka do operačného veliteľstva (OHQ) v Ríme.</w:t>
      </w:r>
    </w:p>
    <w:p w:rsidR="000C0368" w:rsidP="000C0368">
      <w:pPr>
        <w:bidi w:val="0"/>
        <w:ind w:firstLine="708"/>
        <w:jc w:val="both"/>
        <w:rPr>
          <w:rFonts w:ascii="Times New Roman" w:hAnsi="Times New Roman"/>
        </w:rPr>
      </w:pPr>
      <w:r>
        <w:rPr>
          <w:rFonts w:ascii="Times New Roman" w:hAnsi="Times New Roman"/>
        </w:rPr>
        <w:t>V nasledovnom období SR plánuje v rámci podpory EÚ o dosiahnutie vyváženej a jednotnej politiky vo vzťahu k izraelsko-palestínskemu konfliktu zapojenie sa do misie EUPOL COPPS na území Palestíny vyslaním aspoň 1 príslušníka Policajného zboru SR.</w:t>
      </w:r>
    </w:p>
    <w:p w:rsidR="000C0368" w:rsidP="000C0368">
      <w:pPr>
        <w:bidi w:val="0"/>
        <w:jc w:val="both"/>
        <w:rPr>
          <w:rFonts w:ascii="Times New Roman" w:hAnsi="Times New Roman"/>
          <w:b/>
        </w:rPr>
      </w:pPr>
    </w:p>
    <w:p w:rsidR="000C0368" w:rsidP="000C0368">
      <w:pPr>
        <w:bidi w:val="0"/>
        <w:jc w:val="both"/>
        <w:rPr>
          <w:rFonts w:ascii="Times New Roman" w:hAnsi="Times New Roman"/>
          <w:b/>
        </w:rPr>
      </w:pPr>
      <w:r>
        <w:rPr>
          <w:rFonts w:ascii="Times New Roman" w:hAnsi="Times New Roman"/>
          <w:b/>
        </w:rPr>
        <w:t>Vonkajší obchod</w:t>
      </w:r>
    </w:p>
    <w:p w:rsidR="000C0368" w:rsidRPr="00D97207" w:rsidP="000C0368">
      <w:pPr>
        <w:bidi w:val="0"/>
        <w:ind w:firstLine="708"/>
        <w:jc w:val="both"/>
        <w:rPr>
          <w:rFonts w:ascii="Times New Roman" w:hAnsi="Times New Roman"/>
        </w:rPr>
      </w:pPr>
      <w:r w:rsidRPr="00D97207">
        <w:rPr>
          <w:rFonts w:ascii="Times New Roman" w:hAnsi="Times New Roman"/>
        </w:rPr>
        <w:t xml:space="preserve">V EÚ pokračovali negociácie v rámci kola mnohostranných obchodných rokovaní WTO, prebiehajúcich od roku 2001 pod názvom </w:t>
      </w:r>
      <w:r w:rsidRPr="00D97207">
        <w:rPr>
          <w:rFonts w:ascii="Times New Roman" w:hAnsi="Times New Roman"/>
          <w:b/>
        </w:rPr>
        <w:t>Rozvojová agenda z Dohy</w:t>
      </w:r>
      <w:r w:rsidRPr="00D97207">
        <w:rPr>
          <w:rFonts w:ascii="Times New Roman" w:hAnsi="Times New Roman"/>
        </w:rPr>
        <w:t xml:space="preserve"> (DDA). SR aktívne participovala na príprave negociačných pozícií EÚ k jednotlivým oblastiam. Napriek vyvinutému úsiliu, mnohým ústupkom </w:t>
      </w:r>
      <w:r w:rsidRPr="00A235AE">
        <w:rPr>
          <w:rFonts w:ascii="Times New Roman" w:hAnsi="Times New Roman"/>
          <w:i/>
        </w:rPr>
        <w:t>(vrátane EÚ)</w:t>
      </w:r>
      <w:r w:rsidRPr="00D97207">
        <w:rPr>
          <w:rFonts w:ascii="Times New Roman" w:hAnsi="Times New Roman"/>
        </w:rPr>
        <w:t xml:space="preserve"> a zhode vo väčšine kľúčových otázok sa v roku 2010 nepodarilo dospieť k finálnej dohode, a to najmä pre veľké názorové rozdiely, rozdielne ambície a neochotu k ústupkom medzi USA a kľúčovými rozvojovými krajinami </w:t>
      </w:r>
      <w:r w:rsidRPr="00A235AE">
        <w:rPr>
          <w:rFonts w:ascii="Times New Roman" w:hAnsi="Times New Roman"/>
          <w:i/>
        </w:rPr>
        <w:t>(Čína, India, Brazília)</w:t>
      </w:r>
      <w:r w:rsidRPr="00D97207">
        <w:rPr>
          <w:rFonts w:ascii="Times New Roman" w:hAnsi="Times New Roman"/>
        </w:rPr>
        <w:t xml:space="preserve">. </w:t>
      </w:r>
    </w:p>
    <w:p w:rsidR="000C0368" w:rsidP="000C0368">
      <w:pPr>
        <w:bidi w:val="0"/>
        <w:ind w:firstLine="708"/>
        <w:jc w:val="both"/>
        <w:rPr>
          <w:rFonts w:ascii="Times New Roman" w:hAnsi="Times New Roman"/>
          <w:color w:val="FF0000"/>
        </w:rPr>
      </w:pPr>
      <w:r w:rsidRPr="00D97207">
        <w:rPr>
          <w:rFonts w:ascii="Times New Roman" w:hAnsi="Times New Roman"/>
        </w:rPr>
        <w:t xml:space="preserve">Vzhľadom na nedostatočný pokrok v rokovaniach o DDA </w:t>
      </w:r>
      <w:r w:rsidRPr="00D97207">
        <w:rPr>
          <w:rFonts w:ascii="Times New Roman" w:hAnsi="Times New Roman"/>
          <w:b/>
        </w:rPr>
        <w:t>vzrástol význam liberalizácie obchodu</w:t>
      </w:r>
      <w:r w:rsidRPr="00D97207">
        <w:rPr>
          <w:rFonts w:ascii="Times New Roman" w:hAnsi="Times New Roman"/>
        </w:rPr>
        <w:t xml:space="preserve"> na bilaterálnej a medziregionálnej úrovni formou vytvárania zón voľného obchodu. V roku 2010 bolo pre S</w:t>
      </w:r>
      <w:r>
        <w:rPr>
          <w:rFonts w:ascii="Times New Roman" w:hAnsi="Times New Roman"/>
        </w:rPr>
        <w:t>R dôležité uzatvorenie</w:t>
      </w:r>
      <w:r w:rsidRPr="00D97207">
        <w:rPr>
          <w:rFonts w:ascii="Times New Roman" w:hAnsi="Times New Roman"/>
        </w:rPr>
        <w:t xml:space="preserve"> </w:t>
      </w:r>
      <w:r>
        <w:rPr>
          <w:rFonts w:ascii="Times New Roman" w:hAnsi="Times New Roman"/>
        </w:rPr>
        <w:t xml:space="preserve">Dohody o voľnom obchode (DVO) </w:t>
      </w:r>
      <w:r w:rsidRPr="00D97207">
        <w:rPr>
          <w:rFonts w:ascii="Times New Roman" w:hAnsi="Times New Roman"/>
        </w:rPr>
        <w:t xml:space="preserve">s Kórejskou republikou (uplatňovanie kvôli ochrannej doložke odložené na júl 2011). Dohoda odstraňuje clá pre tovary v objeme 98,7 % hodnoty vzájomného obchodu v priebehu piatich rokov, čím môže významne prispieť k zvýšeniu konkurencieschopnosti výrobkov vyrábaných v SR kórejskými investormi. Rozpracované boli aj ďalšie bilaterálne dohody v oblasti obchodu, napr. s Ukrajinou, Kanadou, Indiou, krajinami Euromed, Mercosur, Andského spoločenstva, ako aj dohody o hospodárskom partnerstve </w:t>
      </w:r>
      <w:r w:rsidRPr="00A235AE">
        <w:rPr>
          <w:rFonts w:ascii="Times New Roman" w:hAnsi="Times New Roman"/>
          <w:i/>
        </w:rPr>
        <w:t>(problematika obchodu je v nich kľúčovým prvkom)</w:t>
      </w:r>
      <w:r w:rsidRPr="00D97207">
        <w:rPr>
          <w:rFonts w:ascii="Times New Roman" w:hAnsi="Times New Roman"/>
        </w:rPr>
        <w:t xml:space="preserve"> s krajinami Afriky, Karibskej a Tichomorskej oblasti. </w:t>
      </w:r>
    </w:p>
    <w:p w:rsidR="000C0368" w:rsidRPr="00D97207" w:rsidP="000C0368">
      <w:pPr>
        <w:bidi w:val="0"/>
        <w:ind w:firstLine="708"/>
        <w:jc w:val="both"/>
        <w:rPr>
          <w:rFonts w:ascii="Times New Roman" w:hAnsi="Times New Roman"/>
          <w:b/>
          <w:bCs/>
          <w:color w:val="000080"/>
        </w:rPr>
      </w:pPr>
      <w:r>
        <w:rPr>
          <w:rFonts w:ascii="Times New Roman" w:hAnsi="Times New Roman"/>
        </w:rPr>
        <w:t xml:space="preserve">SR participovala na príprave a schválení vyše 200 nariadení Rady EÚ a rozhodnutí EK týkajúcich sa operatívneho </w:t>
      </w:r>
      <w:r w:rsidRPr="00CC0F80">
        <w:rPr>
          <w:rFonts w:ascii="Times New Roman" w:hAnsi="Times New Roman"/>
          <w:b/>
        </w:rPr>
        <w:t>uplatnenia antidumpingových a protisubvenčných opatrení</w:t>
      </w:r>
      <w:r>
        <w:rPr>
          <w:rFonts w:ascii="Times New Roman" w:hAnsi="Times New Roman"/>
        </w:rPr>
        <w:t xml:space="preserve"> pri dovoze tovaru z tretích krajín, zameraných na ochranu európskych výrobcov. V tejto súvislosti MH SR spolupracovalo s podnikateľskými subjektmi v SR a aktívne sa podieľalo aj na zavádzaní colných suspenzií a colných kvót pri dovoze niektorých polotovarov a komponentov z tretích krajín.</w:t>
      </w:r>
    </w:p>
    <w:p w:rsidR="000C0368" w:rsidP="000C0368">
      <w:pPr>
        <w:bidi w:val="0"/>
        <w:ind w:firstLine="708"/>
        <w:jc w:val="both"/>
        <w:rPr>
          <w:rFonts w:ascii="Times New Roman" w:hAnsi="Times New Roman"/>
        </w:rPr>
      </w:pPr>
      <w:r>
        <w:rPr>
          <w:rFonts w:ascii="Times New Roman" w:hAnsi="Times New Roman"/>
        </w:rPr>
        <w:t>Z pohľadu záujmov SR je potrebné v nasledujúcom období zamerať sa na tieto priority:</w:t>
      </w:r>
    </w:p>
    <w:p w:rsidR="000C0368" w:rsidP="000C0368">
      <w:pPr>
        <w:numPr>
          <w:numId w:val="44"/>
        </w:numPr>
        <w:bidi w:val="0"/>
        <w:ind w:firstLine="0"/>
        <w:jc w:val="both"/>
        <w:rPr>
          <w:rFonts w:ascii="Times New Roman" w:hAnsi="Times New Roman"/>
        </w:rPr>
      </w:pPr>
      <w:r>
        <w:rPr>
          <w:rFonts w:ascii="Times New Roman" w:hAnsi="Times New Roman"/>
        </w:rPr>
        <w:t>pokračovanie rokovaní WTO o ďalšej liberalizácii obchodu,</w:t>
      </w:r>
    </w:p>
    <w:p w:rsidR="000C0368" w:rsidP="000C0368">
      <w:pPr>
        <w:numPr>
          <w:numId w:val="44"/>
        </w:numPr>
        <w:bidi w:val="0"/>
        <w:ind w:firstLine="0"/>
        <w:jc w:val="both"/>
        <w:rPr>
          <w:rFonts w:ascii="Times New Roman" w:hAnsi="Times New Roman"/>
        </w:rPr>
      </w:pPr>
      <w:r>
        <w:rPr>
          <w:rFonts w:ascii="Times New Roman" w:hAnsi="Times New Roman"/>
        </w:rPr>
        <w:t>rokovania o vstupe ďalších krajín do WTO (najmä Ruská federácia, Kazachstan, Bielorusko, Bosna a Hercegovina, Čierna Hora, Srbsko a i.),</w:t>
      </w:r>
    </w:p>
    <w:p w:rsidR="000C0368" w:rsidP="000C0368">
      <w:pPr>
        <w:numPr>
          <w:numId w:val="44"/>
        </w:numPr>
        <w:bidi w:val="0"/>
        <w:ind w:firstLine="0"/>
        <w:jc w:val="both"/>
        <w:rPr>
          <w:rFonts w:ascii="Times New Roman" w:hAnsi="Times New Roman"/>
        </w:rPr>
      </w:pPr>
      <w:r>
        <w:rPr>
          <w:rFonts w:ascii="Times New Roman" w:hAnsi="Times New Roman"/>
        </w:rPr>
        <w:t>previerky súladu obchodnopolitických režimov členských krajín WTO s jej pravidlami,</w:t>
      </w:r>
    </w:p>
    <w:p w:rsidR="000C0368" w:rsidP="000C0368">
      <w:pPr>
        <w:numPr>
          <w:numId w:val="44"/>
        </w:numPr>
        <w:bidi w:val="0"/>
        <w:ind w:firstLine="0"/>
        <w:jc w:val="both"/>
        <w:rPr>
          <w:rFonts w:ascii="Times New Roman" w:hAnsi="Times New Roman"/>
        </w:rPr>
      </w:pPr>
      <w:r>
        <w:rPr>
          <w:rFonts w:ascii="Times New Roman" w:hAnsi="Times New Roman"/>
        </w:rPr>
        <w:t>pokračovanie rokovaní o DVO najmä s Ukrajinou, Indiou, krajinami ASEAN, Kanadou, krajinami Strednej a Latinskej Ameriky,</w:t>
      </w:r>
    </w:p>
    <w:p w:rsidR="000C0368" w:rsidP="000C0368">
      <w:pPr>
        <w:numPr>
          <w:numId w:val="44"/>
        </w:numPr>
        <w:bidi w:val="0"/>
        <w:ind w:firstLine="0"/>
        <w:jc w:val="both"/>
        <w:rPr>
          <w:rFonts w:ascii="Times New Roman" w:hAnsi="Times New Roman"/>
        </w:rPr>
      </w:pPr>
      <w:r>
        <w:rPr>
          <w:rFonts w:ascii="Times New Roman" w:hAnsi="Times New Roman"/>
        </w:rPr>
        <w:t xml:space="preserve">zintenzívnenie spolupráce s podnikateľskou sférou pri príprave opatrení v oblasti spoločnej obchodnej politiky EÚ. </w:t>
      </w:r>
    </w:p>
    <w:p w:rsidR="000C0368" w:rsidP="000C0368">
      <w:pPr>
        <w:bidi w:val="0"/>
        <w:ind w:firstLine="708"/>
        <w:jc w:val="both"/>
        <w:rPr>
          <w:rFonts w:ascii="Times New Roman" w:hAnsi="Times New Roman"/>
        </w:rPr>
      </w:pPr>
    </w:p>
    <w:p w:rsidR="000C0368" w:rsidRPr="00634942" w:rsidP="000C0368">
      <w:pPr>
        <w:bidi w:val="0"/>
        <w:jc w:val="both"/>
        <w:rPr>
          <w:rFonts w:ascii="Times New Roman" w:hAnsi="Times New Roman"/>
          <w:b/>
        </w:rPr>
      </w:pPr>
      <w:r w:rsidRPr="00634942">
        <w:rPr>
          <w:rFonts w:ascii="Times New Roman" w:hAnsi="Times New Roman"/>
          <w:b/>
        </w:rPr>
        <w:t xml:space="preserve">Rozvojová pomoc </w:t>
      </w:r>
    </w:p>
    <w:p w:rsidR="000C0368" w:rsidP="000C0368">
      <w:pPr>
        <w:bidi w:val="0"/>
        <w:ind w:firstLine="708"/>
        <w:jc w:val="both"/>
        <w:rPr>
          <w:rFonts w:ascii="Times New Roman" w:hAnsi="Times New Roman"/>
          <w:color w:val="000000"/>
        </w:rPr>
      </w:pPr>
      <w:r>
        <w:rPr>
          <w:rFonts w:ascii="Times New Roman" w:hAnsi="Times New Roman"/>
          <w:bCs/>
        </w:rPr>
        <w:t>SR poskytla v roku 2010 na oficiálnu rozvojovú pomoc (ODA) celkovo 55,65 mil. EUR (0,085% HND- hrubého národného dôchodku)</w:t>
      </w:r>
      <w:r>
        <w:rPr>
          <w:rFonts w:ascii="Times New Roman" w:hAnsi="Times New Roman"/>
        </w:rPr>
        <w:t xml:space="preserve">. Z toho </w:t>
      </w:r>
      <w:r>
        <w:rPr>
          <w:rFonts w:ascii="Times New Roman" w:hAnsi="Times New Roman"/>
          <w:bCs/>
        </w:rPr>
        <w:t>15,028 mil. EUR</w:t>
      </w:r>
      <w:r>
        <w:rPr>
          <w:rFonts w:ascii="Times New Roman" w:hAnsi="Times New Roman"/>
        </w:rPr>
        <w:t xml:space="preserve"> SR poskytla na dvojstrannú rozvojovú pomoc (25%) a </w:t>
      </w:r>
      <w:r>
        <w:rPr>
          <w:rFonts w:ascii="Times New Roman" w:hAnsi="Times New Roman"/>
          <w:bCs/>
        </w:rPr>
        <w:t>40,609 mil. EUR</w:t>
      </w:r>
      <w:r>
        <w:rPr>
          <w:rFonts w:ascii="Times New Roman" w:hAnsi="Times New Roman"/>
        </w:rPr>
        <w:t xml:space="preserve"> na mnohostrannú rozvojovú pomoc (75%) prostredníctvom príspevkov do medzinárodných organizácií a medzinárodných finančných inštitúcií. </w:t>
      </w:r>
      <w:r>
        <w:rPr>
          <w:rFonts w:ascii="Times New Roman" w:hAnsi="Times New Roman"/>
          <w:color w:val="000000"/>
        </w:rPr>
        <w:t>Prioritnou témou v rámci ODA sa stalo zmiernenie dôsledkov dopadu klimatickej zmeny v rozvojových krajinách. V roku 2010 boli vyčlenené finančné zdroje v celkovej výške 1 mil. EUR na realizáciu záväzného prísľubu SR o financovaní neodkladných opatrení (fast-start financing).</w:t>
      </w:r>
    </w:p>
    <w:p w:rsidR="000C0368" w:rsidP="000C0368">
      <w:pPr>
        <w:bidi w:val="0"/>
        <w:ind w:firstLine="708"/>
        <w:jc w:val="both"/>
        <w:rPr>
          <w:rFonts w:ascii="Times New Roman" w:hAnsi="Times New Roman"/>
          <w:bCs/>
        </w:rPr>
      </w:pPr>
      <w:r w:rsidRPr="004B4204">
        <w:rPr>
          <w:rFonts w:ascii="Times New Roman" w:hAnsi="Times New Roman"/>
          <w:b/>
        </w:rPr>
        <w:t>V roku 2010 SR poskytla finančnú a materiálnu humanitárnu pomoc</w:t>
      </w:r>
      <w:r>
        <w:rPr>
          <w:rFonts w:ascii="Times New Roman" w:hAnsi="Times New Roman"/>
        </w:rPr>
        <w:t xml:space="preserve"> v celkovej výške </w:t>
      </w:r>
      <w:r>
        <w:rPr>
          <w:rFonts w:ascii="Times New Roman" w:hAnsi="Times New Roman"/>
          <w:bCs/>
        </w:rPr>
        <w:t>1,894 mil. EUR. Finančná HP</w:t>
      </w:r>
      <w:r>
        <w:rPr>
          <w:rFonts w:ascii="Times New Roman" w:hAnsi="Times New Roman"/>
        </w:rPr>
        <w:t xml:space="preserve"> sa v roku 2010 realizovala formou </w:t>
      </w:r>
      <w:r>
        <w:rPr>
          <w:rFonts w:ascii="Times New Roman" w:hAnsi="Times New Roman"/>
          <w:bCs/>
        </w:rPr>
        <w:t>9 humanitárnych aktivít</w:t>
      </w:r>
      <w:r>
        <w:rPr>
          <w:rFonts w:ascii="Times New Roman" w:hAnsi="Times New Roman"/>
        </w:rPr>
        <w:t xml:space="preserve"> a </w:t>
      </w:r>
      <w:r>
        <w:rPr>
          <w:rFonts w:ascii="Times New Roman" w:hAnsi="Times New Roman"/>
          <w:bCs/>
        </w:rPr>
        <w:t>1 posthumanitárneho projektu</w:t>
      </w:r>
      <w:r>
        <w:rPr>
          <w:rFonts w:ascii="Times New Roman" w:hAnsi="Times New Roman"/>
        </w:rPr>
        <w:t xml:space="preserve"> </w:t>
      </w:r>
      <w:r>
        <w:rPr>
          <w:rFonts w:ascii="Times New Roman" w:hAnsi="Times New Roman"/>
          <w:bCs/>
        </w:rPr>
        <w:t>v 4 krajinách</w:t>
      </w:r>
      <w:r>
        <w:rPr>
          <w:rFonts w:ascii="Times New Roman" w:hAnsi="Times New Roman"/>
        </w:rPr>
        <w:t xml:space="preserve"> (Haiti, Pakistan, Moldavsko, Maďarsko), postihnutých prírodnými katastrofami v celkovej hodnote </w:t>
      </w:r>
      <w:r>
        <w:rPr>
          <w:rFonts w:ascii="Times New Roman" w:hAnsi="Times New Roman"/>
          <w:bCs/>
        </w:rPr>
        <w:t>255 257 EUR</w:t>
      </w:r>
      <w:r>
        <w:rPr>
          <w:rFonts w:ascii="Times New Roman" w:hAnsi="Times New Roman"/>
        </w:rPr>
        <w:t xml:space="preserve">. Materiálna pomoc bola poskytnutá Afganistanu, Albánsku, Čiernej Hore, Čile, Haiti, Pakistanu, Palestíne, Svätej Lucii a Ukrajine v hodnote </w:t>
      </w:r>
      <w:r>
        <w:rPr>
          <w:rFonts w:ascii="Times New Roman" w:hAnsi="Times New Roman"/>
          <w:bCs/>
        </w:rPr>
        <w:t>1,639 mil. EUR</w:t>
      </w:r>
      <w:r>
        <w:rPr>
          <w:rFonts w:ascii="Times New Roman" w:hAnsi="Times New Roman"/>
        </w:rPr>
        <w:t>.</w:t>
      </w:r>
    </w:p>
    <w:p w:rsidR="000C0368" w:rsidP="000C0368">
      <w:pPr>
        <w:bidi w:val="0"/>
        <w:ind w:firstLine="708"/>
        <w:jc w:val="both"/>
        <w:rPr>
          <w:rFonts w:ascii="Times New Roman" w:hAnsi="Times New Roman"/>
        </w:rPr>
      </w:pPr>
      <w:r>
        <w:rPr>
          <w:rFonts w:ascii="Times New Roman" w:hAnsi="Times New Roman"/>
        </w:rPr>
        <w:t xml:space="preserve">Prioritami pre nadchádzajúce obdobie bude </w:t>
      </w:r>
      <w:r w:rsidRPr="00CC0F80">
        <w:rPr>
          <w:rFonts w:ascii="Times New Roman" w:hAnsi="Times New Roman"/>
          <w:b/>
          <w:color w:val="000000"/>
        </w:rPr>
        <w:t xml:space="preserve">plnenie záväzkov EÚ s perspektívou </w:t>
      </w:r>
      <w:r w:rsidRPr="00CC0F80">
        <w:rPr>
          <w:rFonts w:ascii="Times New Roman" w:hAnsi="Times New Roman"/>
          <w:b/>
        </w:rPr>
        <w:t xml:space="preserve">dosiahnuť podiel </w:t>
      </w:r>
      <w:r>
        <w:rPr>
          <w:rFonts w:ascii="Times New Roman" w:hAnsi="Times New Roman"/>
          <w:b/>
        </w:rPr>
        <w:t xml:space="preserve">poskytovania </w:t>
      </w:r>
      <w:r w:rsidRPr="00CC0F80">
        <w:rPr>
          <w:rFonts w:ascii="Times New Roman" w:hAnsi="Times New Roman"/>
          <w:b/>
        </w:rPr>
        <w:t>ODA</w:t>
      </w:r>
      <w:r>
        <w:rPr>
          <w:rFonts w:ascii="Times New Roman" w:hAnsi="Times New Roman"/>
          <w:b/>
        </w:rPr>
        <w:t xml:space="preserve"> Slovenskou republikou </w:t>
      </w:r>
      <w:r w:rsidRPr="00CC0F80">
        <w:rPr>
          <w:rFonts w:ascii="Times New Roman" w:hAnsi="Times New Roman"/>
          <w:b/>
        </w:rPr>
        <w:t xml:space="preserve">v roku 2015 vo výške 0,33 </w:t>
      </w:r>
      <w:r w:rsidRPr="00AE7202">
        <w:rPr>
          <w:rFonts w:ascii="Times New Roman" w:hAnsi="Times New Roman"/>
          <w:b/>
        </w:rPr>
        <w:t>% z HND</w:t>
      </w:r>
      <w:r>
        <w:rPr>
          <w:rFonts w:ascii="Times New Roman" w:hAnsi="Times New Roman"/>
        </w:rPr>
        <w:t xml:space="preserve"> a kladenie väčšieho dôrazu na strategické témy (tvorba kapacít SR, rozvojové vzdelávanie, odovzdávanie transformačných skúseností SR vo forme technickej pomoci). Medzi hlavné výzvy na zefektívnenie poskytovania humanitárnej pomoci patrí posilňovanie kapacít zainteresovaných strán, budovanie silnejších partnerských väzieb a zvýšenie flexibility, ako aj adresnosti a transparentnosti poskytnutej pomoci.</w:t>
      </w:r>
    </w:p>
    <w:p w:rsidR="000C0368" w:rsidP="000C0368">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 xml:space="preserve">SR sleduje základné východiská rozvojovej politiky EÚ definované v strategických dokumentoch EK a v prijatých záveroch Rady a vychádza pri tvorbe strategických dokumentov z týchto východísk. Jedná sa najmä o Európsky konsenzus o rozvoji, Parížsku deklaráciu a Kódex správania sa v oblasti rozdelenia práce donorov. </w:t>
      </w:r>
    </w:p>
    <w:p w:rsidR="000C0368" w:rsidRPr="00E00909" w:rsidP="000C0368">
      <w:pPr>
        <w:bidi w:val="0"/>
        <w:ind w:firstLine="708"/>
        <w:jc w:val="both"/>
        <w:rPr>
          <w:rFonts w:ascii="Times New Roman" w:hAnsi="Times New Roman"/>
        </w:rPr>
      </w:pPr>
      <w:r w:rsidRPr="004B4204">
        <w:rPr>
          <w:rFonts w:ascii="Times New Roman" w:hAnsi="Times New Roman"/>
          <w:b/>
        </w:rPr>
        <w:t>SR sa bude usilovať o</w:t>
      </w:r>
      <w:r w:rsidRPr="00634942">
        <w:rPr>
          <w:rFonts w:ascii="Times New Roman" w:hAnsi="Times New Roman"/>
        </w:rPr>
        <w:t xml:space="preserve"> </w:t>
      </w:r>
      <w:r w:rsidRPr="00634942">
        <w:rPr>
          <w:rFonts w:ascii="Times New Roman" w:hAnsi="Times New Roman"/>
          <w:b/>
        </w:rPr>
        <w:t>primeranú geografickú vyváženosť a efektívnosť rozvojovej spolupráce EÚ</w:t>
      </w:r>
      <w:r w:rsidRPr="00634942">
        <w:rPr>
          <w:rFonts w:ascii="Times New Roman" w:hAnsi="Times New Roman"/>
        </w:rPr>
        <w:t xml:space="preserve">, a to najmä v rámci konzultácií medzi členskými štátmi a Európskou komisiou o využívaní jednotlivých rozvojových nástrojov. Významnou úlohou v roku 2011 bude priebežná a systémová podpora väčšieho zapojenia slovenských subjektov do rozvojovej spolupráce financovanej z fondov EÚ, predovšetkým z IPA (Instrument for Pre-Accession), ENPI (European Neighborhood and Partnership Instrument), DCI  (Development Co-operation Instrument) a EDF (European Dvelopment Fund). </w:t>
      </w:r>
    </w:p>
    <w:p w:rsidR="000C0368" w:rsidP="000C0368">
      <w:pPr>
        <w:bidi w:val="0"/>
        <w:spacing w:line="240" w:lineRule="atLeast"/>
        <w:rPr>
          <w:rFonts w:ascii="Times New Roman" w:hAnsi="Times New Roman"/>
          <w:b/>
        </w:rPr>
      </w:pPr>
    </w:p>
    <w:p w:rsidR="000C0368" w:rsidP="000C0368">
      <w:pPr>
        <w:bidi w:val="0"/>
        <w:spacing w:line="240" w:lineRule="atLeast"/>
        <w:jc w:val="center"/>
        <w:rPr>
          <w:rFonts w:ascii="Times New Roman" w:hAnsi="Times New Roman"/>
          <w:b/>
        </w:rPr>
      </w:pPr>
      <w:r>
        <w:rPr>
          <w:rFonts w:ascii="Times New Roman" w:hAnsi="Times New Roman"/>
          <w:b/>
        </w:rPr>
        <w:t xml:space="preserve">HOSPODÁRSKE A FINANČNÉ ZÁLEŽITOSTI </w:t>
      </w:r>
    </w:p>
    <w:p w:rsidR="000C0368" w:rsidP="000C0368">
      <w:pPr>
        <w:bidi w:val="0"/>
        <w:spacing w:line="240" w:lineRule="atLeast"/>
        <w:jc w:val="center"/>
        <w:rPr>
          <w:rFonts w:ascii="Times New Roman" w:hAnsi="Times New Roman"/>
          <w:b/>
        </w:rPr>
      </w:pPr>
    </w:p>
    <w:p w:rsidR="000C0368" w:rsidRPr="00634942" w:rsidP="000C0368">
      <w:pPr>
        <w:bidi w:val="0"/>
        <w:spacing w:line="240" w:lineRule="atLeast"/>
        <w:ind w:firstLine="708"/>
        <w:jc w:val="both"/>
        <w:rPr>
          <w:rFonts w:ascii="Times New Roman" w:hAnsi="Times New Roman"/>
          <w:i/>
        </w:rPr>
      </w:pPr>
      <w:r w:rsidRPr="00634942">
        <w:rPr>
          <w:rFonts w:ascii="Times New Roman" w:hAnsi="Times New Roman"/>
          <w:i/>
        </w:rPr>
        <w:t>(Téma hospodárskej a finančnej politiky, ktorá dominovala agende EÚ, je podrobne rozpracovaná v kapitole Európska rada</w:t>
      </w:r>
      <w:r>
        <w:rPr>
          <w:rFonts w:ascii="Times New Roman" w:hAnsi="Times New Roman"/>
          <w:i/>
        </w:rPr>
        <w:t>.</w:t>
      </w:r>
      <w:r w:rsidRPr="00634942">
        <w:rPr>
          <w:rFonts w:ascii="Times New Roman" w:hAnsi="Times New Roman"/>
          <w:i/>
        </w:rPr>
        <w:t>)</w:t>
      </w:r>
    </w:p>
    <w:p w:rsidR="000C0368" w:rsidP="000C0368">
      <w:pPr>
        <w:bidi w:val="0"/>
        <w:jc w:val="both"/>
        <w:rPr>
          <w:rFonts w:ascii="Times New Roman" w:hAnsi="Times New Roman"/>
          <w:b/>
        </w:rPr>
      </w:pPr>
    </w:p>
    <w:p w:rsidR="000C0368" w:rsidP="000C0368">
      <w:pPr>
        <w:bidi w:val="0"/>
        <w:jc w:val="both"/>
        <w:rPr>
          <w:rFonts w:ascii="Times New Roman" w:hAnsi="Times New Roman"/>
          <w:b/>
        </w:rPr>
      </w:pPr>
      <w:r>
        <w:rPr>
          <w:rFonts w:ascii="Times New Roman" w:hAnsi="Times New Roman"/>
          <w:b/>
        </w:rPr>
        <w:t>Finančný trh</w:t>
      </w:r>
    </w:p>
    <w:p w:rsidR="000C0368" w:rsidP="000C0368">
      <w:pPr>
        <w:bidi w:val="0"/>
        <w:ind w:firstLine="708"/>
        <w:jc w:val="both"/>
        <w:rPr>
          <w:rFonts w:ascii="Times New Roman" w:hAnsi="Times New Roman"/>
        </w:rPr>
      </w:pPr>
      <w:r>
        <w:rPr>
          <w:rFonts w:ascii="Times New Roman" w:hAnsi="Times New Roman"/>
        </w:rPr>
        <w:t xml:space="preserve">V sledovanom období boli už legislatívne návrhy v oblasti finančného trhu zamerané na riešenie problémov, ktoré kríza odhalila, väčšinou dohodnuté alebo predložené, pričom medzníkom v tomto smere sa stali nedávne </w:t>
      </w:r>
      <w:r w:rsidRPr="00F05FBB">
        <w:rPr>
          <w:rFonts w:ascii="Times New Roman" w:hAnsi="Times New Roman"/>
          <w:b/>
        </w:rPr>
        <w:t>dohody o balíku finančného dohľadu</w:t>
      </w:r>
      <w:r>
        <w:rPr>
          <w:rFonts w:ascii="Times New Roman" w:hAnsi="Times New Roman"/>
        </w:rPr>
        <w:t>.</w:t>
      </w:r>
    </w:p>
    <w:p w:rsidR="000C0368" w:rsidP="000C0368">
      <w:pPr>
        <w:bidi w:val="0"/>
        <w:ind w:firstLine="708"/>
        <w:jc w:val="both"/>
        <w:rPr>
          <w:rFonts w:ascii="Times New Roman" w:hAnsi="Times New Roman"/>
        </w:rPr>
      </w:pPr>
      <w:r>
        <w:rPr>
          <w:rFonts w:ascii="Times New Roman" w:hAnsi="Times New Roman"/>
        </w:rPr>
        <w:t xml:space="preserve">SR vo všeobecnosti podporovala prijatie najvýznamnejších legislatívnych aktov. V prípade nariadení o zriadení európskych orgánov dohľadu vo viacerých oblastiach SR presadzovala </w:t>
      </w:r>
      <w:r w:rsidRPr="00F05FBB">
        <w:rPr>
          <w:rFonts w:ascii="Times New Roman" w:hAnsi="Times New Roman"/>
          <w:b/>
        </w:rPr>
        <w:t>zachovanie kompetencií národných orgánov</w:t>
      </w:r>
      <w:r>
        <w:rPr>
          <w:rFonts w:ascii="Times New Roman" w:hAnsi="Times New Roman"/>
        </w:rPr>
        <w:t xml:space="preserve"> dohľadu nad finančnými inštitúciami a pri udržiavaní finančnej stability a bola </w:t>
      </w:r>
      <w:r w:rsidRPr="00F05FBB">
        <w:rPr>
          <w:rFonts w:ascii="Times New Roman" w:hAnsi="Times New Roman"/>
          <w:b/>
        </w:rPr>
        <w:t>proti neproporcionálnemu presunu právomocí</w:t>
      </w:r>
      <w:r>
        <w:rPr>
          <w:rFonts w:ascii="Times New Roman" w:hAnsi="Times New Roman"/>
        </w:rPr>
        <w:t xml:space="preserve"> bez adekvátneho presunu zodpovedností na nové európske orgány dohľadu. Na zachovaní kompetencií národných orgánov trvala aj v prípade prijatej novelizácie smernice o kapitálových požiadavkách na obchodnú knihu a na nový systém zábezpek aktív na finančných trhoch a preverovanie politík odmeňovania orgánmi dohľadu. </w:t>
      </w:r>
    </w:p>
    <w:p w:rsidR="000C0368" w:rsidP="000C0368">
      <w:pPr>
        <w:bidi w:val="0"/>
        <w:ind w:firstLine="708"/>
        <w:jc w:val="both"/>
        <w:rPr>
          <w:rFonts w:ascii="Times New Roman" w:hAnsi="Times New Roman"/>
          <w:b/>
          <w:bCs/>
          <w:i/>
          <w:iCs/>
        </w:rPr>
      </w:pPr>
      <w:r>
        <w:rPr>
          <w:rFonts w:ascii="Times New Roman" w:hAnsi="Times New Roman"/>
        </w:rPr>
        <w:t xml:space="preserve">V diskusii o príprave novelizácie smernice o právomoci </w:t>
      </w:r>
      <w:r w:rsidRPr="00F05FBB">
        <w:rPr>
          <w:rFonts w:ascii="Times New Roman" w:hAnsi="Times New Roman"/>
          <w:b/>
        </w:rPr>
        <w:t>Európskeho orgánu pre poisťovníctvo</w:t>
      </w:r>
      <w:r>
        <w:rPr>
          <w:rFonts w:ascii="Times New Roman" w:hAnsi="Times New Roman"/>
        </w:rPr>
        <w:t xml:space="preserve"> a dôchodkové poistenie zamestnancov a </w:t>
      </w:r>
      <w:r w:rsidRPr="00F05FBB">
        <w:rPr>
          <w:rFonts w:ascii="Times New Roman" w:hAnsi="Times New Roman"/>
          <w:b/>
        </w:rPr>
        <w:t>Európskeho orgánu pre cenné papiere a trhy</w:t>
      </w:r>
      <w:r>
        <w:rPr>
          <w:rFonts w:ascii="Times New Roman" w:hAnsi="Times New Roman"/>
        </w:rPr>
        <w:t xml:space="preserve"> (tzv. OMNIBUS II.), ktorá pokračuje v zavádzaní novej architektúry dohľadu v EÚ v sektore poisťovníctva a odzrkadľuje zmeny už zavedené v ostatných sektoroch finančného trhu prostredníctvom smernice “OMNIBUS I“, SR vzniesla </w:t>
      </w:r>
      <w:r w:rsidRPr="00F05FBB">
        <w:rPr>
          <w:rFonts w:ascii="Times New Roman" w:hAnsi="Times New Roman"/>
          <w:b/>
        </w:rPr>
        <w:t>výhrady</w:t>
      </w:r>
      <w:r>
        <w:rPr>
          <w:rFonts w:ascii="Times New Roman" w:hAnsi="Times New Roman"/>
        </w:rPr>
        <w:t xml:space="preserve"> najmä k právomoci orgánu EIOPA rozhodovať v prípadoch nezhôd medzi kompetentnými orgánmi dohľadu členských štátov pokiaľ ide o záväznú mediáciu v oblastiach nad rámec medzisektorovej konzistentnosti a k dĺžke navrhovaných prechodných ustanovení</w:t>
      </w:r>
      <w:r>
        <w:rPr>
          <w:rFonts w:ascii="Times New Roman" w:hAnsi="Times New Roman"/>
          <w:b/>
          <w:bCs/>
          <w:i/>
          <w:iCs/>
        </w:rPr>
        <w:t xml:space="preserve">. </w:t>
      </w:r>
    </w:p>
    <w:p w:rsidR="000C0368" w:rsidP="000C0368">
      <w:pPr>
        <w:bidi w:val="0"/>
        <w:ind w:firstLine="708"/>
        <w:jc w:val="both"/>
        <w:rPr>
          <w:rFonts w:ascii="Times New Roman" w:hAnsi="Times New Roman"/>
        </w:rPr>
      </w:pPr>
      <w:r>
        <w:rPr>
          <w:rFonts w:ascii="Times New Roman" w:hAnsi="Times New Roman"/>
        </w:rPr>
        <w:t xml:space="preserve">V najbližšom období sa bude potrebné venovať najmä </w:t>
      </w:r>
      <w:r w:rsidRPr="00F05FBB">
        <w:rPr>
          <w:rFonts w:ascii="Times New Roman" w:hAnsi="Times New Roman"/>
          <w:b/>
        </w:rPr>
        <w:t>podpore iniciatív</w:t>
      </w:r>
      <w:r>
        <w:rPr>
          <w:rFonts w:ascii="Times New Roman" w:hAnsi="Times New Roman"/>
        </w:rPr>
        <w:t xml:space="preserve"> Európskej komisie </w:t>
      </w:r>
      <w:r w:rsidRPr="00F05FBB">
        <w:rPr>
          <w:rFonts w:ascii="Times New Roman" w:hAnsi="Times New Roman"/>
          <w:b/>
        </w:rPr>
        <w:t>prispievajúcim k stabilite európskeho finančného trhu</w:t>
      </w:r>
      <w:r>
        <w:rPr>
          <w:rFonts w:ascii="Times New Roman" w:hAnsi="Times New Roman"/>
        </w:rPr>
        <w:t xml:space="preserve"> pri zachovaní oprávnených záujmov slovenského finančného sektora, príprave implementačných opatrení v súvislosti s novou smernicou Solvency II a presadzovaním európskej legislatívy, ktorá neoslabí právomoci národného dohľadu nad finančným trhom.</w:t>
      </w:r>
    </w:p>
    <w:p w:rsidR="000C0368" w:rsidP="000C0368">
      <w:pPr>
        <w:bidi w:val="0"/>
        <w:ind w:firstLine="708"/>
        <w:jc w:val="both"/>
        <w:rPr>
          <w:rFonts w:ascii="Times New Roman" w:hAnsi="Times New Roman"/>
        </w:rPr>
      </w:pPr>
      <w:r w:rsidRPr="00F1285E">
        <w:rPr>
          <w:rFonts w:ascii="Times New Roman" w:hAnsi="Times New Roman"/>
        </w:rPr>
        <w:t xml:space="preserve">V priebehu roka 2011 Európska komisia predloží ďalší súbor zlepšení nadväzujúcich na pravidlá týkajúce sa vlastného kapitálu bánk (CRD IV), ďalej návrhy na zmeny v smernici o trhoch s finančnými nástrojmi (MiFID) a v smernici o zneužívaní trhu s cieľom dokončiť prechod k transparentnejším a bezpečnejším trhom derivátov, návrh týkajúci sa ratingových agentúr, ako aj právne predpisy vytvárajúce rámec pre krízový manažment a riadenú </w:t>
      </w:r>
      <w:r w:rsidRPr="00F1285E">
        <w:rPr>
          <w:rFonts w:ascii="Times New Roman" w:hAnsi="Times New Roman"/>
          <w:b/>
        </w:rPr>
        <w:t>likvidáciu</w:t>
      </w:r>
      <w:r w:rsidRPr="00F1285E">
        <w:rPr>
          <w:rFonts w:ascii="Times New Roman" w:hAnsi="Times New Roman"/>
        </w:rPr>
        <w:t xml:space="preserve"> bánk s cieľom dať príslušným orgánom k dispozícii jednotný súbor nástrojov, pričom </w:t>
      </w:r>
      <w:r w:rsidRPr="00F1285E">
        <w:rPr>
          <w:rFonts w:ascii="Times New Roman" w:hAnsi="Times New Roman"/>
          <w:b/>
        </w:rPr>
        <w:t>súčasťou tohto právneho predpisu je aj návrh zavedenia fondov vytvorených z príspevkov súkromného sektora na financovanie nástrojov krízového manažmentu a riadenej likvidácie</w:t>
      </w:r>
      <w:r w:rsidRPr="00F1285E">
        <w:rPr>
          <w:rFonts w:ascii="Times New Roman" w:hAnsi="Times New Roman"/>
        </w:rPr>
        <w:t>.</w:t>
      </w:r>
      <w:r>
        <w:rPr>
          <w:rFonts w:ascii="Times New Roman" w:hAnsi="Times New Roman"/>
        </w:rPr>
        <w:t xml:space="preserve"> Ambiciózny </w:t>
      </w:r>
      <w:r w:rsidRPr="00F05FBB">
        <w:rPr>
          <w:rFonts w:ascii="Times New Roman" w:hAnsi="Times New Roman"/>
          <w:b/>
        </w:rPr>
        <w:t>reformný program Európskej komisie vo finančnom sektore by mal byť zavŕšený do konca roku 2011</w:t>
      </w:r>
      <w:r>
        <w:rPr>
          <w:rFonts w:ascii="Times New Roman" w:hAnsi="Times New Roman"/>
        </w:rPr>
        <w:t>.</w:t>
      </w:r>
    </w:p>
    <w:p w:rsidR="000C0368" w:rsidP="000C0368">
      <w:pPr>
        <w:bidi w:val="0"/>
        <w:spacing w:line="240" w:lineRule="atLeast"/>
        <w:rPr>
          <w:rFonts w:ascii="Times New Roman" w:hAnsi="Times New Roman"/>
          <w:b/>
        </w:rPr>
      </w:pPr>
    </w:p>
    <w:p w:rsidR="000C0368" w:rsidP="000C0368">
      <w:pPr>
        <w:bidi w:val="0"/>
        <w:spacing w:line="240" w:lineRule="atLeast"/>
        <w:rPr>
          <w:rFonts w:ascii="Times New Roman" w:hAnsi="Times New Roman"/>
          <w:b/>
        </w:rPr>
      </w:pPr>
      <w:r>
        <w:rPr>
          <w:rFonts w:ascii="Times New Roman" w:hAnsi="Times New Roman"/>
          <w:b/>
        </w:rPr>
        <w:t>Procedúra nadmerného deficitu</w:t>
      </w:r>
    </w:p>
    <w:p w:rsidR="000C0368" w:rsidP="000C0368">
      <w:pPr>
        <w:bidi w:val="0"/>
        <w:ind w:firstLine="708"/>
        <w:jc w:val="both"/>
        <w:rPr>
          <w:rFonts w:ascii="Times New Roman" w:hAnsi="Times New Roman"/>
          <w:highlight w:val="yellow"/>
        </w:rPr>
      </w:pPr>
      <w:r>
        <w:rPr>
          <w:rFonts w:ascii="Times New Roman" w:hAnsi="Times New Roman"/>
        </w:rPr>
        <w:t xml:space="preserve">Prekročenie referenčnej hodnoty stanovenej v Zmluve vo výške 3% HDP v roku 2009 vyústilo do začatia procedúry nadmerného deficitu zo strany Európskej komisie. </w:t>
      </w:r>
      <w:r w:rsidRPr="00CC0F80">
        <w:rPr>
          <w:rFonts w:ascii="Times New Roman" w:hAnsi="Times New Roman"/>
          <w:b/>
        </w:rPr>
        <w:t>Termín na</w:t>
      </w:r>
      <w:r>
        <w:rPr>
          <w:rFonts w:ascii="Times New Roman" w:hAnsi="Times New Roman"/>
        </w:rPr>
        <w:t xml:space="preserve"> </w:t>
      </w:r>
      <w:r w:rsidRPr="00F05FBB">
        <w:rPr>
          <w:rFonts w:ascii="Times New Roman" w:hAnsi="Times New Roman"/>
          <w:b/>
        </w:rPr>
        <w:t>odstránenie</w:t>
      </w:r>
      <w:r>
        <w:rPr>
          <w:rFonts w:ascii="Times New Roman" w:hAnsi="Times New Roman"/>
        </w:rPr>
        <w:t xml:space="preserve"> </w:t>
      </w:r>
      <w:r w:rsidRPr="00CC0F80">
        <w:rPr>
          <w:rFonts w:ascii="Times New Roman" w:hAnsi="Times New Roman"/>
          <w:b/>
        </w:rPr>
        <w:t>nadmerného deficitu</w:t>
      </w:r>
      <w:r>
        <w:rPr>
          <w:rFonts w:ascii="Times New Roman" w:hAnsi="Times New Roman"/>
        </w:rPr>
        <w:t xml:space="preserve"> stanovila Rada EÚ najneskôr na rok </w:t>
      </w:r>
      <w:r w:rsidRPr="00F05FBB">
        <w:rPr>
          <w:rFonts w:ascii="Times New Roman" w:hAnsi="Times New Roman"/>
          <w:b/>
        </w:rPr>
        <w:t>2013</w:t>
      </w:r>
      <w:r>
        <w:rPr>
          <w:rFonts w:ascii="Times New Roman" w:hAnsi="Times New Roman"/>
        </w:rPr>
        <w:t xml:space="preserve">. Slovensko deklarovalo cieľ znížiť deficit verejnej správy na úroveň 2,9% HDP v roku 2013. Na základe aprílovej notifikácie sa očakáva </w:t>
      </w:r>
      <w:r w:rsidRPr="00F05FBB">
        <w:rPr>
          <w:rFonts w:ascii="Times New Roman" w:hAnsi="Times New Roman"/>
          <w:b/>
        </w:rPr>
        <w:t>prehĺbenie deficitu</w:t>
      </w:r>
      <w:r>
        <w:rPr>
          <w:rFonts w:ascii="Times New Roman" w:hAnsi="Times New Roman"/>
        </w:rPr>
        <w:t xml:space="preserve"> verejnej správy za rok 2010 z rozpočtovanej úrovne 5,5% HDP na 7,9% HDP, čo je o 1,5 percentuálneho bodu viac ako priemer EÚ-27. Napriek vysokým hodnotám deficitu v posledných dvoch rokoch </w:t>
      </w:r>
      <w:r w:rsidRPr="00F05FBB">
        <w:rPr>
          <w:rFonts w:ascii="Times New Roman" w:hAnsi="Times New Roman"/>
          <w:b/>
        </w:rPr>
        <w:t>dlh verejnej správy SR patrí medzi najnižšie v EÚ</w:t>
      </w:r>
      <w:r>
        <w:rPr>
          <w:rFonts w:ascii="Times New Roman" w:hAnsi="Times New Roman"/>
        </w:rPr>
        <w:t xml:space="preserve">, keď v roku 2010 dosiahol hodnotu 41% HDP a je výrazne nižší ako priemer EÚ-27 s hodnotou 80% HDP. </w:t>
      </w:r>
    </w:p>
    <w:p w:rsidR="000C0368" w:rsidP="000C0368">
      <w:pPr>
        <w:bidi w:val="0"/>
        <w:spacing w:line="240" w:lineRule="atLeast"/>
        <w:rPr>
          <w:rFonts w:ascii="Times New Roman" w:hAnsi="Times New Roman"/>
          <w:b/>
        </w:rPr>
      </w:pPr>
    </w:p>
    <w:p w:rsidR="000C0368" w:rsidP="000C0368">
      <w:pPr>
        <w:bidi w:val="0"/>
        <w:spacing w:line="240" w:lineRule="atLeast"/>
        <w:jc w:val="center"/>
        <w:rPr>
          <w:rFonts w:ascii="Times New Roman" w:hAnsi="Times New Roman"/>
          <w:b/>
        </w:rPr>
      </w:pPr>
      <w:r>
        <w:rPr>
          <w:rFonts w:ascii="Times New Roman" w:hAnsi="Times New Roman"/>
          <w:b/>
        </w:rPr>
        <w:t>SPRAVODLIVOSŤ A VNÚTORNÉ ZÁLEŽITOSTI</w:t>
      </w:r>
    </w:p>
    <w:p w:rsidR="000C0368" w:rsidP="000C0368">
      <w:pPr>
        <w:bidi w:val="0"/>
        <w:rPr>
          <w:rFonts w:ascii="Times New Roman" w:hAnsi="Times New Roman"/>
          <w:b/>
        </w:rPr>
      </w:pPr>
    </w:p>
    <w:p w:rsidR="000C0368" w:rsidP="000C0368">
      <w:pPr>
        <w:bidi w:val="0"/>
        <w:jc w:val="both"/>
        <w:rPr>
          <w:rFonts w:ascii="Times New Roman" w:hAnsi="Times New Roman"/>
          <w:b/>
        </w:rPr>
      </w:pPr>
      <w:r>
        <w:rPr>
          <w:rFonts w:ascii="Times New Roman" w:hAnsi="Times New Roman"/>
          <w:b/>
        </w:rPr>
        <w:t>Azylová a migračná politika</w:t>
      </w:r>
    </w:p>
    <w:p w:rsidR="000C0368" w:rsidP="000C0368">
      <w:pPr>
        <w:bidi w:val="0"/>
        <w:ind w:firstLine="708"/>
        <w:jc w:val="both"/>
        <w:rPr>
          <w:rFonts w:ascii="Times New Roman" w:hAnsi="Times New Roman"/>
        </w:rPr>
      </w:pPr>
      <w:r>
        <w:rPr>
          <w:rFonts w:ascii="Times New Roman" w:hAnsi="Times New Roman"/>
        </w:rPr>
        <w:t xml:space="preserve">V oblasti spoločnej azylovej politiky sa v roku 2010 až 2011 realizovali ďalšie kroky súvisiace s </w:t>
      </w:r>
      <w:r w:rsidRPr="004011A0">
        <w:rPr>
          <w:rFonts w:ascii="Times New Roman" w:hAnsi="Times New Roman"/>
          <w:b/>
        </w:rPr>
        <w:t>budovaním Spoločného európskeho azylového systému</w:t>
      </w:r>
      <w:r>
        <w:rPr>
          <w:rFonts w:ascii="Times New Roman" w:hAnsi="Times New Roman"/>
        </w:rPr>
        <w:t xml:space="preserve"> (CEAS) v súlade s tzv. Štokholmským programom </w:t>
      </w:r>
      <w:r w:rsidRPr="00634942">
        <w:rPr>
          <w:rFonts w:ascii="Times New Roman" w:hAnsi="Times New Roman"/>
        </w:rPr>
        <w:t>a Európskom pakte o prisťahovalectve a azyle.</w:t>
      </w:r>
    </w:p>
    <w:p w:rsidR="000C0368" w:rsidP="000C0368">
      <w:pPr>
        <w:bidi w:val="0"/>
        <w:ind w:firstLine="708"/>
        <w:jc w:val="both"/>
        <w:rPr>
          <w:rFonts w:ascii="Times New Roman" w:hAnsi="Times New Roman"/>
        </w:rPr>
      </w:pPr>
      <w:r>
        <w:rPr>
          <w:rFonts w:ascii="Times New Roman" w:hAnsi="Times New Roman"/>
        </w:rPr>
        <w:t xml:space="preserve">SR sa uplynulom období aktívne </w:t>
      </w:r>
      <w:r w:rsidRPr="004011A0">
        <w:rPr>
          <w:rFonts w:ascii="Times New Roman" w:hAnsi="Times New Roman"/>
          <w:b/>
        </w:rPr>
        <w:t>zapájala do operačných aktivít agentúry Frontex</w:t>
      </w:r>
      <w:r>
        <w:rPr>
          <w:rFonts w:ascii="Times New Roman" w:hAnsi="Times New Roman"/>
        </w:rPr>
        <w:t xml:space="preserve"> na pozemnej, vzdušnej aj morskej hranici nasadením personálu i technických prostriedkov. V novembri 2010 bola agentúrou Frontex odštartovaná operácia RABIT (</w:t>
      </w:r>
      <w:r w:rsidRPr="00E074ED">
        <w:rPr>
          <w:rFonts w:ascii="Times New Roman" w:hAnsi="Times New Roman"/>
          <w:i/>
        </w:rPr>
        <w:t>rýchly zásahový pohraničný tím</w:t>
      </w:r>
      <w:r>
        <w:rPr>
          <w:rFonts w:ascii="Times New Roman" w:hAnsi="Times New Roman"/>
        </w:rPr>
        <w:t>) na grécko–tureckej hranici, ktorej sa v štyroch etapách do marca 2011 zúčastnilo 12 príslušníkov Policajného zboru.</w:t>
      </w:r>
    </w:p>
    <w:p w:rsidR="000C0368" w:rsidP="000C0368">
      <w:pPr>
        <w:bidi w:val="0"/>
        <w:ind w:firstLine="708"/>
        <w:jc w:val="both"/>
        <w:rPr>
          <w:rFonts w:ascii="Times New Roman" w:hAnsi="Times New Roman"/>
        </w:rPr>
      </w:pPr>
      <w:r>
        <w:rPr>
          <w:rFonts w:ascii="Times New Roman" w:hAnsi="Times New Roman"/>
        </w:rPr>
        <w:t xml:space="preserve">SR sa aktívne podieľala na </w:t>
      </w:r>
      <w:r w:rsidRPr="004011A0">
        <w:rPr>
          <w:rFonts w:ascii="Times New Roman" w:hAnsi="Times New Roman"/>
          <w:b/>
        </w:rPr>
        <w:t>medzinárodnej spolupráci</w:t>
      </w:r>
      <w:r>
        <w:rPr>
          <w:rFonts w:ascii="Times New Roman" w:hAnsi="Times New Roman"/>
        </w:rPr>
        <w:t xml:space="preserve"> (ICMPD, IOM) </w:t>
      </w:r>
      <w:r w:rsidRPr="004011A0">
        <w:rPr>
          <w:rFonts w:ascii="Times New Roman" w:hAnsi="Times New Roman"/>
          <w:b/>
        </w:rPr>
        <w:t>v Moldavsku</w:t>
      </w:r>
      <w:r>
        <w:rPr>
          <w:rFonts w:ascii="Times New Roman" w:hAnsi="Times New Roman"/>
        </w:rPr>
        <w:t xml:space="preserve"> zameranej na posilnenie kapacít a kooperáciu na úseku falošných a pozmenených dokladov na moldavsko–rumunskej hranici.</w:t>
      </w:r>
    </w:p>
    <w:p w:rsidR="000C0368" w:rsidP="000C0368">
      <w:pPr>
        <w:bidi w:val="0"/>
        <w:ind w:firstLine="708"/>
        <w:jc w:val="both"/>
        <w:rPr>
          <w:rFonts w:ascii="Times New Roman" w:hAnsi="Times New Roman"/>
        </w:rPr>
      </w:pPr>
      <w:r>
        <w:rPr>
          <w:rFonts w:ascii="Times New Roman" w:hAnsi="Times New Roman"/>
        </w:rPr>
        <w:t xml:space="preserve">V hodnotenom období začali útvary hraničnej a cudzineckej polície využívať celú funkcionalitu nového Informačného systému </w:t>
      </w:r>
      <w:r w:rsidRPr="004011A0">
        <w:rPr>
          <w:rFonts w:ascii="Times New Roman" w:hAnsi="Times New Roman"/>
          <w:b/>
        </w:rPr>
        <w:t>Migrácie a medzinárodnej ochrany</w:t>
      </w:r>
      <w:r>
        <w:rPr>
          <w:rFonts w:ascii="Times New Roman" w:hAnsi="Times New Roman"/>
        </w:rPr>
        <w:t xml:space="preserve"> (IS MIGRA) vytvoreného aj za finančnej podpory EÚ. </w:t>
      </w:r>
      <w:r w:rsidRPr="00634942">
        <w:rPr>
          <w:rFonts w:ascii="Times New Roman" w:hAnsi="Times New Roman"/>
        </w:rPr>
        <w:t>SR potvrdila svoj záväzok zapojiť sa do projektu relokácie osôb s medzinárodnou ochranou z  Malty (projekt EUREMA).</w:t>
      </w:r>
    </w:p>
    <w:p w:rsidR="000C0368" w:rsidRPr="007D79D1" w:rsidP="000C0368">
      <w:pPr>
        <w:bidi w:val="0"/>
        <w:ind w:firstLine="708"/>
        <w:jc w:val="both"/>
        <w:rPr>
          <w:rFonts w:ascii="Times New Roman" w:hAnsi="Times New Roman"/>
        </w:rPr>
      </w:pPr>
      <w:r w:rsidRPr="007D79D1">
        <w:rPr>
          <w:rFonts w:ascii="Times New Roman" w:hAnsi="Times New Roman"/>
        </w:rPr>
        <w:t>Vzhľadom na aktuálnu situáciu v severoafrických krajinách a doterajšie reakcie členských štátov bude ďalší rok členstva poznačený výraznejšími zmenami v oblasti migračnej politiky na úrovni EÚ (napr. Oznámenie Európskej komisie o migrácii, ktoré bolo zverejnené dňa 4.5.2011), vrátane legislatívnych úprav (napr. revízia tzv. Dublinského nariadenia). SR bude osobitnú pozornosť venovať navrhovaným opatreniam, pretože tieto môžu mať priamy dopad na slovenskú spoločnosť a ekonomiku. V oblasti azylu pôjde predovšetkým o otázky aplikácie Dublinského nariadenia v prípadoch masového prílevu utečencov, stanovovania presídľovacích kvót pre členské štáty, nárastu dôležitosti relokácií, zdôrazňovanie potreby realizovania opatrení v rámci tzv. Regionálnych programov ochrany</w:t>
      </w:r>
      <w:r>
        <w:rPr>
          <w:rFonts w:ascii="Times New Roman" w:hAnsi="Times New Roman"/>
        </w:rPr>
        <w:t>.</w:t>
      </w:r>
    </w:p>
    <w:p w:rsidR="000C0368" w:rsidP="000C0368">
      <w:pPr>
        <w:bidi w:val="0"/>
        <w:ind w:firstLine="708"/>
        <w:jc w:val="both"/>
        <w:rPr>
          <w:rFonts w:ascii="Times New Roman" w:hAnsi="Times New Roman"/>
        </w:rPr>
      </w:pPr>
      <w:r>
        <w:rPr>
          <w:rFonts w:ascii="Times New Roman" w:hAnsi="Times New Roman"/>
        </w:rPr>
        <w:t xml:space="preserve">Ďalšou dôležitou udalosťou bolo </w:t>
      </w:r>
      <w:r w:rsidRPr="004011A0">
        <w:rPr>
          <w:rFonts w:ascii="Times New Roman" w:hAnsi="Times New Roman"/>
          <w:b/>
        </w:rPr>
        <w:t>inštitucionalizovanie Európskeho podporného úradu pre azyl</w:t>
      </w:r>
      <w:r>
        <w:rPr>
          <w:rFonts w:ascii="Times New Roman" w:hAnsi="Times New Roman"/>
        </w:rPr>
        <w:t xml:space="preserve"> (EASO). Jeho právomoci a činnosti sú v súlade s presadzovanou slovenskou pozíciou, aby rozhodovacie kompetencie v oblasti azylu ostali naďalej v kompetencii členských štátov. Úrad by mal byť plne funkčný od júna 2011.</w:t>
      </w:r>
    </w:p>
    <w:p w:rsidR="000C0368" w:rsidP="000C0368">
      <w:pPr>
        <w:bidi w:val="0"/>
        <w:ind w:firstLine="708"/>
        <w:jc w:val="both"/>
        <w:rPr>
          <w:rFonts w:ascii="Times New Roman" w:hAnsi="Times New Roman"/>
        </w:rPr>
      </w:pPr>
      <w:r>
        <w:rPr>
          <w:rFonts w:ascii="Times New Roman" w:hAnsi="Times New Roman"/>
        </w:rPr>
        <w:t xml:space="preserve">MV SR bude pokračovať v legislatívnom procese prípravy nového </w:t>
      </w:r>
      <w:r w:rsidRPr="004011A0">
        <w:rPr>
          <w:rFonts w:ascii="Times New Roman" w:hAnsi="Times New Roman"/>
          <w:b/>
        </w:rPr>
        <w:t>návrhu zákona o kontrole hraníc a pobyte cudzincov</w:t>
      </w:r>
      <w:r>
        <w:rPr>
          <w:rFonts w:ascii="Times New Roman" w:hAnsi="Times New Roman"/>
        </w:rPr>
        <w:t xml:space="preserve"> a prípravy nového Národného plánu riadenia kontroly hraníc Slovenskej republiky na roky 2011 až 2014. </w:t>
      </w:r>
    </w:p>
    <w:p w:rsidR="000C0368" w:rsidP="000C0368">
      <w:pPr>
        <w:bidi w:val="0"/>
        <w:rPr>
          <w:rFonts w:ascii="Times New Roman" w:hAnsi="Times New Roman"/>
          <w:b/>
        </w:rPr>
      </w:pPr>
    </w:p>
    <w:p w:rsidR="000C0368" w:rsidP="000C0368">
      <w:pPr>
        <w:bidi w:val="0"/>
        <w:spacing w:line="240" w:lineRule="atLeast"/>
        <w:rPr>
          <w:rFonts w:ascii="Times New Roman" w:hAnsi="Times New Roman"/>
          <w:b/>
        </w:rPr>
      </w:pPr>
      <w:r w:rsidRPr="006B58B0">
        <w:rPr>
          <w:rFonts w:ascii="Times New Roman" w:hAnsi="Times New Roman"/>
          <w:b/>
        </w:rPr>
        <w:t>Schengen</w:t>
      </w:r>
      <w:r>
        <w:rPr>
          <w:rFonts w:ascii="Times New Roman" w:hAnsi="Times New Roman"/>
          <w:b/>
        </w:rPr>
        <w:t>ská spolupráca</w:t>
      </w:r>
    </w:p>
    <w:p w:rsidR="000C0368" w:rsidP="000C0368">
      <w:pPr>
        <w:bidi w:val="0"/>
        <w:spacing w:line="240" w:lineRule="atLeast"/>
        <w:ind w:firstLine="708"/>
        <w:jc w:val="both"/>
        <w:rPr>
          <w:rFonts w:ascii="Times New Roman" w:hAnsi="Times New Roman"/>
        </w:rPr>
      </w:pPr>
      <w:r w:rsidRPr="00356B66">
        <w:rPr>
          <w:rFonts w:ascii="Times New Roman" w:hAnsi="Times New Roman"/>
        </w:rPr>
        <w:t>Prioritami na nasledovné obdobie sú dobudovanie a pripojenie k Schengenskému informačnému systému druhej generácie (SIS II)</w:t>
      </w:r>
      <w:r>
        <w:rPr>
          <w:rFonts w:ascii="Times New Roman" w:hAnsi="Times New Roman"/>
        </w:rPr>
        <w:t>.</w:t>
      </w:r>
    </w:p>
    <w:p w:rsidR="000C0368" w:rsidP="000C0368">
      <w:pPr>
        <w:bidi w:val="0"/>
        <w:ind w:firstLine="708"/>
        <w:jc w:val="both"/>
        <w:rPr>
          <w:rFonts w:ascii="Times New Roman" w:hAnsi="Times New Roman"/>
          <w:b/>
        </w:rPr>
      </w:pPr>
      <w:r>
        <w:rPr>
          <w:rFonts w:ascii="Times New Roman" w:hAnsi="Times New Roman"/>
          <w:lang w:eastAsia="cs-CZ"/>
        </w:rPr>
        <w:t xml:space="preserve">Po piatich rokoch bude </w:t>
      </w:r>
      <w:r w:rsidRPr="00E074ED">
        <w:rPr>
          <w:rFonts w:ascii="Times New Roman" w:hAnsi="Times New Roman"/>
          <w:b/>
          <w:lang w:eastAsia="cs-CZ"/>
        </w:rPr>
        <w:t xml:space="preserve">SR v rokoch 2012 a 2013 opätovne podrobená schengenskému hodnoteniu, </w:t>
      </w:r>
      <w:r>
        <w:rPr>
          <w:rFonts w:ascii="Times New Roman" w:hAnsi="Times New Roman"/>
          <w:lang w:eastAsia="cs-CZ"/>
        </w:rPr>
        <w:t>čo bolo premietnuté aj do Programového vyhlásenia vlády SR, v ktorom sa vláda zaviazala nepoľaviť v úsilí o implementáciu schengenského acquis. Na tento účel bude treba v nasledujúcom období prijať množstvo konkrétnych krokov vo všetkých hodnotených oblastiach, ktorými sú ochrana osobných údajov, policajná spolupráca, víza, hranice, návrat a readmisia, Schengenský informačný systém a SIRENE.</w:t>
      </w:r>
    </w:p>
    <w:p w:rsidR="000C0368" w:rsidP="000C0368">
      <w:pPr>
        <w:bidi w:val="0"/>
        <w:rPr>
          <w:rFonts w:ascii="Times New Roman" w:hAnsi="Times New Roman"/>
          <w:b/>
        </w:rPr>
      </w:pPr>
    </w:p>
    <w:p w:rsidR="000C0368" w:rsidP="000C0368">
      <w:pPr>
        <w:bidi w:val="0"/>
        <w:rPr>
          <w:rFonts w:ascii="Times New Roman" w:hAnsi="Times New Roman"/>
          <w:b/>
        </w:rPr>
      </w:pPr>
      <w:r>
        <w:rPr>
          <w:rFonts w:ascii="Times New Roman" w:hAnsi="Times New Roman"/>
          <w:b/>
        </w:rPr>
        <w:t>Spravodlivosť</w:t>
      </w:r>
    </w:p>
    <w:p w:rsidR="000C0368" w:rsidP="000C0368">
      <w:pPr>
        <w:bidi w:val="0"/>
        <w:ind w:firstLine="708"/>
        <w:jc w:val="both"/>
        <w:rPr>
          <w:rFonts w:ascii="Times New Roman" w:hAnsi="Times New Roman"/>
        </w:rPr>
      </w:pPr>
      <w:r>
        <w:rPr>
          <w:rFonts w:ascii="Times New Roman" w:hAnsi="Times New Roman"/>
        </w:rPr>
        <w:t xml:space="preserve">V uplynulom období bolo najvýznamnejším prerokúvaným návrhom v oblasti civilného práva </w:t>
      </w:r>
      <w:r w:rsidRPr="00CC0F80">
        <w:rPr>
          <w:rFonts w:ascii="Times New Roman" w:hAnsi="Times New Roman"/>
          <w:b/>
        </w:rPr>
        <w:t>nariadenie o</w:t>
      </w:r>
      <w:r>
        <w:rPr>
          <w:rFonts w:ascii="Times New Roman" w:hAnsi="Times New Roman"/>
        </w:rPr>
        <w:t xml:space="preserve"> právomoci, rozhodnom práve, uznávaní a výkone rozhodnutí a verejných listín </w:t>
      </w:r>
      <w:r w:rsidRPr="00CC0F80">
        <w:rPr>
          <w:rFonts w:ascii="Times New Roman" w:hAnsi="Times New Roman"/>
          <w:b/>
        </w:rPr>
        <w:t>v dedičských veciach</w:t>
      </w:r>
      <w:r>
        <w:rPr>
          <w:rFonts w:ascii="Times New Roman" w:hAnsi="Times New Roman"/>
        </w:rPr>
        <w:t xml:space="preserve"> a o zavedení európskeho osvedčenia o dedičstve, ktoré je v rámci EÚ prvým nástrojom upravujúcim komplexne otázky medzinárodného práva súkromného a procesného v oblasti dedičského práva, ktorý výrazným spôsobom ovplyvní spôsob prejednávania dedičstiev s cudzím prvkom a prinesie zjednodušenie pre dedičov. Finalizácia nariadenia zostáva prioritou aj na nadchádzajúce obdobie. </w:t>
      </w:r>
    </w:p>
    <w:p w:rsidR="000C0368" w:rsidP="000C0368">
      <w:pPr>
        <w:bidi w:val="0"/>
        <w:ind w:firstLine="708"/>
        <w:jc w:val="both"/>
        <w:rPr>
          <w:rFonts w:ascii="Times New Roman" w:hAnsi="Times New Roman"/>
        </w:rPr>
      </w:pPr>
      <w:r>
        <w:rPr>
          <w:rFonts w:ascii="Times New Roman" w:hAnsi="Times New Roman"/>
        </w:rPr>
        <w:t xml:space="preserve">V lete 2010 bol spustený </w:t>
      </w:r>
      <w:r w:rsidRPr="00CC0F80">
        <w:rPr>
          <w:rFonts w:ascii="Times New Roman" w:hAnsi="Times New Roman"/>
          <w:b/>
        </w:rPr>
        <w:t>Portál európskej elektronickej justície</w:t>
      </w:r>
      <w:r>
        <w:rPr>
          <w:rFonts w:ascii="Times New Roman" w:hAnsi="Times New Roman"/>
        </w:rPr>
        <w:t xml:space="preserve"> </w:t>
      </w:r>
      <w:r w:rsidRPr="003F68C2">
        <w:rPr>
          <w:rFonts w:ascii="Times New Roman" w:hAnsi="Times New Roman"/>
          <w:color w:val="000000"/>
        </w:rPr>
        <w:t>(</w:t>
      </w:r>
      <w:hyperlink r:id="rId5" w:history="1">
        <w:r w:rsidRPr="003F68C2">
          <w:rPr>
            <w:rStyle w:val="Hyperlink"/>
            <w:rFonts w:ascii="Times New Roman" w:hAnsi="Times New Roman"/>
            <w:strike w:val="0"/>
            <w:dstrike w:val="0"/>
            <w:color w:val="000000"/>
            <w:u w:val="none"/>
            <w:effect w:val="none"/>
          </w:rPr>
          <w:t>https://e-justice.europa.eu</w:t>
        </w:r>
      </w:hyperlink>
      <w:r w:rsidRPr="003F68C2">
        <w:rPr>
          <w:rFonts w:ascii="Times New Roman" w:hAnsi="Times New Roman"/>
          <w:color w:val="000000"/>
        </w:rPr>
        <w:t>)</w:t>
      </w:r>
      <w:r>
        <w:rPr>
          <w:rFonts w:ascii="Times New Roman" w:hAnsi="Times New Roman"/>
        </w:rPr>
        <w:t xml:space="preserve"> ako jednotné kontaktné miesto v 22 jazykoch EÚ pre informácie z oblasti justície, ktorý sprístupňuje právne predpisy, judikatúru </w:t>
      </w:r>
      <w:r w:rsidRPr="00D23E65">
        <w:rPr>
          <w:rFonts w:ascii="Times New Roman" w:hAnsi="Times New Roman"/>
        </w:rPr>
        <w:t>a</w:t>
      </w:r>
      <w:r>
        <w:rPr>
          <w:rFonts w:ascii="Arial" w:hAnsi="Arial"/>
        </w:rPr>
        <w:t xml:space="preserve"> </w:t>
      </w:r>
      <w:r w:rsidRPr="00876C7D">
        <w:rPr>
          <w:rFonts w:ascii="Times New Roman" w:hAnsi="Times New Roman"/>
        </w:rPr>
        <w:t>informácie o ich praktickom uplatňovaní</w:t>
      </w:r>
      <w:r>
        <w:rPr>
          <w:rFonts w:ascii="Times New Roman" w:hAnsi="Times New Roman"/>
        </w:rPr>
        <w:t>.</w:t>
      </w:r>
    </w:p>
    <w:p w:rsidR="000C0368" w:rsidP="000C0368">
      <w:pPr>
        <w:bidi w:val="0"/>
        <w:ind w:firstLine="708"/>
        <w:jc w:val="both"/>
        <w:rPr>
          <w:rFonts w:ascii="Times New Roman" w:hAnsi="Times New Roman"/>
        </w:rPr>
      </w:pPr>
      <w:r>
        <w:rPr>
          <w:rFonts w:ascii="Times New Roman" w:hAnsi="Times New Roman"/>
        </w:rPr>
        <w:t xml:space="preserve">Medzi priority najbližšieho obdobia sa zaradí rokovanie o novom znení nariadenia č. 44/2001 o právomoci a uznávaní a výkone rozsudkov v občianskych a obchodných veciach, ktorého cieľom je odstrániť nedostatky v jeho uplatňovaní (predovšetkým odstránenie tzv. exekvatúru, t.j. konania o vyhlásení vykonateľnosti cudzieho rozhodnutia). Prioritou budú aj rokovania o návrhu komisie na prijatie nariadenia Rady o právomoci, rozhodnom práve a uznávaní a výkone rozhodnutí vo veciach </w:t>
      </w:r>
      <w:r w:rsidRPr="00CC0F80">
        <w:rPr>
          <w:rFonts w:ascii="Times New Roman" w:hAnsi="Times New Roman"/>
          <w:b/>
        </w:rPr>
        <w:t>majetkových režimov manželov</w:t>
      </w:r>
      <w:r>
        <w:rPr>
          <w:rFonts w:ascii="Times New Roman" w:hAnsi="Times New Roman"/>
        </w:rPr>
        <w:t xml:space="preserve">. Pôjde o prvý harmonizačný právny nástroj EÚ v tejto oblasti, ktorý by mal zvýšiť právnu istotu a prehľadnosť najmä pre manželov v zmiešaných manželstvách, resp. žijúcich v inom členskom štáte, než je ich štát pôvodu. </w:t>
      </w:r>
    </w:p>
    <w:p w:rsidR="000C0368" w:rsidP="000C0368">
      <w:pPr>
        <w:bidi w:val="0"/>
        <w:ind w:firstLine="708"/>
        <w:jc w:val="both"/>
        <w:rPr>
          <w:rFonts w:ascii="Times New Roman" w:hAnsi="Times New Roman"/>
        </w:rPr>
      </w:pPr>
      <w:r>
        <w:rPr>
          <w:rFonts w:ascii="Times New Roman" w:hAnsi="Times New Roman"/>
        </w:rPr>
        <w:t xml:space="preserve">Do budúcnosti sa navrhuje podporiť skoré prijatie návrhu nariadenia, ktorým sa priznávajú </w:t>
      </w:r>
      <w:r w:rsidRPr="00CC0F80">
        <w:rPr>
          <w:rFonts w:ascii="Times New Roman" w:hAnsi="Times New Roman"/>
          <w:b/>
        </w:rPr>
        <w:t>pr</w:t>
      </w:r>
      <w:r>
        <w:rPr>
          <w:rFonts w:ascii="Times New Roman" w:hAnsi="Times New Roman"/>
          <w:b/>
        </w:rPr>
        <w:t>ávne účinky elektronickej verzie</w:t>
      </w:r>
      <w:r w:rsidRPr="00CC0F80">
        <w:rPr>
          <w:rFonts w:ascii="Times New Roman" w:hAnsi="Times New Roman"/>
          <w:b/>
        </w:rPr>
        <w:t xml:space="preserve"> Úradného vestníka EÚ</w:t>
      </w:r>
      <w:r>
        <w:rPr>
          <w:rFonts w:ascii="Times New Roman" w:hAnsi="Times New Roman"/>
        </w:rPr>
        <w:t xml:space="preserve"> a aktívne pracovať na aktualizáciách slovenského obsahu Portálu e-justície, za ktorý je zodpovedná SR.</w:t>
      </w:r>
    </w:p>
    <w:p w:rsidR="000C0368" w:rsidP="000C0368">
      <w:pPr>
        <w:bidi w:val="0"/>
        <w:rPr>
          <w:rFonts w:ascii="Times New Roman" w:hAnsi="Times New Roman"/>
          <w:b/>
        </w:rPr>
      </w:pPr>
    </w:p>
    <w:p w:rsidR="000C0368" w:rsidP="000C0368">
      <w:pPr>
        <w:bidi w:val="0"/>
        <w:rPr>
          <w:rFonts w:ascii="Times New Roman" w:hAnsi="Times New Roman"/>
          <w:b/>
        </w:rPr>
      </w:pPr>
      <w:r>
        <w:rPr>
          <w:rFonts w:ascii="Times New Roman" w:hAnsi="Times New Roman"/>
          <w:b/>
        </w:rPr>
        <w:t>Policajná a justičná spolupráca</w:t>
      </w:r>
    </w:p>
    <w:p w:rsidR="000C0368" w:rsidP="000C0368">
      <w:pPr>
        <w:bidi w:val="0"/>
        <w:ind w:firstLine="708"/>
        <w:jc w:val="both"/>
        <w:rPr>
          <w:rFonts w:ascii="Times New Roman" w:hAnsi="Times New Roman"/>
        </w:rPr>
      </w:pPr>
      <w:r>
        <w:rPr>
          <w:rFonts w:ascii="Times New Roman" w:hAnsi="Times New Roman"/>
        </w:rPr>
        <w:t xml:space="preserve">V hodnotenom období ťažiskovú problematiku predstavovala </w:t>
      </w:r>
      <w:r w:rsidRPr="00F73AFF">
        <w:rPr>
          <w:rFonts w:ascii="Times New Roman" w:hAnsi="Times New Roman"/>
          <w:b/>
        </w:rPr>
        <w:t>počítačová bezpečnosť</w:t>
      </w:r>
      <w:r>
        <w:rPr>
          <w:rFonts w:ascii="Times New Roman" w:hAnsi="Times New Roman"/>
        </w:rPr>
        <w:t xml:space="preserve">, </w:t>
      </w:r>
      <w:r w:rsidRPr="00F73AFF">
        <w:rPr>
          <w:rFonts w:ascii="Times New Roman" w:hAnsi="Times New Roman"/>
          <w:b/>
        </w:rPr>
        <w:t>posilnenie základných práv v trestnom konaní</w:t>
      </w:r>
      <w:r>
        <w:rPr>
          <w:rFonts w:ascii="Times New Roman" w:hAnsi="Times New Roman"/>
        </w:rPr>
        <w:t xml:space="preserve"> v súlade s Cestovnou mapou o posilnení procesných práv obvinených a obžalovaných osôb v trestnom konaní z roku </w:t>
      </w:r>
      <w:smartTag w:uri="urn:schemas-microsoft-com:office:smarttags" w:element="metricconverter">
        <w:smartTagPr>
          <w:attr w:name="ProductID" w:val="2009 a"/>
        </w:smartTagPr>
        <w:r>
          <w:rPr>
            <w:rFonts w:ascii="Times New Roman" w:hAnsi="Times New Roman"/>
          </w:rPr>
          <w:t>2009 a</w:t>
        </w:r>
      </w:smartTag>
      <w:r>
        <w:rPr>
          <w:rFonts w:ascii="Times New Roman" w:hAnsi="Times New Roman"/>
        </w:rPr>
        <w:t xml:space="preserve"> </w:t>
      </w:r>
      <w:r w:rsidRPr="00F73AFF">
        <w:rPr>
          <w:rFonts w:ascii="Times New Roman" w:hAnsi="Times New Roman"/>
          <w:b/>
        </w:rPr>
        <w:t>boj proti osobitným formám trestnej činnosti spojených so sexuálnym násilím</w:t>
      </w:r>
      <w:r>
        <w:rPr>
          <w:rFonts w:ascii="Times New Roman" w:hAnsi="Times New Roman"/>
        </w:rPr>
        <w:t xml:space="preserve">. V oblasti justičnej spolupráce v trestných veciach sa pozornosť venuje návrhu </w:t>
      </w:r>
      <w:r w:rsidRPr="00F73AFF">
        <w:rPr>
          <w:rFonts w:ascii="Times New Roman" w:hAnsi="Times New Roman"/>
          <w:b/>
        </w:rPr>
        <w:t>smernice o európskom vyšetrovacom príkaze</w:t>
      </w:r>
      <w:r>
        <w:rPr>
          <w:rFonts w:ascii="Times New Roman" w:hAnsi="Times New Roman"/>
        </w:rPr>
        <w:t>, ktorého ambíciou je významným spôsobom zmeniť systém poskytovania vzájomnej právnej pomoci medzi členskými štátmi EÚ v oblasti získavania dôkazov.</w:t>
      </w:r>
    </w:p>
    <w:p w:rsidR="000C0368" w:rsidP="000C0368">
      <w:pPr>
        <w:bidi w:val="0"/>
        <w:ind w:firstLine="708"/>
        <w:jc w:val="both"/>
        <w:rPr>
          <w:rFonts w:ascii="Times New Roman" w:hAnsi="Times New Roman"/>
        </w:rPr>
      </w:pPr>
      <w:r>
        <w:rPr>
          <w:rFonts w:ascii="Times New Roman" w:hAnsi="Times New Roman"/>
        </w:rPr>
        <w:t xml:space="preserve">Jednou z hlavných úloh medzinárodnej policajnej spolupráce je nepretržitá </w:t>
      </w:r>
      <w:r w:rsidRPr="00F73AFF">
        <w:rPr>
          <w:rFonts w:ascii="Times New Roman" w:hAnsi="Times New Roman"/>
          <w:b/>
        </w:rPr>
        <w:t>výmena informácií</w:t>
      </w:r>
      <w:r>
        <w:rPr>
          <w:rFonts w:ascii="Times New Roman" w:hAnsi="Times New Roman"/>
        </w:rPr>
        <w:t xml:space="preserve"> a zabezpečovanie všetkých úkonov v rozsahu určenom národným ústredniam (SIRENE, INTERPOL, Europol). Slovenská polícia úspešne plnila úlohy vyplývajúce z tzv. Prümského rozhodnutia </w:t>
      </w:r>
      <w:r w:rsidRPr="007D79D1">
        <w:rPr>
          <w:rFonts w:ascii="Times New Roman" w:hAnsi="Times New Roman"/>
        </w:rPr>
        <w:t>v oblasti výmeny daktyloskopických údajov a údajov o DNA</w:t>
      </w:r>
      <w:r>
        <w:rPr>
          <w:rFonts w:ascii="Times New Roman" w:hAnsi="Times New Roman"/>
        </w:rPr>
        <w:t xml:space="preserve">. </w:t>
      </w:r>
    </w:p>
    <w:p w:rsidR="000C0368" w:rsidP="000C0368">
      <w:pPr>
        <w:bidi w:val="0"/>
        <w:ind w:firstLine="708"/>
        <w:jc w:val="both"/>
        <w:rPr>
          <w:rFonts w:ascii="Times New Roman" w:hAnsi="Times New Roman"/>
        </w:rPr>
      </w:pPr>
      <w:r>
        <w:rPr>
          <w:rFonts w:ascii="Times New Roman" w:hAnsi="Times New Roman"/>
        </w:rPr>
        <w:t xml:space="preserve">V nasledujúcom období sa k vyššie uvedeným témam priradí aj </w:t>
      </w:r>
      <w:r>
        <w:rPr>
          <w:rFonts w:ascii="Times New Roman" w:hAnsi="Times New Roman"/>
          <w:b/>
        </w:rPr>
        <w:t>problematika uchovávania</w:t>
      </w:r>
      <w:r w:rsidRPr="00F73AFF">
        <w:rPr>
          <w:rFonts w:ascii="Times New Roman" w:hAnsi="Times New Roman"/>
          <w:b/>
        </w:rPr>
        <w:t xml:space="preserve"> a poskytovania osobných údajov</w:t>
      </w:r>
      <w:r>
        <w:rPr>
          <w:rFonts w:ascii="Times New Roman" w:hAnsi="Times New Roman"/>
        </w:rPr>
        <w:t xml:space="preserve"> (možno očakávať opätovné prerokovanie smernice o uchovávaní osobných údajov, ako aj smernice o ochrane osobných údajov) a </w:t>
      </w:r>
      <w:r w:rsidRPr="00A02D47">
        <w:rPr>
          <w:rFonts w:ascii="Times New Roman" w:hAnsi="Times New Roman"/>
          <w:b/>
        </w:rPr>
        <w:t>problematika ochrany obetí</w:t>
      </w:r>
      <w:r>
        <w:rPr>
          <w:rFonts w:ascii="Times New Roman" w:hAnsi="Times New Roman"/>
        </w:rPr>
        <w:t xml:space="preserve">, najmä v trestnom konaní. V tomto kontexte sa opätovne otvárajú rokovania o </w:t>
      </w:r>
      <w:r w:rsidRPr="00F73AFF">
        <w:rPr>
          <w:rFonts w:ascii="Times New Roman" w:hAnsi="Times New Roman"/>
          <w:b/>
        </w:rPr>
        <w:t>návrhu smernice o európskom ochrannom príkaze</w:t>
      </w:r>
      <w:r>
        <w:rPr>
          <w:rFonts w:ascii="Times New Roman" w:hAnsi="Times New Roman"/>
        </w:rPr>
        <w:t>.</w:t>
      </w:r>
    </w:p>
    <w:p w:rsidR="000C0368" w:rsidP="000C0368">
      <w:pPr>
        <w:bidi w:val="0"/>
        <w:ind w:firstLine="708"/>
        <w:jc w:val="both"/>
        <w:rPr>
          <w:rFonts w:ascii="Times New Roman" w:hAnsi="Times New Roman"/>
        </w:rPr>
      </w:pPr>
      <w:r>
        <w:rPr>
          <w:rFonts w:ascii="Times New Roman" w:hAnsi="Times New Roman"/>
        </w:rPr>
        <w:t xml:space="preserve">Prioritami na nasledovné obdobie je pripojenie pracoviska Kriminalistického a expertízneho ústavu Policajného zboru SR na európsku databázu bômb a výbušnín (EBDS) a pripojenie pracoviska Národnej ústredne Europol a útvarov Policajného zboru SR na európsku platformu expertov (EPE) </w:t>
      </w:r>
      <w:r w:rsidRPr="007D79D1">
        <w:rPr>
          <w:rFonts w:ascii="Times New Roman" w:hAnsi="Times New Roman"/>
        </w:rPr>
        <w:t>a zabezpečenie výmeny údajov z evidencie vozidiel v súlade</w:t>
      </w:r>
      <w:r>
        <w:rPr>
          <w:rFonts w:ascii="Times New Roman" w:hAnsi="Times New Roman"/>
        </w:rPr>
        <w:t xml:space="preserve"> s tzv. Prümskými rozhodnutiami.</w:t>
      </w:r>
    </w:p>
    <w:p w:rsidR="000C0368" w:rsidP="000C0368">
      <w:pPr>
        <w:bidi w:val="0"/>
        <w:ind w:firstLine="708"/>
        <w:jc w:val="both"/>
        <w:rPr>
          <w:rFonts w:ascii="Times New Roman" w:hAnsi="Times New Roman"/>
        </w:rPr>
      </w:pPr>
      <w:r>
        <w:rPr>
          <w:rFonts w:ascii="Times New Roman" w:hAnsi="Times New Roman"/>
        </w:rPr>
        <w:t xml:space="preserve">SR bude podporovať </w:t>
      </w:r>
      <w:r w:rsidRPr="00F73AFF">
        <w:rPr>
          <w:rFonts w:ascii="Times New Roman" w:hAnsi="Times New Roman"/>
          <w:b/>
        </w:rPr>
        <w:t>vytvorenie jedného silného programu financovania pre oblasť vnútornej bezpečnosti</w:t>
      </w:r>
      <w:r>
        <w:rPr>
          <w:rFonts w:ascii="Times New Roman" w:hAnsi="Times New Roman"/>
        </w:rPr>
        <w:t xml:space="preserve">, tak ako je to navrhnuté v Štokholmskom programe a v Stratégii vnútornej bezpečnosti EÚ. Ďalej bude podporovať posilnenie možnosti spolupráce s tretími štátmi pri </w:t>
      </w:r>
      <w:r w:rsidRPr="00F73AFF">
        <w:rPr>
          <w:rFonts w:ascii="Times New Roman" w:hAnsi="Times New Roman"/>
          <w:b/>
        </w:rPr>
        <w:t>riešení bezpečnostných rizík</w:t>
      </w:r>
      <w:r>
        <w:rPr>
          <w:rFonts w:ascii="Times New Roman" w:hAnsi="Times New Roman"/>
        </w:rPr>
        <w:t xml:space="preserve"> v oblasti ich pôvodu a nie až po prenose na územie EÚ.</w:t>
      </w:r>
    </w:p>
    <w:p w:rsidR="000C0368" w:rsidRPr="00830B7B" w:rsidP="000C0368">
      <w:pPr>
        <w:bidi w:val="0"/>
        <w:jc w:val="both"/>
        <w:rPr>
          <w:rFonts w:ascii="Times New Roman" w:hAnsi="Times New Roman"/>
        </w:rPr>
      </w:pPr>
    </w:p>
    <w:p w:rsidR="000C0368" w:rsidP="000C0368">
      <w:pPr>
        <w:bidi w:val="0"/>
        <w:spacing w:line="240" w:lineRule="atLeast"/>
        <w:rPr>
          <w:rFonts w:ascii="Times New Roman" w:hAnsi="Times New Roman"/>
          <w:b/>
        </w:rPr>
      </w:pPr>
      <w:r>
        <w:rPr>
          <w:rFonts w:ascii="Times New Roman" w:hAnsi="Times New Roman"/>
          <w:b/>
        </w:rPr>
        <w:t>Harmonizácia práva</w:t>
      </w:r>
    </w:p>
    <w:p w:rsidR="000C0368" w:rsidP="000C0368">
      <w:pPr>
        <w:bidi w:val="0"/>
        <w:spacing w:line="240" w:lineRule="atLeast"/>
        <w:ind w:firstLine="708"/>
        <w:jc w:val="both"/>
        <w:rPr>
          <w:rFonts w:ascii="Times New Roman" w:hAnsi="Times New Roman"/>
        </w:rPr>
      </w:pPr>
      <w:r>
        <w:rPr>
          <w:rFonts w:ascii="Times New Roman" w:hAnsi="Times New Roman"/>
        </w:rPr>
        <w:t>Podľa posledného prehľadu smerníc, ktoré SR neprebrala v oblasti vnútorného trhu, ptrí SR 6. miesto s transpozičným deficitom len 0,5</w:t>
      </w:r>
      <w:r w:rsidRPr="008608EF">
        <w:rPr>
          <w:rFonts w:ascii="Times New Roman" w:hAnsi="Times New Roman"/>
        </w:rPr>
        <w:t>%</w:t>
      </w:r>
      <w:r>
        <w:rPr>
          <w:rFonts w:ascii="Times New Roman" w:hAnsi="Times New Roman"/>
        </w:rPr>
        <w:t xml:space="preserve"> (7 smerníc z celkového počtu 1481 v oblasti vnútorného trhu). Uvedený prehľad je obsiahnutý vo výsledkovej tabuľke č. 22 (Scoreboard Nr. 22), ktorú vypracovala Európska komisia v decembri 2010. Vládny materiál z marca 2011 identifikoval 14 neprebratých smerníc. Významným nástrojom pre predchádzanie transpozičného deficitu, či oneskorenie implementácie právnych aktov EÚ je </w:t>
      </w:r>
      <w:r w:rsidRPr="0096479D">
        <w:rPr>
          <w:rFonts w:ascii="Times New Roman" w:hAnsi="Times New Roman"/>
          <w:b/>
          <w:bCs/>
        </w:rPr>
        <w:t>inštitút aproximačného nariadenia vlády SR</w:t>
      </w:r>
      <w:r>
        <w:rPr>
          <w:rFonts w:ascii="Times New Roman" w:hAnsi="Times New Roman"/>
          <w:bCs/>
        </w:rPr>
        <w:t xml:space="preserve">, ktorý je pravidelne kontrolovaný NR SR. Posledná takáto informácia, prerokovaná v NR SR 3. 2. 2011, obsahovala 22 aproximačných nariadení vlády prijatých v II. polroku 2010. Zámerom jednotlivých rezortov je prijať ďalších 18 aproximačných nariadení vlády SR v I. polroku 2011. </w:t>
      </w:r>
      <w:r>
        <w:rPr>
          <w:rFonts w:ascii="Times New Roman" w:hAnsi="Times New Roman"/>
        </w:rPr>
        <w:t xml:space="preserve">V období od 1. mája 2010 do 1. mája 2011 bolo voči SR </w:t>
      </w:r>
      <w:r w:rsidRPr="0096479D">
        <w:rPr>
          <w:rFonts w:ascii="Times New Roman" w:hAnsi="Times New Roman"/>
          <w:b/>
        </w:rPr>
        <w:t>otvorených 19 nových konaní o porušení zmlúv, uzatvorených 34 konaní, dve boli zastavené a v dvoch prípadoch Európska komisia rozhodla o podaní žaloby proti SR</w:t>
      </w:r>
      <w:r>
        <w:rPr>
          <w:rFonts w:ascii="Times New Roman" w:hAnsi="Times New Roman"/>
        </w:rPr>
        <w:t>.</w:t>
      </w:r>
    </w:p>
    <w:p w:rsidR="000C0368" w:rsidP="000C0368">
      <w:pPr>
        <w:bidi w:val="0"/>
        <w:spacing w:line="240" w:lineRule="atLeast"/>
        <w:ind w:firstLine="708"/>
        <w:jc w:val="both"/>
        <w:rPr>
          <w:rFonts w:ascii="Times New Roman" w:hAnsi="Times New Roman"/>
        </w:rPr>
      </w:pPr>
      <w:r>
        <w:rPr>
          <w:rFonts w:ascii="Times New Roman" w:hAnsi="Times New Roman"/>
        </w:rPr>
        <w:t xml:space="preserve">Slovenské </w:t>
      </w:r>
      <w:r w:rsidRPr="0096479D">
        <w:rPr>
          <w:rFonts w:ascii="Times New Roman" w:hAnsi="Times New Roman"/>
          <w:b/>
        </w:rPr>
        <w:t>SOLVIT centrum</w:t>
      </w:r>
      <w:r>
        <w:rPr>
          <w:rFonts w:ascii="Times New Roman" w:hAnsi="Times New Roman"/>
        </w:rPr>
        <w:t xml:space="preserve"> riešilo v hodnotenom období 11 prípadov, ktoré sa týkali nesprávnej aplikácie práva EÚ v SR, čo predstavuje 100 % nárast prípadov v porovnaní s predchádzajúcim rokom. Riešilo 56 prípadov, ktoré odovzdalo na riešenie vedúcemu SOLVIT centru v inom členskom štáte. Najviac problémov bolo z oblasti sociálneho zabezpečenia, uznávania odborných kvalifikácií a vydávania povolení k pobytu pre ich rodinných príslušníkov občanov tretích krajín. Už niekoľko rokov občania SR čelia problémom súvisiacim s nenáležitým uplatňovaním práva EÚ v zahraničí, pričom cudzincom v SR nie sú natoľko odopierané ich práva, ktoré vyplývajú z jednotného trhu v rámci EÚ, orgánmi verejnej správy v SR.</w:t>
      </w:r>
    </w:p>
    <w:p w:rsidR="000C0368" w:rsidP="000C0368">
      <w:pPr>
        <w:bidi w:val="0"/>
        <w:spacing w:line="240" w:lineRule="atLeast"/>
        <w:ind w:firstLine="708"/>
        <w:jc w:val="both"/>
        <w:rPr>
          <w:rFonts w:ascii="Times New Roman" w:hAnsi="Times New Roman"/>
          <w:bCs/>
        </w:rPr>
      </w:pPr>
      <w:r>
        <w:rPr>
          <w:rFonts w:ascii="Times New Roman" w:hAnsi="Times New Roman"/>
        </w:rPr>
        <w:t xml:space="preserve">Od septembra 2010 SR dobrovoľne participuje na systéme </w:t>
      </w:r>
      <w:r w:rsidRPr="0096479D">
        <w:rPr>
          <w:rFonts w:ascii="Times New Roman" w:hAnsi="Times New Roman"/>
          <w:b/>
        </w:rPr>
        <w:t>EU Pilot</w:t>
      </w:r>
      <w:r>
        <w:rPr>
          <w:rFonts w:ascii="Times New Roman" w:hAnsi="Times New Roman"/>
        </w:rPr>
        <w:t>, ktorý bol vytvorený Európskou komisiou za účelom rýchlejšej a lepšej vzájomnej výmeny informácií pri riešení sťažností alebo dožiadaní v predsúdnej fáze. V tomto systéme bolo voči SR do 30.4.2011 otvorených 24 prípadov z rôznych oblastí aplikácie práva EÚ, najmä z oblasti životného prostredia a vnútorného trhu.</w:t>
      </w:r>
    </w:p>
    <w:p w:rsidR="000C0368" w:rsidP="000C0368">
      <w:pPr>
        <w:bidi w:val="0"/>
        <w:jc w:val="center"/>
        <w:rPr>
          <w:rFonts w:ascii="Times New Roman" w:hAnsi="Times New Roman"/>
          <w:b/>
        </w:rPr>
      </w:pPr>
    </w:p>
    <w:p w:rsidR="000C0368" w:rsidP="000C0368">
      <w:pPr>
        <w:bidi w:val="0"/>
        <w:jc w:val="center"/>
        <w:rPr>
          <w:rFonts w:ascii="Times New Roman" w:hAnsi="Times New Roman"/>
          <w:b/>
        </w:rPr>
      </w:pPr>
      <w:r>
        <w:rPr>
          <w:rFonts w:ascii="Times New Roman" w:hAnsi="Times New Roman"/>
          <w:b/>
        </w:rPr>
        <w:t>ZAMESTNANOSŤ, SOCIÁLNA POLITIKA, ZDRAVOTNÍCTVO A SPOTREBITEĽSKÉ ZÁLEŽITOSTI</w:t>
      </w:r>
    </w:p>
    <w:p w:rsidR="000C0368" w:rsidP="000C0368">
      <w:pPr>
        <w:bidi w:val="0"/>
        <w:rPr>
          <w:rFonts w:ascii="Times New Roman" w:hAnsi="Times New Roman"/>
        </w:rPr>
      </w:pPr>
    </w:p>
    <w:p w:rsidR="000C0368" w:rsidP="000C0368">
      <w:pPr>
        <w:bidi w:val="0"/>
        <w:rPr>
          <w:rFonts w:ascii="Times New Roman" w:hAnsi="Times New Roman"/>
        </w:rPr>
      </w:pPr>
      <w:r>
        <w:rPr>
          <w:rFonts w:ascii="Times New Roman" w:hAnsi="Times New Roman"/>
          <w:b/>
        </w:rPr>
        <w:t>Zamestnanosť a sociálna politika</w:t>
      </w:r>
    </w:p>
    <w:p w:rsidR="000C0368" w:rsidP="000C0368">
      <w:pPr>
        <w:bidi w:val="0"/>
        <w:ind w:firstLine="708"/>
        <w:jc w:val="both"/>
        <w:rPr>
          <w:rFonts w:ascii="Times New Roman" w:hAnsi="Times New Roman"/>
        </w:rPr>
      </w:pPr>
      <w:r>
        <w:rPr>
          <w:rFonts w:ascii="Times New Roman" w:hAnsi="Times New Roman"/>
        </w:rPr>
        <w:t xml:space="preserve">V priebehu roka 2010 sa SR aktívne zapojila do prípravy smerníc v rámci </w:t>
      </w:r>
      <w:r w:rsidRPr="00377AC9">
        <w:rPr>
          <w:rFonts w:ascii="Times New Roman" w:hAnsi="Times New Roman"/>
          <w:b/>
        </w:rPr>
        <w:t>Plánu politiky legálnej migrácie</w:t>
      </w:r>
      <w:r>
        <w:rPr>
          <w:rFonts w:ascii="Times New Roman" w:hAnsi="Times New Roman"/>
        </w:rPr>
        <w:t>. Intenzívne pracovala na transpozícii smernice o podmienkach vstupu a pobytu štátnych príslušníkov tretích krajín za účelom zamestnávania vysokokvalifikovaných pracovníkov a smernice o stanovení minimálnych noriem pre sankcie a opatrenia voči zamestnávateľom príslušníkov tretích krajín, ktorí sa neoprávnene zdržiavajú na území členských štátov.</w:t>
      </w:r>
      <w:r w:rsidRPr="00F33DF5">
        <w:rPr>
          <w:rFonts w:ascii="Times New Roman" w:hAnsi="Times New Roman"/>
        </w:rPr>
        <w:t xml:space="preserve"> </w:t>
      </w:r>
      <w:r>
        <w:rPr>
          <w:rFonts w:ascii="Times New Roman" w:hAnsi="Times New Roman"/>
        </w:rPr>
        <w:t xml:space="preserve">Míľnikom je nadobudnutie platnosti nariadení </w:t>
      </w:r>
      <w:r w:rsidRPr="00377AC9">
        <w:rPr>
          <w:rFonts w:ascii="Times New Roman" w:hAnsi="Times New Roman"/>
          <w:b/>
        </w:rPr>
        <w:t>o koordinácii systémov sociálneho zabezpečenia</w:t>
      </w:r>
      <w:r>
        <w:rPr>
          <w:rFonts w:ascii="Times New Roman" w:hAnsi="Times New Roman"/>
        </w:rPr>
        <w:t xml:space="preserve"> (od 1.5.2010), ktoré zabezpečili zjednodušenie a modernejšiu formu komunikácie medzi príslušnými inštitúciami členských štátov. Zohľadnili vo svojich ustanoveniach predchádzajúcu judikatúru Európskeho súdneho dvora. Aj napriek krátkej dobe, počas ktorej sa obe nariadenia vykonávajú, sa v roku 2011 na expertnej úrovni začala príprava ich novelizácii.</w:t>
      </w:r>
    </w:p>
    <w:p w:rsidR="000C0368" w:rsidP="000C0368">
      <w:pPr>
        <w:bidi w:val="0"/>
        <w:ind w:firstLine="708"/>
        <w:jc w:val="both"/>
        <w:rPr>
          <w:rFonts w:ascii="Times New Roman" w:hAnsi="Times New Roman"/>
        </w:rPr>
      </w:pPr>
      <w:r>
        <w:rPr>
          <w:rFonts w:ascii="Times New Roman" w:hAnsi="Times New Roman"/>
        </w:rPr>
        <w:t xml:space="preserve">V oblasti pracovnej legislatívy bola kľúčovou </w:t>
      </w:r>
      <w:r w:rsidRPr="00377AC9">
        <w:rPr>
          <w:rFonts w:ascii="Times New Roman" w:hAnsi="Times New Roman"/>
          <w:b/>
        </w:rPr>
        <w:t>smernica o rodičovskej dovolenke</w:t>
      </w:r>
      <w:r>
        <w:rPr>
          <w:rFonts w:ascii="Times New Roman" w:hAnsi="Times New Roman"/>
        </w:rPr>
        <w:t xml:space="preserve">, ktorá prispela k zosúladeniu pracovného a rodinného života, a ktorú sa už podarilo z veľkej časti prebrať do legislatívy SR. </w:t>
      </w:r>
      <w:r w:rsidRPr="00377AC9">
        <w:rPr>
          <w:rFonts w:ascii="Times New Roman" w:hAnsi="Times New Roman"/>
          <w:b/>
        </w:rPr>
        <w:t>Smernica o prevencii poranení ostrými predmetmi v nemocničnom a zdravotníckom sektore</w:t>
      </w:r>
      <w:r>
        <w:rPr>
          <w:rFonts w:ascii="Times New Roman" w:hAnsi="Times New Roman"/>
        </w:rPr>
        <w:t>, podobne ako pri smernici o rodičovskej dovolenke, bola druhým príkladom, kde najprv európski sociálni partneri prijali svoju autonómnu dohodu v týchto veciach a až následne sa prijala smernica Rady. Transpozícia tejto smernice sa v súčasnosti pripravuje.</w:t>
      </w:r>
    </w:p>
    <w:p w:rsidR="000C0368" w:rsidP="000C0368">
      <w:pPr>
        <w:bidi w:val="0"/>
        <w:ind w:firstLine="708"/>
        <w:jc w:val="both"/>
        <w:rPr>
          <w:rFonts w:ascii="Times New Roman" w:hAnsi="Times New Roman"/>
        </w:rPr>
      </w:pPr>
      <w:r>
        <w:rPr>
          <w:rFonts w:ascii="Times New Roman" w:hAnsi="Times New Roman"/>
        </w:rPr>
        <w:t xml:space="preserve">Počas negociácií o návrhu </w:t>
      </w:r>
      <w:r w:rsidRPr="00377AC9">
        <w:rPr>
          <w:rFonts w:ascii="Times New Roman" w:hAnsi="Times New Roman"/>
          <w:b/>
        </w:rPr>
        <w:t>smernice o materskej dovolenke</w:t>
      </w:r>
      <w:r>
        <w:rPr>
          <w:rFonts w:ascii="Times New Roman" w:hAnsi="Times New Roman"/>
        </w:rPr>
        <w:t xml:space="preserve"> SR spolu s ďalšími siedmimi štátmi </w:t>
      </w:r>
      <w:r w:rsidRPr="00830B7B">
        <w:rPr>
          <w:rFonts w:ascii="Times New Roman" w:hAnsi="Times New Roman"/>
          <w:b/>
        </w:rPr>
        <w:t>vyjadrila nesúhlas s návrhmi EP</w:t>
      </w:r>
      <w:r>
        <w:rPr>
          <w:rFonts w:ascii="Times New Roman" w:hAnsi="Times New Roman"/>
        </w:rPr>
        <w:t xml:space="preserve">, ktoré porušili princíp subsidiarity. K návrhu materskej smernice sa zatiaľ podobne ako pri návrhu antidiskriminačnej smernice neprijala žiadna politická dohoda ministrov. Negociácie budú ešte témou niekoľkých nasledujúcich predsedníctiev. </w:t>
      </w:r>
      <w:r w:rsidRPr="00903FCA">
        <w:rPr>
          <w:rFonts w:ascii="Times New Roman" w:hAnsi="Times New Roman" w:cs="Calibri"/>
        </w:rPr>
        <w:t>Návrh antidiskriminačnej smernice treba prijať jednomyseľne. Cieľom návrhu antidiskriminačnej smernice je rozšíriť ochranu pred diskrimináciou na základe náboženského vyznania alebo viery, zdravotného postihnutia, veku alebo sexuálnej orientácie na oblasti mimo zamestnania. Tento návrh dopĺňa existujúci právny rámec EÚ, podľa ktorého sa zákaz diskriminácie na základe uvedených diskriminačných dôvodov uplatňuje iba na zamestnanie, povolanie alebo odborné vzdelávanie.</w:t>
      </w:r>
      <w:r w:rsidRPr="001C1EC9">
        <w:rPr>
          <w:rFonts w:ascii="Times New Roman" w:hAnsi="Times New Roman" w:cs="Calibri"/>
          <w:sz w:val="20"/>
          <w:szCs w:val="20"/>
        </w:rPr>
        <w:t xml:space="preserve"> </w:t>
      </w:r>
      <w:r>
        <w:rPr>
          <w:rFonts w:ascii="Times New Roman" w:hAnsi="Times New Roman"/>
        </w:rPr>
        <w:t xml:space="preserve">K iniciatíve zosúlaďovania pracovného a súkromného života v kontexte demografických zmien by mali prispieť aj závery Rady, do ktorých sa podarilo presadiť aj iniciatívne stanovisko SR, aby </w:t>
      </w:r>
      <w:r w:rsidRPr="00377AC9">
        <w:rPr>
          <w:rFonts w:ascii="Times New Roman" w:hAnsi="Times New Roman"/>
          <w:b/>
        </w:rPr>
        <w:t>EÚ výslovne zdôraznila aj úlohu muža</w:t>
      </w:r>
      <w:r>
        <w:rPr>
          <w:rFonts w:ascii="Times New Roman" w:hAnsi="Times New Roman"/>
        </w:rPr>
        <w:t>, ktorá je rovnako dôležitá ako úloha ženy.</w:t>
      </w:r>
    </w:p>
    <w:p w:rsidR="000C0368" w:rsidP="000C0368">
      <w:pPr>
        <w:bidi w:val="0"/>
        <w:ind w:firstLine="708"/>
        <w:jc w:val="both"/>
        <w:rPr>
          <w:rFonts w:ascii="Times New Roman" w:hAnsi="Times New Roman"/>
        </w:rPr>
      </w:pPr>
      <w:r>
        <w:rPr>
          <w:rFonts w:ascii="Times New Roman" w:hAnsi="Times New Roman"/>
        </w:rPr>
        <w:t xml:space="preserve">Usmernenia pre </w:t>
      </w:r>
      <w:r w:rsidRPr="00377AC9">
        <w:rPr>
          <w:rFonts w:ascii="Times New Roman" w:hAnsi="Times New Roman"/>
          <w:b/>
        </w:rPr>
        <w:t>politiky zamestnanosti členských štátov</w:t>
      </w:r>
      <w:r>
        <w:rPr>
          <w:rFonts w:ascii="Times New Roman" w:hAnsi="Times New Roman"/>
          <w:b/>
        </w:rPr>
        <w:t>,</w:t>
      </w:r>
      <w:r>
        <w:rPr>
          <w:rFonts w:ascii="Times New Roman" w:hAnsi="Times New Roman"/>
        </w:rPr>
        <w:t xml:space="preserve"> schválené Radou v roku 2010 sú platné aj pre rok 2011: zvyšovanie účasti žien a mužov na trhu práce, znižovanie štrukturálnej nezamestnanosti a podpora kvality pracovných miest, Rozvoj kvalifikovanej pracovnej sily zodpovedajúcej potrebám trhu práce a podpora celoživotného vzdelávania, zlepšovanie kvality a výkonnosti systémov vzdelávania a odbornej prípravy na všetkých úrovniach a zvyšovanie účasti na terciárnom alebo rovnocennom vzdelávaní a podpora sociálneho začlenenia a boj proti chudobe.</w:t>
      </w:r>
    </w:p>
    <w:p w:rsidR="000C0368" w:rsidP="000C0368">
      <w:pPr>
        <w:bidi w:val="0"/>
        <w:jc w:val="both"/>
        <w:outlineLvl w:val="0"/>
        <w:rPr>
          <w:rFonts w:ascii="Times New Roman" w:hAnsi="Times New Roman"/>
          <w:b/>
        </w:rPr>
      </w:pPr>
    </w:p>
    <w:p w:rsidR="000C0368" w:rsidP="000C0368">
      <w:pPr>
        <w:bidi w:val="0"/>
        <w:jc w:val="both"/>
        <w:outlineLvl w:val="0"/>
        <w:rPr>
          <w:rFonts w:ascii="Times New Roman" w:hAnsi="Times New Roman"/>
          <w:b/>
        </w:rPr>
      </w:pPr>
      <w:r>
        <w:rPr>
          <w:rFonts w:ascii="Times New Roman" w:hAnsi="Times New Roman"/>
          <w:b/>
        </w:rPr>
        <w:t>Zdravotníctvo a spotrebitelia</w:t>
      </w:r>
    </w:p>
    <w:p w:rsidR="000C0368" w:rsidP="000C0368">
      <w:pPr>
        <w:bidi w:val="0"/>
        <w:ind w:firstLine="708"/>
        <w:jc w:val="both"/>
        <w:rPr>
          <w:rFonts w:ascii="Times New Roman" w:hAnsi="Times New Roman"/>
        </w:rPr>
      </w:pPr>
      <w:r>
        <w:rPr>
          <w:rFonts w:ascii="Times New Roman" w:hAnsi="Times New Roman"/>
        </w:rPr>
        <w:t xml:space="preserve">V marci 2011 bola po 33 mesiacoch schvaľovacieho procesu schválená </w:t>
      </w:r>
      <w:r w:rsidRPr="00DF1F11">
        <w:rPr>
          <w:rFonts w:ascii="Times New Roman" w:hAnsi="Times New Roman"/>
          <w:b/>
        </w:rPr>
        <w:t>smernica o uplatňovaní práv pacientov pri cezhraničnej zdravotnej starostlivosti</w:t>
      </w:r>
      <w:r>
        <w:rPr>
          <w:rFonts w:ascii="Times New Roman" w:hAnsi="Times New Roman"/>
        </w:rPr>
        <w:t xml:space="preserve">, ktorá zrovnoprávnila pacientov iných členských štátov s domácimi. Smernica uľahčí užšiu spoluprácu zdravotníckych orgánov a výmenu informácií o kvalitatívnych a bezpečnostných normách v oblasti zdravotnej starostlivosti. Podporuje sa ňou rozvoj tzv. európskych referenčných sietí, v rámci ktorých sa na dobrovoľnej báze prepájajú uznávané špecializované odborné strediská, čo prispeje k zvyšovaniu úrovne poskytovanej zdravotnej starostlivosti. </w:t>
      </w:r>
    </w:p>
    <w:p w:rsidR="000C0368" w:rsidP="000C0368">
      <w:pPr>
        <w:bidi w:val="0"/>
        <w:ind w:firstLine="708"/>
        <w:jc w:val="both"/>
        <w:rPr>
          <w:rFonts w:ascii="Times New Roman" w:hAnsi="Times New Roman"/>
        </w:rPr>
      </w:pPr>
      <w:r>
        <w:rPr>
          <w:rFonts w:ascii="Times New Roman" w:hAnsi="Times New Roman"/>
        </w:rPr>
        <w:t xml:space="preserve">Aj v siedmom roku členstva sa SR aktívne zapájala do výziev druhého programu Spoločenstva v oblasti zdravia na roky 2008 – 2013, ktorý je nástrojom slúžiacim na implementáciu </w:t>
      </w:r>
      <w:r w:rsidRPr="00DF1F11">
        <w:rPr>
          <w:rFonts w:ascii="Times New Roman" w:hAnsi="Times New Roman"/>
          <w:b/>
        </w:rPr>
        <w:t>Zdravotnej stratégie EÚ</w:t>
      </w:r>
      <w:r>
        <w:rPr>
          <w:rFonts w:ascii="Times New Roman" w:hAnsi="Times New Roman"/>
        </w:rPr>
        <w:t xml:space="preserve">. Zo 17 projektových návrhov slovenských inštitúcií bolo úspešných 9 projektových návrhov </w:t>
      </w:r>
      <w:r w:rsidRPr="00D975C1">
        <w:rPr>
          <w:rFonts w:ascii="Times New Roman" w:hAnsi="Times New Roman"/>
          <w:i/>
        </w:rPr>
        <w:t>(slovenské subjekty sa stali asociovanými partnermi v 5 spoločných akciách a v rámci 4 projektov).</w:t>
      </w:r>
      <w:r>
        <w:rPr>
          <w:rFonts w:ascii="Times New Roman" w:hAnsi="Times New Roman"/>
        </w:rPr>
        <w:t xml:space="preserve">V rámci operačného programu Zdravotníctvo pokračovala realizácia investičných projektov modernizácie infraštruktúry nemocníc, polikliník a zdravotných stredísk vrátane národného projektu Dobudovanie infraštruktúry NTS SR(Národných transfúznych staníc SR). Operačný program </w:t>
      </w:r>
      <w:r w:rsidRPr="00DF1F11">
        <w:rPr>
          <w:rFonts w:ascii="Times New Roman" w:hAnsi="Times New Roman"/>
          <w:b/>
        </w:rPr>
        <w:t xml:space="preserve">Zdravotníctvo </w:t>
      </w:r>
      <w:r>
        <w:rPr>
          <w:rFonts w:ascii="Times New Roman" w:hAnsi="Times New Roman"/>
          <w:b/>
        </w:rPr>
        <w:t xml:space="preserve">je </w:t>
      </w:r>
      <w:r w:rsidRPr="00DF1F11">
        <w:rPr>
          <w:rFonts w:ascii="Times New Roman" w:hAnsi="Times New Roman"/>
          <w:b/>
        </w:rPr>
        <w:t>aktuálne najúspešnejším operačným programom</w:t>
      </w:r>
      <w:r>
        <w:rPr>
          <w:rFonts w:ascii="Times New Roman" w:hAnsi="Times New Roman"/>
        </w:rPr>
        <w:t xml:space="preserve"> v SR – 96% zazmluvnenej a 24% čerpanej alokácie.</w:t>
      </w:r>
    </w:p>
    <w:p w:rsidR="000C0368" w:rsidP="000C0368">
      <w:pPr>
        <w:bidi w:val="0"/>
        <w:ind w:firstLine="708"/>
        <w:jc w:val="both"/>
        <w:rPr>
          <w:rFonts w:ascii="Times New Roman" w:hAnsi="Times New Roman"/>
        </w:rPr>
      </w:pPr>
      <w:r>
        <w:rPr>
          <w:rFonts w:ascii="Times New Roman" w:hAnsi="Times New Roman"/>
        </w:rPr>
        <w:t xml:space="preserve">V záujme ochrany verejného zdravia bolo realizované celoročné </w:t>
      </w:r>
      <w:r w:rsidRPr="00DF1F11">
        <w:rPr>
          <w:rFonts w:ascii="Times New Roman" w:hAnsi="Times New Roman"/>
          <w:b/>
        </w:rPr>
        <w:t>monitorovanie infekčných ochorení</w:t>
      </w:r>
      <w:r>
        <w:rPr>
          <w:rFonts w:ascii="Times New Roman" w:hAnsi="Times New Roman"/>
        </w:rPr>
        <w:t xml:space="preserve"> a boli vykonávané opatrenia na zabránenie ich šíreniu aj v rámci európskeho systému rýchleho varovania a odpovede (EWRS). V oblasti hygieny výživy a bezpečnosti potravín sa v sledovanom období zabezpečovala transpozícia smerníc do príslušnej národnej legislatívy, čo prispelo k uľahčeniu voľného obehu tovaru. Podstatná časť európskej legislatívy v tejto oblasti vychádzala v podobe nariadení, čo umožnilo ich jednoduchšiu implementáciu bez nutnosti ich transpozície. </w:t>
      </w:r>
    </w:p>
    <w:p w:rsidR="000C0368" w:rsidRPr="00E2030B" w:rsidP="000C0368">
      <w:pPr>
        <w:bidi w:val="0"/>
        <w:ind w:firstLine="708"/>
        <w:jc w:val="both"/>
        <w:rPr>
          <w:rFonts w:ascii="Times New Roman" w:hAnsi="Times New Roman"/>
        </w:rPr>
      </w:pPr>
      <w:r>
        <w:rPr>
          <w:rFonts w:ascii="Times New Roman" w:hAnsi="Times New Roman"/>
        </w:rPr>
        <w:t xml:space="preserve">Sledované obdobie prinieslo predovšetkým </w:t>
      </w:r>
      <w:r w:rsidRPr="00DF1F11">
        <w:rPr>
          <w:rFonts w:ascii="Times New Roman" w:hAnsi="Times New Roman"/>
          <w:b/>
        </w:rPr>
        <w:t>finalizáciu rokovaní o možnosti uplatniť maximálnu harmonizáciu v spotrebiteľských vzťahoch</w:t>
      </w:r>
      <w:r>
        <w:rPr>
          <w:rFonts w:ascii="Times New Roman" w:hAnsi="Times New Roman"/>
        </w:rPr>
        <w:t xml:space="preserve"> s cieľom odstrániť bariéry na vnútornom trhu. Stratégia spotrebiteľskej politiky sa zameriava na dosiahnutie integrovanejšieho a účinnejšieho vnútorného trhu a vyššej úrovne ochrany spotrebiteľov. Prioritou pre roky 2010 a 2011 bolo systémové zabezpečenie ochrany spotrebiteľa a vytvorenie prehľadnejšieho právneho rámca pre spotrebiteľov i predávajúcich. Naďalej sa presadzovala spoločná európska politika ochrany spotrebiteľov pred nebezpečnými výrobkami. </w:t>
      </w:r>
    </w:p>
    <w:p w:rsidR="000C0368" w:rsidP="000C0368">
      <w:pPr>
        <w:autoSpaceDE w:val="0"/>
        <w:autoSpaceDN w:val="0"/>
        <w:bidi w:val="0"/>
        <w:adjustRightInd w:val="0"/>
        <w:ind w:firstLine="708"/>
        <w:jc w:val="both"/>
        <w:rPr>
          <w:rFonts w:ascii="Times New Roman" w:hAnsi="Times New Roman"/>
        </w:rPr>
      </w:pPr>
      <w:r>
        <w:rPr>
          <w:rFonts w:ascii="Times New Roman" w:hAnsi="Times New Roman"/>
        </w:rPr>
        <w:t xml:space="preserve">V nadchádzajúcom období bude potrebné zamerať sa na </w:t>
      </w:r>
      <w:r w:rsidRPr="00DF1F11">
        <w:rPr>
          <w:rFonts w:ascii="Times New Roman" w:hAnsi="Times New Roman"/>
          <w:b/>
        </w:rPr>
        <w:t>efektívne vzdelávanie spotrebiteľov</w:t>
      </w:r>
      <w:r>
        <w:rPr>
          <w:rFonts w:ascii="Times New Roman" w:hAnsi="Times New Roman"/>
        </w:rPr>
        <w:t xml:space="preserve"> a zvýšenie ich informovanosti a právneho povedomia, vytvorenie dobre štruktúrovaného právneho rámca najmä v oblasti ochrany pred nebezpečnými výrobkami a zefektívnenie inštitútu mimosúdneho riešenia spotrebiteľských sporov, najmä mediácie a návrhu nástroja vytvárajúceho tzv. druhý režim pre oblasť zmluvného práva (v prvej fáze sa bude obmedzovať asi iba na kúpno-predajné zmluvy medzi podnikateľom a spotrebiteľom), ktorý by mal byť predložený na jeseň 2011. </w:t>
      </w:r>
    </w:p>
    <w:p w:rsidR="000C0368" w:rsidP="000C0368">
      <w:pPr>
        <w:bidi w:val="0"/>
        <w:rPr>
          <w:rFonts w:ascii="Times New Roman" w:hAnsi="Times New Roman"/>
        </w:rPr>
      </w:pPr>
    </w:p>
    <w:p w:rsidR="000C0368" w:rsidP="000C0368">
      <w:pPr>
        <w:bidi w:val="0"/>
        <w:jc w:val="center"/>
        <w:outlineLvl w:val="0"/>
        <w:rPr>
          <w:rFonts w:ascii="Times New Roman" w:hAnsi="Times New Roman"/>
          <w:b/>
        </w:rPr>
      </w:pPr>
      <w:r>
        <w:rPr>
          <w:rFonts w:ascii="Times New Roman" w:hAnsi="Times New Roman"/>
          <w:b/>
        </w:rPr>
        <w:t>KONKURENCIESCHOPNOSŤ</w:t>
      </w:r>
    </w:p>
    <w:p w:rsidR="000C0368" w:rsidP="000C0368">
      <w:pPr>
        <w:bidi w:val="0"/>
        <w:jc w:val="both"/>
        <w:outlineLvl w:val="0"/>
        <w:rPr>
          <w:rFonts w:ascii="Times New Roman" w:hAnsi="Times New Roman"/>
        </w:rPr>
      </w:pPr>
    </w:p>
    <w:p w:rsidR="000C0368" w:rsidP="000C0368">
      <w:pPr>
        <w:pStyle w:val="Odsekzoznamu"/>
        <w:bidi w:val="0"/>
        <w:ind w:left="0"/>
        <w:rPr>
          <w:rFonts w:ascii="Times New Roman" w:hAnsi="Times New Roman"/>
          <w:b/>
        </w:rPr>
      </w:pPr>
      <w:r>
        <w:rPr>
          <w:rFonts w:ascii="Times New Roman" w:hAnsi="Times New Roman"/>
          <w:b/>
        </w:rPr>
        <w:t>Trvalo udržateľný rozvoj</w:t>
      </w:r>
    </w:p>
    <w:p w:rsidR="000C0368" w:rsidP="000C0368">
      <w:pPr>
        <w:bidi w:val="0"/>
        <w:ind w:firstLine="708"/>
        <w:jc w:val="both"/>
        <w:rPr>
          <w:rFonts w:ascii="Times New Roman" w:hAnsi="Times New Roman"/>
        </w:rPr>
      </w:pPr>
      <w:r>
        <w:rPr>
          <w:rFonts w:ascii="Times New Roman" w:hAnsi="Times New Roman"/>
        </w:rPr>
        <w:t xml:space="preserve">V súčasnosti sa pripravuje </w:t>
      </w:r>
      <w:r w:rsidRPr="005D61EF">
        <w:rPr>
          <w:rFonts w:ascii="Times New Roman" w:hAnsi="Times New Roman"/>
          <w:b/>
        </w:rPr>
        <w:t>revízia Akčného plánu trvalo udržateľného rozvoja</w:t>
      </w:r>
      <w:r>
        <w:rPr>
          <w:rFonts w:ascii="Times New Roman" w:hAnsi="Times New Roman"/>
        </w:rPr>
        <w:t xml:space="preserve"> (TUR) Sloven</w:t>
      </w:r>
      <w:smartTag w:uri="urn:schemas-microsoft-com:office:smarttags" w:element="PersonName">
        <w:r>
          <w:rPr>
            <w:rFonts w:ascii="Times New Roman" w:hAnsi="Times New Roman"/>
          </w:rPr>
          <w:t>sk</w:t>
        </w:r>
      </w:smartTag>
      <w:r>
        <w:rPr>
          <w:rFonts w:ascii="Times New Roman" w:hAnsi="Times New Roman"/>
        </w:rPr>
        <w:t>ej republiky (2005-2010) ako priebežného rozpracovania Národnej stratégie trvalo udržateľného rozvoja SR.</w:t>
      </w:r>
    </w:p>
    <w:p w:rsidR="000C0368" w:rsidP="000C0368">
      <w:pPr>
        <w:bidi w:val="0"/>
        <w:ind w:firstLine="360"/>
        <w:jc w:val="both"/>
        <w:rPr>
          <w:rFonts w:ascii="Times New Roman" w:hAnsi="Times New Roman"/>
        </w:rPr>
      </w:pPr>
      <w:r w:rsidRPr="005D61EF">
        <w:rPr>
          <w:rFonts w:ascii="Times New Roman" w:hAnsi="Times New Roman"/>
          <w:b/>
        </w:rPr>
        <w:t>Prioritami</w:t>
      </w:r>
      <w:r>
        <w:rPr>
          <w:rFonts w:ascii="Times New Roman" w:hAnsi="Times New Roman"/>
        </w:rPr>
        <w:t xml:space="preserve"> TUR, ktorým je potrebné v budúcnosti venovať vyššiu pozornosť sú najmä:</w:t>
      </w:r>
    </w:p>
    <w:p w:rsidR="000C0368" w:rsidP="000C0368">
      <w:pPr>
        <w:numPr>
          <w:numId w:val="45"/>
        </w:numPr>
        <w:tabs>
          <w:tab w:val="left" w:pos="720"/>
        </w:tabs>
        <w:overflowPunct w:val="0"/>
        <w:autoSpaceDE w:val="0"/>
        <w:autoSpaceDN w:val="0"/>
        <w:bidi w:val="0"/>
        <w:adjustRightInd w:val="0"/>
        <w:jc w:val="both"/>
        <w:outlineLvl w:val="5"/>
        <w:rPr>
          <w:rFonts w:ascii="Times New Roman" w:hAnsi="Times New Roman"/>
        </w:rPr>
      </w:pPr>
      <w:r>
        <w:rPr>
          <w:rFonts w:ascii="Times New Roman" w:hAnsi="Times New Roman"/>
        </w:rPr>
        <w:t>posilnenie environmentálnych aspektov TUR v jednotlivých sektorových politikách s dôrazom na environmentálne, sociálne a ekonomické dopady zmeny klímy v spojení s vytváraním vhodných a účinných krajinno-ekologických opatrení zameraných na predchádzanie vzniku povodní,</w:t>
      </w:r>
    </w:p>
    <w:p w:rsidR="000C0368" w:rsidP="000C0368">
      <w:pPr>
        <w:numPr>
          <w:numId w:val="45"/>
        </w:numPr>
        <w:tabs>
          <w:tab w:val="left" w:pos="720"/>
        </w:tabs>
        <w:overflowPunct w:val="0"/>
        <w:autoSpaceDE w:val="0"/>
        <w:autoSpaceDN w:val="0"/>
        <w:bidi w:val="0"/>
        <w:adjustRightInd w:val="0"/>
        <w:jc w:val="both"/>
        <w:outlineLvl w:val="5"/>
        <w:rPr>
          <w:rFonts w:ascii="Times New Roman" w:hAnsi="Times New Roman"/>
        </w:rPr>
      </w:pPr>
      <w:r>
        <w:rPr>
          <w:rFonts w:ascii="Times New Roman" w:hAnsi="Times New Roman"/>
        </w:rPr>
        <w:t>nové opatrenia zamerané na zlepšovanie zdravia a zvyšovanie kvality života obyvateľstva, na účinnejšiu ochranu a efektívnejšie využívanie a ohodnocovanie biodiverzity a ekosystémových služieb,</w:t>
      </w:r>
    </w:p>
    <w:p w:rsidR="000C0368" w:rsidP="000C0368">
      <w:pPr>
        <w:numPr>
          <w:numId w:val="45"/>
        </w:numPr>
        <w:tabs>
          <w:tab w:val="left" w:pos="720"/>
        </w:tabs>
        <w:overflowPunct w:val="0"/>
        <w:autoSpaceDE w:val="0"/>
        <w:autoSpaceDN w:val="0"/>
        <w:bidi w:val="0"/>
        <w:adjustRightInd w:val="0"/>
        <w:jc w:val="both"/>
        <w:outlineLvl w:val="5"/>
        <w:rPr>
          <w:rFonts w:ascii="Times New Roman" w:hAnsi="Times New Roman"/>
        </w:rPr>
      </w:pPr>
      <w:r>
        <w:rPr>
          <w:rFonts w:ascii="Times New Roman" w:hAnsi="Times New Roman"/>
        </w:rPr>
        <w:t>zabezpečenie kontinuálneho a komplexného systému environmentálnej výchovy a vzdelávania, smerujúci k zvyšovaniu zodpovednosti/povedomia a následne k zmene spotrebiteľ</w:t>
      </w:r>
      <w:smartTag w:uri="urn:schemas-microsoft-com:office:smarttags" w:element="PersonName">
        <w:r>
          <w:rPr>
            <w:rFonts w:ascii="Times New Roman" w:hAnsi="Times New Roman"/>
          </w:rPr>
          <w:t>sk</w:t>
        </w:r>
      </w:smartTag>
      <w:r>
        <w:rPr>
          <w:rFonts w:ascii="Times New Roman" w:hAnsi="Times New Roman"/>
        </w:rPr>
        <w:t>ého správania,</w:t>
      </w:r>
    </w:p>
    <w:p w:rsidR="000C0368" w:rsidP="000C0368">
      <w:pPr>
        <w:numPr>
          <w:numId w:val="45"/>
        </w:numPr>
        <w:tabs>
          <w:tab w:val="left" w:pos="720"/>
        </w:tabs>
        <w:overflowPunct w:val="0"/>
        <w:autoSpaceDE w:val="0"/>
        <w:autoSpaceDN w:val="0"/>
        <w:bidi w:val="0"/>
        <w:adjustRightInd w:val="0"/>
        <w:jc w:val="both"/>
        <w:outlineLvl w:val="5"/>
        <w:rPr>
          <w:rFonts w:ascii="Times New Roman" w:hAnsi="Times New Roman"/>
        </w:rPr>
      </w:pPr>
      <w:r>
        <w:rPr>
          <w:rFonts w:ascii="Times New Roman" w:hAnsi="Times New Roman"/>
        </w:rPr>
        <w:t>efektívnejšie využívanie zdrojov a podpora rozvoja nízko uhlíkového hospodárstva a prechod k zelenej ekonomike.</w:t>
      </w:r>
    </w:p>
    <w:p w:rsidR="000C0368" w:rsidP="000C0368">
      <w:pPr>
        <w:bidi w:val="0"/>
        <w:jc w:val="both"/>
        <w:outlineLvl w:val="0"/>
        <w:rPr>
          <w:rFonts w:ascii="Times New Roman" w:hAnsi="Times New Roman"/>
        </w:rPr>
      </w:pPr>
    </w:p>
    <w:p w:rsidR="000C0368" w:rsidP="000C0368">
      <w:pPr>
        <w:bidi w:val="0"/>
        <w:jc w:val="both"/>
        <w:outlineLvl w:val="0"/>
        <w:rPr>
          <w:rFonts w:ascii="Times New Roman" w:hAnsi="Times New Roman"/>
          <w:b/>
        </w:rPr>
      </w:pPr>
      <w:r>
        <w:rPr>
          <w:rFonts w:ascii="Times New Roman" w:hAnsi="Times New Roman"/>
          <w:b/>
        </w:rPr>
        <w:t>Výskum, technológie a inovácie</w:t>
      </w:r>
    </w:p>
    <w:p w:rsidR="000C0368" w:rsidP="000C0368">
      <w:pPr>
        <w:bidi w:val="0"/>
        <w:ind w:firstLine="708"/>
        <w:jc w:val="both"/>
        <w:rPr>
          <w:rFonts w:ascii="Times New Roman" w:hAnsi="Times New Roman"/>
        </w:rPr>
      </w:pPr>
      <w:r w:rsidRPr="00E2030B">
        <w:rPr>
          <w:rFonts w:ascii="Times New Roman" w:hAnsi="Times New Roman"/>
        </w:rPr>
        <w:t xml:space="preserve">EÚ sa počas roku 2010 venovala </w:t>
      </w:r>
      <w:r w:rsidRPr="005D61EF">
        <w:rPr>
          <w:rFonts w:ascii="Times New Roman" w:hAnsi="Times New Roman"/>
          <w:b/>
        </w:rPr>
        <w:t>implementácii konceptu spoločného programovania vo výskume a vývoji</w:t>
      </w:r>
      <w:r w:rsidRPr="00E2030B">
        <w:rPr>
          <w:rFonts w:ascii="Times New Roman" w:hAnsi="Times New Roman"/>
        </w:rPr>
        <w:t>. SR je v súčasnosti členom prvej pilotnej iniciatívy založenej na spoločnom programovaní zameranej na výskum a vývoj v boji proti Alzheimerovej chorobe a neurodegeneratívnym chorobám.</w:t>
      </w:r>
    </w:p>
    <w:p w:rsidR="000C0368" w:rsidP="000C0368">
      <w:pPr>
        <w:bidi w:val="0"/>
        <w:ind w:firstLine="708"/>
        <w:jc w:val="both"/>
        <w:rPr>
          <w:rFonts w:ascii="Times New Roman" w:hAnsi="Times New Roman"/>
        </w:rPr>
      </w:pPr>
      <w:r w:rsidRPr="005D61EF">
        <w:rPr>
          <w:rFonts w:ascii="Times New Roman" w:hAnsi="Times New Roman"/>
          <w:b/>
        </w:rPr>
        <w:t>Národný program reforiem</w:t>
      </w:r>
      <w:r>
        <w:rPr>
          <w:rFonts w:ascii="Times New Roman" w:hAnsi="Times New Roman"/>
        </w:rPr>
        <w:t xml:space="preserve">, ktorý stanovuje národné ciele SR v súlade so stratégiou Európa 2020, zakotvuje vytvorenie transparentného systému inštitucionálneho a grantového financovania výskumu, zvýšenie súkromného financovania výskumu a vývoja a zníženie administratívneho zaťaženia pri čerpaní prostriedkov zo štrukturálnych fondov. V oblasti podpory výskumu a vývoja sa stanovuje národný cieľ vo výške 1 % HDP (úniový cieľ je 3% HDP). V tomto kontexte Európska komisia predstavila vlajkovú iniciatívu </w:t>
      </w:r>
      <w:r w:rsidRPr="005D61EF">
        <w:rPr>
          <w:rFonts w:ascii="Times New Roman" w:hAnsi="Times New Roman"/>
          <w:b/>
        </w:rPr>
        <w:t>Únia inovácií</w:t>
      </w:r>
      <w:r>
        <w:rPr>
          <w:rFonts w:ascii="Times New Roman" w:hAnsi="Times New Roman"/>
        </w:rPr>
        <w:t>, ktorej cieľom je zlepšenie rámcových podmienok a prístupu k financovaniu výskumu a inovácií.</w:t>
      </w:r>
    </w:p>
    <w:p w:rsidR="000C0368" w:rsidP="000C0368">
      <w:pPr>
        <w:autoSpaceDE w:val="0"/>
        <w:autoSpaceDN w:val="0"/>
        <w:bidi w:val="0"/>
        <w:adjustRightInd w:val="0"/>
        <w:ind w:firstLine="708"/>
        <w:jc w:val="both"/>
        <w:rPr>
          <w:rFonts w:ascii="Times New Roman" w:hAnsi="Times New Roman"/>
        </w:rPr>
      </w:pPr>
      <w:r>
        <w:rPr>
          <w:rFonts w:ascii="Times New Roman" w:hAnsi="Times New Roman"/>
        </w:rPr>
        <w:t xml:space="preserve">Jednou z hlavných tém 7. roku členstva bola </w:t>
      </w:r>
      <w:r w:rsidRPr="005D61EF">
        <w:rPr>
          <w:rFonts w:ascii="Times New Roman" w:hAnsi="Times New Roman"/>
          <w:b/>
        </w:rPr>
        <w:t xml:space="preserve">správa skupiny nezávislých expertov k strednodobému hodnoteniu </w:t>
      </w:r>
      <w:r w:rsidRPr="005D61EF">
        <w:rPr>
          <w:rFonts w:ascii="Times New Roman" w:hAnsi="Times New Roman"/>
          <w:b/>
          <w:bCs/>
        </w:rPr>
        <w:t>7. rámcového programu</w:t>
      </w:r>
      <w:r>
        <w:rPr>
          <w:rFonts w:ascii="Times New Roman" w:hAnsi="Times New Roman"/>
          <w:bCs/>
        </w:rPr>
        <w:t xml:space="preserve"> Európskeho spoločenstva pre výskum, technický rozvoj a demonštračné aktivity na roky 2007 – 2013 (7. RP), ktorý je s rozpočtom 53 miliárd EUR hlavným nástrojom EÚ na financovanie výskumu a vývoja. Správa sa osobitne venuje aj nízkej účasti krajín EÚ12, vrátane SR v projektoch 7. RP.</w:t>
      </w:r>
      <w:r>
        <w:rPr>
          <w:rFonts w:ascii="Times New Roman" w:hAnsi="Times New Roman"/>
          <w:b/>
          <w:bCs/>
        </w:rPr>
        <w:t xml:space="preserve"> </w:t>
      </w:r>
      <w:r>
        <w:rPr>
          <w:rFonts w:ascii="Times New Roman" w:hAnsi="Times New Roman"/>
        </w:rPr>
        <w:t>V tejto súvislosti Európska komisia prisľúbila, že do konca roka 2011 pripraví jeho dôkladnú analýzu a najmä návrhy konkrétnych opatrení na zlepšenie daného stavu.</w:t>
      </w:r>
    </w:p>
    <w:p w:rsidR="000C0368" w:rsidP="000C0368">
      <w:pPr>
        <w:bidi w:val="0"/>
        <w:ind w:firstLine="708"/>
        <w:jc w:val="both"/>
        <w:rPr>
          <w:rFonts w:ascii="Times New Roman" w:hAnsi="Times New Roman"/>
        </w:rPr>
      </w:pPr>
      <w:r>
        <w:rPr>
          <w:rFonts w:ascii="Times New Roman" w:hAnsi="Times New Roman"/>
        </w:rPr>
        <w:t xml:space="preserve">Jednou z kľúčových tém v oblasti výskumu a vývoja v roku 2011 bude nový </w:t>
      </w:r>
      <w:r>
        <w:rPr>
          <w:rFonts w:ascii="Times New Roman" w:hAnsi="Times New Roman"/>
          <w:bCs/>
        </w:rPr>
        <w:t xml:space="preserve">„8. rámcový program Európskeho spoločenstva pre výskum, technický rozvoj a demonštračné aktivity a 8. rámcový program EURATOM v oblasti jadrového výskumu a odbornej prípravy“ (8. RP), ktorý zadefinuje princípy financovania po roku 2013. </w:t>
      </w:r>
      <w:r>
        <w:rPr>
          <w:rFonts w:ascii="Times New Roman" w:hAnsi="Times New Roman"/>
        </w:rPr>
        <w:t xml:space="preserve">Očakáva sa, že </w:t>
      </w:r>
      <w:r w:rsidRPr="005D61EF">
        <w:rPr>
          <w:rFonts w:ascii="Times New Roman" w:hAnsi="Times New Roman"/>
          <w:b/>
        </w:rPr>
        <w:t>prvé dokumenty k príprave 8. RP zverejní Európska komisia koncom roku 2011</w:t>
      </w:r>
      <w:r>
        <w:rPr>
          <w:rFonts w:ascii="Times New Roman" w:hAnsi="Times New Roman"/>
        </w:rPr>
        <w:t>. SR pripravila predbežné stanovisko k 8. RP, ktoré predložilo na verejnú diskusiu.</w:t>
      </w:r>
    </w:p>
    <w:p w:rsidR="000C0368" w:rsidP="000C0368">
      <w:pPr>
        <w:bidi w:val="0"/>
        <w:ind w:firstLine="708"/>
        <w:jc w:val="both"/>
        <w:rPr>
          <w:rFonts w:ascii="Times New Roman" w:hAnsi="Times New Roman"/>
        </w:rPr>
      </w:pPr>
      <w:r>
        <w:rPr>
          <w:rFonts w:ascii="Times New Roman" w:hAnsi="Times New Roman"/>
        </w:rPr>
        <w:t xml:space="preserve">Najväčšou výzvou, pred ktorou SR i celá EÚ v oblastí inovácií v súčasnej dobe stojí, je </w:t>
      </w:r>
      <w:r w:rsidRPr="005D61EF">
        <w:rPr>
          <w:rFonts w:ascii="Times New Roman" w:hAnsi="Times New Roman"/>
          <w:b/>
        </w:rPr>
        <w:t>neschopnosť plne využiť a zdieľať výsledky výskumu a vývoja a následne ich premietnuť do praxe</w:t>
      </w:r>
      <w:r>
        <w:rPr>
          <w:rFonts w:ascii="Times New Roman" w:hAnsi="Times New Roman"/>
        </w:rPr>
        <w:t>. Pre zlepšenie podmienok rozvoja inovatívneho podnikania a zvýšenie inovačnej výkonnosti SR plnila opatrenia Inovačnej politiky na roky 2008 až 2010 a v súčasnosti pripravuje stratégiu na obdobie 2011-2013. Pre zlepšenie inovačného potenciálu SR je nevyhnutné riešiť otázky súvisiace s nízkou úrovňou investícii do vedy, výskumu a inovácií v pomere k vyspelým štátom EÚ, ako aj zvrátiť pokles privátnych investícií do výskumných aktivít.</w:t>
      </w:r>
    </w:p>
    <w:p w:rsidR="000C0368" w:rsidP="000C0368">
      <w:pPr>
        <w:bidi w:val="0"/>
        <w:jc w:val="both"/>
        <w:outlineLvl w:val="0"/>
        <w:rPr>
          <w:rFonts w:ascii="Times New Roman" w:hAnsi="Times New Roman"/>
        </w:rPr>
      </w:pPr>
    </w:p>
    <w:p w:rsidR="000C0368" w:rsidP="000C0368">
      <w:pPr>
        <w:bidi w:val="0"/>
        <w:jc w:val="both"/>
        <w:outlineLvl w:val="0"/>
        <w:rPr>
          <w:rFonts w:ascii="Times New Roman" w:hAnsi="Times New Roman"/>
          <w:b/>
        </w:rPr>
      </w:pPr>
      <w:r>
        <w:rPr>
          <w:rFonts w:ascii="Times New Roman" w:hAnsi="Times New Roman"/>
          <w:b/>
        </w:rPr>
        <w:t>Podpora podnikania a priemyselná politika</w:t>
      </w:r>
    </w:p>
    <w:p w:rsidR="000C0368" w:rsidP="000C0368">
      <w:pPr>
        <w:bidi w:val="0"/>
        <w:ind w:firstLine="708"/>
        <w:jc w:val="both"/>
        <w:outlineLvl w:val="0"/>
        <w:rPr>
          <w:rFonts w:ascii="Times New Roman" w:hAnsi="Times New Roman"/>
        </w:rPr>
      </w:pPr>
      <w:r>
        <w:rPr>
          <w:rFonts w:ascii="Times New Roman" w:hAnsi="Times New Roman"/>
        </w:rPr>
        <w:t xml:space="preserve">Napriek oživeniu po kríze v roku 2009 a miernemu zlepšeniu konkurenčnej schopnosti najmä priemyselnej výroby, patrí potreba </w:t>
      </w:r>
      <w:r w:rsidRPr="00FB00BC">
        <w:rPr>
          <w:rFonts w:ascii="Times New Roman" w:hAnsi="Times New Roman"/>
          <w:b/>
        </w:rPr>
        <w:t>ustanovenia novej priemyselnej politiky a snaha o riešenie problémov na komoditných trhoch a trhoch s nerastnými surovinami</w:t>
      </w:r>
      <w:r>
        <w:rPr>
          <w:rFonts w:ascii="Times New Roman" w:hAnsi="Times New Roman"/>
        </w:rPr>
        <w:t xml:space="preserve"> medzi najdôležitejšie témy prerokované počas 7. roku členstva SR v EÚ v kontexte Stratégie 2020. V rámci implementácie tzv. „Small Business Act“ bolo v roku 2010 schválené prepracované znenie smernice o boji proti oneskoreným platbám v obchodných transakciách. Po transpozícii tejto smernice sa dá očakávať zlepšenie platobnej disciplíny a zníženie druhotnej platobnej neschopnosti.</w:t>
      </w:r>
    </w:p>
    <w:p w:rsidR="000C0368" w:rsidP="000C0368">
      <w:pPr>
        <w:bidi w:val="0"/>
        <w:ind w:firstLine="708"/>
        <w:jc w:val="both"/>
        <w:outlineLvl w:val="0"/>
        <w:rPr>
          <w:rFonts w:ascii="Times New Roman" w:hAnsi="Times New Roman"/>
        </w:rPr>
      </w:pPr>
      <w:r>
        <w:rPr>
          <w:rFonts w:ascii="Times New Roman" w:hAnsi="Times New Roman"/>
        </w:rPr>
        <w:t xml:space="preserve">V oblasti chemickej legislatívy pokračovali komitologické aktivity pri </w:t>
      </w:r>
      <w:r w:rsidRPr="00FB00BC">
        <w:rPr>
          <w:rFonts w:ascii="Times New Roman" w:hAnsi="Times New Roman"/>
          <w:b/>
        </w:rPr>
        <w:t>zaraďovaní nových účinných látok pre biocídne výrobky</w:t>
      </w:r>
      <w:r>
        <w:rPr>
          <w:rFonts w:ascii="Times New Roman" w:hAnsi="Times New Roman"/>
        </w:rPr>
        <w:t xml:space="preserve"> formou smerníc Komisie, ktoré boli v podmienkach SR transponované 2 novelami nariadenia vlády SR č. 329/2007 Z. z. v znení neskorších predpisov v druhom polroku 2010. Na úrovni pracovnej skupiny Rady prebiehali rokovania o návrhu nariadenia, ktorým sa mení a dopĺňa nariadenie (ES) č. 648/2004 o používaní fosfátov a iných zlúčenín fosforu v domácich pracích práškoch (</w:t>
      </w:r>
      <w:r w:rsidRPr="003F68C2">
        <w:rPr>
          <w:rFonts w:ascii="Times New Roman" w:hAnsi="Times New Roman"/>
          <w:i/>
        </w:rPr>
        <w:t>cieľom je ich náhrada ekologickejšími a lacnejšími substitučnými látkami</w:t>
      </w:r>
      <w:r>
        <w:rPr>
          <w:rFonts w:ascii="Times New Roman" w:hAnsi="Times New Roman"/>
        </w:rPr>
        <w:t>) a návrhu nariadenia o uvádzaní prekurzorov výbušnín na trh a ich používaní. V oblasti technickej harmonizácie boli ukončené expertné rokovania o návrhu nariadenia o názvoch textílií a súvisiacom označovaní textilných výrobkov etiketami.</w:t>
      </w:r>
    </w:p>
    <w:p w:rsidR="000C0368" w:rsidP="000C0368">
      <w:pPr>
        <w:bidi w:val="0"/>
        <w:ind w:firstLine="708"/>
        <w:jc w:val="both"/>
        <w:outlineLvl w:val="0"/>
        <w:rPr>
          <w:rFonts w:ascii="Times New Roman" w:hAnsi="Times New Roman"/>
        </w:rPr>
      </w:pPr>
      <w:r>
        <w:rPr>
          <w:rFonts w:ascii="Times New Roman" w:hAnsi="Times New Roman"/>
        </w:rPr>
        <w:t xml:space="preserve">V budúcnosti sa bude potrebné sústrediť najmä na </w:t>
      </w:r>
      <w:r w:rsidRPr="00FB00BC">
        <w:rPr>
          <w:rFonts w:ascii="Times New Roman" w:hAnsi="Times New Roman"/>
          <w:b/>
        </w:rPr>
        <w:t>návrh smernice o prepojení obchodných registrov</w:t>
      </w:r>
      <w:r>
        <w:rPr>
          <w:rFonts w:ascii="Times New Roman" w:hAnsi="Times New Roman"/>
        </w:rPr>
        <w:t xml:space="preserve">, ako aj na návrh novely obchodných smerníc súvisiacich s vytvorením </w:t>
      </w:r>
      <w:r w:rsidRPr="00FB00BC">
        <w:rPr>
          <w:rFonts w:ascii="Times New Roman" w:hAnsi="Times New Roman"/>
          <w:b/>
        </w:rPr>
        <w:t>krízového riadiaceho rámca pre úverové inštitúcie</w:t>
      </w:r>
      <w:r>
        <w:rPr>
          <w:rFonts w:ascii="Times New Roman" w:hAnsi="Times New Roman"/>
        </w:rPr>
        <w:t xml:space="preserve">, ktorý môže významne zasiahnuť do existujúcich práv akcionárov. Pre podnikateľský sektor bude mať významný prínos aj schválenie </w:t>
      </w:r>
      <w:r w:rsidRPr="00C91299">
        <w:rPr>
          <w:rFonts w:ascii="Times New Roman" w:hAnsi="Times New Roman"/>
          <w:b/>
        </w:rPr>
        <w:t>návrhu nariadenia o európskej súkromnej spoločnosti</w:t>
      </w:r>
      <w:r>
        <w:rPr>
          <w:rFonts w:ascii="Times New Roman" w:hAnsi="Times New Roman"/>
        </w:rPr>
        <w:t xml:space="preserve">. Významnou iniciatívou je aj príprava viacročného pracovného programu pre oblasť práva obchodných spoločností a práce v oblasti správy a riadenia podnikov. </w:t>
      </w:r>
    </w:p>
    <w:p w:rsidR="000C0368" w:rsidP="000C0368">
      <w:pPr>
        <w:bidi w:val="0"/>
        <w:jc w:val="both"/>
        <w:outlineLvl w:val="0"/>
        <w:rPr>
          <w:rFonts w:ascii="Times New Roman" w:hAnsi="Times New Roman"/>
        </w:rPr>
      </w:pPr>
    </w:p>
    <w:p w:rsidR="000C0368" w:rsidP="000C0368">
      <w:pPr>
        <w:bidi w:val="0"/>
        <w:jc w:val="both"/>
        <w:outlineLvl w:val="0"/>
        <w:rPr>
          <w:rFonts w:ascii="Times New Roman" w:hAnsi="Times New Roman"/>
          <w:b/>
        </w:rPr>
      </w:pPr>
      <w:r>
        <w:rPr>
          <w:rFonts w:ascii="Times New Roman" w:hAnsi="Times New Roman"/>
          <w:b/>
        </w:rPr>
        <w:t>Vnútorný trh</w:t>
      </w:r>
    </w:p>
    <w:p w:rsidR="000C0368" w:rsidP="000C0368">
      <w:pPr>
        <w:bidi w:val="0"/>
        <w:ind w:firstLine="708"/>
        <w:jc w:val="both"/>
        <w:rPr>
          <w:rFonts w:ascii="Times New Roman" w:hAnsi="Times New Roman"/>
          <w:color w:val="000000"/>
        </w:rPr>
      </w:pPr>
      <w:r>
        <w:rPr>
          <w:rFonts w:ascii="Times New Roman" w:hAnsi="Times New Roman"/>
          <w:color w:val="000000"/>
        </w:rPr>
        <w:t xml:space="preserve">Ústrednou témou v hodnotenom období bol </w:t>
      </w:r>
      <w:r w:rsidRPr="00192AB7">
        <w:rPr>
          <w:rFonts w:ascii="Times New Roman" w:hAnsi="Times New Roman"/>
          <w:b/>
          <w:color w:val="000000"/>
        </w:rPr>
        <w:t>európsky patent</w:t>
      </w:r>
      <w:r>
        <w:rPr>
          <w:rFonts w:ascii="Times New Roman" w:hAnsi="Times New Roman"/>
          <w:color w:val="000000"/>
        </w:rPr>
        <w:t>. Po tom, čo sa nepodarilo dosiahnuť konsenzus v otázke jazykového režimu (</w:t>
      </w:r>
      <w:r w:rsidRPr="003F68C2">
        <w:rPr>
          <w:rFonts w:ascii="Times New Roman" w:hAnsi="Times New Roman"/>
          <w:i/>
          <w:color w:val="000000"/>
        </w:rPr>
        <w:t>výhrady Talianska a Španielska</w:t>
      </w:r>
      <w:r>
        <w:rPr>
          <w:rFonts w:ascii="Times New Roman" w:hAnsi="Times New Roman"/>
          <w:color w:val="000000"/>
        </w:rPr>
        <w:t>), väčšina ČŠ požiadala o prijatie mechanizmu posilnenej spolupráce s vymedzením rozsahu a cieľov spolupráce na vytvorenie jednotnej patentovej ochrany. Rada pre konkurencieschopnosť v marci 2011 rokovala o možnosti aplikovania posilnenej spolupráce v nadväznosti na negatívne stanovisko Európskeho súdneho dvora 1/09 z 8.marca 2011 o zlučiteľnosti návrhu dohody so zmluvami EÚ.</w:t>
      </w:r>
    </w:p>
    <w:p w:rsidR="000C0368" w:rsidP="000C0368">
      <w:pPr>
        <w:bidi w:val="0"/>
        <w:ind w:firstLine="708"/>
        <w:jc w:val="both"/>
        <w:rPr>
          <w:rFonts w:ascii="Times New Roman" w:hAnsi="Times New Roman"/>
        </w:rPr>
      </w:pPr>
      <w:r w:rsidRPr="00E3297C">
        <w:rPr>
          <w:rFonts w:ascii="Times New Roman" w:hAnsi="Times New Roman"/>
          <w:b/>
        </w:rPr>
        <w:t>SR dokončila transpozíciu</w:t>
      </w:r>
      <w:r>
        <w:rPr>
          <w:rFonts w:ascii="Times New Roman" w:hAnsi="Times New Roman"/>
        </w:rPr>
        <w:t xml:space="preserve"> a implementáciu </w:t>
      </w:r>
      <w:r w:rsidRPr="00E3297C">
        <w:rPr>
          <w:rFonts w:ascii="Times New Roman" w:hAnsi="Times New Roman"/>
          <w:b/>
        </w:rPr>
        <w:t>smernice o službách</w:t>
      </w:r>
      <w:r>
        <w:rPr>
          <w:rFonts w:ascii="Times New Roman" w:hAnsi="Times New Roman"/>
        </w:rPr>
        <w:t xml:space="preserve"> na vnútornom trhu prebraním do právneho poriadku zákonom č. 136/2010 Z. z. o službách na vnútornom trhu, ktorý novelizuje 37 osobitných predpisov týkajúcich sa poskytovania služieb. Jednotné kontaktné miesta začali poskytovať svoje služby v rozšírenom rozsahu. Slovensko sa tiež plne zapojilo do Informačného systému vnútorného trhu.</w:t>
      </w:r>
    </w:p>
    <w:p w:rsidR="000C0368" w:rsidP="000C0368">
      <w:pPr>
        <w:bidi w:val="0"/>
        <w:ind w:firstLine="708"/>
        <w:jc w:val="both"/>
        <w:rPr>
          <w:rFonts w:ascii="Times New Roman" w:hAnsi="Times New Roman"/>
        </w:rPr>
      </w:pPr>
      <w:r>
        <w:rPr>
          <w:rFonts w:ascii="Times New Roman" w:hAnsi="Times New Roman"/>
          <w:lang w:eastAsia="cs-CZ"/>
        </w:rPr>
        <w:t>V rámci voľného pohybu osôb bolo i</w:t>
      </w:r>
      <w:r>
        <w:rPr>
          <w:rFonts w:ascii="Times New Roman" w:hAnsi="Times New Roman"/>
        </w:rPr>
        <w:t xml:space="preserve"> v r. 2010 voči občanom SR a ďalších nových členských štátov zo strany Nemecka a Rakúska, ako aj Lichtenštajnska a Švajčiarska uplatňované </w:t>
      </w:r>
      <w:r w:rsidRPr="00E3297C">
        <w:rPr>
          <w:rFonts w:ascii="Times New Roman" w:hAnsi="Times New Roman"/>
          <w:b/>
        </w:rPr>
        <w:t>prechodné obdobie pri uplatňovaní voľného pohybu</w:t>
      </w:r>
      <w:r>
        <w:rPr>
          <w:rFonts w:ascii="Times New Roman" w:hAnsi="Times New Roman"/>
        </w:rPr>
        <w:t xml:space="preserve"> pracovníkov, čo sa však zmenilo od 1. 5. 2011.</w:t>
      </w:r>
    </w:p>
    <w:p w:rsidR="000C0368" w:rsidP="000C0368">
      <w:pPr>
        <w:bidi w:val="0"/>
        <w:ind w:firstLine="708"/>
        <w:jc w:val="both"/>
        <w:rPr>
          <w:rFonts w:ascii="Times New Roman" w:hAnsi="Times New Roman"/>
          <w:color w:val="000000"/>
        </w:rPr>
      </w:pPr>
      <w:r>
        <w:rPr>
          <w:rFonts w:ascii="Times New Roman" w:hAnsi="Times New Roman"/>
          <w:color w:val="000000"/>
        </w:rPr>
        <w:t>Medzi prioritné oblasti, ktorým by mala byť v najbližšej budúcnosti venovaná osobitná pozornosť patria:</w:t>
      </w:r>
    </w:p>
    <w:p w:rsidR="000C0368" w:rsidP="000C0368">
      <w:pPr>
        <w:numPr>
          <w:numId w:val="46"/>
        </w:numPr>
        <w:bidi w:val="0"/>
        <w:jc w:val="both"/>
        <w:rPr>
          <w:rFonts w:ascii="Times New Roman" w:hAnsi="Times New Roman"/>
          <w:color w:val="000000"/>
        </w:rPr>
      </w:pPr>
      <w:r>
        <w:rPr>
          <w:rFonts w:ascii="Times New Roman" w:hAnsi="Times New Roman"/>
          <w:color w:val="000000"/>
        </w:rPr>
        <w:t xml:space="preserve">zjednodušený prístup k finančným zdrojom pre malé a stredné podniky na podporu inovačných aktivít, vrátane lepšieho využívania rizikového kapitálu, </w:t>
      </w:r>
    </w:p>
    <w:p w:rsidR="000C0368" w:rsidP="000C0368">
      <w:pPr>
        <w:numPr>
          <w:numId w:val="46"/>
        </w:numPr>
        <w:bidi w:val="0"/>
        <w:jc w:val="both"/>
        <w:rPr>
          <w:rFonts w:ascii="Times New Roman" w:hAnsi="Times New Roman"/>
          <w:color w:val="000000"/>
        </w:rPr>
      </w:pPr>
      <w:r>
        <w:rPr>
          <w:rFonts w:ascii="Times New Roman" w:hAnsi="Times New Roman"/>
          <w:color w:val="000000"/>
        </w:rPr>
        <w:t>budúci vývoj finančných podmienok pre inovatívne podniky by mal brať ohľad predovšetkým na podporu priemyslu, dôraz na trvalú udržateľnosť, inovácie a zručnosti potrebné k udržaniu európskeho priemyslu,</w:t>
      </w:r>
    </w:p>
    <w:p w:rsidR="000C0368" w:rsidP="000C0368">
      <w:pPr>
        <w:bidi w:val="0"/>
        <w:ind w:left="284" w:hanging="284"/>
        <w:jc w:val="both"/>
        <w:rPr>
          <w:rFonts w:ascii="Times New Roman" w:hAnsi="Times New Roman"/>
          <w:color w:val="000000"/>
        </w:rPr>
      </w:pPr>
      <w:r>
        <w:rPr>
          <w:rFonts w:ascii="Times New Roman" w:hAnsi="Times New Roman"/>
          <w:color w:val="000000"/>
        </w:rPr>
        <w:t>-</w:t>
        <w:tab/>
        <w:t>koordinovanie vybudovania elektronických jednotných kontaktných miest,</w:t>
      </w:r>
    </w:p>
    <w:p w:rsidR="000C0368" w:rsidP="000C0368">
      <w:pPr>
        <w:bidi w:val="0"/>
        <w:ind w:left="284" w:hanging="284"/>
        <w:jc w:val="both"/>
        <w:rPr>
          <w:rFonts w:ascii="Times New Roman" w:hAnsi="Times New Roman"/>
          <w:color w:val="000000"/>
        </w:rPr>
      </w:pPr>
      <w:r>
        <w:rPr>
          <w:rFonts w:ascii="Times New Roman" w:hAnsi="Times New Roman"/>
          <w:color w:val="000000"/>
        </w:rPr>
        <w:t>-</w:t>
        <w:tab/>
        <w:t xml:space="preserve">iniciatívy smerujúce k odstraňovaniu zbytočných administratívnych prekážok pri poskytovaní služieb a zamedzovaniu vytvárania nových prekážok, </w:t>
      </w:r>
    </w:p>
    <w:p w:rsidR="000C0368" w:rsidP="000C0368">
      <w:pPr>
        <w:bidi w:val="0"/>
        <w:ind w:left="284" w:hanging="284"/>
        <w:jc w:val="both"/>
        <w:rPr>
          <w:rFonts w:ascii="Times New Roman" w:hAnsi="Times New Roman"/>
          <w:color w:val="000000"/>
        </w:rPr>
      </w:pPr>
      <w:r>
        <w:rPr>
          <w:rFonts w:ascii="Times New Roman" w:hAnsi="Times New Roman"/>
          <w:color w:val="000000"/>
        </w:rPr>
        <w:t xml:space="preserve">- </w:t>
        <w:tab/>
        <w:t>zameranie sa na podporu úsilia o zabezpečenie fungujúceho súdneho systému, pozornosť venovať diskusii k distribučnému kľúču pre obnovovacie poplatky.</w:t>
      </w:r>
    </w:p>
    <w:p w:rsidR="000C0368" w:rsidP="000C0368">
      <w:pPr>
        <w:bidi w:val="0"/>
        <w:jc w:val="both"/>
        <w:outlineLvl w:val="0"/>
        <w:rPr>
          <w:rFonts w:ascii="Times New Roman" w:hAnsi="Times New Roman"/>
        </w:rPr>
      </w:pPr>
    </w:p>
    <w:p w:rsidR="000C0368" w:rsidP="000C0368">
      <w:pPr>
        <w:bidi w:val="0"/>
        <w:rPr>
          <w:rFonts w:ascii="Times New Roman" w:hAnsi="Times New Roman"/>
          <w:b/>
        </w:rPr>
      </w:pPr>
      <w:r>
        <w:rPr>
          <w:rFonts w:ascii="Times New Roman" w:hAnsi="Times New Roman"/>
          <w:b/>
        </w:rPr>
        <w:t>Štatistika</w:t>
      </w:r>
    </w:p>
    <w:p w:rsidR="000C0368" w:rsidP="000C0368">
      <w:pPr>
        <w:bidi w:val="0"/>
        <w:ind w:firstLine="708"/>
        <w:jc w:val="both"/>
        <w:rPr>
          <w:rFonts w:ascii="Times New Roman" w:hAnsi="Times New Roman"/>
        </w:rPr>
      </w:pPr>
      <w:r>
        <w:rPr>
          <w:rFonts w:ascii="Times New Roman" w:hAnsi="Times New Roman"/>
        </w:rPr>
        <w:t xml:space="preserve">V dôsledku ekonomickej a finančnej krízy sa roku 2010 zvýšil tlak a požiadavky na oficiálne európske štatistiky a tým aj požiadavky na národné štatistické úrady zo strany Eurostatu. Európska komisia prijala 29 vykonávacích nariadení z rôznych oblastí štatistiky, ktoré sa premietli do novely zákona o štátnej štatistike, do rozsiahlej optimalizácie štatistických procesov, zmeny organizačnej štruktúry a prípravy prechodu na nákladové riadenie. Jednou z priorít v oblasti makroekonomických štatistík bol </w:t>
      </w:r>
      <w:r w:rsidRPr="00E3297C">
        <w:rPr>
          <w:rFonts w:ascii="Times New Roman" w:hAnsi="Times New Roman"/>
          <w:b/>
        </w:rPr>
        <w:t>rozvoj systému národných účtov</w:t>
      </w:r>
      <w:r>
        <w:rPr>
          <w:rFonts w:ascii="Times New Roman" w:hAnsi="Times New Roman"/>
        </w:rPr>
        <w:t>. V oblasti cenových štatistík bolo do výpočtu indexu spotrebiteľských cien implementované nariadenie Eurostatu o zisťovaní cien sezónnych tovarov. Pokračovala harmonizácia výberových zisťovaní v domácnostiach.</w:t>
      </w:r>
    </w:p>
    <w:p w:rsidR="000C0368" w:rsidP="000C0368">
      <w:pPr>
        <w:bidi w:val="0"/>
        <w:ind w:firstLine="708"/>
        <w:jc w:val="both"/>
        <w:rPr>
          <w:rFonts w:ascii="Times New Roman" w:hAnsi="Times New Roman"/>
        </w:rPr>
      </w:pPr>
    </w:p>
    <w:p w:rsidR="000C0368" w:rsidP="000C0368">
      <w:pPr>
        <w:bidi w:val="0"/>
        <w:rPr>
          <w:rFonts w:ascii="Times New Roman" w:hAnsi="Times New Roman"/>
        </w:rPr>
      </w:pPr>
    </w:p>
    <w:p w:rsidR="000C0368" w:rsidP="000C0368">
      <w:pPr>
        <w:bidi w:val="0"/>
        <w:ind w:left="1418" w:hanging="1418"/>
        <w:jc w:val="center"/>
        <w:outlineLvl w:val="0"/>
        <w:rPr>
          <w:rFonts w:ascii="Times New Roman" w:hAnsi="Times New Roman"/>
          <w:b/>
        </w:rPr>
      </w:pPr>
      <w:r>
        <w:rPr>
          <w:rFonts w:ascii="Times New Roman" w:hAnsi="Times New Roman"/>
          <w:b/>
        </w:rPr>
        <w:t>DOPRAVA, TELEKOMUNIKÁCIE A ENERGETIKA</w:t>
      </w:r>
    </w:p>
    <w:p w:rsidR="000C0368" w:rsidP="000C0368">
      <w:pPr>
        <w:bidi w:val="0"/>
        <w:ind w:left="1418" w:hanging="1418"/>
        <w:jc w:val="both"/>
        <w:outlineLvl w:val="0"/>
        <w:rPr>
          <w:rFonts w:ascii="Times New Roman" w:hAnsi="Times New Roman"/>
        </w:rPr>
      </w:pPr>
    </w:p>
    <w:p w:rsidR="000C0368" w:rsidP="000C0368">
      <w:pPr>
        <w:bidi w:val="0"/>
        <w:rPr>
          <w:rFonts w:ascii="Times New Roman" w:hAnsi="Times New Roman"/>
          <w:b/>
        </w:rPr>
      </w:pPr>
      <w:r>
        <w:rPr>
          <w:rFonts w:ascii="Times New Roman" w:hAnsi="Times New Roman"/>
          <w:b/>
        </w:rPr>
        <w:t>Doprava</w:t>
      </w:r>
    </w:p>
    <w:p w:rsidR="000C0368" w:rsidRPr="00AD3057" w:rsidP="000C0368">
      <w:pPr>
        <w:bidi w:val="0"/>
        <w:ind w:firstLine="708"/>
        <w:jc w:val="both"/>
        <w:rPr>
          <w:rFonts w:ascii="Times New Roman" w:hAnsi="Times New Roman"/>
        </w:rPr>
      </w:pPr>
      <w:r w:rsidRPr="003D6E93">
        <w:rPr>
          <w:rFonts w:ascii="Times New Roman" w:hAnsi="Times New Roman"/>
          <w:b/>
        </w:rPr>
        <w:t>Udržateľnosť, inovácie, bezpečnosť a bezpečnostná ochrana</w:t>
      </w:r>
      <w:r w:rsidRPr="00AD3057">
        <w:rPr>
          <w:rFonts w:ascii="Times New Roman" w:hAnsi="Times New Roman"/>
          <w:b/>
        </w:rPr>
        <w:t xml:space="preserve"> zostávajú kľúčovými prioritami</w:t>
      </w:r>
      <w:r w:rsidRPr="00AA6719">
        <w:rPr>
          <w:rFonts w:ascii="Times New Roman" w:hAnsi="Times New Roman"/>
          <w:noProof/>
        </w:rPr>
        <w:t xml:space="preserve"> EÚ</w:t>
      </w:r>
      <w:r>
        <w:rPr>
          <w:rFonts w:ascii="Times New Roman" w:hAnsi="Times New Roman"/>
          <w:noProof/>
        </w:rPr>
        <w:t>, ktoré dominovali v 7. roku členstva SR v EÚ v otázkach dopravy</w:t>
      </w:r>
      <w:r w:rsidRPr="00AA6719">
        <w:rPr>
          <w:rFonts w:ascii="Times New Roman" w:hAnsi="Times New Roman"/>
          <w:noProof/>
        </w:rPr>
        <w:t xml:space="preserve">. </w:t>
      </w:r>
      <w:r w:rsidRPr="00AA6719">
        <w:rPr>
          <w:rFonts w:ascii="Times New Roman" w:hAnsi="Times New Roman"/>
        </w:rPr>
        <w:t>Predsedníc</w:t>
      </w:r>
      <w:r>
        <w:rPr>
          <w:rFonts w:ascii="Times New Roman" w:hAnsi="Times New Roman"/>
        </w:rPr>
        <w:t>ke trio (Španielsko-Belgicko-Maďarsko)</w:t>
      </w:r>
      <w:r w:rsidRPr="00AA6719">
        <w:rPr>
          <w:rFonts w:ascii="Times New Roman" w:hAnsi="Times New Roman"/>
        </w:rPr>
        <w:t xml:space="preserve"> </w:t>
      </w:r>
      <w:r>
        <w:rPr>
          <w:rFonts w:ascii="Times New Roman" w:hAnsi="Times New Roman"/>
        </w:rPr>
        <w:t xml:space="preserve">v oblasti dopravy </w:t>
      </w:r>
      <w:r w:rsidRPr="00AA6719">
        <w:rPr>
          <w:rFonts w:ascii="Times New Roman" w:hAnsi="Times New Roman"/>
        </w:rPr>
        <w:t>orientoval</w:t>
      </w:r>
      <w:r>
        <w:rPr>
          <w:rFonts w:ascii="Times New Roman" w:hAnsi="Times New Roman"/>
        </w:rPr>
        <w:t>o</w:t>
      </w:r>
      <w:r w:rsidRPr="00AA6719">
        <w:rPr>
          <w:rFonts w:ascii="Times New Roman" w:hAnsi="Times New Roman"/>
        </w:rPr>
        <w:t xml:space="preserve"> svoju pozornosť najmä na rozvoj dopravných sietí </w:t>
      </w:r>
      <w:r w:rsidRPr="003D6E93">
        <w:rPr>
          <w:rFonts w:ascii="Times New Roman" w:hAnsi="Times New Roman"/>
          <w:b/>
        </w:rPr>
        <w:t xml:space="preserve">(TEN-T), </w:t>
      </w:r>
      <w:r>
        <w:rPr>
          <w:rFonts w:ascii="Times New Roman" w:hAnsi="Times New Roman"/>
        </w:rPr>
        <w:t>u</w:t>
      </w:r>
      <w:r w:rsidRPr="00AA6719">
        <w:rPr>
          <w:rFonts w:ascii="Times New Roman" w:hAnsi="Times New Roman"/>
        </w:rPr>
        <w:t>rýchle</w:t>
      </w:r>
      <w:r>
        <w:rPr>
          <w:rFonts w:ascii="Times New Roman" w:hAnsi="Times New Roman"/>
        </w:rPr>
        <w:t>nie</w:t>
      </w:r>
      <w:r w:rsidRPr="00AA6719">
        <w:rPr>
          <w:rFonts w:ascii="Times New Roman" w:hAnsi="Times New Roman"/>
        </w:rPr>
        <w:t xml:space="preserve"> reformy Jednotného európskeho vzdušného priestoru, vytv</w:t>
      </w:r>
      <w:r>
        <w:rPr>
          <w:rFonts w:ascii="Times New Roman" w:hAnsi="Times New Roman"/>
        </w:rPr>
        <w:t>o</w:t>
      </w:r>
      <w:r w:rsidRPr="00AA6719">
        <w:rPr>
          <w:rFonts w:ascii="Times New Roman" w:hAnsi="Times New Roman"/>
        </w:rPr>
        <w:t>r</w:t>
      </w:r>
      <w:r>
        <w:rPr>
          <w:rFonts w:ascii="Times New Roman" w:hAnsi="Times New Roman"/>
        </w:rPr>
        <w:t>e</w:t>
      </w:r>
      <w:r w:rsidRPr="00AA6719">
        <w:rPr>
          <w:rFonts w:ascii="Times New Roman" w:hAnsi="Times New Roman"/>
        </w:rPr>
        <w:t>ni</w:t>
      </w:r>
      <w:r>
        <w:rPr>
          <w:rFonts w:ascii="Times New Roman" w:hAnsi="Times New Roman"/>
        </w:rPr>
        <w:t>e</w:t>
      </w:r>
      <w:r w:rsidRPr="00AA6719">
        <w:rPr>
          <w:rFonts w:ascii="Times New Roman" w:hAnsi="Times New Roman"/>
        </w:rPr>
        <w:t xml:space="preserve"> Európskeho priestoru námornej dopravy bez prekážok v</w:t>
      </w:r>
      <w:r>
        <w:rPr>
          <w:rFonts w:ascii="Times New Roman" w:hAnsi="Times New Roman"/>
        </w:rPr>
        <w:t>ytvoreniu jednotného európskeho železničného priestoru</w:t>
      </w:r>
      <w:r w:rsidRPr="00AA6719">
        <w:rPr>
          <w:rFonts w:ascii="Times New Roman" w:hAnsi="Times New Roman"/>
        </w:rPr>
        <w:t>, zvýšeni</w:t>
      </w:r>
      <w:r>
        <w:rPr>
          <w:rFonts w:ascii="Times New Roman" w:hAnsi="Times New Roman"/>
        </w:rPr>
        <w:t>e</w:t>
      </w:r>
      <w:r w:rsidRPr="00AA6719">
        <w:rPr>
          <w:rFonts w:ascii="Times New Roman" w:hAnsi="Times New Roman"/>
        </w:rPr>
        <w:t xml:space="preserve"> konkurencieschopnosti vo svete na základe vyššej produktivity a zjednodušeni</w:t>
      </w:r>
      <w:r>
        <w:rPr>
          <w:rFonts w:ascii="Times New Roman" w:hAnsi="Times New Roman"/>
        </w:rPr>
        <w:t>e</w:t>
      </w:r>
      <w:r w:rsidRPr="00AA6719">
        <w:rPr>
          <w:rFonts w:ascii="Times New Roman" w:hAnsi="Times New Roman"/>
        </w:rPr>
        <w:t xml:space="preserve"> prístupu k</w:t>
      </w:r>
      <w:r>
        <w:rPr>
          <w:rFonts w:ascii="Times New Roman" w:hAnsi="Times New Roman"/>
        </w:rPr>
        <w:t> </w:t>
      </w:r>
      <w:r w:rsidRPr="00AA6719">
        <w:rPr>
          <w:rFonts w:ascii="Times New Roman" w:hAnsi="Times New Roman"/>
        </w:rPr>
        <w:t>štrukturálnym fondom. V ďalšom boli riešené otázky prípravy budúcej európskej stratégie dopravnej politiky na r. 2010 – 2050 (Zelená kniha  o budúcnosti dopravnej politiky EÚ do r. 2020 a </w:t>
      </w:r>
      <w:r>
        <w:rPr>
          <w:rFonts w:ascii="Times New Roman" w:hAnsi="Times New Roman"/>
        </w:rPr>
        <w:t>B</w:t>
      </w:r>
      <w:r w:rsidRPr="00AA6719">
        <w:rPr>
          <w:rFonts w:ascii="Times New Roman" w:hAnsi="Times New Roman"/>
        </w:rPr>
        <w:t xml:space="preserve">iela kniha – Plán jednotného európskeho dopravného priestoru – vytvorenie </w:t>
      </w:r>
      <w:r w:rsidRPr="00AD3057">
        <w:rPr>
          <w:rFonts w:ascii="Times New Roman" w:hAnsi="Times New Roman"/>
        </w:rPr>
        <w:t xml:space="preserve">konkurencieschopného dopravného systému efektívne využívajúceho zdroje). </w:t>
      </w:r>
    </w:p>
    <w:p w:rsidR="000C0368" w:rsidRPr="00AA6719" w:rsidP="000C0368">
      <w:pPr>
        <w:bidi w:val="0"/>
        <w:ind w:firstLine="708"/>
        <w:jc w:val="both"/>
        <w:rPr>
          <w:rFonts w:ascii="Times New Roman" w:hAnsi="Times New Roman"/>
        </w:rPr>
      </w:pPr>
      <w:r w:rsidRPr="00AD3057">
        <w:rPr>
          <w:rFonts w:ascii="Times New Roman" w:hAnsi="Times New Roman"/>
        </w:rPr>
        <w:t>Mimoriadna pozornosť bola venovaná otázkam revízie metodiky, monitorovania a financovania</w:t>
      </w:r>
      <w:r w:rsidRPr="00AA6719">
        <w:rPr>
          <w:rFonts w:ascii="Times New Roman" w:hAnsi="Times New Roman"/>
        </w:rPr>
        <w:t xml:space="preserve"> TEN-T a podpore logistiky a integrácii </w:t>
      </w:r>
      <w:r>
        <w:rPr>
          <w:rFonts w:ascii="Times New Roman" w:hAnsi="Times New Roman"/>
        </w:rPr>
        <w:t xml:space="preserve">jednotlivých druhov </w:t>
      </w:r>
      <w:r w:rsidRPr="00AA6719">
        <w:rPr>
          <w:rFonts w:ascii="Times New Roman" w:hAnsi="Times New Roman"/>
        </w:rPr>
        <w:t>dopravy</w:t>
      </w:r>
      <w:r>
        <w:rPr>
          <w:rFonts w:ascii="Times New Roman" w:hAnsi="Times New Roman"/>
        </w:rPr>
        <w:t>,</w:t>
      </w:r>
      <w:r w:rsidRPr="00AA6719">
        <w:rPr>
          <w:rFonts w:ascii="Times New Roman" w:hAnsi="Times New Roman"/>
        </w:rPr>
        <w:t xml:space="preserve"> čo umožňuje vytvárať podmienky pre dopravu priateľskú pre životné prostredie. </w:t>
      </w:r>
      <w:r w:rsidRPr="00AA6719">
        <w:rPr>
          <w:rFonts w:ascii="Times New Roman" w:hAnsi="Times New Roman"/>
          <w:noProof/>
        </w:rPr>
        <w:t xml:space="preserve">Trojpredsedníctvo rozvíjalo iniciatívy EÚ na podporu inteligentných dopravných systémov </w:t>
      </w:r>
      <w:r w:rsidRPr="00AA6719">
        <w:rPr>
          <w:rFonts w:ascii="Times New Roman" w:hAnsi="Times New Roman"/>
          <w:bCs/>
          <w:noProof/>
        </w:rPr>
        <w:t>(IDS</w:t>
      </w:r>
      <w:r w:rsidRPr="00AD3057">
        <w:rPr>
          <w:rFonts w:ascii="Times New Roman" w:hAnsi="Times New Roman"/>
        </w:rPr>
        <w:t>)</w:t>
      </w:r>
      <w:r w:rsidRPr="00AA6719">
        <w:rPr>
          <w:rFonts w:ascii="Times New Roman" w:hAnsi="Times New Roman"/>
        </w:rPr>
        <w:t xml:space="preserve">, osobitne v cestnej doprave, ale aj v leteckej doprave (SESAR, Galileo).  </w:t>
      </w:r>
    </w:p>
    <w:p w:rsidR="000C0368" w:rsidRPr="00AD3057" w:rsidP="000C0368">
      <w:pPr>
        <w:bidi w:val="0"/>
        <w:ind w:firstLine="708"/>
        <w:jc w:val="both"/>
        <w:rPr>
          <w:rFonts w:ascii="Times New Roman" w:hAnsi="Times New Roman"/>
          <w:b/>
        </w:rPr>
      </w:pPr>
      <w:r w:rsidRPr="00AA6719">
        <w:rPr>
          <w:rFonts w:ascii="Times New Roman" w:hAnsi="Times New Roman"/>
        </w:rPr>
        <w:t xml:space="preserve">V rámci implementácie európskych programov satelitnej rádiovej navigácie EGNOS a Galileo sa pozornosť sústredila na Akčný plán prevádzkovania programu Galileo a na podmienky prístupu k verejnej regulovanej službe, ktorú ponúka celosvetový satelitný navigačný systém v rámci programu Galileo. </w:t>
      </w:r>
      <w:r>
        <w:rPr>
          <w:rFonts w:ascii="Times New Roman" w:hAnsi="Times New Roman"/>
        </w:rPr>
        <w:t xml:space="preserve">Bola dosiahnutá dohoda </w:t>
      </w:r>
      <w:r w:rsidRPr="00AA6719">
        <w:rPr>
          <w:rFonts w:ascii="Times New Roman" w:hAnsi="Times New Roman"/>
        </w:rPr>
        <w:t xml:space="preserve">o umiestnení sídla Úradu pre dohľad nad európskymi globálnymi navigačnými satelitnými systémami (GSA, neskôr EGA) </w:t>
      </w:r>
      <w:r>
        <w:rPr>
          <w:rFonts w:ascii="Times New Roman" w:hAnsi="Times New Roman"/>
        </w:rPr>
        <w:t xml:space="preserve">v Prahe. </w:t>
      </w:r>
      <w:r w:rsidRPr="00B404CA">
        <w:rPr>
          <w:rFonts w:ascii="Times New Roman" w:hAnsi="Times New Roman"/>
          <w:b/>
        </w:rPr>
        <w:t>SR dlhodobo podporovala kandidatúru Českej republiky.</w:t>
      </w:r>
      <w:r w:rsidRPr="00B404CA">
        <w:rPr>
          <w:rFonts w:ascii="Times New Roman" w:hAnsi="Times New Roman"/>
          <w:b/>
          <w:i/>
          <w:iCs/>
        </w:rPr>
        <w:t xml:space="preserve"> </w:t>
      </w:r>
      <w:r w:rsidRPr="00B404CA">
        <w:rPr>
          <w:rFonts w:ascii="Times New Roman" w:hAnsi="Times New Roman"/>
          <w:b/>
        </w:rPr>
        <w:t xml:space="preserve">SR sa aktívne zúčastňovala na zasadnutiach Správnej rady GSA, v Európskom programovom výbore GNSS, najmä v jeho pracovnej skupine „Governance“, kde presadzovala model najlepšie vyhovujúci menším ČŠ. SR má taktiež svojich zástupcov v Bezpečnostnom </w:t>
      </w:r>
      <w:r w:rsidRPr="00AD3057">
        <w:rPr>
          <w:rFonts w:ascii="Times New Roman" w:hAnsi="Times New Roman"/>
          <w:b/>
        </w:rPr>
        <w:t>akreditačnom výbore SAB a v pracovnej skupine PRS (verejne regulovaná služba).</w:t>
      </w:r>
    </w:p>
    <w:p w:rsidR="000C0368" w:rsidRPr="00B404CA" w:rsidP="000C0368">
      <w:pPr>
        <w:bidi w:val="0"/>
        <w:ind w:firstLine="708"/>
        <w:jc w:val="both"/>
        <w:rPr>
          <w:rFonts w:ascii="Times New Roman" w:hAnsi="Times New Roman"/>
        </w:rPr>
      </w:pPr>
      <w:r w:rsidRPr="00B404CA">
        <w:rPr>
          <w:rFonts w:ascii="Times New Roman" w:hAnsi="Times New Roman"/>
        </w:rPr>
        <w:t xml:space="preserve">V blízkej budúcnosti sa očakáva ukončenie legislatívneho procesu súvisiaceho s Rozhodnutím Rady o podmienkach prístupu k službe PRS a očakáva sa nový legislatívny návrh novej štruktúry riadenia programov GNSS. Najvýznamnejšou udalosťou však bude </w:t>
      </w:r>
      <w:r w:rsidRPr="00B404CA">
        <w:rPr>
          <w:rFonts w:ascii="Times New Roman" w:hAnsi="Times New Roman"/>
          <w:b/>
        </w:rPr>
        <w:t>štart prvých prevádzkových satelitov Galileo</w:t>
      </w:r>
      <w:r w:rsidRPr="00B404CA">
        <w:rPr>
          <w:rFonts w:ascii="Times New Roman" w:hAnsi="Times New Roman"/>
        </w:rPr>
        <w:t xml:space="preserve">, ktorý posunie budovanie systému do novej – „praktickej“ etapy. </w:t>
      </w:r>
      <w:r w:rsidRPr="00BE57DA">
        <w:rPr>
          <w:rFonts w:ascii="Times New Roman" w:hAnsi="Times New Roman"/>
          <w:b/>
        </w:rPr>
        <w:t>Pri príprave tohto štartu bude potrebný aj hlas SR v procese schvaľovania a bezpečnostnej akreditácie štartu.</w:t>
      </w:r>
      <w:r>
        <w:rPr>
          <w:rFonts w:ascii="Times New Roman" w:hAnsi="Times New Roman"/>
        </w:rPr>
        <w:t xml:space="preserve"> </w:t>
      </w:r>
      <w:r w:rsidRPr="00B404CA">
        <w:rPr>
          <w:rFonts w:ascii="Times New Roman" w:hAnsi="Times New Roman"/>
        </w:rPr>
        <w:t>V súvislosti s vyššie uvedenými míľnikmi je treba počítať s plánovaním zriadenia príslušných štruktúr určených na evidenciu používateľov služby PRS, ktorých rozsah závisí od toho, či sa SR rozhodne službu aktívne využívať, a na prípravu príslušného bezpečnostného monitorovacieho strediska.    </w:t>
      </w:r>
    </w:p>
    <w:p w:rsidR="000C0368" w:rsidRPr="00AA6719" w:rsidP="000C0368">
      <w:pPr>
        <w:bidi w:val="0"/>
        <w:ind w:firstLine="708"/>
        <w:jc w:val="both"/>
        <w:rPr>
          <w:rFonts w:ascii="Times New Roman" w:hAnsi="Times New Roman"/>
        </w:rPr>
      </w:pPr>
      <w:r w:rsidRPr="00AA6719">
        <w:rPr>
          <w:rFonts w:ascii="Times New Roman" w:hAnsi="Times New Roman"/>
        </w:rPr>
        <w:t>V cestnej doprave rezonovali najmä otázky spoplatňovania cestnej infraštruktúry (Eurovignette), ktoré súvisia s aktivitami týkajúcimi sa ekologizácie dopravy (začleňovanie vonkajších nákladov do systému spoplatňovania – zásada znečisťovateľ platí</w:t>
      </w:r>
      <w:r w:rsidRPr="005E76AB">
        <w:rPr>
          <w:rFonts w:ascii="Times New Roman" w:hAnsi="Times New Roman"/>
        </w:rPr>
        <w:t xml:space="preserve">). SR podporuje účelové viazanie spoplatňovania v súlade s perspektívami  Bielej knihy a odporúča prostriedky využívať výlučne </w:t>
      </w:r>
      <w:r w:rsidRPr="005E76AB">
        <w:rPr>
          <w:rFonts w:ascii="Times New Roman" w:hAnsi="Times New Roman"/>
          <w:b/>
        </w:rPr>
        <w:t>na rozvoj dopravnej infraštruktúry</w:t>
      </w:r>
      <w:r>
        <w:rPr>
          <w:rFonts w:ascii="Times New Roman" w:hAnsi="Times New Roman"/>
          <w:b/>
        </w:rPr>
        <w:t>.</w:t>
      </w:r>
      <w:r>
        <w:rPr>
          <w:rFonts w:ascii="Times New Roman" w:hAnsi="Times New Roman"/>
        </w:rPr>
        <w:t xml:space="preserve"> O</w:t>
      </w:r>
      <w:r w:rsidRPr="00AA6719">
        <w:rPr>
          <w:rFonts w:ascii="Times New Roman" w:hAnsi="Times New Roman"/>
        </w:rPr>
        <w:t xml:space="preserve">tázky zjednodušovania cezhraničného presadzovania práva v oblasti bezpečnosti cestnej premávky </w:t>
      </w:r>
      <w:r>
        <w:rPr>
          <w:rFonts w:ascii="Times New Roman" w:hAnsi="Times New Roman"/>
        </w:rPr>
        <w:t xml:space="preserve">(v  kompetencii MV SR) </w:t>
      </w:r>
      <w:r w:rsidRPr="00AA6719">
        <w:rPr>
          <w:rFonts w:ascii="Times New Roman" w:hAnsi="Times New Roman"/>
        </w:rPr>
        <w:t xml:space="preserve">a problematika podpory opatrení na zvyšovanie bezpečnosti na cestách </w:t>
      </w:r>
      <w:r>
        <w:rPr>
          <w:rFonts w:ascii="Times New Roman" w:hAnsi="Times New Roman"/>
        </w:rPr>
        <w:t xml:space="preserve">boli riešené </w:t>
      </w:r>
      <w:r w:rsidRPr="00AA6719">
        <w:rPr>
          <w:rFonts w:ascii="Times New Roman" w:hAnsi="Times New Roman"/>
        </w:rPr>
        <w:t>v</w:t>
      </w:r>
      <w:r>
        <w:rPr>
          <w:rFonts w:ascii="Times New Roman" w:hAnsi="Times New Roman"/>
        </w:rPr>
        <w:t> </w:t>
      </w:r>
      <w:r w:rsidRPr="00AA6719">
        <w:rPr>
          <w:rFonts w:ascii="Times New Roman" w:hAnsi="Times New Roman"/>
        </w:rPr>
        <w:t>rámci</w:t>
      </w:r>
      <w:r>
        <w:rPr>
          <w:rFonts w:ascii="Times New Roman" w:hAnsi="Times New Roman"/>
        </w:rPr>
        <w:t xml:space="preserve"> plnenia</w:t>
      </w:r>
      <w:r w:rsidRPr="00AA6719">
        <w:rPr>
          <w:rFonts w:ascii="Times New Roman" w:hAnsi="Times New Roman"/>
        </w:rPr>
        <w:t xml:space="preserve"> </w:t>
      </w:r>
      <w:r w:rsidRPr="00AA6719">
        <w:rPr>
          <w:rFonts w:ascii="Times New Roman" w:hAnsi="Times New Roman"/>
          <w:i/>
        </w:rPr>
        <w:t>Akčného programu a politických usmernení pre oblasť bezpečnosti cestnej premávky na r. 2010 - 2020</w:t>
      </w:r>
      <w:r w:rsidRPr="00AA6719">
        <w:rPr>
          <w:rFonts w:ascii="Times New Roman" w:hAnsi="Times New Roman"/>
        </w:rPr>
        <w:t xml:space="preserve">. </w:t>
      </w:r>
      <w:r w:rsidRPr="0011133B">
        <w:rPr>
          <w:rFonts w:ascii="Times New Roman" w:hAnsi="Times New Roman"/>
          <w:b/>
          <w:noProof/>
        </w:rPr>
        <w:t>Prioritné cieľové skupiny na ďalšiu dekádu v strategickom dokumente</w:t>
      </w:r>
      <w:r>
        <w:rPr>
          <w:rFonts w:ascii="Times New Roman" w:hAnsi="Times New Roman"/>
          <w:noProof/>
        </w:rPr>
        <w:t xml:space="preserve"> sú chodci, cyklisti so zvláštnym ohľadom na deti a seniorov, mladých vodičov a motocyklistov.</w:t>
      </w:r>
      <w:r w:rsidRPr="00AA6719">
        <w:rPr>
          <w:rFonts w:ascii="Times New Roman" w:hAnsi="Times New Roman"/>
        </w:rPr>
        <w:t xml:space="preserve"> </w:t>
      </w:r>
    </w:p>
    <w:p w:rsidR="000C0368" w:rsidRPr="00C72834" w:rsidP="000C0368">
      <w:pPr>
        <w:bidi w:val="0"/>
        <w:ind w:firstLine="708"/>
        <w:jc w:val="both"/>
        <w:rPr>
          <w:rFonts w:ascii="Times New Roman" w:hAnsi="Times New Roman"/>
          <w:b/>
        </w:rPr>
      </w:pPr>
      <w:r w:rsidRPr="00731D4A">
        <w:rPr>
          <w:rFonts w:ascii="Times New Roman" w:hAnsi="Times New Roman"/>
        </w:rPr>
        <w:t xml:space="preserve">Predsedníctva sa tiež zaoberali otázkami práv cestujúcich v autobusovej a autokarovej doprave, problematikou organizácie pracovného času mobilných pracovníkov v odvetví cestnej dopravy. </w:t>
      </w:r>
      <w:r w:rsidRPr="003D661A">
        <w:rPr>
          <w:rFonts w:ascii="Times New Roman" w:hAnsi="Times New Roman"/>
          <w:b/>
        </w:rPr>
        <w:t xml:space="preserve">Tieto otázky zostávajú </w:t>
      </w:r>
      <w:r>
        <w:rPr>
          <w:rFonts w:ascii="Times New Roman" w:hAnsi="Times New Roman"/>
          <w:b/>
        </w:rPr>
        <w:t xml:space="preserve">zatiaľ neboli uzatvorené a budú predmetom </w:t>
      </w:r>
      <w:r w:rsidRPr="00C72834">
        <w:rPr>
          <w:rFonts w:ascii="Times New Roman" w:hAnsi="Times New Roman"/>
          <w:b/>
        </w:rPr>
        <w:t xml:space="preserve">ďalších rokovaní v pracovnej skupine. </w:t>
      </w:r>
    </w:p>
    <w:p w:rsidR="000C0368" w:rsidRPr="00C72834" w:rsidP="000C0368">
      <w:pPr>
        <w:bidi w:val="0"/>
        <w:ind w:firstLine="708"/>
        <w:jc w:val="both"/>
        <w:rPr>
          <w:rFonts w:ascii="Times New Roman" w:hAnsi="Times New Roman"/>
          <w:b/>
        </w:rPr>
      </w:pPr>
      <w:r w:rsidRPr="00AA6719">
        <w:rPr>
          <w:rFonts w:ascii="Times New Roman" w:hAnsi="Times New Roman"/>
        </w:rPr>
        <w:t>V železničnej doprave sa pozornosť zamerala najmä na revíziu prvého železničného balíčka</w:t>
      </w:r>
      <w:r>
        <w:rPr>
          <w:rFonts w:ascii="Times New Roman" w:hAnsi="Times New Roman"/>
        </w:rPr>
        <w:t>, ktorý vytvára legislatívny rámec</w:t>
      </w:r>
      <w:r w:rsidRPr="00AA6719">
        <w:rPr>
          <w:rFonts w:ascii="Times New Roman" w:hAnsi="Times New Roman"/>
        </w:rPr>
        <w:t xml:space="preserve"> </w:t>
      </w:r>
      <w:r>
        <w:rPr>
          <w:rFonts w:ascii="Times New Roman" w:hAnsi="Times New Roman"/>
        </w:rPr>
        <w:t xml:space="preserve">na </w:t>
      </w:r>
      <w:r w:rsidRPr="00AA6719">
        <w:rPr>
          <w:rFonts w:ascii="Times New Roman" w:hAnsi="Times New Roman"/>
        </w:rPr>
        <w:t>zriadenie jednotného európskeho železničného priestoru.</w:t>
      </w:r>
      <w:r>
        <w:rPr>
          <w:rFonts w:ascii="Times New Roman" w:hAnsi="Times New Roman"/>
        </w:rPr>
        <w:t xml:space="preserve"> </w:t>
      </w:r>
      <w:r w:rsidRPr="0011133B">
        <w:rPr>
          <w:rFonts w:ascii="Times New Roman" w:hAnsi="Times New Roman"/>
        </w:rPr>
        <w:t>SR na zasadnutiach pracovných skupín podporovala zmeny s cieľom realizácie širšieho rámca  liberalizácie.</w:t>
      </w:r>
      <w:r>
        <w:rPr>
          <w:rFonts w:ascii="Times New Roman" w:hAnsi="Times New Roman"/>
        </w:rPr>
        <w:t xml:space="preserve"> </w:t>
      </w:r>
      <w:r w:rsidRPr="00C86124">
        <w:rPr>
          <w:rFonts w:ascii="Times New Roman" w:hAnsi="Times New Roman"/>
          <w:b/>
        </w:rPr>
        <w:t>V tomto zmysle boli predkladané výhrady a deklarovaná podpora ostatným ČŠ, ktorých ciele sú v súlade s vnútroštátnymi záujmami SR</w:t>
      </w:r>
      <w:r w:rsidRPr="00C72834">
        <w:rPr>
          <w:rFonts w:ascii="Times New Roman" w:hAnsi="Times New Roman"/>
          <w:b/>
        </w:rPr>
        <w:t xml:space="preserve">. </w:t>
      </w:r>
    </w:p>
    <w:p w:rsidR="000C0368" w:rsidRPr="00731D4A" w:rsidP="000C0368">
      <w:pPr>
        <w:bidi w:val="0"/>
        <w:ind w:firstLine="708"/>
        <w:jc w:val="both"/>
        <w:rPr>
          <w:rFonts w:ascii="Times New Roman" w:hAnsi="Times New Roman"/>
          <w:b/>
        </w:rPr>
      </w:pPr>
      <w:r w:rsidRPr="00C72834">
        <w:rPr>
          <w:rFonts w:ascii="Times New Roman" w:hAnsi="Times New Roman"/>
        </w:rPr>
        <w:t>V leteckej</w:t>
      </w:r>
      <w:r w:rsidRPr="00AA6719">
        <w:rPr>
          <w:rFonts w:ascii="Times New Roman" w:hAnsi="Times New Roman"/>
        </w:rPr>
        <w:t xml:space="preserve"> doprave </w:t>
      </w:r>
      <w:r>
        <w:rPr>
          <w:rFonts w:ascii="Times New Roman" w:hAnsi="Times New Roman"/>
        </w:rPr>
        <w:t xml:space="preserve">sa </w:t>
      </w:r>
      <w:r w:rsidRPr="00AA6719">
        <w:rPr>
          <w:rFonts w:ascii="Times New Roman" w:hAnsi="Times New Roman"/>
        </w:rPr>
        <w:t>riešila najmä problematik</w:t>
      </w:r>
      <w:r>
        <w:rPr>
          <w:rFonts w:ascii="Times New Roman" w:hAnsi="Times New Roman"/>
        </w:rPr>
        <w:t>a</w:t>
      </w:r>
      <w:r w:rsidRPr="00AA6719">
        <w:rPr>
          <w:rFonts w:ascii="Times New Roman" w:hAnsi="Times New Roman"/>
        </w:rPr>
        <w:t xml:space="preserve"> riadenia letovej prevádzky </w:t>
      </w:r>
      <w:r>
        <w:rPr>
          <w:rFonts w:ascii="Times New Roman" w:hAnsi="Times New Roman"/>
        </w:rPr>
        <w:t>v </w:t>
      </w:r>
      <w:r w:rsidRPr="00AA6719">
        <w:rPr>
          <w:rFonts w:ascii="Times New Roman" w:hAnsi="Times New Roman"/>
        </w:rPr>
        <w:t>rámci projektu jednotného európskeho vzdušného priestoru (SES II) a riadenia letovej prevádzky (SESAR) vrátane riešen</w:t>
      </w:r>
      <w:r>
        <w:rPr>
          <w:rFonts w:ascii="Times New Roman" w:hAnsi="Times New Roman"/>
        </w:rPr>
        <w:t xml:space="preserve">ia </w:t>
      </w:r>
      <w:r w:rsidRPr="00AA6719">
        <w:rPr>
          <w:rFonts w:ascii="Times New Roman" w:hAnsi="Times New Roman"/>
        </w:rPr>
        <w:t>dôsledkov mraku sopečného popola na leteckú dopravu. Pozornosť bola venovaná tiež otázkam bezpečnostných poplatkov v civilnom letectve, opatreniam týkajúcim sa bezpečnosti a bezpečnostnej ochrany civilného letectva a otázkam vyšetrovania a prevencie nehôd a incidentov v civilnom letectve. Pokračovali rokovania o harmonizácii zavádzania bezpečnostných skenerov na letiskách a o</w:t>
      </w:r>
      <w:r w:rsidRPr="00AA6719">
        <w:rPr>
          <w:rFonts w:ascii="Times New Roman" w:hAnsi="Times New Roman"/>
          <w:noProof/>
        </w:rPr>
        <w:t> zrevidovanom kódexe počítačových rezervačných systémov a</w:t>
      </w:r>
      <w:r w:rsidRPr="00AA6719">
        <w:rPr>
          <w:rFonts w:ascii="Times New Roman" w:hAnsi="Times New Roman"/>
        </w:rPr>
        <w:t xml:space="preserve"> o dohodách o leteckej doprave</w:t>
      </w:r>
      <w:r w:rsidRPr="0011133B">
        <w:rPr>
          <w:rFonts w:ascii="Times New Roman" w:hAnsi="Times New Roman"/>
        </w:rPr>
        <w:t xml:space="preserve">: </w:t>
      </w:r>
      <w:r w:rsidRPr="0011133B">
        <w:rPr>
          <w:rFonts w:ascii="Times New Roman" w:hAnsi="Times New Roman"/>
          <w:b/>
        </w:rPr>
        <w:t>SR presadzovala</w:t>
      </w:r>
      <w:r>
        <w:rPr>
          <w:rFonts w:ascii="Times New Roman" w:hAnsi="Times New Roman"/>
          <w:b/>
        </w:rPr>
        <w:t xml:space="preserve">, aby tieto opatrenia boli prijaté </w:t>
      </w:r>
      <w:r w:rsidRPr="0011133B">
        <w:rPr>
          <w:rFonts w:ascii="Times New Roman" w:hAnsi="Times New Roman"/>
          <w:b/>
        </w:rPr>
        <w:t>v čo najkratšom čase.</w:t>
      </w:r>
      <w:r w:rsidRPr="00731D4A">
        <w:rPr>
          <w:rFonts w:ascii="Times New Roman" w:hAnsi="Times New Roman"/>
          <w:b/>
        </w:rPr>
        <w:t xml:space="preserve"> </w:t>
      </w:r>
      <w:r>
        <w:rPr>
          <w:rFonts w:ascii="Times New Roman" w:hAnsi="Times New Roman"/>
          <w:b/>
        </w:rPr>
        <w:t>Budúci vývoj v leteckej doprave bude ovplyvnený predovšetkým riešením otázok bezpečnostnej ochrany.</w:t>
      </w:r>
    </w:p>
    <w:p w:rsidR="000C0368" w:rsidRPr="00C86124" w:rsidP="000C0368">
      <w:pPr>
        <w:bidi w:val="0"/>
        <w:ind w:firstLine="708"/>
        <w:jc w:val="both"/>
        <w:rPr>
          <w:rFonts w:ascii="Times New Roman" w:hAnsi="Times New Roman"/>
          <w:b/>
        </w:rPr>
      </w:pPr>
      <w:r w:rsidRPr="00C72834">
        <w:rPr>
          <w:rFonts w:ascii="Times New Roman" w:hAnsi="Times New Roman"/>
        </w:rPr>
        <w:t>V oblasti námornej dopravy bola prioritou revízia nariadenia, ktorým sa ustanovuje Európska</w:t>
      </w:r>
      <w:r w:rsidRPr="00AA6719">
        <w:rPr>
          <w:rFonts w:ascii="Times New Roman" w:hAnsi="Times New Roman"/>
          <w:noProof/>
        </w:rPr>
        <w:t xml:space="preserve"> námorná bezpečnostná agentúra (EMSA) ako aj práca na „Európskom priestore námornej dopravy bez prekážok</w:t>
      </w:r>
      <w:r w:rsidRPr="0011133B">
        <w:rPr>
          <w:rFonts w:ascii="Times New Roman" w:hAnsi="Times New Roman"/>
          <w:noProof/>
        </w:rPr>
        <w:t>“.</w:t>
      </w:r>
      <w:r w:rsidRPr="0011133B">
        <w:rPr>
          <w:rFonts w:ascii="Times New Roman" w:hAnsi="Times New Roman"/>
        </w:rPr>
        <w:t xml:space="preserve"> O</w:t>
      </w:r>
      <w:r w:rsidRPr="0011133B">
        <w:rPr>
          <w:rFonts w:ascii="Times New Roman" w:hAnsi="Times New Roman"/>
          <w:noProof/>
        </w:rPr>
        <w:t>sobitná pozornosť sa venovala koncepcii rozvoja námorných diaľnic</w:t>
      </w:r>
      <w:r w:rsidRPr="0011133B">
        <w:rPr>
          <w:rFonts w:ascii="Times New Roman" w:hAnsi="Times New Roman"/>
        </w:rPr>
        <w:t xml:space="preserve"> a právam cestujúcich v námornej a vnútrozemskej vodnej doprave, pričom </w:t>
      </w:r>
      <w:r w:rsidRPr="0011133B">
        <w:rPr>
          <w:rFonts w:ascii="Times New Roman" w:hAnsi="Times New Roman"/>
          <w:noProof/>
        </w:rPr>
        <w:t xml:space="preserve"> zostáva doriešiť otázky regionálnych centier EMSA. Ďalej bola pozornosť venovaná</w:t>
      </w:r>
      <w:r>
        <w:rPr>
          <w:rFonts w:ascii="Times New Roman" w:hAnsi="Times New Roman"/>
          <w:noProof/>
        </w:rPr>
        <w:t xml:space="preserve"> </w:t>
      </w:r>
      <w:r w:rsidRPr="00AA6719">
        <w:rPr>
          <w:rFonts w:ascii="Times New Roman" w:hAnsi="Times New Roman"/>
        </w:rPr>
        <w:t>príprav</w:t>
      </w:r>
      <w:r>
        <w:rPr>
          <w:rFonts w:ascii="Times New Roman" w:hAnsi="Times New Roman"/>
        </w:rPr>
        <w:t xml:space="preserve">e </w:t>
      </w:r>
      <w:r w:rsidRPr="00AA6719">
        <w:rPr>
          <w:rFonts w:ascii="Times New Roman" w:hAnsi="Times New Roman"/>
        </w:rPr>
        <w:t>návrhu záverov k integrovanej a konkurencieschopnej vnútrozemskej vodnej doprave</w:t>
      </w:r>
      <w:r>
        <w:rPr>
          <w:rFonts w:ascii="Times New Roman" w:hAnsi="Times New Roman"/>
        </w:rPr>
        <w:t xml:space="preserve"> </w:t>
      </w:r>
      <w:r w:rsidRPr="00AA6719">
        <w:rPr>
          <w:rFonts w:ascii="Times New Roman" w:hAnsi="Times New Roman"/>
        </w:rPr>
        <w:t>a</w:t>
      </w:r>
      <w:r>
        <w:rPr>
          <w:rFonts w:ascii="Times New Roman" w:hAnsi="Times New Roman"/>
        </w:rPr>
        <w:t xml:space="preserve"> tiež </w:t>
      </w:r>
      <w:r w:rsidRPr="00AA6719">
        <w:rPr>
          <w:rFonts w:ascii="Times New Roman" w:hAnsi="Times New Roman"/>
        </w:rPr>
        <w:t>spoluprác</w:t>
      </w:r>
      <w:r>
        <w:rPr>
          <w:rFonts w:ascii="Times New Roman" w:hAnsi="Times New Roman"/>
        </w:rPr>
        <w:t>i</w:t>
      </w:r>
      <w:r w:rsidRPr="00AA6719">
        <w:rPr>
          <w:rFonts w:ascii="Times New Roman" w:hAnsi="Times New Roman"/>
        </w:rPr>
        <w:t xml:space="preserve"> s Medzinárodnou námornou organizáciou (IMO)</w:t>
      </w:r>
      <w:r>
        <w:rPr>
          <w:rFonts w:ascii="Times New Roman" w:hAnsi="Times New Roman"/>
        </w:rPr>
        <w:t xml:space="preserve"> a  vykonávacích opatrení pre iniciatívy vnútrozemskej plavby NAIADES.</w:t>
      </w:r>
      <w:r w:rsidRPr="00AA6719">
        <w:rPr>
          <w:rFonts w:ascii="Times New Roman" w:hAnsi="Times New Roman"/>
        </w:rPr>
        <w:t xml:space="preserve"> </w:t>
      </w:r>
      <w:r>
        <w:rPr>
          <w:rFonts w:ascii="Times New Roman" w:hAnsi="Times New Roman"/>
          <w:b/>
        </w:rPr>
        <w:t>Perspektívny</w:t>
      </w:r>
      <w:r w:rsidRPr="00C86124">
        <w:rPr>
          <w:rFonts w:ascii="Times New Roman" w:hAnsi="Times New Roman"/>
          <w:b/>
        </w:rPr>
        <w:t xml:space="preserve"> vývoj v tejto oblasti sa bude odvíjať od cieľov stanovených v  Bielej knihe, ktorá predpokladá významný rozvoj práve v tejto oblasti. </w:t>
      </w:r>
    </w:p>
    <w:p w:rsidR="000C0368" w:rsidRPr="00D857D0" w:rsidP="000C0368">
      <w:pPr>
        <w:bidi w:val="0"/>
        <w:jc w:val="both"/>
        <w:outlineLvl w:val="0"/>
        <w:rPr>
          <w:rFonts w:ascii="Times New Roman" w:hAnsi="Times New Roman"/>
        </w:rPr>
      </w:pPr>
    </w:p>
    <w:p w:rsidR="000C0368" w:rsidP="000C0368">
      <w:pPr>
        <w:bidi w:val="0"/>
        <w:jc w:val="both"/>
        <w:rPr>
          <w:rFonts w:ascii="Times New Roman" w:hAnsi="Times New Roman"/>
          <w:b/>
        </w:rPr>
      </w:pPr>
      <w:r>
        <w:rPr>
          <w:rFonts w:ascii="Times New Roman" w:hAnsi="Times New Roman"/>
          <w:b/>
        </w:rPr>
        <w:t>Telekomunikácie/Informačná spoločnosť</w:t>
      </w:r>
    </w:p>
    <w:p w:rsidR="000C0368" w:rsidP="000C0368">
      <w:pPr>
        <w:bidi w:val="0"/>
        <w:ind w:firstLine="708"/>
        <w:jc w:val="both"/>
        <w:rPr>
          <w:rFonts w:ascii="Times New Roman" w:hAnsi="Times New Roman"/>
        </w:rPr>
      </w:pPr>
      <w:r>
        <w:rPr>
          <w:rFonts w:ascii="Times New Roman" w:hAnsi="Times New Roman"/>
        </w:rPr>
        <w:t xml:space="preserve">Rok 2010 priniesol nové iniciatívy a ciele v oblasti informačnej spoločnosti. Európska komisia predstavila svoju ťažiskovú iniciatívu pod názvom </w:t>
      </w:r>
      <w:r w:rsidRPr="00E050B2">
        <w:rPr>
          <w:rFonts w:ascii="Times New Roman" w:hAnsi="Times New Roman"/>
          <w:b/>
        </w:rPr>
        <w:t>Digitálna agenda pre Európu</w:t>
      </w:r>
      <w:r>
        <w:rPr>
          <w:rFonts w:ascii="Times New Roman" w:hAnsi="Times New Roman"/>
        </w:rPr>
        <w:t xml:space="preserve">. Jej priority sú postupne zakomponované do strategických materiálov na národnej úrovni a rozpracovávané v medzirezortnom koordinačnom výbore. Rozvíjali sa iniciatívy na podporu práce na bezpečnosti sietí, v elektronickom obchode a ochrane duševného vlastníctva na internete a boj proti pirátstvu. Osobitná pozornosť bola venovaná rozvoju európskeho akčného plánu pre </w:t>
      </w:r>
      <w:r w:rsidRPr="00E050B2">
        <w:rPr>
          <w:rFonts w:ascii="Times New Roman" w:hAnsi="Times New Roman"/>
          <w:b/>
        </w:rPr>
        <w:t>elektronickú verejnú správu</w:t>
      </w:r>
      <w:r>
        <w:rPr>
          <w:rFonts w:ascii="Times New Roman" w:hAnsi="Times New Roman"/>
        </w:rPr>
        <w:t xml:space="preserve"> na roky 2010 – 2015 a elektronických práv občanov komunikovať s vládou a podnikmi. MF SR vypracovalo legislatívny zámer zákona o elektronickej verejnej správe eGovernment, ktorý položil základ pre vypracovanie a prijatie návrhu nového zákona o elektronickej verejnej správe.</w:t>
      </w:r>
    </w:p>
    <w:p w:rsidR="000C0368" w:rsidP="000C0368">
      <w:pPr>
        <w:bidi w:val="0"/>
        <w:ind w:firstLine="708"/>
        <w:jc w:val="both"/>
        <w:rPr>
          <w:rFonts w:ascii="Times New Roman" w:hAnsi="Times New Roman"/>
        </w:rPr>
      </w:pPr>
      <w:r>
        <w:rPr>
          <w:rFonts w:ascii="Times New Roman" w:hAnsi="Times New Roman"/>
        </w:rPr>
        <w:t>V priebehu roka 2010 sa nepodarilo presadiť schválenie systému núdzových komunikácií v zmysle materiálu Bezpečnostnej rady SR „Návrh projektového zámeru systému núdzových komunikácií v SR“. Dôvodom bol nedostatok disponibilných finančných prostriedkov v štátnom rozpočte v dôsledku dopadov svetovej hospodárskej krízy. Úloha bude realizovaná do roku 2013 v nadväznosti na možnosti štátneho rozpočtu SR.</w:t>
      </w:r>
    </w:p>
    <w:p w:rsidR="000C0368" w:rsidP="000C0368">
      <w:pPr>
        <w:bidi w:val="0"/>
        <w:ind w:firstLine="708"/>
        <w:jc w:val="both"/>
        <w:rPr>
          <w:rFonts w:ascii="Times New Roman" w:hAnsi="Times New Roman"/>
        </w:rPr>
      </w:pPr>
      <w:r>
        <w:rPr>
          <w:rFonts w:ascii="Times New Roman" w:hAnsi="Times New Roman"/>
        </w:rPr>
        <w:t xml:space="preserve">Cieľom prijatej </w:t>
      </w:r>
      <w:r w:rsidRPr="00E050B2">
        <w:rPr>
          <w:rFonts w:ascii="Times New Roman" w:hAnsi="Times New Roman"/>
          <w:b/>
        </w:rPr>
        <w:t>Stratégie prechodu z a</w:t>
      </w:r>
      <w:r>
        <w:rPr>
          <w:rFonts w:ascii="Times New Roman" w:hAnsi="Times New Roman"/>
          <w:b/>
        </w:rPr>
        <w:t>nalógového na digitálne pozemné</w:t>
      </w:r>
      <w:r w:rsidRPr="00E050B2">
        <w:rPr>
          <w:rFonts w:ascii="Times New Roman" w:hAnsi="Times New Roman"/>
          <w:b/>
        </w:rPr>
        <w:t xml:space="preserve"> televízne a rozhlasové vysielanie v SR</w:t>
      </w:r>
      <w:r>
        <w:rPr>
          <w:rFonts w:ascii="Times New Roman" w:hAnsi="Times New Roman"/>
        </w:rPr>
        <w:t xml:space="preserve"> v oblasti televízneho vysielania je ukončenie analógového vysielania najneskôr do konca roka </w:t>
      </w:r>
      <w:smartTag w:uri="urn:schemas-microsoft-com:office:smarttags" w:element="metricconverter">
        <w:smartTagPr>
          <w:attr w:name="ProductID" w:val="2012 a"/>
        </w:smartTagPr>
        <w:r>
          <w:rPr>
            <w:rFonts w:ascii="Times New Roman" w:hAnsi="Times New Roman"/>
          </w:rPr>
          <w:t>2012 a</w:t>
        </w:r>
      </w:smartTag>
      <w:r>
        <w:rPr>
          <w:rFonts w:ascii="Times New Roman" w:hAnsi="Times New Roman"/>
        </w:rPr>
        <w:t xml:space="preserve"> vytvorenie podmienok pre ďalší rozvoj pozemného digitálneho vysielania v systéme DVB</w:t>
      </w:r>
      <w:r>
        <w:rPr>
          <w:rFonts w:ascii="Times New Roman" w:hAnsi="Times New Roman"/>
        </w:rPr>
        <w:noBreakHyphen/>
        <w:t>T a pre možné začatie pozemského digitálneho vysielania v systéme DVB-T2.</w:t>
      </w:r>
    </w:p>
    <w:p w:rsidR="000C0368" w:rsidP="000C0368">
      <w:pPr>
        <w:bidi w:val="0"/>
        <w:ind w:firstLine="708"/>
        <w:jc w:val="both"/>
        <w:rPr>
          <w:rFonts w:ascii="Times New Roman" w:hAnsi="Times New Roman"/>
        </w:rPr>
      </w:pPr>
      <w:r>
        <w:rPr>
          <w:rFonts w:ascii="Times New Roman" w:hAnsi="Times New Roman"/>
        </w:rPr>
        <w:t xml:space="preserve">Ďalšia národná stratégia pre </w:t>
      </w:r>
      <w:r w:rsidRPr="00E050B2">
        <w:rPr>
          <w:rFonts w:ascii="Times New Roman" w:hAnsi="Times New Roman"/>
          <w:b/>
        </w:rPr>
        <w:t xml:space="preserve">širokopásmový </w:t>
      </w:r>
      <w:r>
        <w:rPr>
          <w:rFonts w:ascii="Times New Roman" w:hAnsi="Times New Roman"/>
          <w:b/>
        </w:rPr>
        <w:t xml:space="preserve">internetový </w:t>
      </w:r>
      <w:r w:rsidRPr="00E050B2">
        <w:rPr>
          <w:rFonts w:ascii="Times New Roman" w:hAnsi="Times New Roman"/>
          <w:b/>
        </w:rPr>
        <w:t>prístup</w:t>
      </w:r>
      <w:r>
        <w:rPr>
          <w:rFonts w:ascii="Times New Roman" w:hAnsi="Times New Roman"/>
        </w:rPr>
        <w:t xml:space="preserve"> by mala zabezpečiť dostupnosť širokopásmového pripojenia s prenosovou rýchlosťou minimálne 1 Mbit/s do konca roku </w:t>
      </w:r>
      <w:smartTag w:uri="urn:schemas-microsoft-com:office:smarttags" w:element="metricconverter">
        <w:smartTagPr>
          <w:attr w:name="ProductID" w:val="2013 a"/>
        </w:smartTagPr>
        <w:r>
          <w:rPr>
            <w:rFonts w:ascii="Times New Roman" w:hAnsi="Times New Roman"/>
          </w:rPr>
          <w:t>2013 a</w:t>
        </w:r>
      </w:smartTag>
      <w:r>
        <w:rPr>
          <w:rFonts w:ascii="Times New Roman" w:hAnsi="Times New Roman"/>
        </w:rPr>
        <w:t xml:space="preserve"> do konca roku 2020 umožniť prístup k vysokorýchlostnému internetovému pripojeniu s prenosovou rýchlosťou 30 Mbit/s pre všetkých občanov, verejnú správu, podnikateľský i tretí sektor. Nevyhnutnou podmienkou naplnenia stanovených cieľov je najmä vytvorenie priaznivého regulačného prostredia, podpora budovania širokopásmových sietí z verejných zdrojov (OPIS) a poskytovanie nových obsahových služieb v oblasti elektronickej verejnej správy.</w:t>
      </w:r>
    </w:p>
    <w:p w:rsidR="000C0368" w:rsidP="000C0368">
      <w:pPr>
        <w:bidi w:val="0"/>
        <w:jc w:val="both"/>
        <w:rPr>
          <w:rFonts w:ascii="Times New Roman" w:hAnsi="Times New Roman"/>
        </w:rPr>
      </w:pPr>
    </w:p>
    <w:p w:rsidR="000C0368" w:rsidRPr="00AC5B24" w:rsidP="000C0368">
      <w:pPr>
        <w:bidi w:val="0"/>
        <w:ind w:left="1418" w:hanging="1418"/>
        <w:jc w:val="both"/>
        <w:outlineLvl w:val="0"/>
        <w:rPr>
          <w:rFonts w:ascii="Times New Roman" w:hAnsi="Times New Roman"/>
          <w:b/>
          <w:color w:val="FF0000"/>
        </w:rPr>
      </w:pPr>
      <w:r>
        <w:rPr>
          <w:rFonts w:ascii="Times New Roman" w:hAnsi="Times New Roman"/>
          <w:b/>
          <w:color w:val="000000"/>
        </w:rPr>
        <w:t xml:space="preserve">Energetika </w:t>
      </w:r>
    </w:p>
    <w:p w:rsidR="000C0368" w:rsidP="000C0368">
      <w:pPr>
        <w:autoSpaceDE w:val="0"/>
        <w:autoSpaceDN w:val="0"/>
        <w:bidi w:val="0"/>
        <w:adjustRightInd w:val="0"/>
        <w:ind w:firstLine="708"/>
        <w:jc w:val="both"/>
        <w:rPr>
          <w:rFonts w:ascii="Times New Roman" w:hAnsi="Times New Roman"/>
          <w:b/>
          <w:bCs/>
        </w:rPr>
      </w:pPr>
      <w:r>
        <w:rPr>
          <w:rFonts w:ascii="Times New Roman" w:hAnsi="Times New Roman"/>
        </w:rPr>
        <w:t>P</w:t>
      </w:r>
      <w:r>
        <w:rPr>
          <w:rFonts w:ascii="Times New Roman" w:hAnsi="Times New Roman"/>
          <w:color w:val="000000"/>
        </w:rPr>
        <w:t xml:space="preserve">retrvávajúca závislosť na jednom energetickom zdroji determinuje strategickú prioritu SR v tejto oblasti – diverzifikáciu </w:t>
      </w:r>
      <w:r>
        <w:rPr>
          <w:rFonts w:ascii="Times New Roman" w:hAnsi="Times New Roman"/>
        </w:rPr>
        <w:t>a dobudovanie vnútornej energetickej infraštruktúry EÚ</w:t>
      </w:r>
      <w:r>
        <w:rPr>
          <w:rFonts w:ascii="Times New Roman" w:hAnsi="Times New Roman"/>
          <w:b/>
          <w:bCs/>
        </w:rPr>
        <w:t xml:space="preserve">. </w:t>
      </w:r>
      <w:r>
        <w:rPr>
          <w:rFonts w:ascii="Times New Roman" w:hAnsi="Times New Roman"/>
        </w:rPr>
        <w:t>V súvislosti s rozpracovaním stratégie Európa 2020 zverejnila Európska komisia v novembri 2010 oznámenie „</w:t>
      </w:r>
      <w:r w:rsidRPr="00E050B2">
        <w:rPr>
          <w:rFonts w:ascii="Times New Roman" w:hAnsi="Times New Roman"/>
          <w:b/>
        </w:rPr>
        <w:t>Energia 2020: Stratégia pre konkurencieschopnú, udržateľnú a bezpečnú energetiku</w:t>
      </w:r>
      <w:r>
        <w:rPr>
          <w:rFonts w:ascii="Times New Roman" w:hAnsi="Times New Roman"/>
        </w:rPr>
        <w:t>“.</w:t>
      </w:r>
    </w:p>
    <w:p w:rsidR="000C0368" w:rsidP="000C0368">
      <w:pPr>
        <w:bidi w:val="0"/>
        <w:ind w:firstLine="708"/>
        <w:jc w:val="both"/>
        <w:rPr>
          <w:rFonts w:ascii="Times New Roman" w:hAnsi="Times New Roman"/>
        </w:rPr>
      </w:pPr>
      <w:r>
        <w:rPr>
          <w:rFonts w:ascii="Times New Roman" w:hAnsi="Times New Roman"/>
        </w:rPr>
        <w:t>V súvislosti s rozvojom infraštruktúry bolo v novembri 2010 zverejnené aj oznámenie „</w:t>
      </w:r>
      <w:r>
        <w:rPr>
          <w:rFonts w:ascii="Times New Roman" w:hAnsi="Times New Roman"/>
          <w:b/>
        </w:rPr>
        <w:t xml:space="preserve">Priority v oblasti energetickej infraštruktúry do roku </w:t>
      </w:r>
      <w:smartTag w:uri="urn:schemas-microsoft-com:office:smarttags" w:element="metricconverter">
        <w:smartTagPr>
          <w:attr w:name="ProductID" w:val="2020 a"/>
        </w:smartTagPr>
        <w:r>
          <w:rPr>
            <w:rFonts w:ascii="Times New Roman" w:hAnsi="Times New Roman"/>
            <w:b/>
          </w:rPr>
          <w:t>2020</w:t>
        </w:r>
        <w:r>
          <w:rPr>
            <w:rFonts w:ascii="Times New Roman" w:hAnsi="Times New Roman"/>
          </w:rPr>
          <w:t xml:space="preserve"> </w:t>
        </w:r>
        <w:r>
          <w:rPr>
            <w:rFonts w:ascii="Times New Roman" w:hAnsi="Times New Roman"/>
            <w:b/>
            <w:bCs/>
          </w:rPr>
          <w:t>a</w:t>
        </w:r>
      </w:smartTag>
      <w:r>
        <w:rPr>
          <w:rFonts w:ascii="Times New Roman" w:hAnsi="Times New Roman"/>
          <w:b/>
          <w:bCs/>
        </w:rPr>
        <w:t xml:space="preserve"> na nasledujúce roky</w:t>
      </w:r>
      <w:r>
        <w:rPr>
          <w:rFonts w:ascii="Times New Roman" w:hAnsi="Times New Roman"/>
        </w:rPr>
        <w:t>“. Za účelom podpory infraštruktúry pripraví EK návrh komplexnej politiky v oblasti podpory infraštruktúry a stanovila 7 základných prioritných oblastí do roku 2020, z ktorých sú pre SR najdôležitejšie severo-južné plynárenské a ropné prepojenia a elektrizačné prepojenia v strednej a južnej Európe.</w:t>
      </w:r>
    </w:p>
    <w:p w:rsidR="000C0368" w:rsidP="000C0368">
      <w:pPr>
        <w:bidi w:val="0"/>
        <w:ind w:firstLine="708"/>
        <w:jc w:val="both"/>
        <w:rPr>
          <w:rFonts w:ascii="Times New Roman" w:hAnsi="Times New Roman"/>
        </w:rPr>
      </w:pPr>
      <w:r>
        <w:rPr>
          <w:rFonts w:ascii="Times New Roman" w:hAnsi="Times New Roman"/>
        </w:rPr>
        <w:t xml:space="preserve">S cieľom podporiť severo-južné prepojenia v strednej Európe bola na základe spoločného listu ministrov hospodárstva a energetiky V4 eurokomisárovi EÚ pre energetiku G. Oettingerovi </w:t>
      </w:r>
      <w:r>
        <w:rPr>
          <w:rFonts w:ascii="Times New Roman" w:hAnsi="Times New Roman"/>
          <w:b/>
        </w:rPr>
        <w:t>zriadená Pracovná skupinu na vysokej úrovni pre severo-južnú os</w:t>
      </w:r>
      <w:r>
        <w:rPr>
          <w:rFonts w:ascii="Times New Roman" w:hAnsi="Times New Roman"/>
        </w:rPr>
        <w:t>, ktorá do konca roku 2011 identifikuje v akčnom pláne diverzifikačné projekty v sektore plynárenstva, elektroenergetiky a ropy. Členmi tejto skupiny sú krajiny V4, Bulharsko, Rumunsko a  Chorvátsko ako pozorovateľ.</w:t>
      </w:r>
    </w:p>
    <w:p w:rsidR="000C0368" w:rsidP="000C0368">
      <w:pPr>
        <w:autoSpaceDE w:val="0"/>
        <w:autoSpaceDN w:val="0"/>
        <w:bidi w:val="0"/>
        <w:adjustRightInd w:val="0"/>
        <w:ind w:firstLine="708"/>
        <w:jc w:val="both"/>
        <w:rPr>
          <w:rFonts w:ascii="Times New Roman" w:hAnsi="Times New Roman"/>
        </w:rPr>
      </w:pPr>
      <w:r>
        <w:rPr>
          <w:rFonts w:ascii="Times New Roman" w:hAnsi="Times New Roman"/>
        </w:rPr>
        <w:t xml:space="preserve">Na jeseň 2011 by Európska komisia mala zverejniť </w:t>
      </w:r>
      <w:r>
        <w:rPr>
          <w:rFonts w:ascii="Times New Roman" w:hAnsi="Times New Roman"/>
          <w:b/>
        </w:rPr>
        <w:t>návrh nového finančného inštrumentu</w:t>
      </w:r>
      <w:r>
        <w:rPr>
          <w:rFonts w:ascii="Times New Roman" w:hAnsi="Times New Roman"/>
        </w:rPr>
        <w:t xml:space="preserve"> nahradzujúceho TEN-E, ktorý by mal určiť prioritné projekty EÚ v oblasti infraštruktúry, identifikovať kritériá a nastaviť transparentný mechanizmus pri prideľovaní finančnej pomoci EÚ.</w:t>
      </w:r>
    </w:p>
    <w:p w:rsidR="000C0368" w:rsidP="000C0368">
      <w:pPr>
        <w:autoSpaceDE w:val="0"/>
        <w:autoSpaceDN w:val="0"/>
        <w:bidi w:val="0"/>
        <w:adjustRightInd w:val="0"/>
        <w:ind w:firstLine="708"/>
        <w:jc w:val="both"/>
        <w:rPr>
          <w:rFonts w:ascii="Times New Roman" w:hAnsi="Times New Roman"/>
        </w:rPr>
      </w:pPr>
      <w:r>
        <w:rPr>
          <w:rFonts w:ascii="Times New Roman" w:hAnsi="Times New Roman"/>
        </w:rPr>
        <w:t>Rada ministrov pre energetiku vo februári 2011 dospela k názoru, že dosiahnutie</w:t>
      </w:r>
      <w:r w:rsidRPr="00E050B2">
        <w:rPr>
          <w:rFonts w:ascii="Times New Roman" w:hAnsi="Times New Roman"/>
          <w:b/>
        </w:rPr>
        <w:t xml:space="preserve"> efektívneho využívania </w:t>
      </w:r>
      <w:r>
        <w:rPr>
          <w:rFonts w:ascii="Times New Roman" w:hAnsi="Times New Roman"/>
          <w:b/>
        </w:rPr>
        <w:t xml:space="preserve">energetických </w:t>
      </w:r>
      <w:r w:rsidRPr="00E050B2">
        <w:rPr>
          <w:rFonts w:ascii="Times New Roman" w:hAnsi="Times New Roman"/>
          <w:b/>
        </w:rPr>
        <w:t>zdrojov v EÚ</w:t>
      </w:r>
      <w:r>
        <w:rPr>
          <w:rFonts w:ascii="Times New Roman" w:hAnsi="Times New Roman"/>
        </w:rPr>
        <w:t xml:space="preserve"> (</w:t>
      </w:r>
      <w:r w:rsidRPr="00346C1F">
        <w:rPr>
          <w:rFonts w:ascii="Times New Roman" w:hAnsi="Times New Roman"/>
        </w:rPr>
        <w:t>20% úspory energie do roku 2020</w:t>
      </w:r>
      <w:r>
        <w:rPr>
          <w:rFonts w:ascii="Times New Roman" w:hAnsi="Times New Roman"/>
        </w:rPr>
        <w:t>) by sa malo uskutočniť pomocou využitia potenciálu národných akčných plánov pre energetickú efektívnosť, využitím potenciálu v sektore budov a dopravy, posilnením konkurencieschopnosti priemyslu a zvýšením energetickej efektívnosti pri výrobe a dodávke energií. Ministri pre energetiku zdôraznili úlohu verejného sektora pri dosahovaní úspor energie a zaviazali sa, že od 1. 1. 2012 sa energetická efektívnosť stane kritériom verejného obstarávania pre služby a budovy vo verejnom sektore.</w:t>
      </w:r>
    </w:p>
    <w:p w:rsidR="000C0368" w:rsidP="000C0368">
      <w:pPr>
        <w:autoSpaceDE w:val="0"/>
        <w:autoSpaceDN w:val="0"/>
        <w:bidi w:val="0"/>
        <w:adjustRightInd w:val="0"/>
        <w:ind w:firstLine="708"/>
        <w:jc w:val="both"/>
        <w:rPr>
          <w:rFonts w:ascii="Times New Roman" w:hAnsi="Times New Roman"/>
          <w:b/>
          <w:bCs/>
        </w:rPr>
      </w:pPr>
      <w:r>
        <w:rPr>
          <w:rFonts w:ascii="Times New Roman" w:hAnsi="Times New Roman"/>
        </w:rPr>
        <w:t xml:space="preserve">Vytvorenie </w:t>
      </w:r>
      <w:r w:rsidRPr="00E050B2">
        <w:rPr>
          <w:rFonts w:ascii="Times New Roman" w:hAnsi="Times New Roman"/>
          <w:b/>
        </w:rPr>
        <w:t>celoeurópskeho integrovaného trhu s energiou</w:t>
      </w:r>
      <w:r>
        <w:rPr>
          <w:rFonts w:ascii="Times New Roman" w:hAnsi="Times New Roman"/>
        </w:rPr>
        <w:t xml:space="preserve"> by sa malo dosiahnuť implementáciou legislatívy v oblasti vnútorného trhu (tretí liberalizačný balíček), vytvorením vzoru pre európsku infraštruktúru (balíček infraštruktúry), zjednotením povoľovacích procedúr a trhových pravidiel pre rozvoj infraštruktúry a vytvorením vhodného finančného rámca. V tejto súvislosti bol stanovený rok 2014 ako termín na dobudovanie vnútorného trhu, pričom po roku 2015 by žiadny členský štát nemal byť izolovaný od vnútorného trhu s energiou, či ohrozený nedostatkom možností na diverzifikáciu.</w:t>
      </w:r>
    </w:p>
    <w:p w:rsidR="000C0368" w:rsidP="000C0368">
      <w:pPr>
        <w:autoSpaceDE w:val="0"/>
        <w:autoSpaceDN w:val="0"/>
        <w:bidi w:val="0"/>
        <w:adjustRightInd w:val="0"/>
        <w:ind w:firstLine="708"/>
        <w:jc w:val="both"/>
        <w:rPr>
          <w:rFonts w:ascii="Times New Roman" w:hAnsi="Times New Roman"/>
        </w:rPr>
      </w:pPr>
      <w:r w:rsidRPr="00E050B2">
        <w:rPr>
          <w:rFonts w:ascii="Times New Roman" w:hAnsi="Times New Roman"/>
          <w:b/>
        </w:rPr>
        <w:t>Posilnenie vonkajšej dimenzie energetickej politiky EÚ</w:t>
      </w:r>
      <w:r>
        <w:rPr>
          <w:rFonts w:ascii="Times New Roman" w:hAnsi="Times New Roman"/>
        </w:rPr>
        <w:t xml:space="preserve"> by sa malo dosiahnuť integrovaním trhov s energiou a regulačných rámcov so susednými krajinami, zriadením privilegovaných partnerstiev s kľúčovými dodávateľmi, podporou globálnej úlohy EÚ v nízkouhlíkovom hospodárstve a podporou právne záväzných štandardov mierového využitia jadrovej energie. V súvislosti so zlepšením transparentnosti vzťahov členské štáty budú mať od 1. januára 2012 povinnosť informovať Európsku komisiu o prijatí platných medzinárodných zmlúv v oblasti energetiky.</w:t>
      </w:r>
    </w:p>
    <w:p w:rsidR="000C0368" w:rsidP="000C0368">
      <w:pPr>
        <w:autoSpaceDE w:val="0"/>
        <w:autoSpaceDN w:val="0"/>
        <w:bidi w:val="0"/>
        <w:adjustRightInd w:val="0"/>
        <w:ind w:firstLine="708"/>
        <w:jc w:val="both"/>
        <w:rPr>
          <w:rFonts w:ascii="Times New Roman" w:hAnsi="Times New Roman"/>
        </w:rPr>
      </w:pPr>
      <w:r>
        <w:rPr>
          <w:rFonts w:ascii="Times New Roman" w:hAnsi="Times New Roman"/>
        </w:rPr>
        <w:t xml:space="preserve">V rámci dlhodobých cieľov patrí medzi priority aj </w:t>
      </w:r>
      <w:r w:rsidRPr="00E050B2">
        <w:rPr>
          <w:rFonts w:ascii="Times New Roman" w:hAnsi="Times New Roman"/>
          <w:b/>
        </w:rPr>
        <w:t>dekarbonizácia hospodárstva a prechod na nízkouhlíkovú technológiu</w:t>
      </w:r>
      <w:r>
        <w:rPr>
          <w:rFonts w:ascii="Times New Roman" w:hAnsi="Times New Roman"/>
        </w:rPr>
        <w:t>. Pre SR je zaujímavá z dôvodu výrazného podielu jadrovej energie na energetickej spotrebe, pričom do budúcnosti bude jadro tvoriť i naďalej významný podiel na jednotlivých zdrojoch energie v SR.</w:t>
      </w:r>
    </w:p>
    <w:p w:rsidR="000C0368" w:rsidP="000C0368">
      <w:pPr>
        <w:bidi w:val="0"/>
        <w:jc w:val="both"/>
        <w:rPr>
          <w:rFonts w:ascii="Times New Roman" w:hAnsi="Times New Roman"/>
        </w:rPr>
      </w:pPr>
    </w:p>
    <w:p w:rsidR="000C0368" w:rsidP="000C0368">
      <w:pPr>
        <w:bidi w:val="0"/>
        <w:jc w:val="center"/>
        <w:outlineLvl w:val="0"/>
        <w:rPr>
          <w:rFonts w:ascii="Times New Roman" w:hAnsi="Times New Roman"/>
          <w:b/>
        </w:rPr>
      </w:pPr>
      <w:r>
        <w:rPr>
          <w:rFonts w:ascii="Times New Roman" w:hAnsi="Times New Roman"/>
          <w:b/>
        </w:rPr>
        <w:t>POĽNOHOSPODÁRSTVO A RYBNÉ HOSPODÁRSTVO</w:t>
      </w:r>
    </w:p>
    <w:p w:rsidR="000C0368" w:rsidP="000C0368">
      <w:pPr>
        <w:bidi w:val="0"/>
        <w:ind w:firstLine="708"/>
        <w:jc w:val="both"/>
        <w:rPr>
          <w:rFonts w:ascii="Times New Roman" w:hAnsi="Times New Roman"/>
        </w:rPr>
      </w:pPr>
    </w:p>
    <w:p w:rsidR="000C0368" w:rsidP="000C0368">
      <w:pPr>
        <w:bidi w:val="0"/>
        <w:ind w:firstLine="708"/>
        <w:jc w:val="both"/>
        <w:rPr>
          <w:rFonts w:ascii="Times New Roman" w:hAnsi="Times New Roman"/>
        </w:rPr>
      </w:pPr>
      <w:r>
        <w:rPr>
          <w:rFonts w:ascii="Times New Roman" w:hAnsi="Times New Roman"/>
        </w:rPr>
        <w:t>Slovenské poľnohospodárstvo nemôže konkurovať krajinám EÚ-15 v </w:t>
      </w:r>
      <w:r w:rsidRPr="009872EE">
        <w:rPr>
          <w:rFonts w:ascii="Times New Roman" w:hAnsi="Times New Roman"/>
          <w:b/>
        </w:rPr>
        <w:t>diskriminujúcich nerovnoprávnych podmienkach jednotného trhu</w:t>
      </w:r>
      <w:r>
        <w:rPr>
          <w:rFonts w:ascii="Times New Roman" w:hAnsi="Times New Roman"/>
        </w:rPr>
        <w:t>. Odstránenie týchto disproporcií by mala zohľadniť nová Spoločná poľnohospodárska politika (SPP) po roku 2013, o čo sa aktívne usiluje SR s ďalšími členskými krajinami. SPP po roku 2013 bude mať kľúčový a dlhodobý dopad nielen na poľnohospodárstvo, ale aj slovenský potravinársky priemysel a ich exportný potenciál.</w:t>
      </w:r>
    </w:p>
    <w:p w:rsidR="000C0368" w:rsidP="000C0368">
      <w:pPr>
        <w:bidi w:val="0"/>
        <w:ind w:firstLine="708"/>
        <w:jc w:val="both"/>
        <w:rPr>
          <w:rFonts w:ascii="Times New Roman" w:hAnsi="Times New Roman"/>
        </w:rPr>
      </w:pPr>
      <w:r>
        <w:rPr>
          <w:rFonts w:ascii="Times New Roman" w:hAnsi="Times New Roman"/>
        </w:rPr>
        <w:t xml:space="preserve">V tomto kontexte SR ako predsednícka krajina V4 iniciovala v novembri 2010 stretnutie rezortných ministrov V4, Bulharska a Rumunska, ktoré prijalo tzv. </w:t>
      </w:r>
      <w:r w:rsidRPr="009872EE">
        <w:rPr>
          <w:rFonts w:ascii="Times New Roman" w:hAnsi="Times New Roman"/>
          <w:b/>
        </w:rPr>
        <w:t>Bratislavskú deklaráciu</w:t>
      </w:r>
      <w:r>
        <w:rPr>
          <w:rFonts w:ascii="Times New Roman" w:hAnsi="Times New Roman"/>
        </w:rPr>
        <w:t xml:space="preserve"> </w:t>
      </w:r>
      <w:r w:rsidRPr="00D975C1">
        <w:rPr>
          <w:rFonts w:ascii="Times New Roman" w:hAnsi="Times New Roman"/>
          <w:i/>
        </w:rPr>
        <w:t>(neskôr sa k nej pripojila aj Litva)</w:t>
      </w:r>
      <w:r>
        <w:rPr>
          <w:rFonts w:ascii="Times New Roman" w:hAnsi="Times New Roman"/>
        </w:rPr>
        <w:t>. Tieto krajiny potvrdili snahu o spoločný postup a prehlbovanie ďalšej spolupráce pri diskusii o budúcej podobe SPP a zhodli sa na tom, že reforma SPP musí zabezpečiť jej zjednodušenie, väčšiu spravodlivosť, trhovú orientáciu a trvalú udržateľnosť.</w:t>
      </w:r>
    </w:p>
    <w:p w:rsidR="000C0368" w:rsidP="000C0368">
      <w:pPr>
        <w:bidi w:val="0"/>
        <w:ind w:firstLine="708"/>
        <w:jc w:val="both"/>
        <w:rPr>
          <w:rFonts w:ascii="Times New Roman" w:hAnsi="Times New Roman"/>
        </w:rPr>
      </w:pPr>
      <w:r>
        <w:rPr>
          <w:rFonts w:ascii="Times New Roman" w:hAnsi="Times New Roman"/>
        </w:rPr>
        <w:t xml:space="preserve">SR podporuje </w:t>
      </w:r>
      <w:r w:rsidRPr="009872EE">
        <w:rPr>
          <w:rFonts w:ascii="Times New Roman" w:hAnsi="Times New Roman"/>
          <w:b/>
        </w:rPr>
        <w:t xml:space="preserve">zachovanie modelu dvoch jednoznačne </w:t>
      </w:r>
      <w:r>
        <w:rPr>
          <w:rFonts w:ascii="Times New Roman" w:hAnsi="Times New Roman"/>
          <w:b/>
        </w:rPr>
        <w:t>oddelených</w:t>
      </w:r>
      <w:r w:rsidRPr="009872EE">
        <w:rPr>
          <w:rFonts w:ascii="Times New Roman" w:hAnsi="Times New Roman"/>
          <w:b/>
        </w:rPr>
        <w:t xml:space="preserve"> pilierov</w:t>
      </w:r>
      <w:r>
        <w:rPr>
          <w:rFonts w:ascii="Times New Roman" w:hAnsi="Times New Roman"/>
        </w:rPr>
        <w:t xml:space="preserve"> SPP bez spolufinancovania 1. piliera a s len obmedzeným spolufinancovaním a štátnou pomocou v oboch pilieroch na špecifické, presne definované účely. Treba dosiahnuť vyváženosť medzi oboma piliermi a lepšie plánovanie programového obdobia aj vyčlenením prostriedkov do oboch pilierov na začiatku programového obdobia. SR je zásadne </w:t>
      </w:r>
      <w:r w:rsidRPr="009872EE">
        <w:rPr>
          <w:rFonts w:ascii="Times New Roman" w:hAnsi="Times New Roman"/>
          <w:b/>
        </w:rPr>
        <w:t>proti zavedeniu hornej hranice na príjem poľnohospodárov</w:t>
      </w:r>
      <w:r>
        <w:rPr>
          <w:rFonts w:ascii="Times New Roman" w:hAnsi="Times New Roman"/>
        </w:rPr>
        <w:t xml:space="preserve"> v základnej zložke nového návrhu priamych platieb. Predpokladaná nová schéma pomoci pre malých poľnohospodárov by podľa SR mala byť pre členské štáty dobrovoľná.</w:t>
      </w:r>
    </w:p>
    <w:p w:rsidR="000C0368" w:rsidP="000C0368">
      <w:pPr>
        <w:bidi w:val="0"/>
        <w:ind w:firstLine="708"/>
        <w:jc w:val="both"/>
        <w:rPr>
          <w:rFonts w:ascii="Times New Roman" w:hAnsi="Times New Roman"/>
        </w:rPr>
      </w:pPr>
      <w:r>
        <w:rPr>
          <w:rFonts w:ascii="Times New Roman" w:hAnsi="Times New Roman"/>
        </w:rPr>
        <w:t xml:space="preserve">SR sa začlenila do programu potravinovej </w:t>
      </w:r>
      <w:r w:rsidRPr="009872EE">
        <w:rPr>
          <w:rFonts w:ascii="Times New Roman" w:hAnsi="Times New Roman"/>
          <w:b/>
        </w:rPr>
        <w:t>pomoci pre osoby</w:t>
      </w:r>
      <w:r>
        <w:rPr>
          <w:rFonts w:ascii="Times New Roman" w:hAnsi="Times New Roman"/>
          <w:b/>
        </w:rPr>
        <w:t xml:space="preserve"> v najväčšej núdzi</w:t>
      </w:r>
      <w:r>
        <w:rPr>
          <w:rFonts w:ascii="Times New Roman" w:hAnsi="Times New Roman"/>
        </w:rPr>
        <w:t xml:space="preserve">. Od školského roku 2009/2010 sa začal uplatňovať nový EÚ program podpory spotreby ovocia a zeleniny pre deti a žiakov v školách - </w:t>
      </w:r>
      <w:r w:rsidRPr="009872EE">
        <w:rPr>
          <w:rFonts w:ascii="Times New Roman" w:hAnsi="Times New Roman"/>
          <w:b/>
        </w:rPr>
        <w:t>„Školské ovocie“.</w:t>
      </w:r>
      <w:r>
        <w:rPr>
          <w:rFonts w:ascii="Times New Roman" w:hAnsi="Times New Roman"/>
        </w:rPr>
        <w:t xml:space="preserve"> V školskom roku 2010/2011 má SR vyčlenených na program 2,5 mil. EUR, čo umožní zabezpečiť 2-krát týždenne čerstvé a spracované produkty ovocia a zeleniny pre 350 000 detí. V júni 2010 boli schválené odporúčania skupiny na vysokej úrovni pre mlieko </w:t>
      </w:r>
      <w:r>
        <w:rPr>
          <w:rStyle w:val="longtext"/>
          <w:rFonts w:ascii="Times New Roman" w:hAnsi="Times New Roman"/>
        </w:rPr>
        <w:t xml:space="preserve">pre Európsku komisiu a </w:t>
      </w:r>
      <w:r>
        <w:rPr>
          <w:rFonts w:ascii="Times New Roman" w:hAnsi="Times New Roman"/>
        </w:rPr>
        <w:t>každoročne sa zvyšuje počet zapojených školských zariadení do programu „</w:t>
      </w:r>
      <w:r w:rsidRPr="009872EE">
        <w:rPr>
          <w:rFonts w:ascii="Times New Roman" w:hAnsi="Times New Roman"/>
          <w:b/>
        </w:rPr>
        <w:t>Školské mlieko“</w:t>
      </w:r>
      <w:r>
        <w:rPr>
          <w:rFonts w:ascii="Times New Roman" w:hAnsi="Times New Roman"/>
        </w:rPr>
        <w:t>. V školskom roku 2009/2010 sa zapojilo vyše 1 300 školských zariadení, pričom sa poskytlo 3 029 ton mliečnych výrobkov s podporou 1,89 mil. EUR.</w:t>
      </w:r>
    </w:p>
    <w:p w:rsidR="000C0368" w:rsidP="000C0368">
      <w:pPr>
        <w:bidi w:val="0"/>
        <w:ind w:firstLine="708"/>
        <w:jc w:val="both"/>
        <w:rPr>
          <w:rFonts w:ascii="Times New Roman" w:hAnsi="Times New Roman"/>
        </w:rPr>
      </w:pPr>
      <w:r>
        <w:rPr>
          <w:rFonts w:ascii="Times New Roman" w:hAnsi="Times New Roman"/>
        </w:rPr>
        <w:t>V rámci systému Politiky kvality EÚ SR požiadala o </w:t>
      </w:r>
      <w:r w:rsidRPr="009872EE">
        <w:rPr>
          <w:rFonts w:ascii="Times New Roman" w:hAnsi="Times New Roman"/>
          <w:b/>
        </w:rPr>
        <w:t>registráciu 14 produktov</w:t>
      </w:r>
      <w:r>
        <w:rPr>
          <w:rFonts w:ascii="Times New Roman" w:hAnsi="Times New Roman"/>
        </w:rPr>
        <w:t xml:space="preserve">. V registri chránených označení ako chránené zemepisné označenie má SR 7 výrobkov: Skalický trdelník, Slovenská parenica, Slovenský oštiepok, Slovenská bryndza, Oravský korbáčik, Zázrivský korbáčik a Tekovský salámový syr. V Registri zaručených tradičných špecialít má zapísaných 6 výrobkov: Ovčí hrudkový syr - salašnícky, Ovčí salašnícky údený syr a spolu s Českou republikou mäsové výrobky: Liptovská saláma, Spišské párky, Lovecká saláma a Špekáčky. V procese registrácie je výrobok Bratislavský rožok. </w:t>
      </w:r>
    </w:p>
    <w:p w:rsidR="000C0368" w:rsidP="000C0368">
      <w:pPr>
        <w:bidi w:val="0"/>
        <w:ind w:firstLine="708"/>
        <w:jc w:val="both"/>
        <w:rPr>
          <w:rFonts w:ascii="Times New Roman" w:hAnsi="Times New Roman"/>
        </w:rPr>
      </w:pPr>
      <w:r>
        <w:rPr>
          <w:rFonts w:ascii="Times New Roman" w:hAnsi="Times New Roman"/>
        </w:rPr>
        <w:t xml:space="preserve">Európska komisia dňa 10.12.2010 prijala a zverejnila tzv. </w:t>
      </w:r>
      <w:r w:rsidRPr="009872EE">
        <w:rPr>
          <w:rFonts w:ascii="Times New Roman" w:hAnsi="Times New Roman"/>
          <w:b/>
        </w:rPr>
        <w:t>balík kvality</w:t>
      </w:r>
      <w:r>
        <w:rPr>
          <w:rFonts w:ascii="Times New Roman" w:hAnsi="Times New Roman"/>
        </w:rPr>
        <w:t xml:space="preserve">, ktorého súčasťou je </w:t>
      </w:r>
      <w:r>
        <w:rPr>
          <w:rStyle w:val="Strong"/>
          <w:rFonts w:ascii="Times New Roman" w:hAnsi="Times New Roman"/>
          <w:b w:val="0"/>
        </w:rPr>
        <w:t>návrh nariadenia EP a Rady o systémoch kvality poľnohospodárskych výrobkov a potravín</w:t>
      </w:r>
      <w:r>
        <w:rPr>
          <w:rFonts w:ascii="Times New Roman" w:hAnsi="Times New Roman"/>
        </w:rPr>
        <w:t xml:space="preserve">. Cieľom nového návrhu je zjednodušenie, zefektívnenie a zníženie zložitosti systému Politiky kvality EÚ za účelom uľahčiť poľnohospodárom, výrobcom a spotrebiteľom využívanie a chápanie rozličných systémov a pojmov v oblasti označovania. </w:t>
      </w:r>
    </w:p>
    <w:p w:rsidR="000C0368" w:rsidP="000C0368">
      <w:pPr>
        <w:autoSpaceDE w:val="0"/>
        <w:autoSpaceDN w:val="0"/>
        <w:bidi w:val="0"/>
        <w:adjustRightInd w:val="0"/>
        <w:ind w:firstLine="708"/>
        <w:jc w:val="both"/>
        <w:rPr>
          <w:rFonts w:ascii="Times New Roman" w:hAnsi="Times New Roman"/>
        </w:rPr>
      </w:pPr>
      <w:bookmarkStart w:id="0" w:name="_Toc157185454"/>
      <w:bookmarkStart w:id="1" w:name="_Toc157185521"/>
      <w:r w:rsidRPr="009872EE">
        <w:rPr>
          <w:rFonts w:ascii="Times New Roman" w:hAnsi="Times New Roman"/>
          <w:b/>
        </w:rPr>
        <w:t>Koncept krížového plnenia</w:t>
      </w:r>
      <w:r>
        <w:rPr>
          <w:rFonts w:ascii="Times New Roman" w:hAnsi="Times New Roman"/>
        </w:rPr>
        <w:t xml:space="preserve"> SR naďalej považuje za správny, podporuje však prehodnotenie jeho rozsahu, vypustenie tých ustanovení, ktoré priamo nesúvisia s cieľmi krížového plnenia, resp. s činnosťou poľnohospodárov, a v tomto zmysle prípadne doplnenie povinných požiadaviek na hospodárenie a rámec dodržiavania dobrých poľnohospodárskych a environmentálnych podmieno</w:t>
      </w:r>
      <w:bookmarkEnd w:id="0"/>
      <w:bookmarkEnd w:id="1"/>
      <w:r>
        <w:rPr>
          <w:rFonts w:ascii="Times New Roman" w:hAnsi="Times New Roman"/>
        </w:rPr>
        <w:t>k.</w:t>
      </w:r>
    </w:p>
    <w:p w:rsidR="000C0368" w:rsidP="000C0368">
      <w:pPr>
        <w:bidi w:val="0"/>
        <w:rPr>
          <w:rFonts w:ascii="Times New Roman" w:hAnsi="Times New Roman"/>
        </w:rPr>
      </w:pPr>
    </w:p>
    <w:p w:rsidR="000C0368" w:rsidP="000C0368">
      <w:pPr>
        <w:bidi w:val="0"/>
        <w:jc w:val="center"/>
        <w:rPr>
          <w:rFonts w:ascii="Times New Roman" w:hAnsi="Times New Roman"/>
          <w:b/>
        </w:rPr>
      </w:pPr>
      <w:r>
        <w:rPr>
          <w:rFonts w:ascii="Times New Roman" w:hAnsi="Times New Roman"/>
          <w:b/>
        </w:rPr>
        <w:t>ŽIVOTNÉ PROSTREDIE</w:t>
      </w:r>
    </w:p>
    <w:p w:rsidR="000C0368" w:rsidP="000C0368">
      <w:pPr>
        <w:bidi w:val="0"/>
        <w:outlineLvl w:val="0"/>
        <w:rPr>
          <w:rFonts w:ascii="Times New Roman" w:hAnsi="Times New Roman"/>
        </w:rPr>
      </w:pPr>
    </w:p>
    <w:p w:rsidR="000C0368" w:rsidP="000C0368">
      <w:pPr>
        <w:bidi w:val="0"/>
        <w:outlineLvl w:val="0"/>
        <w:rPr>
          <w:rFonts w:ascii="Times New Roman" w:hAnsi="Times New Roman"/>
          <w:b/>
        </w:rPr>
      </w:pPr>
      <w:r>
        <w:rPr>
          <w:rFonts w:ascii="Times New Roman" w:hAnsi="Times New Roman"/>
          <w:b/>
        </w:rPr>
        <w:t>Klimatické zmeny</w:t>
      </w:r>
    </w:p>
    <w:p w:rsidR="000C0368" w:rsidP="000C0368">
      <w:pPr>
        <w:bidi w:val="0"/>
        <w:ind w:firstLine="708"/>
        <w:jc w:val="both"/>
        <w:rPr>
          <w:rFonts w:ascii="Times New Roman" w:hAnsi="Times New Roman"/>
        </w:rPr>
      </w:pPr>
      <w:r>
        <w:rPr>
          <w:rFonts w:ascii="Times New Roman" w:hAnsi="Times New Roman"/>
          <w:bCs/>
        </w:rPr>
        <w:t>Téma klimatických zmien a znižovania emisií</w:t>
      </w:r>
      <w:r>
        <w:rPr>
          <w:rFonts w:ascii="Times New Roman" w:hAnsi="Times New Roman"/>
          <w:b/>
          <w:bCs/>
        </w:rPr>
        <w:t xml:space="preserve"> </w:t>
      </w:r>
      <w:r>
        <w:rPr>
          <w:rFonts w:ascii="Times New Roman" w:hAnsi="Times New Roman"/>
        </w:rPr>
        <w:t xml:space="preserve">skleníkových plynov </w:t>
      </w:r>
      <w:r>
        <w:rPr>
          <w:rFonts w:ascii="Times New Roman" w:hAnsi="Times New Roman"/>
          <w:bCs/>
        </w:rPr>
        <w:t>patrí</w:t>
      </w:r>
      <w:r>
        <w:rPr>
          <w:rFonts w:ascii="Times New Roman" w:hAnsi="Times New Roman"/>
          <w:b/>
          <w:bCs/>
        </w:rPr>
        <w:t xml:space="preserve"> </w:t>
      </w:r>
      <w:r>
        <w:rPr>
          <w:rFonts w:ascii="Times New Roman" w:hAnsi="Times New Roman"/>
          <w:bCs/>
        </w:rPr>
        <w:t>medzi</w:t>
      </w:r>
      <w:r>
        <w:rPr>
          <w:rFonts w:ascii="Times New Roman" w:hAnsi="Times New Roman"/>
          <w:b/>
          <w:bCs/>
        </w:rPr>
        <w:t xml:space="preserve"> </w:t>
      </w:r>
      <w:r w:rsidRPr="005145B0">
        <w:rPr>
          <w:rFonts w:ascii="Times New Roman" w:hAnsi="Times New Roman"/>
          <w:b/>
          <w:bCs/>
        </w:rPr>
        <w:t xml:space="preserve">najdôležitejšie strednodobé priority </w:t>
      </w:r>
      <w:r w:rsidRPr="005145B0">
        <w:rPr>
          <w:rFonts w:ascii="Times New Roman" w:hAnsi="Times New Roman"/>
          <w:b/>
        </w:rPr>
        <w:t>EÚ</w:t>
      </w:r>
      <w:r>
        <w:rPr>
          <w:rFonts w:ascii="Times New Roman" w:hAnsi="Times New Roman"/>
        </w:rPr>
        <w:t xml:space="preserve">. Členské štáty EÚ sa v priebehu  roka 2010 dohodli na spoločných pozíciách  a negociačných stratégiách pre  medzinárodný proces Rámcového dohovoru OSN o zmene klímy (UNFCCC),  ktorý vyvrcholil na konci roka 2010 prijatím tzv. Cancúnskych dohôd. Po neúspešnej konferencii UNFCCC v Kodani v roku 2009 sa EÚ rozhodla realizovať svoje ciele prostredníctvom malých a postupných krokov. Maďarské predsedníctvo pokračovalo v spoločnej koordinácii politík členských štátov EÚ s cieľom čo najefektívnejšie implementovať tieto dohody. V nasledujúcom období bude potrebné napredovať v úsilí </w:t>
      </w:r>
      <w:r w:rsidRPr="001C52DF">
        <w:rPr>
          <w:rFonts w:ascii="Times New Roman" w:hAnsi="Times New Roman"/>
          <w:b/>
        </w:rPr>
        <w:t>uzavrieť právne záväznú a globálnu dohodu</w:t>
      </w:r>
      <w:r>
        <w:rPr>
          <w:rFonts w:ascii="Times New Roman" w:hAnsi="Times New Roman"/>
        </w:rPr>
        <w:t xml:space="preserve"> o redukcii emisií skleníkových plynov po roku 2012, kedy vyprší platnosť Kjótskeho protokolu. </w:t>
      </w:r>
    </w:p>
    <w:p w:rsidR="000C0368" w:rsidP="000C0368">
      <w:pPr>
        <w:bidi w:val="0"/>
        <w:ind w:firstLine="708"/>
        <w:jc w:val="both"/>
        <w:rPr>
          <w:rFonts w:ascii="Times New Roman" w:hAnsi="Times New Roman"/>
        </w:rPr>
      </w:pPr>
      <w:r>
        <w:rPr>
          <w:rFonts w:ascii="Times New Roman" w:hAnsi="Times New Roman"/>
        </w:rPr>
        <w:t xml:space="preserve">V rámci diskusie o zvýšení v súčasnosti záväznej 20 % redukcie emisií skleníkových plynov na 30 % v roku 2020 oproti  roku 1990 sa nepodarilo dosiahnuť konsenzus, pretože chýbali najmä analýzy dopadov uvedeného kroku na jednotlivé členské štáty EÚ. Na základe záverov Európskej rady Komisia by mala v priebehu roku 2011 predložiť požadované </w:t>
      </w:r>
      <w:r w:rsidRPr="001C52DF">
        <w:rPr>
          <w:rFonts w:ascii="Times New Roman" w:hAnsi="Times New Roman"/>
          <w:b/>
        </w:rPr>
        <w:t>dopadové štúdie</w:t>
      </w:r>
      <w:r>
        <w:rPr>
          <w:rFonts w:ascii="Times New Roman" w:hAnsi="Times New Roman"/>
        </w:rPr>
        <w:t>. Rovnako predmetom diskusie bude dlhodobá vízia rozvoja nízkouhlíkovej ekonomiky EÚ do roku 2050.</w:t>
      </w:r>
    </w:p>
    <w:p w:rsidR="000C0368" w:rsidP="000C0368">
      <w:pPr>
        <w:bidi w:val="0"/>
        <w:ind w:firstLine="708"/>
        <w:jc w:val="both"/>
        <w:outlineLvl w:val="0"/>
        <w:rPr>
          <w:rFonts w:ascii="Times New Roman" w:hAnsi="Times New Roman"/>
          <w:highlight w:val="yellow"/>
        </w:rPr>
      </w:pPr>
      <w:r>
        <w:rPr>
          <w:rFonts w:ascii="Times New Roman" w:hAnsi="Times New Roman"/>
        </w:rPr>
        <w:t xml:space="preserve">SR sa zasadzuje za dosiahnutie pokroku v rokovaniach nielen v rámci EÚ, ale aj na medzinárodnej úrovni, pričom hlavným kritériom bude </w:t>
      </w:r>
      <w:r w:rsidRPr="001C52DF">
        <w:rPr>
          <w:rFonts w:ascii="Times New Roman" w:hAnsi="Times New Roman"/>
          <w:b/>
        </w:rPr>
        <w:t>dosiahnuť redukciu emisií skleníkových plynov nákladovo efektívnym spôsobom bez ohrozenia konkurencieschopnosti</w:t>
      </w:r>
      <w:r>
        <w:rPr>
          <w:rFonts w:ascii="Times New Roman" w:hAnsi="Times New Roman"/>
        </w:rPr>
        <w:t xml:space="preserve">  tak slovenského ako aj európskeho priemyslu.</w:t>
      </w:r>
    </w:p>
    <w:p w:rsidR="000C0368" w:rsidP="000C0368">
      <w:pPr>
        <w:bidi w:val="0"/>
        <w:ind w:firstLine="708"/>
        <w:jc w:val="both"/>
        <w:outlineLvl w:val="0"/>
        <w:rPr>
          <w:rFonts w:ascii="Times New Roman" w:hAnsi="Times New Roman"/>
        </w:rPr>
      </w:pPr>
      <w:r>
        <w:rPr>
          <w:rFonts w:ascii="Times New Roman" w:hAnsi="Times New Roman"/>
        </w:rPr>
        <w:t xml:space="preserve">Medzi kľúčové priority SR patrí dosiahnutie kontroly nad vývojom emisií skleníkových plynov tak, aby, v súlade s cieľom EÚ, </w:t>
      </w:r>
      <w:r w:rsidRPr="001C52DF">
        <w:rPr>
          <w:rFonts w:ascii="Times New Roman" w:hAnsi="Times New Roman"/>
          <w:b/>
        </w:rPr>
        <w:t>trend rastu dosiahol svoj vrchol najneskôr v roku 2015,</w:t>
      </w:r>
      <w:r>
        <w:rPr>
          <w:rFonts w:ascii="Times New Roman" w:hAnsi="Times New Roman"/>
        </w:rPr>
        <w:t xml:space="preserve"> od ktorého by už vývoj emisií mal mať len klesajúcu tendenciu. </w:t>
      </w:r>
    </w:p>
    <w:p w:rsidR="000C0368" w:rsidP="000C0368">
      <w:pPr>
        <w:bidi w:val="0"/>
        <w:ind w:firstLine="708"/>
        <w:jc w:val="both"/>
        <w:outlineLvl w:val="0"/>
        <w:rPr>
          <w:rFonts w:ascii="Times New Roman" w:hAnsi="Times New Roman"/>
        </w:rPr>
      </w:pPr>
      <w:r>
        <w:rPr>
          <w:rFonts w:ascii="Times New Roman" w:hAnsi="Times New Roman"/>
        </w:rPr>
        <w:t xml:space="preserve">Európska rada vo svojich záveroch z </w:t>
      </w:r>
      <w:smartTag w:uri="urn:schemas-microsoft-com:office:smarttags" w:element="metricconverter">
        <w:smartTagPr>
          <w:attr w:name="ProductID" w:val="10. a"/>
        </w:smartTagPr>
        <w:r>
          <w:rPr>
            <w:rFonts w:ascii="Times New Roman" w:hAnsi="Times New Roman"/>
          </w:rPr>
          <w:t>10. a</w:t>
        </w:r>
      </w:smartTag>
      <w:r>
        <w:rPr>
          <w:rFonts w:ascii="Times New Roman" w:hAnsi="Times New Roman"/>
        </w:rPr>
        <w:t xml:space="preserve"> 11. decembra 2009 oznámila pripravenosť prispieť </w:t>
      </w:r>
      <w:r w:rsidRPr="001C52DF">
        <w:rPr>
          <w:rFonts w:ascii="Times New Roman" w:hAnsi="Times New Roman"/>
          <w:b/>
        </w:rPr>
        <w:t>k fast-start financovaniu zmeny klímy</w:t>
      </w:r>
      <w:r>
        <w:rPr>
          <w:rFonts w:ascii="Times New Roman" w:hAnsi="Times New Roman"/>
        </w:rPr>
        <w:t xml:space="preserve"> (FSF) sumou 2,4 miliárd EUR ročne. SR prijala na rokovaní vyššie uvedenej Európskej rady dobrovoľný záväzok podieľať sa na tomto financovaní EÚ sumou 9 miliónov EUR počas rokov 2010 – 2012. V roku 2010 prispela SR čiastkou 1 milión EUR. EÚ o FSF informovala medzinárodné spoločenstvo na 16. konferencii UNFCCC (29.11. – 10.12. 2010, Cancún, Mexiko) a v máji 2011 oficiálne predloží sekretariátu UNFCCC informáciu o vykonanom pokroku EÚ v mechanizme poskytovania finančnej podpory rozvojovým krajinám. </w:t>
      </w:r>
    </w:p>
    <w:p w:rsidR="000C0368" w:rsidP="000C0368">
      <w:pPr>
        <w:bidi w:val="0"/>
        <w:outlineLvl w:val="0"/>
        <w:rPr>
          <w:rFonts w:ascii="Times New Roman" w:hAnsi="Times New Roman"/>
          <w:b/>
        </w:rPr>
      </w:pPr>
    </w:p>
    <w:p w:rsidR="000C0368" w:rsidP="000C0368">
      <w:pPr>
        <w:bidi w:val="0"/>
        <w:outlineLvl w:val="0"/>
        <w:rPr>
          <w:rFonts w:ascii="Times New Roman" w:hAnsi="Times New Roman"/>
          <w:b/>
        </w:rPr>
      </w:pPr>
      <w:r>
        <w:rPr>
          <w:rFonts w:ascii="Times New Roman" w:hAnsi="Times New Roman"/>
          <w:b/>
        </w:rPr>
        <w:t>Biodiverzita</w:t>
      </w:r>
    </w:p>
    <w:p w:rsidR="000C0368" w:rsidP="000C0368">
      <w:pPr>
        <w:bidi w:val="0"/>
        <w:ind w:firstLine="708"/>
        <w:jc w:val="both"/>
        <w:outlineLvl w:val="0"/>
        <w:rPr>
          <w:rFonts w:ascii="Times New Roman" w:hAnsi="Times New Roman"/>
        </w:rPr>
      </w:pPr>
      <w:r>
        <w:rPr>
          <w:rFonts w:ascii="Times New Roman" w:hAnsi="Times New Roman"/>
        </w:rPr>
        <w:t xml:space="preserve">Rok 2010 bol </w:t>
      </w:r>
      <w:r w:rsidRPr="001C52DF">
        <w:rPr>
          <w:rFonts w:ascii="Times New Roman" w:hAnsi="Times New Roman"/>
          <w:b/>
        </w:rPr>
        <w:t>Medzinárodným rokom biodiverzity</w:t>
      </w:r>
      <w:r>
        <w:rPr>
          <w:rFonts w:ascii="Times New Roman" w:hAnsi="Times New Roman"/>
        </w:rPr>
        <w:t>. V tomto kontexte pripravila EK ratifikáciu a podpis Protokolu ABS (prístup ku genetickým zdrojom a zdieľaniu). Rozhodnutie o vytvorení medzivládnej platformy pre ekosystémy a ochranu biodiverzity je veľkým úspechom. Výstupy z medzinárodných rokovaní sú dôležité pre ďalšie smerovanie a mobilizáciu zdrojov. Financovanie ochrany biodiverzity vrátane inovatívnych mechanizmov prispeje k naplneniu priorít EÚ.</w:t>
      </w:r>
    </w:p>
    <w:p w:rsidR="000C0368" w:rsidRPr="00E00909" w:rsidP="000C0368">
      <w:pPr>
        <w:bidi w:val="0"/>
        <w:ind w:firstLine="708"/>
        <w:jc w:val="both"/>
        <w:outlineLvl w:val="0"/>
        <w:rPr>
          <w:rFonts w:ascii="Times New Roman" w:hAnsi="Times New Roman"/>
        </w:rPr>
      </w:pPr>
      <w:r>
        <w:rPr>
          <w:rFonts w:ascii="Times New Roman" w:hAnsi="Times New Roman"/>
        </w:rPr>
        <w:t xml:space="preserve">SR v minulom roku vyhodnotila súbor indikátorov stavu a ochrany biodiverzity za roky 2005 až 2009. Toto </w:t>
      </w:r>
      <w:r w:rsidRPr="001C52DF">
        <w:rPr>
          <w:rFonts w:ascii="Times New Roman" w:hAnsi="Times New Roman"/>
          <w:b/>
        </w:rPr>
        <w:t>hodnotenie biodiverzity</w:t>
      </w:r>
      <w:r>
        <w:rPr>
          <w:rFonts w:ascii="Times New Roman" w:hAnsi="Times New Roman"/>
        </w:rPr>
        <w:t xml:space="preserve"> významne napomáha pri plánovaní, stanovovaní politických cieľov a kontrole ich plnenia a pri vypracovaní nového strategického plánu SR na ochranu a trvalo udržateľné využívanie biodiverzity do roku 2020, ktorý by malo pripraviť MŽP SR do konca roku 2011. </w:t>
      </w:r>
    </w:p>
    <w:p w:rsidR="000C0368" w:rsidP="000C0368">
      <w:pPr>
        <w:bidi w:val="0"/>
        <w:jc w:val="center"/>
        <w:outlineLvl w:val="0"/>
        <w:rPr>
          <w:rFonts w:ascii="Times New Roman" w:hAnsi="Times New Roman"/>
          <w:b/>
        </w:rPr>
      </w:pPr>
      <w:r>
        <w:rPr>
          <w:rFonts w:ascii="Times New Roman" w:hAnsi="Times New Roman"/>
          <w:b/>
        </w:rPr>
        <w:t>VZDELÁVANIE, MLÁDEŽ A KULTÚRA</w:t>
      </w:r>
    </w:p>
    <w:p w:rsidR="000C0368" w:rsidRPr="00F90381" w:rsidP="000C0368">
      <w:pPr>
        <w:bidi w:val="0"/>
        <w:jc w:val="center"/>
        <w:outlineLvl w:val="0"/>
        <w:rPr>
          <w:rFonts w:ascii="Times New Roman" w:hAnsi="Times New Roman"/>
          <w:b/>
        </w:rPr>
      </w:pPr>
    </w:p>
    <w:p w:rsidR="000C0368" w:rsidP="000C0368">
      <w:pPr>
        <w:bidi w:val="0"/>
        <w:outlineLvl w:val="0"/>
        <w:rPr>
          <w:rFonts w:ascii="Times New Roman" w:hAnsi="Times New Roman"/>
          <w:b/>
        </w:rPr>
      </w:pPr>
      <w:r>
        <w:rPr>
          <w:rFonts w:ascii="Times New Roman" w:hAnsi="Times New Roman"/>
          <w:b/>
        </w:rPr>
        <w:t xml:space="preserve">Vzdelávanie </w:t>
      </w:r>
    </w:p>
    <w:p w:rsidR="000C0368" w:rsidP="000C0368">
      <w:pPr>
        <w:pStyle w:val="Listaszerubekezds"/>
        <w:bidi w:val="0"/>
        <w:spacing w:after="0" w:line="240" w:lineRule="auto"/>
        <w:ind w:left="0" w:firstLine="708"/>
        <w:jc w:val="both"/>
        <w:rPr>
          <w:rFonts w:ascii="Times New Roman" w:hAnsi="Times New Roman" w:cs="Times New Roman"/>
          <w:sz w:val="24"/>
          <w:szCs w:val="24"/>
        </w:rPr>
      </w:pPr>
      <w:r>
        <w:rPr>
          <w:rFonts w:ascii="Times New Roman" w:hAnsi="Times New Roman" w:cs="Times New Roman"/>
          <w:noProof/>
          <w:sz w:val="24"/>
          <w:szCs w:val="24"/>
          <w:lang w:val="sk-SK"/>
        </w:rPr>
        <w:t xml:space="preserve">Strategický rámec pre európsku spoluprácu v oblasti vzdelávania a odbornej prípravy do roku 2020 môže významne prispieť k dosahovaniu cieľov stratégie </w:t>
      </w:r>
      <w:r>
        <w:rPr>
          <w:rFonts w:ascii="Times New Roman" w:hAnsi="Times New Roman" w:cs="Times New Roman"/>
          <w:iCs/>
          <w:noProof/>
          <w:sz w:val="24"/>
          <w:szCs w:val="24"/>
          <w:lang w:val="sk-SK"/>
        </w:rPr>
        <w:t>Európa 2020</w:t>
      </w:r>
      <w:r>
        <w:rPr>
          <w:rFonts w:ascii="Times New Roman" w:hAnsi="Times New Roman" w:cs="Times New Roman"/>
          <w:noProof/>
          <w:sz w:val="24"/>
          <w:szCs w:val="24"/>
          <w:lang w:val="sk-SK"/>
        </w:rPr>
        <w:t>.</w:t>
      </w:r>
      <w:r>
        <w:rPr>
          <w:rFonts w:ascii="Times New Roman" w:hAnsi="Times New Roman" w:cs="Times New Roman"/>
          <w:sz w:val="24"/>
          <w:szCs w:val="24"/>
          <w:lang w:val="sk-SK"/>
        </w:rPr>
        <w:t xml:space="preserve"> </w:t>
      </w:r>
      <w:r>
        <w:rPr>
          <w:rFonts w:ascii="Times New Roman" w:hAnsi="Times New Roman" w:cs="Times New Roman"/>
          <w:noProof/>
          <w:sz w:val="24"/>
          <w:szCs w:val="24"/>
          <w:lang w:val="sk-SK"/>
        </w:rPr>
        <w:t xml:space="preserve">Pre SR majú osobitný význam dve jej iniciatívy: </w:t>
      </w:r>
      <w:r>
        <w:rPr>
          <w:rFonts w:ascii="Times New Roman" w:hAnsi="Times New Roman" w:cs="Times New Roman"/>
          <w:iCs/>
          <w:noProof/>
          <w:sz w:val="24"/>
          <w:szCs w:val="24"/>
          <w:lang w:val="sk-SK"/>
        </w:rPr>
        <w:t>Mládež v pohybe a</w:t>
      </w:r>
      <w:r>
        <w:rPr>
          <w:rFonts w:ascii="Times New Roman" w:hAnsi="Times New Roman" w:cs="Times New Roman"/>
          <w:noProof/>
          <w:sz w:val="24"/>
          <w:szCs w:val="24"/>
          <w:lang w:val="sk-SK"/>
        </w:rPr>
        <w:t xml:space="preserve"> </w:t>
      </w:r>
      <w:r>
        <w:rPr>
          <w:rFonts w:ascii="Times New Roman" w:hAnsi="Times New Roman" w:cs="Times New Roman"/>
          <w:iCs/>
          <w:noProof/>
          <w:sz w:val="24"/>
          <w:szCs w:val="24"/>
          <w:lang w:val="sk-SK"/>
        </w:rPr>
        <w:t>Program pre nové zručnosti a nové pracovné miesta</w:t>
      </w:r>
      <w:r>
        <w:rPr>
          <w:rFonts w:ascii="Times New Roman" w:hAnsi="Times New Roman" w:cs="Times New Roman"/>
          <w:noProof/>
          <w:sz w:val="24"/>
          <w:szCs w:val="24"/>
          <w:lang w:val="sk-SK"/>
        </w:rPr>
        <w:t>.</w:t>
      </w:r>
      <w:r>
        <w:rPr>
          <w:rFonts w:ascii="Times New Roman" w:hAnsi="Times New Roman" w:cs="Times New Roman"/>
          <w:sz w:val="24"/>
          <w:szCs w:val="24"/>
          <w:lang w:val="sk-SK"/>
        </w:rPr>
        <w:t xml:space="preserve"> </w:t>
      </w:r>
      <w:r>
        <w:rPr>
          <w:rFonts w:ascii="Times New Roman" w:hAnsi="Times New Roman" w:cs="Times New Roman"/>
          <w:sz w:val="24"/>
          <w:szCs w:val="24"/>
        </w:rPr>
        <w:t xml:space="preserve">V nadväznosti na Stratégiu Európa 2020 v oblasti vzdelávania do roku 2020 si SR stanovila </w:t>
      </w:r>
      <w:r w:rsidRPr="001C52DF">
        <w:rPr>
          <w:rFonts w:ascii="Times New Roman" w:hAnsi="Times New Roman" w:cs="Times New Roman"/>
          <w:b/>
          <w:sz w:val="24"/>
          <w:szCs w:val="24"/>
        </w:rPr>
        <w:t>národné ciele:</w:t>
      </w:r>
      <w:r>
        <w:rPr>
          <w:rFonts w:ascii="Times New Roman" w:hAnsi="Times New Roman" w:cs="Times New Roman"/>
          <w:sz w:val="24"/>
          <w:szCs w:val="24"/>
        </w:rPr>
        <w:t xml:space="preserve"> pre ukazovateľ „miery mladých ľudí vo veku 18-24 rokov, ktorí neukončia školskú dochádzku a nepokračujú v ďalšom vzdelávaní“ 6 % (úniový cieľ je 10%) a pre ukazovateľ „podiel populácie vo veku 30-34 ročných s ukončeným vysokoškolským vzdelaním“ si stanovila národný cieľ zhodný s európskym cieľom (40 %).</w:t>
      </w:r>
    </w:p>
    <w:p w:rsidR="000C0368" w:rsidP="000C0368">
      <w:pPr>
        <w:bidi w:val="0"/>
        <w:ind w:firstLine="708"/>
        <w:contextualSpacing/>
        <w:jc w:val="both"/>
        <w:rPr>
          <w:rFonts w:ascii="Times New Roman" w:hAnsi="Times New Roman"/>
        </w:rPr>
      </w:pPr>
      <w:r>
        <w:rPr>
          <w:rFonts w:ascii="Times New Roman" w:hAnsi="Times New Roman"/>
          <w:iCs/>
        </w:rPr>
        <w:t xml:space="preserve">V roku 2010 </w:t>
      </w:r>
      <w:r>
        <w:rPr>
          <w:rFonts w:ascii="Times New Roman" w:hAnsi="Times New Roman"/>
        </w:rPr>
        <w:t xml:space="preserve">došlo k zmenám v súvislosti s rozšírením právomocí EÚ o novú kompetenciu týkajúcu sa </w:t>
      </w:r>
      <w:r w:rsidRPr="001C52DF">
        <w:rPr>
          <w:rFonts w:ascii="Times New Roman" w:hAnsi="Times New Roman"/>
          <w:b/>
        </w:rPr>
        <w:t>športu, ktorý sa stal formálnou politikou EÚ</w:t>
      </w:r>
      <w:r>
        <w:rPr>
          <w:rFonts w:ascii="Times New Roman" w:hAnsi="Times New Roman"/>
        </w:rPr>
        <w:t xml:space="preserve"> s iniciatívnou a implementačnou funkciou Európskej komisie a schvaľovacou kompetenciou Rady EÚ</w:t>
      </w:r>
      <w:r>
        <w:rPr>
          <w:rFonts w:ascii="Times New Roman" w:hAnsi="Times New Roman"/>
          <w:bCs/>
        </w:rPr>
        <w:t xml:space="preserve">. </w:t>
      </w:r>
      <w:r>
        <w:rPr>
          <w:rFonts w:ascii="Times New Roman" w:hAnsi="Times New Roman"/>
        </w:rPr>
        <w:t xml:space="preserve">Nové ustanovenia Lisabonskej zmluvy (článok 165) vytvárajú nové možnosti strategickej, koncepčnej a finančnej podpory športu na úrovni EÚ. </w:t>
      </w:r>
    </w:p>
    <w:p w:rsidR="000C0368" w:rsidP="000C0368">
      <w:pPr>
        <w:bidi w:val="0"/>
        <w:ind w:firstLine="708"/>
        <w:jc w:val="both"/>
        <w:outlineLvl w:val="0"/>
        <w:rPr>
          <w:rFonts w:ascii="Times New Roman" w:hAnsi="Times New Roman"/>
        </w:rPr>
      </w:pPr>
      <w:r>
        <w:rPr>
          <w:rFonts w:ascii="Times New Roman" w:hAnsi="Times New Roman"/>
        </w:rPr>
        <w:t xml:space="preserve">V budúcom období sa bude potrebné sústrediť na zapájanie sa do </w:t>
      </w:r>
      <w:r w:rsidRPr="001C52DF">
        <w:rPr>
          <w:rFonts w:ascii="Times New Roman" w:hAnsi="Times New Roman"/>
          <w:b/>
        </w:rPr>
        <w:t>príprav nových komunitárnych programov</w:t>
      </w:r>
      <w:r>
        <w:rPr>
          <w:rFonts w:ascii="Times New Roman" w:hAnsi="Times New Roman"/>
        </w:rPr>
        <w:t xml:space="preserve"> pre roky 2014-2020, pokračovať v implementácii s</w:t>
      </w:r>
      <w:r>
        <w:rPr>
          <w:rFonts w:ascii="Times New Roman" w:hAnsi="Times New Roman"/>
          <w:noProof/>
        </w:rPr>
        <w:t xml:space="preserve">trategického rámca pre európsku spoluprácu v oblasti vzdelávania a odbornej prípravy do roku 2020, </w:t>
      </w:r>
      <w:r>
        <w:rPr>
          <w:rFonts w:ascii="Times New Roman" w:hAnsi="Times New Roman"/>
        </w:rPr>
        <w:t>realizovať priority Národného programu reforiem SR na roky 2011 – 2014 v oblasti vzdelávania a odbornej prípravy, implementovať komunitárny Program celoživotného vzdelávania a Európsky kvalifikačný rámec.</w:t>
      </w:r>
    </w:p>
    <w:p w:rsidR="000C0368" w:rsidP="000C0368">
      <w:pPr>
        <w:bidi w:val="0"/>
        <w:jc w:val="both"/>
        <w:rPr>
          <w:rFonts w:ascii="Times New Roman" w:hAnsi="Times New Roman"/>
          <w:bCs/>
        </w:rPr>
      </w:pPr>
    </w:p>
    <w:p w:rsidR="000C0368" w:rsidP="000C0368">
      <w:pPr>
        <w:bidi w:val="0"/>
        <w:jc w:val="both"/>
        <w:rPr>
          <w:rFonts w:ascii="Times New Roman" w:hAnsi="Times New Roman"/>
          <w:b/>
          <w:bCs/>
        </w:rPr>
      </w:pPr>
      <w:r>
        <w:rPr>
          <w:rFonts w:ascii="Times New Roman" w:hAnsi="Times New Roman"/>
          <w:b/>
          <w:bCs/>
        </w:rPr>
        <w:t>Integrovanie mládeže na pracovný trh</w:t>
      </w:r>
    </w:p>
    <w:p w:rsidR="000C0368" w:rsidP="000C0368">
      <w:pPr>
        <w:bidi w:val="0"/>
        <w:ind w:firstLine="708"/>
        <w:jc w:val="both"/>
        <w:rPr>
          <w:rFonts w:ascii="Times New Roman" w:hAnsi="Times New Roman"/>
          <w:bCs/>
        </w:rPr>
      </w:pPr>
      <w:r>
        <w:rPr>
          <w:rFonts w:ascii="Times New Roman" w:hAnsi="Times New Roman"/>
        </w:rPr>
        <w:t xml:space="preserve">Koncepčný materiál Kľúčové oblasti štátnej politiky vo vzťahu k deťom a mládeži na roky 2008 – 2013 vytvoril podmienky na prípravu a realizáciu rôznych opatrení, vrátane </w:t>
      </w:r>
      <w:r w:rsidRPr="001C52DF">
        <w:rPr>
          <w:rFonts w:ascii="Times New Roman" w:hAnsi="Times New Roman"/>
          <w:b/>
        </w:rPr>
        <w:t>implementácie Európskeho paktu mládeže</w:t>
      </w:r>
      <w:r>
        <w:rPr>
          <w:rFonts w:ascii="Times New Roman" w:hAnsi="Times New Roman"/>
        </w:rPr>
        <w:t xml:space="preserve">. Pakt sa sústreďuje na zlepšenie situácie mladých ľudí v oblasti vzdelávania, odbornej prípravy, mobility, profesijného zaradenia a sociálneho začlenenia so zámerom na zosúladenie profesionálnej činnosti a rodinného života. Prijatá stratégia Európskej únie pre mládež na roky 2010 – 2018 významne ovplyvní aj ďalšie smerovanie slovenskej mládežníckej politiky. </w:t>
      </w:r>
      <w:r>
        <w:rPr>
          <w:rFonts w:ascii="Times New Roman" w:hAnsi="Times New Roman"/>
          <w:bCs/>
        </w:rPr>
        <w:t xml:space="preserve">V roku 2010 sa v EÚ začal využívať </w:t>
      </w:r>
      <w:r>
        <w:rPr>
          <w:rFonts w:ascii="Times New Roman" w:hAnsi="Times New Roman"/>
          <w:b/>
          <w:bCs/>
        </w:rPr>
        <w:t>š</w:t>
      </w:r>
      <w:r w:rsidRPr="001C52DF">
        <w:rPr>
          <w:rFonts w:ascii="Times New Roman" w:hAnsi="Times New Roman"/>
          <w:b/>
          <w:bCs/>
        </w:rPr>
        <w:t>truktúrovaný dialóg</w:t>
      </w:r>
      <w:r>
        <w:rPr>
          <w:rFonts w:ascii="Times New Roman" w:hAnsi="Times New Roman"/>
          <w:bCs/>
        </w:rPr>
        <w:t xml:space="preserve"> ako priestor na komunikáciu medzi mladými ľuďmi a tvorcami politík na národnej a európskej úrovni.</w:t>
      </w:r>
    </w:p>
    <w:p w:rsidR="000C0368" w:rsidP="000C0368">
      <w:pPr>
        <w:bidi w:val="0"/>
        <w:ind w:firstLine="708"/>
        <w:jc w:val="both"/>
        <w:rPr>
          <w:rFonts w:ascii="Times New Roman" w:hAnsi="Times New Roman"/>
          <w:color w:val="000000"/>
        </w:rPr>
      </w:pPr>
      <w:r>
        <w:rPr>
          <w:rFonts w:ascii="Times New Roman" w:hAnsi="Times New Roman"/>
        </w:rPr>
        <w:t xml:space="preserve">Podpora zamestnanosti mládeže a zvýšenie účasti mladých ľudí na trhu práce je kľúčové pre Stratégiu Európa </w:t>
      </w:r>
      <w:smartTag w:uri="urn:schemas-microsoft-com:office:smarttags" w:element="metricconverter">
        <w:smartTagPr>
          <w:attr w:name="ProductID" w:val="2020 a"/>
        </w:smartTagPr>
        <w:r>
          <w:rPr>
            <w:rFonts w:ascii="Times New Roman" w:hAnsi="Times New Roman"/>
          </w:rPr>
          <w:t>2020 a</w:t>
        </w:r>
      </w:smartTag>
      <w:r>
        <w:rPr>
          <w:rFonts w:ascii="Times New Roman" w:hAnsi="Times New Roman"/>
        </w:rPr>
        <w:t xml:space="preserve"> taktiež významne prispieva k zabezpečeniu dlhodobej udržateľnosti sociálnych dávok a dôchodkového systému.</w:t>
      </w:r>
      <w:r>
        <w:rPr>
          <w:rFonts w:ascii="Times New Roman" w:hAnsi="Times New Roman"/>
          <w:bCs/>
          <w:color w:val="000000"/>
          <w:lang w:eastAsia="cs-CZ"/>
        </w:rPr>
        <w:t xml:space="preserve"> V tejto súvislosti </w:t>
      </w:r>
      <w:r>
        <w:rPr>
          <w:rFonts w:ascii="Times New Roman" w:hAnsi="Times New Roman"/>
          <w:color w:val="000000"/>
        </w:rPr>
        <w:t xml:space="preserve">SR podporuje </w:t>
      </w:r>
      <w:r w:rsidRPr="001C52DF">
        <w:rPr>
          <w:rFonts w:ascii="Times New Roman" w:hAnsi="Times New Roman"/>
          <w:b/>
          <w:color w:val="000000"/>
        </w:rPr>
        <w:t>vecnejší a akčnejší prístup</w:t>
      </w:r>
      <w:r>
        <w:rPr>
          <w:rFonts w:ascii="Times New Roman" w:hAnsi="Times New Roman"/>
          <w:color w:val="000000"/>
        </w:rPr>
        <w:t xml:space="preserve"> k riešeniu závažného problému nezamestnanosti mládeže, </w:t>
      </w:r>
      <w:r>
        <w:rPr>
          <w:rFonts w:ascii="Times New Roman" w:hAnsi="Times New Roman"/>
        </w:rPr>
        <w:t>najmä znevýhodnených skupín uchádzačov o zamestnanie, ku ktorým patria absolventi stredných a vysokých škôl, t.j. občania mladší ako 25 rokov veku, ktorí skončili prípravu na povolania v dennej forme štúdia pred menej ako dvomi rokmi a nezískali svoje prvé pravidelné platené zamestnanie.</w:t>
      </w:r>
    </w:p>
    <w:p w:rsidR="000C0368" w:rsidP="000C0368">
      <w:pPr>
        <w:bidi w:val="0"/>
        <w:outlineLvl w:val="0"/>
        <w:rPr>
          <w:rFonts w:ascii="Times New Roman" w:hAnsi="Times New Roman"/>
        </w:rPr>
      </w:pPr>
    </w:p>
    <w:p w:rsidR="000C0368" w:rsidP="000C0368">
      <w:pPr>
        <w:bidi w:val="0"/>
        <w:outlineLvl w:val="0"/>
        <w:rPr>
          <w:rFonts w:ascii="Times New Roman" w:hAnsi="Times New Roman"/>
          <w:b/>
        </w:rPr>
      </w:pPr>
      <w:r>
        <w:rPr>
          <w:rFonts w:ascii="Times New Roman" w:hAnsi="Times New Roman"/>
          <w:b/>
        </w:rPr>
        <w:t>Kultúra a audiovízia</w:t>
      </w:r>
    </w:p>
    <w:p w:rsidR="000C0368" w:rsidP="000C0368">
      <w:pPr>
        <w:bidi w:val="0"/>
        <w:ind w:firstLine="708"/>
        <w:jc w:val="both"/>
        <w:outlineLvl w:val="0"/>
        <w:rPr>
          <w:rFonts w:ascii="Times New Roman" w:hAnsi="Times New Roman"/>
        </w:rPr>
      </w:pPr>
      <w:r>
        <w:rPr>
          <w:rFonts w:ascii="Times New Roman" w:hAnsi="Times New Roman"/>
        </w:rPr>
        <w:t xml:space="preserve">SR súhlasila s návrhom rozhodnutia o podpore značky </w:t>
      </w:r>
      <w:r w:rsidRPr="001C52DF">
        <w:rPr>
          <w:rFonts w:ascii="Times New Roman" w:hAnsi="Times New Roman"/>
          <w:b/>
        </w:rPr>
        <w:t>Európske dedičstvo</w:t>
      </w:r>
      <w:r>
        <w:rPr>
          <w:rFonts w:ascii="Times New Roman" w:hAnsi="Times New Roman"/>
        </w:rPr>
        <w:t>. Jej cieľom je podpora občanov Európy pri upevňovaní ich pocitu príslušnosti k EÚ na základe spoločných prvkov histórie a dedičstva, ako aj ocenenie rozmanitosti a posilnenie medzikultúrneho dialógu.</w:t>
      </w:r>
    </w:p>
    <w:p w:rsidR="000C0368" w:rsidP="000C0368">
      <w:pPr>
        <w:bidi w:val="0"/>
        <w:ind w:firstLine="708"/>
        <w:jc w:val="both"/>
        <w:outlineLvl w:val="0"/>
        <w:rPr>
          <w:rFonts w:ascii="Times New Roman" w:hAnsi="Times New Roman"/>
        </w:rPr>
      </w:pPr>
      <w:r>
        <w:rPr>
          <w:rFonts w:ascii="Times New Roman" w:hAnsi="Times New Roman"/>
        </w:rPr>
        <w:t xml:space="preserve">Návrh záverov Rady o prínose kultúry k vykonávaniu stratégie Európa 2020 upozornil na možný prínos kultúry k jej hlavným cieľom. Napriek tomu, že v stratégii absentuje explicitná zmienka o kultúre, v odporúčaní Rady z 13. júla 2010 o hlavných smeroch hospodárskych politík členských štátov a Únie, konkrétne v jeho usmernení 4 sa zdôrazňuje </w:t>
      </w:r>
      <w:r w:rsidRPr="00024D0A">
        <w:rPr>
          <w:rFonts w:ascii="Times New Roman" w:hAnsi="Times New Roman"/>
          <w:b/>
        </w:rPr>
        <w:t>veľký hospodársky potenciál kultúrnych a tvorivých odvetví a ich úloha v podpore inovácie</w:t>
      </w:r>
      <w:r>
        <w:rPr>
          <w:rFonts w:ascii="Times New Roman" w:hAnsi="Times New Roman"/>
        </w:rPr>
        <w:t xml:space="preserve">. </w:t>
      </w:r>
    </w:p>
    <w:p w:rsidR="000C0368" w:rsidP="000C0368">
      <w:pPr>
        <w:bidi w:val="0"/>
        <w:ind w:firstLine="708"/>
        <w:jc w:val="both"/>
        <w:outlineLvl w:val="0"/>
        <w:rPr>
          <w:rFonts w:ascii="Times New Roman" w:hAnsi="Times New Roman"/>
        </w:rPr>
      </w:pPr>
    </w:p>
    <w:p w:rsidR="000C0368" w:rsidP="000C0368">
      <w:pPr>
        <w:autoSpaceDE w:val="0"/>
        <w:autoSpaceDN w:val="0"/>
        <w:bidi w:val="0"/>
        <w:adjustRightInd w:val="0"/>
        <w:jc w:val="center"/>
        <w:rPr>
          <w:rFonts w:ascii="Times New Roman" w:hAnsi="Times New Roman"/>
          <w:b/>
        </w:rPr>
      </w:pPr>
      <w:r>
        <w:rPr>
          <w:rFonts w:ascii="Times New Roman" w:hAnsi="Times New Roman"/>
          <w:b/>
        </w:rPr>
        <w:t>ZÁVER</w:t>
      </w:r>
    </w:p>
    <w:p w:rsidR="000C0368" w:rsidP="000C0368">
      <w:pPr>
        <w:autoSpaceDE w:val="0"/>
        <w:autoSpaceDN w:val="0"/>
        <w:bidi w:val="0"/>
        <w:adjustRightInd w:val="0"/>
        <w:ind w:firstLine="708"/>
        <w:jc w:val="both"/>
        <w:rPr>
          <w:rFonts w:ascii="Times New Roman" w:hAnsi="Times New Roman"/>
        </w:rPr>
      </w:pPr>
      <w:r>
        <w:rPr>
          <w:rFonts w:ascii="Times New Roman" w:hAnsi="Times New Roman"/>
        </w:rPr>
        <w:tab/>
      </w:r>
    </w:p>
    <w:p w:rsidR="000C0368" w:rsidRPr="00C31CCB" w:rsidP="000C0368">
      <w:pPr>
        <w:autoSpaceDE w:val="0"/>
        <w:autoSpaceDN w:val="0"/>
        <w:bidi w:val="0"/>
        <w:adjustRightInd w:val="0"/>
        <w:ind w:firstLine="708"/>
        <w:jc w:val="both"/>
        <w:rPr>
          <w:rFonts w:ascii="Times New Roman" w:hAnsi="Times New Roman"/>
        </w:rPr>
      </w:pPr>
      <w:r w:rsidRPr="00C31CCB">
        <w:rPr>
          <w:rFonts w:ascii="Times New Roman" w:hAnsi="Times New Roman"/>
        </w:rPr>
        <w:t xml:space="preserve">Slovenská politika na pôde Európskej únie </w:t>
      </w:r>
      <w:r>
        <w:rPr>
          <w:rFonts w:ascii="Times New Roman" w:hAnsi="Times New Roman"/>
        </w:rPr>
        <w:t xml:space="preserve">bude </w:t>
      </w:r>
      <w:r w:rsidRPr="00C31CCB">
        <w:rPr>
          <w:rFonts w:ascii="Times New Roman" w:hAnsi="Times New Roman"/>
        </w:rPr>
        <w:t>v 8. roku členstva vychádzať z</w:t>
      </w:r>
      <w:r>
        <w:rPr>
          <w:rFonts w:ascii="Times New Roman" w:hAnsi="Times New Roman"/>
        </w:rPr>
        <w:t>o základnej premisy</w:t>
      </w:r>
      <w:r w:rsidRPr="00C31CCB">
        <w:rPr>
          <w:rFonts w:ascii="Times New Roman" w:hAnsi="Times New Roman"/>
        </w:rPr>
        <w:t xml:space="preserve">, že </w:t>
      </w:r>
      <w:r w:rsidRPr="008608EF">
        <w:rPr>
          <w:rFonts w:ascii="Times New Roman" w:hAnsi="Times New Roman"/>
          <w:b/>
        </w:rPr>
        <w:t xml:space="preserve">EÚ predstavuje pre SR primárny a prirodzený hodnotový, civilizačno-kultúrny, právny a bezpečnostný rámec </w:t>
      </w:r>
      <w:r w:rsidRPr="008608EF">
        <w:rPr>
          <w:rFonts w:ascii="Times New Roman" w:hAnsi="Times New Roman"/>
        </w:rPr>
        <w:t>pre realizáciu jej dlhodobých strategických priorít a zlepšenie životnej úrovne jej občanov</w:t>
      </w:r>
      <w:r>
        <w:rPr>
          <w:rFonts w:ascii="Times New Roman" w:hAnsi="Times New Roman"/>
        </w:rPr>
        <w:t>, ako aj zabezpečenie udržateľného rozvoja a rozvoja najchudobnejších regiónov</w:t>
      </w:r>
      <w:r w:rsidRPr="00C31CCB">
        <w:rPr>
          <w:rFonts w:ascii="Times New Roman" w:hAnsi="Times New Roman"/>
        </w:rPr>
        <w:t xml:space="preserve">. </w:t>
      </w:r>
      <w:r>
        <w:rPr>
          <w:rFonts w:ascii="Times New Roman" w:hAnsi="Times New Roman"/>
        </w:rPr>
        <w:t>V minulosti p</w:t>
      </w:r>
      <w:r w:rsidRPr="00C31CCB">
        <w:rPr>
          <w:rFonts w:ascii="Times New Roman" w:hAnsi="Times New Roman"/>
        </w:rPr>
        <w:t>erspektíva európskej integrácie zohrala kľúčovú úlohu v transformácii SR po páde komunizmu</w:t>
      </w:r>
      <w:r>
        <w:rPr>
          <w:rFonts w:ascii="Times New Roman" w:hAnsi="Times New Roman"/>
        </w:rPr>
        <w:t>, k identifikácii Slovenska v rámci európskeho kontextu</w:t>
      </w:r>
      <w:r w:rsidRPr="00C31CCB">
        <w:rPr>
          <w:rFonts w:ascii="Times New Roman" w:hAnsi="Times New Roman"/>
        </w:rPr>
        <w:t xml:space="preserve"> a prispela k vytvoreniu celospoločenského konsenzu všetkých relevantných subjektov.</w:t>
      </w:r>
      <w:r>
        <w:rPr>
          <w:rFonts w:ascii="Times New Roman" w:hAnsi="Times New Roman"/>
        </w:rPr>
        <w:t xml:space="preserve"> Skúsenosti potvrdili, že široký dialóg s občianskou spoločnosťou (</w:t>
      </w:r>
      <w:r w:rsidRPr="002B203D">
        <w:rPr>
          <w:rFonts w:ascii="Times New Roman" w:hAnsi="Times New Roman"/>
          <w:i/>
        </w:rPr>
        <w:t>napr. v prípade referenda o vstupe, či v otázke prijatia E</w:t>
      </w:r>
      <w:r>
        <w:rPr>
          <w:rFonts w:ascii="Times New Roman" w:hAnsi="Times New Roman"/>
          <w:i/>
        </w:rPr>
        <w:t>ura</w:t>
      </w:r>
      <w:r>
        <w:rPr>
          <w:rFonts w:ascii="Times New Roman" w:hAnsi="Times New Roman"/>
        </w:rPr>
        <w:t xml:space="preserve">), politický dialóg a schopnosť dosiahnuť široký politický konsenzus umocňujú šance Slovenska hrať aktívnu úlohu pri formovaní európskych politík, zvyšujú našu kredibilitu ako aj konkurencieschopnosť, vrátane možnosti uplatniť názory, ktoré sú v prvotnej fáze na pôde EÚ menšinové. </w:t>
      </w:r>
      <w:r w:rsidRPr="008608EF">
        <w:rPr>
          <w:rFonts w:ascii="Times New Roman" w:hAnsi="Times New Roman"/>
          <w:b/>
        </w:rPr>
        <w:t>Súhrn výhod členstva v EÚ</w:t>
      </w:r>
      <w:r>
        <w:rPr>
          <w:rFonts w:ascii="Times New Roman" w:hAnsi="Times New Roman"/>
        </w:rPr>
        <w:t xml:space="preserve"> pre občana, ekonomiku a regionálny rozvoj ako aj pre bezpečnosť a suverenitu Slovenska </w:t>
      </w:r>
      <w:r w:rsidRPr="008608EF">
        <w:rPr>
          <w:rFonts w:ascii="Times New Roman" w:hAnsi="Times New Roman"/>
          <w:b/>
        </w:rPr>
        <w:t>je oveľa vyšší</w:t>
      </w:r>
      <w:r>
        <w:rPr>
          <w:rFonts w:ascii="Times New Roman" w:hAnsi="Times New Roman"/>
        </w:rPr>
        <w:t xml:space="preserve"> ako strohé vyjadrenie nákladov na členstvo, či sledovanie naďalej pozitívnej čistej bilancie SR ako príjemcu fondov EÚ. </w:t>
      </w:r>
    </w:p>
    <w:p w:rsidR="000C0368" w:rsidRPr="00C31CCB" w:rsidP="000C0368">
      <w:pPr>
        <w:autoSpaceDE w:val="0"/>
        <w:autoSpaceDN w:val="0"/>
        <w:bidi w:val="0"/>
        <w:adjustRightInd w:val="0"/>
        <w:ind w:firstLine="708"/>
        <w:jc w:val="both"/>
        <w:rPr>
          <w:rFonts w:ascii="Times New Roman" w:hAnsi="Times New Roman"/>
        </w:rPr>
      </w:pPr>
      <w:r w:rsidRPr="008608EF">
        <w:rPr>
          <w:rFonts w:ascii="Times New Roman" w:hAnsi="Times New Roman"/>
          <w:b/>
        </w:rPr>
        <w:t>SR má záujem na silnej EÚ</w:t>
      </w:r>
      <w:r w:rsidRPr="00C31CCB">
        <w:rPr>
          <w:rFonts w:ascii="Times New Roman" w:hAnsi="Times New Roman"/>
        </w:rPr>
        <w:t xml:space="preserve">. Jej súčasnú inštitucionálnu štruktúru považujeme za </w:t>
      </w:r>
      <w:r>
        <w:rPr>
          <w:rFonts w:ascii="Times New Roman" w:hAnsi="Times New Roman"/>
        </w:rPr>
        <w:t>primeranú</w:t>
      </w:r>
      <w:r w:rsidRPr="00C31CCB">
        <w:rPr>
          <w:rFonts w:ascii="Times New Roman" w:hAnsi="Times New Roman"/>
        </w:rPr>
        <w:t xml:space="preserve"> a kompetenčné rozdelenie (mieru subsidiarity) za postačujúce. V najbli</w:t>
      </w:r>
      <w:r>
        <w:rPr>
          <w:rFonts w:ascii="Times New Roman" w:hAnsi="Times New Roman"/>
        </w:rPr>
        <w:t>žšom období sa SR bude sústreďovať</w:t>
      </w:r>
      <w:r w:rsidRPr="00C31CCB">
        <w:rPr>
          <w:rFonts w:ascii="Times New Roman" w:hAnsi="Times New Roman"/>
        </w:rPr>
        <w:t xml:space="preserve"> na zefektívnenie vnútorných mechanizmov a politík EÚ, pragmatické a komplexné riešenie nových výziev a posilňovanie vnútornej koherencie EÚ pri zachovaní vnútornej konkurencieschopnosti jednotlivých členských štátov zohľadňujúcej ich národné špecifiká a rozvojový potenciál.</w:t>
      </w:r>
    </w:p>
    <w:p w:rsidR="000C0368" w:rsidP="000C0368">
      <w:pPr>
        <w:bidi w:val="0"/>
        <w:ind w:firstLine="708"/>
        <w:jc w:val="both"/>
        <w:rPr>
          <w:rFonts w:ascii="Times New Roman" w:hAnsi="Times New Roman"/>
        </w:rPr>
      </w:pPr>
      <w:r>
        <w:rPr>
          <w:rFonts w:ascii="Times New Roman" w:hAnsi="Times New Roman"/>
        </w:rPr>
        <w:t>Z</w:t>
      </w:r>
      <w:r w:rsidRPr="00C31CCB">
        <w:rPr>
          <w:rFonts w:ascii="Times New Roman" w:hAnsi="Times New Roman"/>
        </w:rPr>
        <w:t xml:space="preserve">a kľúčové priority </w:t>
      </w:r>
      <w:r>
        <w:rPr>
          <w:rFonts w:ascii="Times New Roman" w:hAnsi="Times New Roman"/>
        </w:rPr>
        <w:t xml:space="preserve">SR </w:t>
      </w:r>
      <w:r w:rsidRPr="00C31CCB">
        <w:rPr>
          <w:rFonts w:ascii="Times New Roman" w:hAnsi="Times New Roman"/>
        </w:rPr>
        <w:t>považuje stabilizáciu ekonomiky a eura, prijatie moderného rozp</w:t>
      </w:r>
      <w:r>
        <w:rPr>
          <w:rFonts w:ascii="Times New Roman" w:hAnsi="Times New Roman"/>
        </w:rPr>
        <w:t xml:space="preserve">očtu EÚ </w:t>
      </w:r>
      <w:r w:rsidRPr="00C31CCB">
        <w:rPr>
          <w:rFonts w:ascii="Times New Roman" w:hAnsi="Times New Roman"/>
        </w:rPr>
        <w:t>po roku 2014 s udržaním významu kohéznej politiky a aktívne formovanie zahraničnej pol</w:t>
      </w:r>
      <w:r>
        <w:rPr>
          <w:rFonts w:ascii="Times New Roman" w:hAnsi="Times New Roman"/>
        </w:rPr>
        <w:t>itiky EÚ v šiestich oblastiach</w:t>
      </w:r>
      <w:r w:rsidRPr="00C31CCB">
        <w:rPr>
          <w:rFonts w:ascii="Times New Roman" w:hAnsi="Times New Roman"/>
        </w:rPr>
        <w:t xml:space="preserve"> </w:t>
      </w:r>
      <w:r>
        <w:rPr>
          <w:rFonts w:ascii="Times New Roman" w:hAnsi="Times New Roman"/>
        </w:rPr>
        <w:t>(</w:t>
      </w:r>
      <w:r w:rsidRPr="00C31CCB">
        <w:rPr>
          <w:rFonts w:ascii="Times New Roman" w:hAnsi="Times New Roman"/>
        </w:rPr>
        <w:t>susedská politika, rozširovanie, ochrana občanov za hranicami EÚ, spolupráca EÚ a NATO, energetická bezpečnosť a konkurencieschopnosť na vnútornom trhu</w:t>
      </w:r>
      <w:r>
        <w:rPr>
          <w:rFonts w:ascii="Times New Roman" w:hAnsi="Times New Roman"/>
        </w:rPr>
        <w:t>)</w:t>
      </w:r>
      <w:r w:rsidRPr="00C31CCB">
        <w:rPr>
          <w:rFonts w:ascii="Times New Roman" w:hAnsi="Times New Roman"/>
        </w:rPr>
        <w:t>.</w:t>
      </w:r>
      <w:r>
        <w:rPr>
          <w:rFonts w:ascii="Times New Roman" w:hAnsi="Times New Roman"/>
        </w:rPr>
        <w:t xml:space="preserve"> Dôležitým aspektom sú aj otázky vnútornej bezpečnosti a posilňovanie a ochrana základných práv občanov EÚ.</w:t>
      </w:r>
    </w:p>
    <w:p w:rsidR="000C0368" w:rsidRPr="00C31CCB" w:rsidP="000C0368">
      <w:pPr>
        <w:bidi w:val="0"/>
        <w:ind w:firstLine="708"/>
        <w:jc w:val="both"/>
        <w:rPr>
          <w:rFonts w:ascii="Times New Roman" w:hAnsi="Times New Roman"/>
          <w:i/>
        </w:rPr>
      </w:pPr>
      <w:r>
        <w:rPr>
          <w:rFonts w:ascii="Times New Roman" w:hAnsi="Times New Roman"/>
        </w:rPr>
        <w:t>Jednou z dôležitých úloh bude taktiež oživenie komunikácie s verejnosťou s cieľom priblížiť obsah spolupráce, jej význam a prínos z pohľadu vývoja spoločnosti a občana.</w:t>
      </w:r>
    </w:p>
    <w:p w:rsidR="000C0368" w:rsidP="000C0368">
      <w:pPr>
        <w:bidi w:val="0"/>
        <w:rPr>
          <w:rFonts w:ascii="Times New Roman" w:hAnsi="Times New Roman"/>
        </w:rPr>
      </w:pPr>
    </w:p>
    <w:p w:rsidR="000C0368" w:rsidP="000C0368">
      <w:pPr>
        <w:bidi w:val="0"/>
        <w:rPr>
          <w:rFonts w:ascii="Times New Roman" w:hAnsi="Times New Roman"/>
        </w:rPr>
      </w:pPr>
      <w:r>
        <w:rPr>
          <w:rFonts w:ascii="Times New Roman" w:hAnsi="Times New Roman"/>
        </w:rPr>
        <w:br w:type="page"/>
        <w:t>Príloha:</w:t>
      </w:r>
    </w:p>
    <w:p w:rsidR="000C0368" w:rsidP="000C0368">
      <w:pPr>
        <w:bidi w:val="0"/>
        <w:rPr>
          <w:rFonts w:ascii="Times New Roman" w:hAnsi="Times New Roman"/>
        </w:rPr>
      </w:pPr>
    </w:p>
    <w:p w:rsidR="000C0368" w:rsidRPr="00C15192" w:rsidP="000C0368">
      <w:pPr>
        <w:bidi w:val="0"/>
        <w:jc w:val="center"/>
        <w:rPr>
          <w:rFonts w:ascii="Times New Roman" w:hAnsi="Times New Roman"/>
          <w:sz w:val="28"/>
          <w:szCs w:val="28"/>
        </w:rPr>
      </w:pPr>
      <w:r w:rsidRPr="00C15192">
        <w:rPr>
          <w:rFonts w:ascii="Times New Roman" w:hAnsi="Times New Roman"/>
          <w:b/>
          <w:sz w:val="28"/>
          <w:szCs w:val="28"/>
        </w:rPr>
        <w:t>Súhrn hlavných výdavkých oblastí rozpočtu  EÚ v rokoch 2007 – 2009</w:t>
      </w:r>
    </w:p>
    <w:tbl>
      <w:tblPr>
        <w:tblStyle w:val="TableNormal"/>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7"/>
        <w:gridCol w:w="737"/>
        <w:gridCol w:w="1223"/>
        <w:gridCol w:w="1336"/>
        <w:gridCol w:w="1163"/>
        <w:gridCol w:w="1472"/>
      </w:tblGrid>
      <w:tr>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 xml:space="preserve">Oblasť výdavkov </w:t>
            </w:r>
          </w:p>
          <w:p w:rsidR="000C0368" w:rsidP="000C0368">
            <w:pPr>
              <w:bidi w:val="0"/>
              <w:jc w:val="center"/>
              <w:rPr>
                <w:rFonts w:ascii="Times New Roman" w:hAnsi="Times New Roman"/>
              </w:rPr>
            </w:pPr>
            <w:r>
              <w:rPr>
                <w:rFonts w:ascii="Times New Roman" w:hAnsi="Times New Roman"/>
              </w:rPr>
              <w:t xml:space="preserve"> rozpočtu EÚ</w:t>
            </w:r>
          </w:p>
          <w:p w:rsidR="000C0368" w:rsidP="000C0368">
            <w:pPr>
              <w:bidi w:val="0"/>
              <w:jc w:val="center"/>
              <w:rPr>
                <w:rFonts w:ascii="Times New Roman" w:hAnsi="Times New Roman"/>
              </w:rPr>
            </w:pPr>
            <w:r>
              <w:rPr>
                <w:rFonts w:ascii="Times New Roman" w:hAnsi="Times New Roman"/>
              </w:rPr>
              <w:t>(program, fond, nástroj)</w:t>
            </w:r>
          </w:p>
          <w:p w:rsidR="000C0368" w:rsidP="000C0368">
            <w:pPr>
              <w:bidi w:val="0"/>
              <w:jc w:val="center"/>
              <w:rPr>
                <w:rFonts w:ascii="Times New Roman" w:hAnsi="Times New Roman"/>
              </w:rPr>
            </w:pPr>
            <w:r>
              <w:rPr>
                <w:rFonts w:ascii="Times New Roman" w:hAnsi="Times New Roman"/>
              </w:rPr>
              <w:t>(A)</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rPr>
            </w:pPr>
            <w:r>
              <w:rPr>
                <w:rFonts w:ascii="Times New Roman" w:hAnsi="Times New Roman"/>
              </w:rPr>
              <w:t>Roky</w:t>
            </w:r>
          </w:p>
          <w:p w:rsidR="000C0368" w:rsidP="000C0368">
            <w:pPr>
              <w:bidi w:val="0"/>
              <w:rPr>
                <w:rFonts w:ascii="Times New Roman" w:hAnsi="Times New Roman"/>
              </w:rPr>
            </w:pPr>
            <w:r>
              <w:rPr>
                <w:rFonts w:ascii="Times New Roman" w:hAnsi="Times New Roman"/>
              </w:rPr>
              <w:t>(B)</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Celkový objem</w:t>
            </w:r>
          </w:p>
          <w:p w:rsidR="000C0368" w:rsidP="000C0368">
            <w:pPr>
              <w:bidi w:val="0"/>
              <w:jc w:val="center"/>
              <w:rPr>
                <w:rFonts w:ascii="Times New Roman" w:hAnsi="Times New Roman"/>
              </w:rPr>
            </w:pPr>
            <w:r>
              <w:rPr>
                <w:rFonts w:ascii="Times New Roman" w:hAnsi="Times New Roman"/>
              </w:rPr>
              <w:t>v rozpočte EÚ</w:t>
            </w:r>
          </w:p>
          <w:p w:rsidR="000C0368" w:rsidP="000C0368">
            <w:pPr>
              <w:bidi w:val="0"/>
              <w:jc w:val="center"/>
              <w:rPr>
                <w:rFonts w:ascii="Times New Roman" w:hAnsi="Times New Roman"/>
              </w:rPr>
            </w:pPr>
            <w:r>
              <w:rPr>
                <w:rFonts w:ascii="Times New Roman" w:hAnsi="Times New Roman"/>
              </w:rPr>
              <w:t>v mil. EUR</w:t>
            </w:r>
          </w:p>
          <w:p w:rsidR="000C0368" w:rsidP="000C0368">
            <w:pPr>
              <w:bidi w:val="0"/>
              <w:jc w:val="center"/>
              <w:rPr>
                <w:rFonts w:ascii="Times New Roman" w:hAnsi="Times New Roman"/>
              </w:rPr>
            </w:pPr>
            <w:r>
              <w:rPr>
                <w:rFonts w:ascii="Times New Roman" w:hAnsi="Times New Roman"/>
              </w:rPr>
              <w:t>(C)</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 xml:space="preserve">SR túto oblasť výdavkov  financovala vo výške </w:t>
            </w:r>
          </w:p>
          <w:p w:rsidR="000C0368" w:rsidP="000C0368">
            <w:pPr>
              <w:bidi w:val="0"/>
              <w:jc w:val="center"/>
              <w:rPr>
                <w:rFonts w:ascii="Times New Roman" w:hAnsi="Times New Roman"/>
              </w:rPr>
            </w:pPr>
            <w:r>
              <w:rPr>
                <w:rFonts w:ascii="Times New Roman" w:hAnsi="Times New Roman"/>
              </w:rPr>
              <w:t>v mil. EUR</w:t>
            </w:r>
          </w:p>
          <w:p w:rsidR="000C0368" w:rsidP="000C0368">
            <w:pPr>
              <w:bidi w:val="0"/>
              <w:jc w:val="center"/>
              <w:rPr>
                <w:rFonts w:ascii="Times New Roman" w:hAnsi="Times New Roman"/>
              </w:rPr>
            </w:pPr>
            <w:r>
              <w:rPr>
                <w:rFonts w:ascii="Times New Roman" w:hAnsi="Times New Roman"/>
              </w:rPr>
              <w:t>(D)</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SR z tejto oblasti výdavkov čerpala objem</w:t>
            </w:r>
          </w:p>
          <w:p w:rsidR="000C0368" w:rsidP="000C0368">
            <w:pPr>
              <w:bidi w:val="0"/>
              <w:jc w:val="center"/>
              <w:rPr>
                <w:rFonts w:ascii="Times New Roman" w:hAnsi="Times New Roman"/>
              </w:rPr>
            </w:pPr>
            <w:r>
              <w:rPr>
                <w:rFonts w:ascii="Times New Roman" w:hAnsi="Times New Roman"/>
              </w:rPr>
              <w:t>v mil. EUR</w:t>
            </w:r>
          </w:p>
          <w:p w:rsidR="000C0368" w:rsidP="000C0368">
            <w:pPr>
              <w:bidi w:val="0"/>
              <w:jc w:val="center"/>
              <w:rPr>
                <w:rFonts w:ascii="Times New Roman" w:hAnsi="Times New Roman"/>
              </w:rPr>
            </w:pPr>
            <w:r>
              <w:rPr>
                <w:rFonts w:ascii="Times New Roman" w:hAnsi="Times New Roman"/>
              </w:rPr>
              <w:t>(E)</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rPr>
            </w:pPr>
            <w:r>
              <w:rPr>
                <w:rFonts w:ascii="Times New Roman" w:hAnsi="Times New Roman"/>
              </w:rPr>
              <w:t>Koeficient efektívnosti vyjadruje koľko eur  získala SR z jedného eura, ktoré zaplatila na túto oblasť výdavkov</w:t>
            </w:r>
          </w:p>
          <w:p w:rsidR="000C0368" w:rsidP="000C0368">
            <w:pPr>
              <w:bidi w:val="0"/>
              <w:rPr>
                <w:rFonts w:ascii="Times New Roman" w:hAnsi="Times New Roman"/>
              </w:rPr>
            </w:pPr>
            <w:r>
              <w:rPr>
                <w:rFonts w:ascii="Times New Roman" w:hAnsi="Times New Roman"/>
              </w:rPr>
              <w:t>(F = E/D)</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b/>
              </w:rPr>
            </w:pPr>
            <w:r>
              <w:rPr>
                <w:rFonts w:ascii="Times New Roman" w:hAnsi="Times New Roman"/>
                <w:b/>
              </w:rPr>
              <w:t>1A – KONKURENCIESCHOPNOSŤ PRE RAST A ZAMESTNANOSŤ</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6 738,2</w:t>
            </w:r>
          </w:p>
          <w:p w:rsidR="000C0368" w:rsidP="000C0368">
            <w:pPr>
              <w:bidi w:val="0"/>
              <w:jc w:val="center"/>
              <w:rPr>
                <w:rFonts w:ascii="Times New Roman" w:hAnsi="Times New Roman"/>
              </w:rPr>
            </w:pPr>
            <w:r>
              <w:rPr>
                <w:rFonts w:ascii="Times New Roman" w:hAnsi="Times New Roman"/>
              </w:rPr>
              <w:t>10 056,6</w:t>
            </w:r>
          </w:p>
          <w:p w:rsidR="000C0368" w:rsidP="000C0368">
            <w:pPr>
              <w:bidi w:val="0"/>
              <w:jc w:val="center"/>
              <w:rPr>
                <w:rFonts w:ascii="Times New Roman" w:hAnsi="Times New Roman"/>
              </w:rPr>
            </w:pPr>
            <w:r>
              <w:rPr>
                <w:rFonts w:ascii="Times New Roman" w:hAnsi="Times New Roman"/>
              </w:rPr>
              <w:t>10 750,6</w:t>
            </w:r>
          </w:p>
          <w:p w:rsidR="000C0368" w:rsidP="000C0368">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30,70</w:t>
            </w:r>
          </w:p>
          <w:p w:rsidR="000C0368" w:rsidP="000C0368">
            <w:pPr>
              <w:bidi w:val="0"/>
              <w:jc w:val="center"/>
              <w:rPr>
                <w:rFonts w:ascii="Times New Roman" w:hAnsi="Times New Roman"/>
              </w:rPr>
            </w:pPr>
            <w:r>
              <w:rPr>
                <w:rFonts w:ascii="Times New Roman" w:hAnsi="Times New Roman"/>
              </w:rPr>
              <w:t>51,33</w:t>
            </w:r>
          </w:p>
          <w:p w:rsidR="000C0368" w:rsidP="000C0368">
            <w:pPr>
              <w:bidi w:val="0"/>
              <w:jc w:val="center"/>
              <w:rPr>
                <w:rFonts w:ascii="Times New Roman" w:hAnsi="Times New Roman"/>
              </w:rPr>
            </w:pPr>
            <w:r>
              <w:rPr>
                <w:rFonts w:ascii="Times New Roman" w:hAnsi="Times New Roman"/>
              </w:rPr>
              <w:t>64,63</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33,7</w:t>
            </w:r>
          </w:p>
          <w:p w:rsidR="000C0368" w:rsidP="000C0368">
            <w:pPr>
              <w:bidi w:val="0"/>
              <w:jc w:val="center"/>
              <w:rPr>
                <w:rFonts w:ascii="Times New Roman" w:hAnsi="Times New Roman"/>
              </w:rPr>
            </w:pPr>
            <w:r>
              <w:rPr>
                <w:rFonts w:ascii="Times New Roman" w:hAnsi="Times New Roman"/>
              </w:rPr>
              <w:t>43,3</w:t>
            </w:r>
          </w:p>
          <w:p w:rsidR="000C0368" w:rsidP="000C0368">
            <w:pPr>
              <w:bidi w:val="0"/>
              <w:jc w:val="center"/>
              <w:rPr>
                <w:rFonts w:ascii="Times New Roman" w:hAnsi="Times New Roman"/>
              </w:rPr>
            </w:pPr>
            <w:r>
              <w:rPr>
                <w:rFonts w:ascii="Times New Roman" w:hAnsi="Times New Roman"/>
              </w:rPr>
              <w:t>48,7</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bCs/>
              </w:rPr>
            </w:pPr>
            <w:r>
              <w:rPr>
                <w:rFonts w:ascii="Times New Roman" w:hAnsi="Times New Roman"/>
                <w:b/>
                <w:bCs/>
              </w:rPr>
              <w:t>1,10</w:t>
            </w:r>
          </w:p>
          <w:p w:rsidR="000C0368" w:rsidP="000C0368">
            <w:pPr>
              <w:bidi w:val="0"/>
              <w:jc w:val="center"/>
              <w:rPr>
                <w:rFonts w:ascii="Times New Roman" w:hAnsi="Times New Roman"/>
              </w:rPr>
            </w:pPr>
            <w:r>
              <w:rPr>
                <w:rFonts w:ascii="Times New Roman" w:hAnsi="Times New Roman"/>
              </w:rPr>
              <w:t>0,84</w:t>
            </w:r>
          </w:p>
          <w:p w:rsidR="000C0368" w:rsidP="000C0368">
            <w:pPr>
              <w:bidi w:val="0"/>
              <w:jc w:val="center"/>
              <w:rPr>
                <w:rFonts w:ascii="Times New Roman" w:hAnsi="Times New Roman"/>
              </w:rPr>
            </w:pPr>
            <w:r>
              <w:rPr>
                <w:rFonts w:ascii="Times New Roman" w:hAnsi="Times New Roman"/>
              </w:rPr>
              <w:t>0,75</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7.Rámcový program pre vedu a výskum</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4 059,4</w:t>
            </w:r>
          </w:p>
          <w:p w:rsidR="000C0368" w:rsidP="000C0368">
            <w:pPr>
              <w:bidi w:val="0"/>
              <w:jc w:val="center"/>
              <w:rPr>
                <w:rFonts w:ascii="Times New Roman" w:hAnsi="Times New Roman"/>
              </w:rPr>
            </w:pPr>
            <w:r>
              <w:rPr>
                <w:rFonts w:ascii="Times New Roman" w:hAnsi="Times New Roman"/>
              </w:rPr>
              <w:t>6 471,3</w:t>
            </w:r>
          </w:p>
          <w:p w:rsidR="000C0368" w:rsidP="000C0368">
            <w:pPr>
              <w:bidi w:val="0"/>
              <w:jc w:val="center"/>
              <w:rPr>
                <w:rFonts w:ascii="Times New Roman" w:hAnsi="Times New Roman"/>
              </w:rPr>
            </w:pPr>
            <w:r>
              <w:rPr>
                <w:rFonts w:ascii="Times New Roman" w:hAnsi="Times New Roman"/>
              </w:rPr>
              <w:t>6 675,4</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18,49</w:t>
            </w:r>
          </w:p>
          <w:p w:rsidR="000C0368" w:rsidP="000C0368">
            <w:pPr>
              <w:bidi w:val="0"/>
              <w:jc w:val="center"/>
              <w:rPr>
                <w:rFonts w:ascii="Times New Roman" w:hAnsi="Times New Roman"/>
              </w:rPr>
            </w:pPr>
            <w:r>
              <w:rPr>
                <w:rFonts w:ascii="Times New Roman" w:hAnsi="Times New Roman"/>
              </w:rPr>
              <w:t>33,03</w:t>
            </w:r>
          </w:p>
          <w:p w:rsidR="000C0368" w:rsidP="000C0368">
            <w:pPr>
              <w:bidi w:val="0"/>
              <w:jc w:val="center"/>
              <w:rPr>
                <w:rFonts w:ascii="Times New Roman" w:hAnsi="Times New Roman"/>
              </w:rPr>
            </w:pPr>
            <w:r>
              <w:rPr>
                <w:rFonts w:ascii="Times New Roman" w:hAnsi="Times New Roman"/>
              </w:rPr>
              <w:t>40,13</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4,4</w:t>
            </w:r>
          </w:p>
          <w:p w:rsidR="000C0368" w:rsidP="000C0368">
            <w:pPr>
              <w:bidi w:val="0"/>
              <w:jc w:val="center"/>
              <w:rPr>
                <w:rFonts w:ascii="Times New Roman" w:hAnsi="Times New Roman"/>
              </w:rPr>
            </w:pPr>
            <w:r>
              <w:rPr>
                <w:rFonts w:ascii="Times New Roman" w:hAnsi="Times New Roman"/>
              </w:rPr>
              <w:t>8,8</w:t>
            </w:r>
          </w:p>
          <w:p w:rsidR="000C0368" w:rsidP="000C0368">
            <w:pPr>
              <w:bidi w:val="0"/>
              <w:jc w:val="center"/>
              <w:rPr>
                <w:rFonts w:ascii="Times New Roman" w:hAnsi="Times New Roman"/>
              </w:rPr>
            </w:pPr>
            <w:r>
              <w:rPr>
                <w:rFonts w:ascii="Times New Roman" w:hAnsi="Times New Roman"/>
              </w:rPr>
              <w:t>6,6</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0,24</w:t>
            </w:r>
          </w:p>
          <w:p w:rsidR="000C0368" w:rsidP="000C0368">
            <w:pPr>
              <w:bidi w:val="0"/>
              <w:jc w:val="center"/>
              <w:rPr>
                <w:rFonts w:ascii="Times New Roman" w:hAnsi="Times New Roman"/>
              </w:rPr>
            </w:pPr>
            <w:r>
              <w:rPr>
                <w:rFonts w:ascii="Times New Roman" w:hAnsi="Times New Roman"/>
              </w:rPr>
              <w:t>0,27</w:t>
            </w:r>
          </w:p>
          <w:p w:rsidR="000C0368" w:rsidP="000C0368">
            <w:pPr>
              <w:bidi w:val="0"/>
              <w:jc w:val="center"/>
              <w:rPr>
                <w:rFonts w:ascii="Times New Roman" w:hAnsi="Times New Roman"/>
              </w:rPr>
            </w:pPr>
            <w:r>
              <w:rPr>
                <w:rFonts w:ascii="Times New Roman" w:hAnsi="Times New Roman"/>
              </w:rPr>
              <w:t>0,16</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TEN (transeurópske siete)</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371,5</w:t>
            </w:r>
          </w:p>
          <w:p w:rsidR="000C0368" w:rsidP="000C0368">
            <w:pPr>
              <w:bidi w:val="0"/>
              <w:jc w:val="center"/>
              <w:rPr>
                <w:rFonts w:ascii="Times New Roman" w:hAnsi="Times New Roman"/>
              </w:rPr>
            </w:pPr>
            <w:r>
              <w:rPr>
                <w:rFonts w:ascii="Times New Roman" w:hAnsi="Times New Roman"/>
              </w:rPr>
              <w:t>897,9</w:t>
            </w:r>
          </w:p>
          <w:p w:rsidR="000C0368" w:rsidP="000C0368">
            <w:pPr>
              <w:bidi w:val="0"/>
              <w:jc w:val="center"/>
              <w:rPr>
                <w:rFonts w:ascii="Times New Roman" w:hAnsi="Times New Roman"/>
              </w:rPr>
            </w:pPr>
            <w:r>
              <w:rPr>
                <w:rFonts w:ascii="Times New Roman" w:hAnsi="Times New Roman"/>
              </w:rPr>
              <w:t>852,1</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1,69</w:t>
            </w:r>
          </w:p>
          <w:p w:rsidR="000C0368" w:rsidP="000C0368">
            <w:pPr>
              <w:bidi w:val="0"/>
              <w:jc w:val="center"/>
              <w:rPr>
                <w:rFonts w:ascii="Times New Roman" w:hAnsi="Times New Roman"/>
              </w:rPr>
            </w:pPr>
            <w:r>
              <w:rPr>
                <w:rFonts w:ascii="Times New Roman" w:hAnsi="Times New Roman"/>
              </w:rPr>
              <w:t>4,58</w:t>
            </w:r>
          </w:p>
          <w:p w:rsidR="000C0368" w:rsidP="000C0368">
            <w:pPr>
              <w:bidi w:val="0"/>
              <w:jc w:val="center"/>
              <w:rPr>
                <w:rFonts w:ascii="Times New Roman" w:hAnsi="Times New Roman"/>
              </w:rPr>
            </w:pPr>
            <w:r>
              <w:rPr>
                <w:rFonts w:ascii="Times New Roman" w:hAnsi="Times New Roman"/>
              </w:rPr>
              <w:t>5,12</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0,9</w:t>
            </w:r>
          </w:p>
          <w:p w:rsidR="000C0368" w:rsidP="000C0368">
            <w:pPr>
              <w:bidi w:val="0"/>
              <w:jc w:val="center"/>
              <w:rPr>
                <w:rFonts w:ascii="Times New Roman" w:hAnsi="Times New Roman"/>
              </w:rPr>
            </w:pPr>
            <w:r>
              <w:rPr>
                <w:rFonts w:ascii="Times New Roman" w:hAnsi="Times New Roman"/>
              </w:rPr>
              <w:t>1,2</w:t>
            </w:r>
          </w:p>
          <w:p w:rsidR="000C0368" w:rsidP="000C0368">
            <w:pPr>
              <w:bidi w:val="0"/>
              <w:jc w:val="center"/>
              <w:rPr>
                <w:rFonts w:ascii="Times New Roman" w:hAnsi="Times New Roman"/>
              </w:rPr>
            </w:pPr>
            <w:r>
              <w:rPr>
                <w:rFonts w:ascii="Times New Roman" w:hAnsi="Times New Roman"/>
              </w:rPr>
              <w:t>0,5</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0,53</w:t>
            </w:r>
          </w:p>
          <w:p w:rsidR="000C0368" w:rsidP="000C0368">
            <w:pPr>
              <w:bidi w:val="0"/>
              <w:jc w:val="center"/>
              <w:rPr>
                <w:rFonts w:ascii="Times New Roman" w:hAnsi="Times New Roman"/>
              </w:rPr>
            </w:pPr>
            <w:r>
              <w:rPr>
                <w:rFonts w:ascii="Times New Roman" w:hAnsi="Times New Roman"/>
              </w:rPr>
              <w:t>0,26</w:t>
            </w:r>
          </w:p>
          <w:p w:rsidR="000C0368" w:rsidP="000C0368">
            <w:pPr>
              <w:bidi w:val="0"/>
              <w:jc w:val="center"/>
              <w:rPr>
                <w:rFonts w:ascii="Times New Roman" w:hAnsi="Times New Roman"/>
              </w:rPr>
            </w:pPr>
            <w:r>
              <w:rPr>
                <w:rFonts w:ascii="Times New Roman" w:hAnsi="Times New Roman"/>
              </w:rPr>
              <w:t>0,10</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rPr>
            </w:pPr>
            <w:r>
              <w:rPr>
                <w:rFonts w:ascii="Times New Roman" w:hAnsi="Times New Roman"/>
              </w:rPr>
              <w:t>Galileo</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150,0</w:t>
            </w:r>
          </w:p>
          <w:p w:rsidR="000C0368" w:rsidP="000C0368">
            <w:pPr>
              <w:bidi w:val="0"/>
              <w:jc w:val="center"/>
              <w:rPr>
                <w:rFonts w:ascii="Times New Roman" w:hAnsi="Times New Roman"/>
              </w:rPr>
            </w:pPr>
            <w:r>
              <w:rPr>
                <w:rFonts w:ascii="Times New Roman" w:hAnsi="Times New Roman"/>
              </w:rPr>
              <w:t>722,9</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0,77</w:t>
            </w:r>
          </w:p>
          <w:p w:rsidR="000C0368" w:rsidP="000C0368">
            <w:pPr>
              <w:bidi w:val="0"/>
              <w:jc w:val="center"/>
              <w:rPr>
                <w:rFonts w:ascii="Times New Roman" w:hAnsi="Times New Roman"/>
              </w:rPr>
            </w:pPr>
            <w:r>
              <w:rPr>
                <w:rFonts w:ascii="Times New Roman" w:hAnsi="Times New Roman"/>
              </w:rPr>
              <w:t>4,35</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Celoživotné vzdelávanie</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958,8</w:t>
            </w:r>
          </w:p>
          <w:p w:rsidR="000C0368" w:rsidP="000C0368">
            <w:pPr>
              <w:bidi w:val="0"/>
              <w:jc w:val="center"/>
              <w:rPr>
                <w:rFonts w:ascii="Times New Roman" w:hAnsi="Times New Roman"/>
              </w:rPr>
            </w:pPr>
            <w:r>
              <w:rPr>
                <w:rFonts w:ascii="Times New Roman" w:hAnsi="Times New Roman"/>
              </w:rPr>
              <w:t>1 052,6</w:t>
            </w:r>
          </w:p>
          <w:p w:rsidR="000C0368" w:rsidP="000C0368">
            <w:pPr>
              <w:bidi w:val="0"/>
              <w:jc w:val="center"/>
              <w:rPr>
                <w:rFonts w:ascii="Times New Roman" w:hAnsi="Times New Roman"/>
              </w:rPr>
            </w:pPr>
            <w:r>
              <w:rPr>
                <w:rFonts w:ascii="Times New Roman" w:hAnsi="Times New Roman"/>
              </w:rPr>
              <w:t>1 149,1</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4,37</w:t>
            </w:r>
          </w:p>
          <w:p w:rsidR="000C0368" w:rsidP="000C0368">
            <w:pPr>
              <w:bidi w:val="0"/>
              <w:jc w:val="center"/>
              <w:rPr>
                <w:rFonts w:ascii="Times New Roman" w:hAnsi="Times New Roman"/>
              </w:rPr>
            </w:pPr>
            <w:r>
              <w:rPr>
                <w:rFonts w:ascii="Times New Roman" w:hAnsi="Times New Roman"/>
              </w:rPr>
              <w:t>5,37</w:t>
            </w:r>
          </w:p>
          <w:p w:rsidR="000C0368" w:rsidP="000C0368">
            <w:pPr>
              <w:bidi w:val="0"/>
              <w:jc w:val="center"/>
              <w:rPr>
                <w:rFonts w:ascii="Times New Roman" w:hAnsi="Times New Roman"/>
              </w:rPr>
            </w:pPr>
            <w:r>
              <w:rPr>
                <w:rFonts w:ascii="Times New Roman" w:hAnsi="Times New Roman"/>
              </w:rPr>
              <w:t>6,91</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11,7</w:t>
            </w:r>
          </w:p>
          <w:p w:rsidR="000C0368" w:rsidP="000C0368">
            <w:pPr>
              <w:bidi w:val="0"/>
              <w:jc w:val="center"/>
              <w:rPr>
                <w:rFonts w:ascii="Times New Roman" w:hAnsi="Times New Roman"/>
              </w:rPr>
            </w:pPr>
            <w:r>
              <w:rPr>
                <w:rFonts w:ascii="Times New Roman" w:hAnsi="Times New Roman"/>
              </w:rPr>
              <w:t>8,4</w:t>
            </w:r>
          </w:p>
          <w:p w:rsidR="000C0368" w:rsidP="000C0368">
            <w:pPr>
              <w:bidi w:val="0"/>
              <w:jc w:val="center"/>
              <w:rPr>
                <w:rFonts w:ascii="Times New Roman" w:hAnsi="Times New Roman"/>
              </w:rPr>
            </w:pPr>
            <w:r>
              <w:rPr>
                <w:rFonts w:ascii="Times New Roman" w:hAnsi="Times New Roman"/>
              </w:rPr>
              <w:t>12,7</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2,68</w:t>
            </w:r>
          </w:p>
          <w:p w:rsidR="000C0368" w:rsidP="000C0368">
            <w:pPr>
              <w:bidi w:val="0"/>
              <w:jc w:val="center"/>
              <w:rPr>
                <w:rFonts w:ascii="Times New Roman" w:hAnsi="Times New Roman"/>
                <w:b/>
              </w:rPr>
            </w:pPr>
            <w:r>
              <w:rPr>
                <w:rFonts w:ascii="Times New Roman" w:hAnsi="Times New Roman"/>
                <w:b/>
              </w:rPr>
              <w:t>1,56</w:t>
            </w:r>
          </w:p>
          <w:p w:rsidR="000C0368" w:rsidP="000C0368">
            <w:pPr>
              <w:bidi w:val="0"/>
              <w:jc w:val="center"/>
              <w:rPr>
                <w:rFonts w:ascii="Times New Roman" w:hAnsi="Times New Roman"/>
                <w:b/>
              </w:rPr>
            </w:pPr>
            <w:r>
              <w:rPr>
                <w:rFonts w:ascii="Times New Roman" w:hAnsi="Times New Roman"/>
                <w:b/>
              </w:rPr>
              <w:t>1,84</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Rámcový program pre konkurencieschopnosť a inovácie</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267,4</w:t>
            </w:r>
          </w:p>
          <w:p w:rsidR="000C0368" w:rsidP="000C0368">
            <w:pPr>
              <w:bidi w:val="0"/>
              <w:jc w:val="center"/>
              <w:rPr>
                <w:rFonts w:ascii="Times New Roman" w:hAnsi="Times New Roman"/>
              </w:rPr>
            </w:pPr>
            <w:r>
              <w:rPr>
                <w:rFonts w:ascii="Times New Roman" w:hAnsi="Times New Roman"/>
              </w:rPr>
              <w:t>363,9</w:t>
            </w:r>
          </w:p>
          <w:p w:rsidR="000C0368" w:rsidP="000C0368">
            <w:pPr>
              <w:bidi w:val="0"/>
              <w:jc w:val="center"/>
              <w:rPr>
                <w:rFonts w:ascii="Times New Roman" w:hAnsi="Times New Roman"/>
              </w:rPr>
            </w:pPr>
            <w:r>
              <w:rPr>
                <w:rFonts w:ascii="Times New Roman" w:hAnsi="Times New Roman"/>
              </w:rPr>
              <w:t>309,6</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1,22</w:t>
            </w:r>
          </w:p>
          <w:p w:rsidR="000C0368" w:rsidP="000C0368">
            <w:pPr>
              <w:bidi w:val="0"/>
              <w:jc w:val="center"/>
              <w:rPr>
                <w:rFonts w:ascii="Times New Roman" w:hAnsi="Times New Roman"/>
              </w:rPr>
            </w:pPr>
            <w:r>
              <w:rPr>
                <w:rFonts w:ascii="Times New Roman" w:hAnsi="Times New Roman"/>
              </w:rPr>
              <w:t>1,86</w:t>
            </w:r>
          </w:p>
          <w:p w:rsidR="000C0368" w:rsidP="000C0368">
            <w:pPr>
              <w:bidi w:val="0"/>
              <w:jc w:val="center"/>
              <w:rPr>
                <w:rFonts w:ascii="Times New Roman" w:hAnsi="Times New Roman"/>
              </w:rPr>
            </w:pPr>
            <w:r>
              <w:rPr>
                <w:rFonts w:ascii="Times New Roman" w:hAnsi="Times New Roman"/>
              </w:rPr>
              <w:t>1,86</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0,2</w:t>
            </w:r>
          </w:p>
          <w:p w:rsidR="000C0368" w:rsidP="000C0368">
            <w:pPr>
              <w:bidi w:val="0"/>
              <w:jc w:val="center"/>
              <w:rPr>
                <w:rFonts w:ascii="Times New Roman" w:hAnsi="Times New Roman"/>
              </w:rPr>
            </w:pPr>
            <w:r>
              <w:rPr>
                <w:rFonts w:ascii="Times New Roman" w:hAnsi="Times New Roman"/>
              </w:rPr>
              <w:t>0,4</w:t>
            </w:r>
          </w:p>
          <w:p w:rsidR="000C0368" w:rsidP="000C0368">
            <w:pPr>
              <w:bidi w:val="0"/>
              <w:jc w:val="center"/>
              <w:rPr>
                <w:rFonts w:ascii="Times New Roman" w:hAnsi="Times New Roman"/>
              </w:rPr>
            </w:pPr>
            <w:r>
              <w:rPr>
                <w:rFonts w:ascii="Times New Roman" w:hAnsi="Times New Roman"/>
              </w:rPr>
              <w:t>0,2</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0,16</w:t>
            </w:r>
          </w:p>
          <w:p w:rsidR="000C0368" w:rsidP="000C0368">
            <w:pPr>
              <w:bidi w:val="0"/>
              <w:jc w:val="center"/>
              <w:rPr>
                <w:rFonts w:ascii="Times New Roman" w:hAnsi="Times New Roman"/>
              </w:rPr>
            </w:pPr>
            <w:r>
              <w:rPr>
                <w:rFonts w:ascii="Times New Roman" w:hAnsi="Times New Roman"/>
              </w:rPr>
              <w:t>0,22</w:t>
            </w:r>
          </w:p>
          <w:p w:rsidR="000C0368" w:rsidP="000C0368">
            <w:pPr>
              <w:bidi w:val="0"/>
              <w:jc w:val="center"/>
              <w:rPr>
                <w:rFonts w:ascii="Times New Roman" w:hAnsi="Times New Roman"/>
              </w:rPr>
            </w:pPr>
            <w:r>
              <w:rPr>
                <w:rFonts w:ascii="Times New Roman" w:hAnsi="Times New Roman"/>
              </w:rPr>
              <w:t>0,11</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Agenda sociálnej politiky</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119,6</w:t>
            </w:r>
          </w:p>
          <w:p w:rsidR="000C0368" w:rsidP="000C0368">
            <w:pPr>
              <w:bidi w:val="0"/>
              <w:jc w:val="center"/>
              <w:rPr>
                <w:rFonts w:ascii="Times New Roman" w:hAnsi="Times New Roman"/>
              </w:rPr>
            </w:pPr>
            <w:r>
              <w:rPr>
                <w:rFonts w:ascii="Times New Roman" w:hAnsi="Times New Roman"/>
              </w:rPr>
              <w:t>131,7</w:t>
            </w:r>
          </w:p>
          <w:p w:rsidR="000C0368" w:rsidP="000C0368">
            <w:pPr>
              <w:bidi w:val="0"/>
              <w:jc w:val="center"/>
              <w:rPr>
                <w:rFonts w:ascii="Times New Roman" w:hAnsi="Times New Roman"/>
              </w:rPr>
            </w:pPr>
            <w:r>
              <w:rPr>
                <w:rFonts w:ascii="Times New Roman" w:hAnsi="Times New Roman"/>
              </w:rPr>
              <w:t>141,6</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0,54</w:t>
            </w:r>
          </w:p>
          <w:p w:rsidR="000C0368" w:rsidP="000C0368">
            <w:pPr>
              <w:bidi w:val="0"/>
              <w:jc w:val="center"/>
              <w:rPr>
                <w:rFonts w:ascii="Times New Roman" w:hAnsi="Times New Roman"/>
              </w:rPr>
            </w:pPr>
            <w:r>
              <w:rPr>
                <w:rFonts w:ascii="Times New Roman" w:hAnsi="Times New Roman"/>
              </w:rPr>
              <w:t>0,67</w:t>
            </w:r>
          </w:p>
          <w:p w:rsidR="000C0368" w:rsidP="000C0368">
            <w:pPr>
              <w:bidi w:val="0"/>
              <w:jc w:val="center"/>
              <w:rPr>
                <w:rFonts w:ascii="Times New Roman" w:hAnsi="Times New Roman"/>
              </w:rPr>
            </w:pPr>
            <w:r>
              <w:rPr>
                <w:rFonts w:ascii="Times New Roman" w:hAnsi="Times New Roman"/>
              </w:rPr>
              <w:t>0,85</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1,0</w:t>
            </w:r>
          </w:p>
          <w:p w:rsidR="000C0368" w:rsidP="000C0368">
            <w:pPr>
              <w:bidi w:val="0"/>
              <w:jc w:val="center"/>
              <w:rPr>
                <w:rFonts w:ascii="Times New Roman" w:hAnsi="Times New Roman"/>
              </w:rPr>
            </w:pPr>
            <w:r>
              <w:rPr>
                <w:rFonts w:ascii="Times New Roman" w:hAnsi="Times New Roman"/>
              </w:rPr>
              <w:t>0,5</w:t>
            </w:r>
          </w:p>
          <w:p w:rsidR="000C0368" w:rsidP="000C0368">
            <w:pPr>
              <w:bidi w:val="0"/>
              <w:jc w:val="center"/>
              <w:rPr>
                <w:rFonts w:ascii="Times New Roman" w:hAnsi="Times New Roman"/>
              </w:rPr>
            </w:pPr>
            <w:r>
              <w:rPr>
                <w:rFonts w:ascii="Times New Roman" w:hAnsi="Times New Roman"/>
              </w:rPr>
              <w:t>0,7</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bCs/>
              </w:rPr>
            </w:pPr>
            <w:r>
              <w:rPr>
                <w:rFonts w:ascii="Times New Roman" w:hAnsi="Times New Roman"/>
                <w:b/>
                <w:bCs/>
              </w:rPr>
              <w:t>1,85</w:t>
            </w:r>
          </w:p>
          <w:p w:rsidR="000C0368" w:rsidP="000C0368">
            <w:pPr>
              <w:bidi w:val="0"/>
              <w:jc w:val="center"/>
              <w:rPr>
                <w:rFonts w:ascii="Times New Roman" w:hAnsi="Times New Roman"/>
              </w:rPr>
            </w:pPr>
            <w:r>
              <w:rPr>
                <w:rFonts w:ascii="Times New Roman" w:hAnsi="Times New Roman"/>
              </w:rPr>
              <w:t>0,75</w:t>
            </w:r>
          </w:p>
          <w:p w:rsidR="000C0368" w:rsidP="000C0368">
            <w:pPr>
              <w:bidi w:val="0"/>
              <w:jc w:val="center"/>
              <w:rPr>
                <w:rFonts w:ascii="Times New Roman" w:hAnsi="Times New Roman"/>
              </w:rPr>
            </w:pPr>
            <w:r>
              <w:rPr>
                <w:rFonts w:ascii="Times New Roman" w:hAnsi="Times New Roman"/>
              </w:rPr>
              <w:t>0,82</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Customs a Fiscalis</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35,2</w:t>
            </w:r>
          </w:p>
          <w:p w:rsidR="000C0368" w:rsidP="000C0368">
            <w:pPr>
              <w:bidi w:val="0"/>
              <w:jc w:val="center"/>
              <w:rPr>
                <w:rFonts w:ascii="Times New Roman" w:hAnsi="Times New Roman"/>
              </w:rPr>
            </w:pPr>
            <w:r>
              <w:rPr>
                <w:rFonts w:ascii="Times New Roman" w:hAnsi="Times New Roman"/>
              </w:rPr>
              <w:t>50,2</w:t>
            </w:r>
          </w:p>
          <w:p w:rsidR="000C0368" w:rsidP="000C0368">
            <w:pPr>
              <w:bidi w:val="0"/>
              <w:jc w:val="center"/>
              <w:rPr>
                <w:rFonts w:ascii="Times New Roman" w:hAnsi="Times New Roman"/>
              </w:rPr>
            </w:pPr>
            <w:r>
              <w:rPr>
                <w:rFonts w:ascii="Times New Roman" w:hAnsi="Times New Roman"/>
              </w:rPr>
              <w:t>62,6</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0,16</w:t>
            </w:r>
          </w:p>
          <w:p w:rsidR="000C0368" w:rsidP="000C0368">
            <w:pPr>
              <w:bidi w:val="0"/>
              <w:jc w:val="center"/>
              <w:rPr>
                <w:rFonts w:ascii="Times New Roman" w:hAnsi="Times New Roman"/>
              </w:rPr>
            </w:pPr>
            <w:r>
              <w:rPr>
                <w:rFonts w:ascii="Times New Roman" w:hAnsi="Times New Roman"/>
              </w:rPr>
              <w:t>0,26</w:t>
            </w:r>
          </w:p>
          <w:p w:rsidR="000C0368" w:rsidP="000C0368">
            <w:pPr>
              <w:bidi w:val="0"/>
              <w:jc w:val="center"/>
              <w:rPr>
                <w:rFonts w:ascii="Times New Roman" w:hAnsi="Times New Roman"/>
              </w:rPr>
            </w:pPr>
            <w:r>
              <w:rPr>
                <w:rFonts w:ascii="Times New Roman" w:hAnsi="Times New Roman"/>
              </w:rPr>
              <w:t>0,38</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0,3</w:t>
            </w:r>
          </w:p>
          <w:p w:rsidR="000C0368" w:rsidP="000C0368">
            <w:pPr>
              <w:bidi w:val="0"/>
              <w:jc w:val="center"/>
              <w:rPr>
                <w:rFonts w:ascii="Times New Roman" w:hAnsi="Times New Roman"/>
              </w:rPr>
            </w:pPr>
            <w:r>
              <w:rPr>
                <w:rFonts w:ascii="Times New Roman" w:hAnsi="Times New Roman"/>
              </w:rPr>
              <w:t>0,3</w:t>
            </w:r>
          </w:p>
          <w:p w:rsidR="000C0368" w:rsidP="000C0368">
            <w:pPr>
              <w:bidi w:val="0"/>
              <w:jc w:val="center"/>
              <w:rPr>
                <w:rFonts w:ascii="Times New Roman" w:hAnsi="Times New Roman"/>
              </w:rPr>
            </w:pPr>
            <w:r>
              <w:rPr>
                <w:rFonts w:ascii="Times New Roman" w:hAnsi="Times New Roman"/>
              </w:rPr>
              <w:t>0,3</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bCs/>
              </w:rPr>
            </w:pPr>
            <w:r>
              <w:rPr>
                <w:rFonts w:ascii="Times New Roman" w:hAnsi="Times New Roman"/>
                <w:b/>
                <w:bCs/>
              </w:rPr>
              <w:t>1,88</w:t>
            </w:r>
          </w:p>
          <w:p w:rsidR="000C0368" w:rsidP="000C0368">
            <w:pPr>
              <w:bidi w:val="0"/>
              <w:jc w:val="center"/>
              <w:rPr>
                <w:rFonts w:ascii="Times New Roman" w:hAnsi="Times New Roman"/>
                <w:b/>
                <w:bCs/>
              </w:rPr>
            </w:pPr>
            <w:r>
              <w:rPr>
                <w:rFonts w:ascii="Times New Roman" w:hAnsi="Times New Roman"/>
                <w:b/>
                <w:bCs/>
              </w:rPr>
              <w:t>1,15</w:t>
            </w:r>
          </w:p>
          <w:p w:rsidR="000C0368" w:rsidP="000C0368">
            <w:pPr>
              <w:bidi w:val="0"/>
              <w:jc w:val="center"/>
              <w:rPr>
                <w:rFonts w:ascii="Times New Roman" w:hAnsi="Times New Roman"/>
              </w:rPr>
            </w:pPr>
            <w:r>
              <w:rPr>
                <w:rFonts w:ascii="Times New Roman" w:hAnsi="Times New Roman"/>
              </w:rPr>
              <w:t>0,79</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Odstavovanie jadrových elektrární</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37,9</w:t>
            </w:r>
          </w:p>
          <w:p w:rsidR="000C0368" w:rsidP="000C0368">
            <w:pPr>
              <w:bidi w:val="0"/>
              <w:jc w:val="center"/>
              <w:rPr>
                <w:rFonts w:ascii="Times New Roman" w:hAnsi="Times New Roman"/>
              </w:rPr>
            </w:pPr>
            <w:r>
              <w:rPr>
                <w:rFonts w:ascii="Times New Roman" w:hAnsi="Times New Roman"/>
              </w:rPr>
              <w:t>197,5</w:t>
            </w:r>
          </w:p>
          <w:p w:rsidR="000C0368" w:rsidP="000C0368">
            <w:pPr>
              <w:bidi w:val="0"/>
              <w:jc w:val="center"/>
              <w:rPr>
                <w:rFonts w:ascii="Times New Roman" w:hAnsi="Times New Roman"/>
              </w:rPr>
            </w:pPr>
            <w:r>
              <w:rPr>
                <w:rFonts w:ascii="Times New Roman" w:hAnsi="Times New Roman"/>
              </w:rPr>
              <w:t>110,0</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0,17</w:t>
            </w:r>
          </w:p>
          <w:p w:rsidR="000C0368" w:rsidP="000C0368">
            <w:pPr>
              <w:bidi w:val="0"/>
              <w:jc w:val="center"/>
              <w:rPr>
                <w:rFonts w:ascii="Times New Roman" w:hAnsi="Times New Roman"/>
              </w:rPr>
            </w:pPr>
            <w:r>
              <w:rPr>
                <w:rFonts w:ascii="Times New Roman" w:hAnsi="Times New Roman"/>
              </w:rPr>
              <w:t>1,01</w:t>
            </w:r>
          </w:p>
          <w:p w:rsidR="000C0368" w:rsidP="000C0368">
            <w:pPr>
              <w:bidi w:val="0"/>
              <w:jc w:val="center"/>
              <w:rPr>
                <w:rFonts w:ascii="Times New Roman" w:hAnsi="Times New Roman"/>
              </w:rPr>
            </w:pPr>
            <w:r>
              <w:rPr>
                <w:rFonts w:ascii="Times New Roman" w:hAnsi="Times New Roman"/>
              </w:rPr>
              <w:t>0,66</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14,0</w:t>
            </w:r>
          </w:p>
          <w:p w:rsidR="000C0368" w:rsidP="000C0368">
            <w:pPr>
              <w:bidi w:val="0"/>
              <w:jc w:val="center"/>
              <w:rPr>
                <w:rFonts w:ascii="Times New Roman" w:hAnsi="Times New Roman"/>
              </w:rPr>
            </w:pPr>
            <w:r>
              <w:rPr>
                <w:rFonts w:ascii="Times New Roman" w:hAnsi="Times New Roman"/>
              </w:rPr>
              <w:t>22,0</w:t>
            </w:r>
          </w:p>
          <w:p w:rsidR="000C0368" w:rsidP="000C0368">
            <w:pPr>
              <w:bidi w:val="0"/>
              <w:jc w:val="center"/>
              <w:rPr>
                <w:rFonts w:ascii="Times New Roman" w:hAnsi="Times New Roman"/>
              </w:rPr>
            </w:pPr>
            <w:r>
              <w:rPr>
                <w:rFonts w:ascii="Times New Roman" w:hAnsi="Times New Roman"/>
              </w:rPr>
              <w:t>25,2</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82,35</w:t>
            </w:r>
          </w:p>
          <w:p w:rsidR="000C0368" w:rsidP="000C0368">
            <w:pPr>
              <w:bidi w:val="0"/>
              <w:jc w:val="center"/>
              <w:rPr>
                <w:rFonts w:ascii="Times New Roman" w:hAnsi="Times New Roman"/>
                <w:b/>
              </w:rPr>
            </w:pPr>
            <w:r>
              <w:rPr>
                <w:rFonts w:ascii="Times New Roman" w:hAnsi="Times New Roman"/>
                <w:b/>
              </w:rPr>
              <w:t>21,78</w:t>
            </w:r>
          </w:p>
          <w:p w:rsidR="000C0368" w:rsidP="000C0368">
            <w:pPr>
              <w:bidi w:val="0"/>
              <w:jc w:val="center"/>
              <w:rPr>
                <w:rFonts w:ascii="Times New Roman" w:hAnsi="Times New Roman"/>
                <w:b/>
              </w:rPr>
            </w:pPr>
            <w:r>
              <w:rPr>
                <w:rFonts w:ascii="Times New Roman" w:hAnsi="Times New Roman"/>
                <w:b/>
              </w:rPr>
              <w:t>38,18</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bCs/>
                <w:i/>
              </w:rPr>
            </w:pPr>
            <w:r>
              <w:rPr>
                <w:rFonts w:ascii="Times New Roman" w:hAnsi="Times New Roman"/>
                <w:bCs/>
              </w:rPr>
              <w:t>1A – KONKURENCIESCHOPNOSŤ PRE RAST A ZAMESTNANOSŤ  BEZ  ODSTAVOVANIA JADROVÝCH ELEKTRÁRNÍ</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6 700,3</w:t>
            </w:r>
          </w:p>
          <w:p w:rsidR="000C0368" w:rsidP="000C0368">
            <w:pPr>
              <w:bidi w:val="0"/>
              <w:jc w:val="center"/>
              <w:rPr>
                <w:rFonts w:ascii="Times New Roman" w:hAnsi="Times New Roman"/>
              </w:rPr>
            </w:pPr>
            <w:r>
              <w:rPr>
                <w:rFonts w:ascii="Times New Roman" w:hAnsi="Times New Roman"/>
              </w:rPr>
              <w:t>9 859,1</w:t>
            </w:r>
          </w:p>
          <w:p w:rsidR="000C0368" w:rsidP="000C0368">
            <w:pPr>
              <w:bidi w:val="0"/>
              <w:jc w:val="center"/>
              <w:rPr>
                <w:rFonts w:ascii="Times New Roman" w:hAnsi="Times New Roman"/>
              </w:rPr>
            </w:pPr>
            <w:r>
              <w:rPr>
                <w:rFonts w:ascii="Times New Roman" w:hAnsi="Times New Roman"/>
              </w:rPr>
              <w:t>10 640,6</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30,53</w:t>
            </w:r>
          </w:p>
          <w:p w:rsidR="000C0368" w:rsidP="000C0368">
            <w:pPr>
              <w:bidi w:val="0"/>
              <w:jc w:val="center"/>
              <w:rPr>
                <w:rFonts w:ascii="Times New Roman" w:hAnsi="Times New Roman"/>
              </w:rPr>
            </w:pPr>
            <w:r>
              <w:rPr>
                <w:rFonts w:ascii="Times New Roman" w:hAnsi="Times New Roman"/>
              </w:rPr>
              <w:t>50,32</w:t>
            </w:r>
          </w:p>
          <w:p w:rsidR="000C0368" w:rsidP="000C0368">
            <w:pPr>
              <w:bidi w:val="0"/>
              <w:jc w:val="center"/>
              <w:rPr>
                <w:rFonts w:ascii="Times New Roman" w:hAnsi="Times New Roman"/>
              </w:rPr>
            </w:pPr>
            <w:r>
              <w:rPr>
                <w:rFonts w:ascii="Times New Roman" w:hAnsi="Times New Roman"/>
              </w:rPr>
              <w:t>63,97</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19,7</w:t>
            </w:r>
          </w:p>
          <w:p w:rsidR="000C0368" w:rsidP="000C0368">
            <w:pPr>
              <w:bidi w:val="0"/>
              <w:jc w:val="center"/>
              <w:rPr>
                <w:rFonts w:ascii="Times New Roman" w:hAnsi="Times New Roman"/>
              </w:rPr>
            </w:pPr>
            <w:r>
              <w:rPr>
                <w:rFonts w:ascii="Times New Roman" w:hAnsi="Times New Roman"/>
              </w:rPr>
              <w:t>21,3</w:t>
            </w:r>
          </w:p>
          <w:p w:rsidR="000C0368" w:rsidP="000C0368">
            <w:pPr>
              <w:bidi w:val="0"/>
              <w:jc w:val="center"/>
              <w:rPr>
                <w:rFonts w:ascii="Times New Roman" w:hAnsi="Times New Roman"/>
              </w:rPr>
            </w:pPr>
            <w:r>
              <w:rPr>
                <w:rFonts w:ascii="Times New Roman" w:hAnsi="Times New Roman"/>
              </w:rPr>
              <w:t>23,5</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Cs/>
              </w:rPr>
            </w:pPr>
            <w:r>
              <w:rPr>
                <w:rFonts w:ascii="Times New Roman" w:hAnsi="Times New Roman"/>
                <w:bCs/>
              </w:rPr>
              <w:t>0,65</w:t>
            </w:r>
          </w:p>
          <w:p w:rsidR="000C0368" w:rsidP="000C0368">
            <w:pPr>
              <w:bidi w:val="0"/>
              <w:jc w:val="center"/>
              <w:rPr>
                <w:rFonts w:ascii="Times New Roman" w:hAnsi="Times New Roman"/>
                <w:bCs/>
              </w:rPr>
            </w:pPr>
            <w:r>
              <w:rPr>
                <w:rFonts w:ascii="Times New Roman" w:hAnsi="Times New Roman"/>
                <w:bCs/>
              </w:rPr>
              <w:t>0,42</w:t>
            </w:r>
          </w:p>
          <w:p w:rsidR="000C0368" w:rsidP="000C0368">
            <w:pPr>
              <w:bidi w:val="0"/>
              <w:jc w:val="center"/>
              <w:rPr>
                <w:rFonts w:ascii="Times New Roman" w:hAnsi="Times New Roman"/>
                <w:bCs/>
              </w:rPr>
            </w:pPr>
            <w:r>
              <w:rPr>
                <w:rFonts w:ascii="Times New Roman" w:hAnsi="Times New Roman"/>
                <w:bCs/>
              </w:rPr>
              <w:t>0,37</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b/>
              </w:rPr>
            </w:pPr>
            <w:r>
              <w:rPr>
                <w:rFonts w:ascii="Times New Roman" w:hAnsi="Times New Roman"/>
                <w:b/>
              </w:rPr>
              <w:t>1B – KOHÉZIA PRE RAST A ZAMESTNANOSŤ</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36 974,8</w:t>
            </w:r>
          </w:p>
          <w:p w:rsidR="000C0368" w:rsidP="000C0368">
            <w:pPr>
              <w:bidi w:val="0"/>
              <w:jc w:val="center"/>
              <w:rPr>
                <w:rFonts w:ascii="Times New Roman" w:hAnsi="Times New Roman"/>
              </w:rPr>
            </w:pPr>
            <w:r>
              <w:rPr>
                <w:rFonts w:ascii="Times New Roman" w:hAnsi="Times New Roman"/>
              </w:rPr>
              <w:t>35 554,8</w:t>
            </w:r>
          </w:p>
          <w:p w:rsidR="000C0368" w:rsidP="000C0368">
            <w:pPr>
              <w:bidi w:val="0"/>
              <w:jc w:val="center"/>
              <w:rPr>
                <w:rFonts w:ascii="Times New Roman" w:hAnsi="Times New Roman"/>
              </w:rPr>
            </w:pPr>
            <w:r>
              <w:rPr>
                <w:rFonts w:ascii="Times New Roman" w:hAnsi="Times New Roman"/>
              </w:rPr>
              <w:t>33 932,9</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168,46</w:t>
            </w:r>
          </w:p>
          <w:p w:rsidR="000C0368" w:rsidP="000C0368">
            <w:pPr>
              <w:bidi w:val="0"/>
              <w:jc w:val="center"/>
              <w:rPr>
                <w:rFonts w:ascii="Times New Roman" w:hAnsi="Times New Roman"/>
              </w:rPr>
            </w:pPr>
            <w:r>
              <w:rPr>
                <w:rFonts w:ascii="Times New Roman" w:hAnsi="Times New Roman"/>
              </w:rPr>
              <w:t>181,47</w:t>
            </w:r>
          </w:p>
          <w:p w:rsidR="000C0368" w:rsidP="000C0368">
            <w:pPr>
              <w:bidi w:val="0"/>
              <w:jc w:val="center"/>
              <w:rPr>
                <w:rFonts w:ascii="Times New Roman" w:hAnsi="Times New Roman"/>
              </w:rPr>
            </w:pPr>
            <w:r>
              <w:rPr>
                <w:rFonts w:ascii="Times New Roman" w:hAnsi="Times New Roman"/>
              </w:rPr>
              <w:t>204,00</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635,2</w:t>
            </w:r>
          </w:p>
          <w:p w:rsidR="000C0368" w:rsidP="000C0368">
            <w:pPr>
              <w:bidi w:val="0"/>
              <w:jc w:val="center"/>
              <w:rPr>
                <w:rFonts w:ascii="Times New Roman" w:hAnsi="Times New Roman"/>
              </w:rPr>
            </w:pPr>
            <w:r>
              <w:rPr>
                <w:rFonts w:ascii="Times New Roman" w:hAnsi="Times New Roman"/>
              </w:rPr>
              <w:t>809,5</w:t>
            </w:r>
          </w:p>
          <w:p w:rsidR="000C0368" w:rsidP="000C0368">
            <w:pPr>
              <w:bidi w:val="0"/>
              <w:jc w:val="center"/>
              <w:rPr>
                <w:rFonts w:ascii="Times New Roman" w:hAnsi="Times New Roman"/>
              </w:rPr>
            </w:pPr>
            <w:r>
              <w:rPr>
                <w:rFonts w:ascii="Times New Roman" w:hAnsi="Times New Roman"/>
              </w:rPr>
              <w:t>584,8</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3,77</w:t>
            </w:r>
          </w:p>
          <w:p w:rsidR="000C0368" w:rsidP="000C0368">
            <w:pPr>
              <w:bidi w:val="0"/>
              <w:jc w:val="center"/>
              <w:rPr>
                <w:rFonts w:ascii="Times New Roman" w:hAnsi="Times New Roman"/>
                <w:b/>
              </w:rPr>
            </w:pPr>
            <w:r>
              <w:rPr>
                <w:rFonts w:ascii="Times New Roman" w:hAnsi="Times New Roman"/>
                <w:b/>
              </w:rPr>
              <w:t>4,46</w:t>
            </w:r>
          </w:p>
          <w:p w:rsidR="000C0368" w:rsidP="000C0368">
            <w:pPr>
              <w:bidi w:val="0"/>
              <w:jc w:val="center"/>
              <w:rPr>
                <w:rFonts w:ascii="Times New Roman" w:hAnsi="Times New Roman"/>
                <w:b/>
              </w:rPr>
            </w:pPr>
            <w:r>
              <w:rPr>
                <w:rFonts w:ascii="Times New Roman" w:hAnsi="Times New Roman"/>
                <w:b/>
              </w:rPr>
              <w:t>2,87</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Štrukturálne fondy</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32 699,6</w:t>
            </w:r>
          </w:p>
          <w:p w:rsidR="000C0368" w:rsidP="000C0368">
            <w:pPr>
              <w:bidi w:val="0"/>
              <w:jc w:val="center"/>
              <w:rPr>
                <w:rFonts w:ascii="Times New Roman" w:hAnsi="Times New Roman"/>
              </w:rPr>
            </w:pPr>
            <w:r>
              <w:rPr>
                <w:rFonts w:ascii="Times New Roman" w:hAnsi="Times New Roman"/>
              </w:rPr>
              <w:t>30 264,5</w:t>
            </w:r>
          </w:p>
          <w:p w:rsidR="000C0368" w:rsidP="000C0368">
            <w:pPr>
              <w:bidi w:val="0"/>
              <w:jc w:val="center"/>
              <w:rPr>
                <w:rFonts w:ascii="Times New Roman" w:hAnsi="Times New Roman"/>
              </w:rPr>
            </w:pPr>
            <w:r>
              <w:rPr>
                <w:rFonts w:ascii="Times New Roman" w:hAnsi="Times New Roman"/>
              </w:rPr>
              <w:t>26 848,5</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148,98</w:t>
            </w:r>
          </w:p>
          <w:p w:rsidR="000C0368" w:rsidP="000C0368">
            <w:pPr>
              <w:bidi w:val="0"/>
              <w:jc w:val="center"/>
              <w:rPr>
                <w:rFonts w:ascii="Times New Roman" w:hAnsi="Times New Roman"/>
              </w:rPr>
            </w:pPr>
            <w:r>
              <w:rPr>
                <w:rFonts w:ascii="Times New Roman" w:hAnsi="Times New Roman"/>
              </w:rPr>
              <w:t>154,47</w:t>
            </w:r>
          </w:p>
          <w:p w:rsidR="000C0368" w:rsidP="000C0368">
            <w:pPr>
              <w:bidi w:val="0"/>
              <w:jc w:val="center"/>
              <w:rPr>
                <w:rFonts w:ascii="Times New Roman" w:hAnsi="Times New Roman"/>
              </w:rPr>
            </w:pPr>
            <w:r>
              <w:rPr>
                <w:rFonts w:ascii="Times New Roman" w:hAnsi="Times New Roman"/>
              </w:rPr>
              <w:t>161,41</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451,9</w:t>
            </w:r>
          </w:p>
          <w:p w:rsidR="000C0368" w:rsidP="000C0368">
            <w:pPr>
              <w:bidi w:val="0"/>
              <w:jc w:val="center"/>
              <w:rPr>
                <w:rFonts w:ascii="Times New Roman" w:hAnsi="Times New Roman"/>
              </w:rPr>
            </w:pPr>
            <w:r>
              <w:rPr>
                <w:rFonts w:ascii="Times New Roman" w:hAnsi="Times New Roman"/>
              </w:rPr>
              <w:t>510,1</w:t>
            </w:r>
          </w:p>
          <w:p w:rsidR="000C0368" w:rsidP="000C0368">
            <w:pPr>
              <w:bidi w:val="0"/>
              <w:jc w:val="center"/>
              <w:rPr>
                <w:rFonts w:ascii="Times New Roman" w:hAnsi="Times New Roman"/>
              </w:rPr>
            </w:pPr>
            <w:r>
              <w:rPr>
                <w:rFonts w:ascii="Times New Roman" w:hAnsi="Times New Roman"/>
              </w:rPr>
              <w:t>385,9</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3,03</w:t>
            </w:r>
          </w:p>
          <w:p w:rsidR="000C0368" w:rsidP="000C0368">
            <w:pPr>
              <w:bidi w:val="0"/>
              <w:jc w:val="center"/>
              <w:rPr>
                <w:rFonts w:ascii="Times New Roman" w:hAnsi="Times New Roman"/>
                <w:b/>
              </w:rPr>
            </w:pPr>
            <w:r>
              <w:rPr>
                <w:rFonts w:ascii="Times New Roman" w:hAnsi="Times New Roman"/>
                <w:b/>
              </w:rPr>
              <w:t>3,30</w:t>
            </w:r>
          </w:p>
          <w:p w:rsidR="000C0368" w:rsidP="000C0368">
            <w:pPr>
              <w:bidi w:val="0"/>
              <w:jc w:val="center"/>
              <w:rPr>
                <w:rFonts w:ascii="Times New Roman" w:hAnsi="Times New Roman"/>
                <w:b/>
              </w:rPr>
            </w:pPr>
            <w:r>
              <w:rPr>
                <w:rFonts w:ascii="Times New Roman" w:hAnsi="Times New Roman"/>
                <w:b/>
              </w:rPr>
              <w:t>2,39</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 xml:space="preserve">   Cieľ 1 - Konvergencia</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23 521,6</w:t>
            </w:r>
          </w:p>
          <w:p w:rsidR="000C0368" w:rsidP="000C0368">
            <w:pPr>
              <w:bidi w:val="0"/>
              <w:jc w:val="center"/>
              <w:rPr>
                <w:rFonts w:ascii="Times New Roman" w:hAnsi="Times New Roman"/>
              </w:rPr>
            </w:pPr>
            <w:r>
              <w:rPr>
                <w:rFonts w:ascii="Times New Roman" w:hAnsi="Times New Roman"/>
              </w:rPr>
              <w:t>21 400,3</w:t>
            </w:r>
          </w:p>
          <w:p w:rsidR="000C0368" w:rsidP="000C0368">
            <w:pPr>
              <w:bidi w:val="0"/>
              <w:jc w:val="center"/>
              <w:rPr>
                <w:rFonts w:ascii="Times New Roman" w:hAnsi="Times New Roman"/>
              </w:rPr>
            </w:pPr>
            <w:r>
              <w:rPr>
                <w:rFonts w:ascii="Times New Roman" w:hAnsi="Times New Roman"/>
              </w:rPr>
              <w:t>19 886,8</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107,16</w:t>
            </w:r>
          </w:p>
          <w:p w:rsidR="000C0368" w:rsidP="000C0368">
            <w:pPr>
              <w:bidi w:val="0"/>
              <w:jc w:val="center"/>
              <w:rPr>
                <w:rFonts w:ascii="Times New Roman" w:hAnsi="Times New Roman"/>
              </w:rPr>
            </w:pPr>
            <w:r>
              <w:rPr>
                <w:rFonts w:ascii="Times New Roman" w:hAnsi="Times New Roman"/>
              </w:rPr>
              <w:t>109,23</w:t>
            </w:r>
          </w:p>
          <w:p w:rsidR="000C0368" w:rsidP="000C0368">
            <w:pPr>
              <w:bidi w:val="0"/>
              <w:jc w:val="center"/>
              <w:rPr>
                <w:rFonts w:ascii="Times New Roman" w:hAnsi="Times New Roman"/>
              </w:rPr>
            </w:pPr>
            <w:r>
              <w:rPr>
                <w:rFonts w:ascii="Times New Roman" w:hAnsi="Times New Roman"/>
              </w:rPr>
              <w:t>119,56</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406,7</w:t>
            </w:r>
          </w:p>
          <w:p w:rsidR="000C0368" w:rsidP="000C0368">
            <w:pPr>
              <w:bidi w:val="0"/>
              <w:jc w:val="center"/>
              <w:rPr>
                <w:rFonts w:ascii="Times New Roman" w:hAnsi="Times New Roman"/>
              </w:rPr>
            </w:pPr>
            <w:r>
              <w:rPr>
                <w:rFonts w:ascii="Times New Roman" w:hAnsi="Times New Roman"/>
              </w:rPr>
              <w:t>456,2</w:t>
            </w:r>
          </w:p>
          <w:p w:rsidR="000C0368" w:rsidP="000C0368">
            <w:pPr>
              <w:bidi w:val="0"/>
              <w:jc w:val="center"/>
              <w:rPr>
                <w:rFonts w:ascii="Times New Roman" w:hAnsi="Times New Roman"/>
              </w:rPr>
            </w:pPr>
            <w:r>
              <w:rPr>
                <w:rFonts w:ascii="Times New Roman" w:hAnsi="Times New Roman"/>
              </w:rPr>
              <w:t>350,4</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3,80</w:t>
            </w:r>
          </w:p>
          <w:p w:rsidR="000C0368" w:rsidP="000C0368">
            <w:pPr>
              <w:bidi w:val="0"/>
              <w:jc w:val="center"/>
              <w:rPr>
                <w:rFonts w:ascii="Times New Roman" w:hAnsi="Times New Roman"/>
                <w:b/>
              </w:rPr>
            </w:pPr>
            <w:r>
              <w:rPr>
                <w:rFonts w:ascii="Times New Roman" w:hAnsi="Times New Roman"/>
                <w:b/>
              </w:rPr>
              <w:t>4,18</w:t>
            </w:r>
          </w:p>
          <w:p w:rsidR="000C0368" w:rsidP="000C0368">
            <w:pPr>
              <w:bidi w:val="0"/>
              <w:jc w:val="center"/>
              <w:rPr>
                <w:rFonts w:ascii="Times New Roman" w:hAnsi="Times New Roman"/>
                <w:b/>
              </w:rPr>
            </w:pPr>
            <w:r>
              <w:rPr>
                <w:rFonts w:ascii="Times New Roman" w:hAnsi="Times New Roman"/>
                <w:b/>
              </w:rPr>
              <w:t>2,93</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 xml:space="preserve">   Cieľ 2 – Regionálna         </w:t>
            </w:r>
          </w:p>
          <w:p w:rsidR="000C0368" w:rsidP="000C0368">
            <w:pPr>
              <w:bidi w:val="0"/>
              <w:rPr>
                <w:rFonts w:ascii="Times New Roman" w:hAnsi="Times New Roman"/>
                <w:i/>
              </w:rPr>
            </w:pPr>
            <w:r>
              <w:rPr>
                <w:rFonts w:ascii="Times New Roman" w:hAnsi="Times New Roman"/>
                <w:i/>
              </w:rPr>
              <w:t xml:space="preserve">   konvergencia </w:t>
            </w:r>
          </w:p>
          <w:p w:rsidR="000C0368" w:rsidP="000C0368">
            <w:pPr>
              <w:bidi w:val="0"/>
              <w:rPr>
                <w:rFonts w:ascii="Times New Roman" w:hAnsi="Times New Roman"/>
                <w:i/>
              </w:rPr>
            </w:pPr>
            <w:r>
              <w:rPr>
                <w:rFonts w:ascii="Times New Roman" w:hAnsi="Times New Roman"/>
                <w:i/>
              </w:rPr>
              <w:t xml:space="preserve">   a zamestnanosť</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7 835,2</w:t>
            </w:r>
          </w:p>
          <w:p w:rsidR="000C0368" w:rsidP="000C0368">
            <w:pPr>
              <w:bidi w:val="0"/>
              <w:jc w:val="center"/>
              <w:rPr>
                <w:rFonts w:ascii="Times New Roman" w:hAnsi="Times New Roman"/>
              </w:rPr>
            </w:pPr>
            <w:r>
              <w:rPr>
                <w:rFonts w:ascii="Times New Roman" w:hAnsi="Times New Roman"/>
              </w:rPr>
              <w:t>7 395,2</w:t>
            </w:r>
          </w:p>
          <w:p w:rsidR="000C0368" w:rsidP="000C0368">
            <w:pPr>
              <w:bidi w:val="0"/>
              <w:jc w:val="center"/>
              <w:rPr>
                <w:rFonts w:ascii="Times New Roman" w:hAnsi="Times New Roman"/>
              </w:rPr>
            </w:pPr>
            <w:r>
              <w:rPr>
                <w:rFonts w:ascii="Times New Roman" w:hAnsi="Times New Roman"/>
              </w:rPr>
              <w:t>6176,3</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35,70</w:t>
            </w:r>
          </w:p>
          <w:p w:rsidR="000C0368" w:rsidP="000C0368">
            <w:pPr>
              <w:bidi w:val="0"/>
              <w:jc w:val="center"/>
              <w:rPr>
                <w:rFonts w:ascii="Times New Roman" w:hAnsi="Times New Roman"/>
              </w:rPr>
            </w:pPr>
            <w:r>
              <w:rPr>
                <w:rFonts w:ascii="Times New Roman" w:hAnsi="Times New Roman"/>
              </w:rPr>
              <w:t>37,75</w:t>
            </w:r>
          </w:p>
          <w:p w:rsidR="000C0368" w:rsidP="000C0368">
            <w:pPr>
              <w:bidi w:val="0"/>
              <w:jc w:val="center"/>
              <w:rPr>
                <w:rFonts w:ascii="Times New Roman" w:hAnsi="Times New Roman"/>
              </w:rPr>
            </w:pPr>
            <w:r>
              <w:rPr>
                <w:rFonts w:ascii="Times New Roman" w:hAnsi="Times New Roman"/>
              </w:rPr>
              <w:t>37,13</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38,9</w:t>
            </w:r>
          </w:p>
          <w:p w:rsidR="000C0368" w:rsidP="000C0368">
            <w:pPr>
              <w:bidi w:val="0"/>
              <w:jc w:val="center"/>
              <w:rPr>
                <w:rFonts w:ascii="Times New Roman" w:hAnsi="Times New Roman"/>
              </w:rPr>
            </w:pPr>
            <w:r>
              <w:rPr>
                <w:rFonts w:ascii="Times New Roman" w:hAnsi="Times New Roman"/>
              </w:rPr>
              <w:t>47,7</w:t>
            </w:r>
          </w:p>
          <w:p w:rsidR="000C0368" w:rsidP="000C0368">
            <w:pPr>
              <w:bidi w:val="0"/>
              <w:jc w:val="center"/>
              <w:rPr>
                <w:rFonts w:ascii="Times New Roman" w:hAnsi="Times New Roman"/>
              </w:rPr>
            </w:pPr>
            <w:r>
              <w:rPr>
                <w:rFonts w:ascii="Times New Roman" w:hAnsi="Times New Roman"/>
              </w:rPr>
              <w:t>29,7</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bCs/>
              </w:rPr>
            </w:pPr>
            <w:r>
              <w:rPr>
                <w:rFonts w:ascii="Times New Roman" w:hAnsi="Times New Roman"/>
                <w:b/>
                <w:bCs/>
              </w:rPr>
              <w:t>1,09</w:t>
            </w:r>
          </w:p>
          <w:p w:rsidR="000C0368" w:rsidP="000C0368">
            <w:pPr>
              <w:bidi w:val="0"/>
              <w:jc w:val="center"/>
              <w:rPr>
                <w:rFonts w:ascii="Times New Roman" w:hAnsi="Times New Roman"/>
                <w:b/>
                <w:bCs/>
              </w:rPr>
            </w:pPr>
            <w:r>
              <w:rPr>
                <w:rFonts w:ascii="Times New Roman" w:hAnsi="Times New Roman"/>
                <w:b/>
                <w:bCs/>
              </w:rPr>
              <w:t>1,26</w:t>
            </w:r>
          </w:p>
          <w:p w:rsidR="000C0368" w:rsidP="000C0368">
            <w:pPr>
              <w:bidi w:val="0"/>
              <w:jc w:val="center"/>
              <w:rPr>
                <w:rFonts w:ascii="Times New Roman" w:hAnsi="Times New Roman"/>
              </w:rPr>
            </w:pPr>
            <w:r>
              <w:rPr>
                <w:rFonts w:ascii="Times New Roman" w:hAnsi="Times New Roman"/>
              </w:rPr>
              <w:t>0,80</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 xml:space="preserve">   Cieľ 3 – Teritoriálna </w:t>
            </w:r>
          </w:p>
          <w:p w:rsidR="000C0368" w:rsidP="000C0368">
            <w:pPr>
              <w:bidi w:val="0"/>
              <w:rPr>
                <w:rFonts w:ascii="Times New Roman" w:hAnsi="Times New Roman"/>
                <w:i/>
              </w:rPr>
            </w:pPr>
            <w:r>
              <w:rPr>
                <w:rFonts w:ascii="Times New Roman" w:hAnsi="Times New Roman"/>
                <w:i/>
              </w:rPr>
              <w:t xml:space="preserve">   spolupráca</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1 297,8</w:t>
            </w:r>
          </w:p>
          <w:p w:rsidR="000C0368" w:rsidP="000C0368">
            <w:pPr>
              <w:bidi w:val="0"/>
              <w:jc w:val="center"/>
              <w:rPr>
                <w:rFonts w:ascii="Times New Roman" w:hAnsi="Times New Roman"/>
              </w:rPr>
            </w:pPr>
            <w:r>
              <w:rPr>
                <w:rFonts w:ascii="Times New Roman" w:hAnsi="Times New Roman"/>
              </w:rPr>
              <w:t>1 361,4</w:t>
            </w:r>
          </w:p>
          <w:p w:rsidR="000C0368" w:rsidP="000C0368">
            <w:pPr>
              <w:bidi w:val="0"/>
              <w:jc w:val="center"/>
              <w:rPr>
                <w:rFonts w:ascii="Times New Roman" w:hAnsi="Times New Roman"/>
              </w:rPr>
            </w:pPr>
            <w:r>
              <w:rPr>
                <w:rFonts w:ascii="Times New Roman" w:hAnsi="Times New Roman"/>
              </w:rPr>
              <w:t>700,0</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5,91</w:t>
            </w:r>
          </w:p>
          <w:p w:rsidR="000C0368" w:rsidP="000C0368">
            <w:pPr>
              <w:bidi w:val="0"/>
              <w:jc w:val="center"/>
              <w:rPr>
                <w:rFonts w:ascii="Times New Roman" w:hAnsi="Times New Roman"/>
              </w:rPr>
            </w:pPr>
            <w:r>
              <w:rPr>
                <w:rFonts w:ascii="Times New Roman" w:hAnsi="Times New Roman"/>
              </w:rPr>
              <w:t>6,95</w:t>
            </w:r>
          </w:p>
          <w:p w:rsidR="000C0368" w:rsidP="000C0368">
            <w:pPr>
              <w:bidi w:val="0"/>
              <w:jc w:val="center"/>
              <w:rPr>
                <w:rFonts w:ascii="Times New Roman" w:hAnsi="Times New Roman"/>
              </w:rPr>
            </w:pPr>
            <w:r>
              <w:rPr>
                <w:rFonts w:ascii="Times New Roman" w:hAnsi="Times New Roman"/>
              </w:rPr>
              <w:t>4,21</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6,3</w:t>
            </w:r>
          </w:p>
          <w:p w:rsidR="000C0368" w:rsidP="000C0368">
            <w:pPr>
              <w:bidi w:val="0"/>
              <w:jc w:val="center"/>
              <w:rPr>
                <w:rFonts w:ascii="Times New Roman" w:hAnsi="Times New Roman"/>
              </w:rPr>
            </w:pPr>
            <w:r>
              <w:rPr>
                <w:rFonts w:ascii="Times New Roman" w:hAnsi="Times New Roman"/>
              </w:rPr>
              <w:t>6,1</w:t>
            </w:r>
          </w:p>
          <w:p w:rsidR="000C0368" w:rsidP="000C0368">
            <w:pPr>
              <w:bidi w:val="0"/>
              <w:jc w:val="center"/>
              <w:rPr>
                <w:rFonts w:ascii="Times New Roman" w:hAnsi="Times New Roman"/>
              </w:rPr>
            </w:pPr>
            <w:r>
              <w:rPr>
                <w:rFonts w:ascii="Times New Roman" w:hAnsi="Times New Roman"/>
              </w:rPr>
              <w:t>5,8</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1,07</w:t>
            </w:r>
          </w:p>
          <w:p w:rsidR="000C0368" w:rsidP="000C0368">
            <w:pPr>
              <w:bidi w:val="0"/>
              <w:jc w:val="center"/>
              <w:rPr>
                <w:rFonts w:ascii="Times New Roman" w:hAnsi="Times New Roman"/>
                <w:bCs/>
              </w:rPr>
            </w:pPr>
            <w:r>
              <w:rPr>
                <w:rFonts w:ascii="Times New Roman" w:hAnsi="Times New Roman"/>
                <w:bCs/>
              </w:rPr>
              <w:t>0,88</w:t>
            </w:r>
          </w:p>
          <w:p w:rsidR="000C0368" w:rsidP="000C0368">
            <w:pPr>
              <w:bidi w:val="0"/>
              <w:jc w:val="center"/>
              <w:rPr>
                <w:rFonts w:ascii="Times New Roman" w:hAnsi="Times New Roman"/>
                <w:b/>
              </w:rPr>
            </w:pPr>
            <w:r>
              <w:rPr>
                <w:rFonts w:ascii="Times New Roman" w:hAnsi="Times New Roman"/>
                <w:b/>
              </w:rPr>
              <w:t>1,38</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Kohézny fond</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4 275,2</w:t>
            </w:r>
          </w:p>
          <w:p w:rsidR="000C0368" w:rsidP="000C0368">
            <w:pPr>
              <w:bidi w:val="0"/>
              <w:jc w:val="center"/>
              <w:rPr>
                <w:rFonts w:ascii="Times New Roman" w:hAnsi="Times New Roman"/>
              </w:rPr>
            </w:pPr>
            <w:r>
              <w:rPr>
                <w:rFonts w:ascii="Times New Roman" w:hAnsi="Times New Roman"/>
              </w:rPr>
              <w:t>5 290,4</w:t>
            </w:r>
          </w:p>
          <w:p w:rsidR="000C0368" w:rsidP="000C0368">
            <w:pPr>
              <w:bidi w:val="0"/>
              <w:jc w:val="center"/>
              <w:rPr>
                <w:rFonts w:ascii="Times New Roman" w:hAnsi="Times New Roman"/>
              </w:rPr>
            </w:pPr>
            <w:r>
              <w:rPr>
                <w:rFonts w:ascii="Times New Roman" w:hAnsi="Times New Roman"/>
              </w:rPr>
              <w:t>7 083,8</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19,48</w:t>
            </w:r>
          </w:p>
          <w:p w:rsidR="000C0368" w:rsidP="000C0368">
            <w:pPr>
              <w:bidi w:val="0"/>
              <w:jc w:val="center"/>
              <w:rPr>
                <w:rFonts w:ascii="Times New Roman" w:hAnsi="Times New Roman"/>
              </w:rPr>
            </w:pPr>
            <w:r>
              <w:rPr>
                <w:rFonts w:ascii="Times New Roman" w:hAnsi="Times New Roman"/>
              </w:rPr>
              <w:t>27,00</w:t>
            </w:r>
          </w:p>
          <w:p w:rsidR="000C0368" w:rsidP="000C0368">
            <w:pPr>
              <w:bidi w:val="0"/>
              <w:jc w:val="center"/>
              <w:rPr>
                <w:rFonts w:ascii="Times New Roman" w:hAnsi="Times New Roman"/>
              </w:rPr>
            </w:pPr>
            <w:r>
              <w:rPr>
                <w:rFonts w:ascii="Times New Roman" w:hAnsi="Times New Roman"/>
              </w:rPr>
              <w:t>42,59</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183,3</w:t>
            </w:r>
          </w:p>
          <w:p w:rsidR="000C0368" w:rsidP="000C0368">
            <w:pPr>
              <w:bidi w:val="0"/>
              <w:jc w:val="center"/>
              <w:rPr>
                <w:rFonts w:ascii="Times New Roman" w:hAnsi="Times New Roman"/>
              </w:rPr>
            </w:pPr>
            <w:r>
              <w:rPr>
                <w:rFonts w:ascii="Times New Roman" w:hAnsi="Times New Roman"/>
              </w:rPr>
              <w:t>299,4</w:t>
            </w:r>
          </w:p>
          <w:p w:rsidR="000C0368" w:rsidP="000C0368">
            <w:pPr>
              <w:bidi w:val="0"/>
              <w:jc w:val="center"/>
              <w:rPr>
                <w:rFonts w:ascii="Times New Roman" w:hAnsi="Times New Roman"/>
              </w:rPr>
            </w:pPr>
            <w:r>
              <w:rPr>
                <w:rFonts w:ascii="Times New Roman" w:hAnsi="Times New Roman"/>
              </w:rPr>
              <w:t>198,8</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9,41</w:t>
            </w:r>
          </w:p>
          <w:p w:rsidR="000C0368" w:rsidP="000C0368">
            <w:pPr>
              <w:bidi w:val="0"/>
              <w:jc w:val="center"/>
              <w:rPr>
                <w:rFonts w:ascii="Times New Roman" w:hAnsi="Times New Roman"/>
                <w:b/>
              </w:rPr>
            </w:pPr>
            <w:r>
              <w:rPr>
                <w:rFonts w:ascii="Times New Roman" w:hAnsi="Times New Roman"/>
                <w:b/>
              </w:rPr>
              <w:t>11,09</w:t>
            </w:r>
          </w:p>
          <w:p w:rsidR="000C0368" w:rsidP="000C0368">
            <w:pPr>
              <w:bidi w:val="0"/>
              <w:jc w:val="center"/>
              <w:rPr>
                <w:rFonts w:ascii="Times New Roman" w:hAnsi="Times New Roman"/>
                <w:b/>
              </w:rPr>
            </w:pPr>
            <w:r>
              <w:rPr>
                <w:rFonts w:ascii="Times New Roman" w:hAnsi="Times New Roman"/>
                <w:b/>
              </w:rPr>
              <w:t>4,67</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b/>
              </w:rPr>
            </w:pPr>
            <w:r>
              <w:rPr>
                <w:rFonts w:ascii="Times New Roman" w:hAnsi="Times New Roman"/>
                <w:b/>
              </w:rPr>
              <w:t>2 – OCHRANA A RIADENIE PRÍRODNÝCH ZDROJOV</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54 648,4</w:t>
            </w:r>
          </w:p>
          <w:p w:rsidR="000C0368" w:rsidP="000C0368">
            <w:pPr>
              <w:bidi w:val="0"/>
              <w:jc w:val="center"/>
              <w:rPr>
                <w:rFonts w:ascii="Times New Roman" w:hAnsi="Times New Roman"/>
              </w:rPr>
            </w:pPr>
            <w:r>
              <w:rPr>
                <w:rFonts w:ascii="Times New Roman" w:hAnsi="Times New Roman"/>
              </w:rPr>
              <w:t>54 812,7</w:t>
            </w:r>
          </w:p>
          <w:p w:rsidR="000C0368" w:rsidP="000C0368">
            <w:pPr>
              <w:bidi w:val="0"/>
              <w:jc w:val="center"/>
              <w:rPr>
                <w:rFonts w:ascii="Times New Roman" w:hAnsi="Times New Roman"/>
              </w:rPr>
            </w:pPr>
            <w:r>
              <w:rPr>
                <w:rFonts w:ascii="Times New Roman" w:hAnsi="Times New Roman"/>
              </w:rPr>
              <w:t>55 877,3</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248,98</w:t>
            </w:r>
          </w:p>
          <w:p w:rsidR="000C0368" w:rsidP="000C0368">
            <w:pPr>
              <w:bidi w:val="0"/>
              <w:jc w:val="center"/>
              <w:rPr>
                <w:rFonts w:ascii="Times New Roman" w:hAnsi="Times New Roman"/>
              </w:rPr>
            </w:pPr>
            <w:r>
              <w:rPr>
                <w:rFonts w:ascii="Times New Roman" w:hAnsi="Times New Roman"/>
              </w:rPr>
              <w:t>279,76</w:t>
            </w:r>
          </w:p>
          <w:p w:rsidR="000C0368" w:rsidP="000C0368">
            <w:pPr>
              <w:bidi w:val="0"/>
              <w:jc w:val="center"/>
              <w:rPr>
                <w:rFonts w:ascii="Times New Roman" w:hAnsi="Times New Roman"/>
              </w:rPr>
            </w:pPr>
            <w:r>
              <w:rPr>
                <w:rFonts w:ascii="Times New Roman" w:hAnsi="Times New Roman"/>
              </w:rPr>
              <w:t>335,93</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380,5</w:t>
            </w:r>
          </w:p>
          <w:p w:rsidR="000C0368" w:rsidP="000C0368">
            <w:pPr>
              <w:bidi w:val="0"/>
              <w:jc w:val="center"/>
              <w:rPr>
                <w:rFonts w:ascii="Times New Roman" w:hAnsi="Times New Roman"/>
              </w:rPr>
            </w:pPr>
            <w:r>
              <w:rPr>
                <w:rFonts w:ascii="Times New Roman" w:hAnsi="Times New Roman"/>
              </w:rPr>
              <w:t>357,0</w:t>
            </w:r>
          </w:p>
          <w:p w:rsidR="000C0368" w:rsidP="000C0368">
            <w:pPr>
              <w:bidi w:val="0"/>
              <w:jc w:val="center"/>
              <w:rPr>
                <w:rFonts w:ascii="Times New Roman" w:hAnsi="Times New Roman"/>
              </w:rPr>
            </w:pPr>
            <w:r>
              <w:rPr>
                <w:rFonts w:ascii="Times New Roman" w:hAnsi="Times New Roman"/>
              </w:rPr>
              <w:t>513,0</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1,53</w:t>
            </w:r>
          </w:p>
          <w:p w:rsidR="000C0368" w:rsidP="000C0368">
            <w:pPr>
              <w:bidi w:val="0"/>
              <w:jc w:val="center"/>
              <w:rPr>
                <w:rFonts w:ascii="Times New Roman" w:hAnsi="Times New Roman"/>
                <w:b/>
              </w:rPr>
            </w:pPr>
            <w:r>
              <w:rPr>
                <w:rFonts w:ascii="Times New Roman" w:hAnsi="Times New Roman"/>
                <w:b/>
              </w:rPr>
              <w:t>1,28</w:t>
            </w:r>
          </w:p>
          <w:p w:rsidR="000C0368" w:rsidP="000C0368">
            <w:pPr>
              <w:bidi w:val="0"/>
              <w:jc w:val="center"/>
              <w:rPr>
                <w:rFonts w:ascii="Times New Roman" w:hAnsi="Times New Roman"/>
                <w:b/>
              </w:rPr>
            </w:pPr>
            <w:r>
              <w:rPr>
                <w:rFonts w:ascii="Times New Roman" w:hAnsi="Times New Roman"/>
                <w:b/>
              </w:rPr>
              <w:t>1,53</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Trhovo orientované výdavky a priame platby</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42 650,1</w:t>
            </w:r>
          </w:p>
          <w:p w:rsidR="000C0368" w:rsidP="000C0368">
            <w:pPr>
              <w:bidi w:val="0"/>
              <w:jc w:val="center"/>
              <w:rPr>
                <w:rFonts w:ascii="Times New Roman" w:hAnsi="Times New Roman"/>
              </w:rPr>
            </w:pPr>
            <w:r>
              <w:rPr>
                <w:rFonts w:ascii="Times New Roman" w:hAnsi="Times New Roman"/>
              </w:rPr>
              <w:t>43 288,6</w:t>
            </w:r>
          </w:p>
          <w:p w:rsidR="000C0368" w:rsidP="000C0368">
            <w:pPr>
              <w:bidi w:val="0"/>
              <w:jc w:val="center"/>
              <w:rPr>
                <w:rFonts w:ascii="Times New Roman" w:hAnsi="Times New Roman"/>
              </w:rPr>
            </w:pPr>
            <w:r>
              <w:rPr>
                <w:rFonts w:ascii="Times New Roman" w:hAnsi="Times New Roman"/>
              </w:rPr>
              <w:t>46 349,2</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194,31</w:t>
            </w:r>
          </w:p>
          <w:p w:rsidR="000C0368" w:rsidP="000C0368">
            <w:pPr>
              <w:bidi w:val="0"/>
              <w:jc w:val="center"/>
              <w:rPr>
                <w:rFonts w:ascii="Times New Roman" w:hAnsi="Times New Roman"/>
              </w:rPr>
            </w:pPr>
            <w:r>
              <w:rPr>
                <w:rFonts w:ascii="Times New Roman" w:hAnsi="Times New Roman"/>
              </w:rPr>
              <w:t>220,95</w:t>
            </w:r>
          </w:p>
          <w:p w:rsidR="000C0368" w:rsidP="000C0368">
            <w:pPr>
              <w:bidi w:val="0"/>
              <w:jc w:val="center"/>
              <w:rPr>
                <w:rFonts w:ascii="Times New Roman" w:hAnsi="Times New Roman"/>
              </w:rPr>
            </w:pPr>
            <w:r>
              <w:rPr>
                <w:rFonts w:ascii="Times New Roman" w:hAnsi="Times New Roman"/>
              </w:rPr>
              <w:t>278,65</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159,1</w:t>
            </w:r>
          </w:p>
          <w:p w:rsidR="000C0368" w:rsidP="000C0368">
            <w:pPr>
              <w:bidi w:val="0"/>
              <w:jc w:val="center"/>
              <w:rPr>
                <w:rFonts w:ascii="Times New Roman" w:hAnsi="Times New Roman"/>
              </w:rPr>
            </w:pPr>
            <w:r>
              <w:rPr>
                <w:rFonts w:ascii="Times New Roman" w:hAnsi="Times New Roman"/>
              </w:rPr>
              <w:t>166,7</w:t>
            </w:r>
          </w:p>
          <w:p w:rsidR="000C0368" w:rsidP="000C0368">
            <w:pPr>
              <w:bidi w:val="0"/>
              <w:jc w:val="center"/>
              <w:rPr>
                <w:rFonts w:ascii="Times New Roman" w:hAnsi="Times New Roman"/>
              </w:rPr>
            </w:pPr>
            <w:r>
              <w:rPr>
                <w:rFonts w:ascii="Times New Roman" w:hAnsi="Times New Roman"/>
              </w:rPr>
              <w:t>220,4</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0,82</w:t>
            </w:r>
          </w:p>
          <w:p w:rsidR="000C0368" w:rsidP="000C0368">
            <w:pPr>
              <w:bidi w:val="0"/>
              <w:jc w:val="center"/>
              <w:rPr>
                <w:rFonts w:ascii="Times New Roman" w:hAnsi="Times New Roman"/>
              </w:rPr>
            </w:pPr>
            <w:r>
              <w:rPr>
                <w:rFonts w:ascii="Times New Roman" w:hAnsi="Times New Roman"/>
              </w:rPr>
              <w:t>0,75</w:t>
            </w:r>
          </w:p>
          <w:p w:rsidR="000C0368" w:rsidP="000C0368">
            <w:pPr>
              <w:bidi w:val="0"/>
              <w:jc w:val="center"/>
              <w:rPr>
                <w:rFonts w:ascii="Times New Roman" w:hAnsi="Times New Roman"/>
              </w:rPr>
            </w:pPr>
            <w:r>
              <w:rPr>
                <w:rFonts w:ascii="Times New Roman" w:hAnsi="Times New Roman"/>
              </w:rPr>
              <w:t>0,79</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 xml:space="preserve">    Priame platby</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37 045,9</w:t>
            </w:r>
          </w:p>
          <w:p w:rsidR="000C0368" w:rsidP="000C0368">
            <w:pPr>
              <w:bidi w:val="0"/>
              <w:jc w:val="center"/>
              <w:rPr>
                <w:rFonts w:ascii="Times New Roman" w:hAnsi="Times New Roman"/>
              </w:rPr>
            </w:pPr>
            <w:r>
              <w:rPr>
                <w:rFonts w:ascii="Times New Roman" w:hAnsi="Times New Roman"/>
              </w:rPr>
              <w:t>37 568,6</w:t>
            </w:r>
          </w:p>
          <w:p w:rsidR="000C0368" w:rsidP="000C0368">
            <w:pPr>
              <w:bidi w:val="0"/>
              <w:jc w:val="center"/>
              <w:rPr>
                <w:rFonts w:ascii="Times New Roman" w:hAnsi="Times New Roman"/>
              </w:rPr>
            </w:pPr>
            <w:r>
              <w:rPr>
                <w:rFonts w:ascii="Times New Roman" w:hAnsi="Times New Roman"/>
              </w:rPr>
              <w:t>39 113,9</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168,78</w:t>
            </w:r>
          </w:p>
          <w:p w:rsidR="000C0368" w:rsidP="000C0368">
            <w:pPr>
              <w:bidi w:val="0"/>
              <w:jc w:val="center"/>
              <w:rPr>
                <w:rFonts w:ascii="Times New Roman" w:hAnsi="Times New Roman"/>
              </w:rPr>
            </w:pPr>
            <w:r>
              <w:rPr>
                <w:rFonts w:ascii="Times New Roman" w:hAnsi="Times New Roman"/>
              </w:rPr>
              <w:t>191,75</w:t>
            </w:r>
          </w:p>
          <w:p w:rsidR="000C0368" w:rsidP="000C0368">
            <w:pPr>
              <w:bidi w:val="0"/>
              <w:jc w:val="center"/>
              <w:rPr>
                <w:rFonts w:ascii="Times New Roman" w:hAnsi="Times New Roman"/>
              </w:rPr>
            </w:pPr>
            <w:r>
              <w:rPr>
                <w:rFonts w:ascii="Times New Roman" w:hAnsi="Times New Roman"/>
              </w:rPr>
              <w:t>235,15</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133,8</w:t>
            </w:r>
          </w:p>
          <w:p w:rsidR="000C0368" w:rsidP="000C0368">
            <w:pPr>
              <w:bidi w:val="0"/>
              <w:jc w:val="center"/>
              <w:rPr>
                <w:rFonts w:ascii="Times New Roman" w:hAnsi="Times New Roman"/>
              </w:rPr>
            </w:pPr>
            <w:r>
              <w:rPr>
                <w:rFonts w:ascii="Times New Roman" w:hAnsi="Times New Roman"/>
              </w:rPr>
              <w:t>156,0</w:t>
            </w:r>
          </w:p>
          <w:p w:rsidR="000C0368" w:rsidP="000C0368">
            <w:pPr>
              <w:bidi w:val="0"/>
              <w:jc w:val="center"/>
              <w:rPr>
                <w:rFonts w:ascii="Times New Roman" w:hAnsi="Times New Roman"/>
              </w:rPr>
            </w:pPr>
            <w:r>
              <w:rPr>
                <w:rFonts w:ascii="Times New Roman" w:hAnsi="Times New Roman"/>
              </w:rPr>
              <w:t>200,8</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0,79</w:t>
            </w:r>
          </w:p>
          <w:p w:rsidR="000C0368" w:rsidP="000C0368">
            <w:pPr>
              <w:bidi w:val="0"/>
              <w:jc w:val="center"/>
              <w:rPr>
                <w:rFonts w:ascii="Times New Roman" w:hAnsi="Times New Roman"/>
              </w:rPr>
            </w:pPr>
            <w:r>
              <w:rPr>
                <w:rFonts w:ascii="Times New Roman" w:hAnsi="Times New Roman"/>
              </w:rPr>
              <w:t>0,81</w:t>
            </w:r>
          </w:p>
          <w:p w:rsidR="000C0368" w:rsidP="000C0368">
            <w:pPr>
              <w:bidi w:val="0"/>
              <w:jc w:val="center"/>
              <w:rPr>
                <w:rFonts w:ascii="Times New Roman" w:hAnsi="Times New Roman"/>
              </w:rPr>
            </w:pPr>
            <w:r>
              <w:rPr>
                <w:rFonts w:ascii="Times New Roman" w:hAnsi="Times New Roman"/>
              </w:rPr>
              <w:t>0,85</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 xml:space="preserve">Rozvoj vidieka </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2008</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10 874,3</w:t>
            </w:r>
          </w:p>
          <w:p w:rsidR="000C0368" w:rsidP="000C0368">
            <w:pPr>
              <w:bidi w:val="0"/>
              <w:jc w:val="center"/>
              <w:rPr>
                <w:rFonts w:ascii="Times New Roman" w:hAnsi="Times New Roman"/>
              </w:rPr>
            </w:pPr>
            <w:r>
              <w:rPr>
                <w:rFonts w:ascii="Times New Roman" w:hAnsi="Times New Roman"/>
              </w:rPr>
              <w:t>10 529,1</w:t>
            </w:r>
          </w:p>
          <w:p w:rsidR="000C0368" w:rsidP="000C0368">
            <w:pPr>
              <w:bidi w:val="0"/>
              <w:jc w:val="center"/>
              <w:rPr>
                <w:rFonts w:ascii="Times New Roman" w:hAnsi="Times New Roman"/>
              </w:rPr>
            </w:pPr>
            <w:r>
              <w:rPr>
                <w:rFonts w:ascii="Times New Roman" w:hAnsi="Times New Roman"/>
              </w:rPr>
              <w:t>8 739,7</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49,54</w:t>
            </w:r>
          </w:p>
          <w:p w:rsidR="000C0368" w:rsidP="000C0368">
            <w:pPr>
              <w:bidi w:val="0"/>
              <w:jc w:val="center"/>
              <w:rPr>
                <w:rFonts w:ascii="Times New Roman" w:hAnsi="Times New Roman"/>
              </w:rPr>
            </w:pPr>
            <w:r>
              <w:rPr>
                <w:rFonts w:ascii="Times New Roman" w:hAnsi="Times New Roman"/>
              </w:rPr>
              <w:t>53,74</w:t>
            </w:r>
          </w:p>
          <w:p w:rsidR="000C0368" w:rsidP="000C0368">
            <w:pPr>
              <w:bidi w:val="0"/>
              <w:jc w:val="center"/>
              <w:rPr>
                <w:rFonts w:ascii="Times New Roman" w:hAnsi="Times New Roman"/>
              </w:rPr>
            </w:pPr>
            <w:r>
              <w:rPr>
                <w:rFonts w:ascii="Times New Roman" w:hAnsi="Times New Roman"/>
              </w:rPr>
              <w:t>52,54</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219,3</w:t>
            </w:r>
          </w:p>
          <w:p w:rsidR="000C0368" w:rsidP="000C0368">
            <w:pPr>
              <w:bidi w:val="0"/>
              <w:jc w:val="center"/>
              <w:rPr>
                <w:rFonts w:ascii="Times New Roman" w:hAnsi="Times New Roman"/>
              </w:rPr>
            </w:pPr>
            <w:r>
              <w:rPr>
                <w:rFonts w:ascii="Times New Roman" w:hAnsi="Times New Roman"/>
              </w:rPr>
              <w:t>188,2</w:t>
            </w:r>
          </w:p>
          <w:p w:rsidR="000C0368" w:rsidP="000C0368">
            <w:pPr>
              <w:bidi w:val="0"/>
              <w:jc w:val="center"/>
              <w:rPr>
                <w:rFonts w:ascii="Times New Roman" w:hAnsi="Times New Roman"/>
              </w:rPr>
            </w:pPr>
            <w:r>
              <w:rPr>
                <w:rFonts w:ascii="Times New Roman" w:hAnsi="Times New Roman"/>
              </w:rPr>
              <w:t>289,3</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4,43</w:t>
            </w:r>
          </w:p>
          <w:p w:rsidR="000C0368" w:rsidP="000C0368">
            <w:pPr>
              <w:bidi w:val="0"/>
              <w:jc w:val="center"/>
              <w:rPr>
                <w:rFonts w:ascii="Times New Roman" w:hAnsi="Times New Roman"/>
                <w:b/>
              </w:rPr>
            </w:pPr>
            <w:r>
              <w:rPr>
                <w:rFonts w:ascii="Times New Roman" w:hAnsi="Times New Roman"/>
                <w:b/>
              </w:rPr>
              <w:t>3,50</w:t>
            </w:r>
          </w:p>
          <w:p w:rsidR="000C0368" w:rsidP="000C0368">
            <w:pPr>
              <w:bidi w:val="0"/>
              <w:jc w:val="center"/>
              <w:rPr>
                <w:rFonts w:ascii="Times New Roman" w:hAnsi="Times New Roman"/>
                <w:b/>
              </w:rPr>
            </w:pPr>
            <w:r>
              <w:rPr>
                <w:rFonts w:ascii="Times New Roman" w:hAnsi="Times New Roman"/>
                <w:b/>
              </w:rPr>
              <w:t>5,51</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Európsky rybársky fond</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749,7</w:t>
            </w:r>
          </w:p>
          <w:p w:rsidR="000C0368" w:rsidP="000C0368">
            <w:pPr>
              <w:bidi w:val="0"/>
              <w:jc w:val="center"/>
              <w:rPr>
                <w:rFonts w:ascii="Times New Roman" w:hAnsi="Times New Roman"/>
              </w:rPr>
            </w:pPr>
            <w:r>
              <w:rPr>
                <w:rFonts w:ascii="Times New Roman" w:hAnsi="Times New Roman"/>
              </w:rPr>
              <w:t>572,1</w:t>
            </w:r>
          </w:p>
          <w:p w:rsidR="000C0368" w:rsidP="000C0368">
            <w:pPr>
              <w:bidi w:val="0"/>
              <w:jc w:val="center"/>
              <w:rPr>
                <w:rFonts w:ascii="Times New Roman" w:hAnsi="Times New Roman"/>
              </w:rPr>
            </w:pPr>
            <w:r>
              <w:rPr>
                <w:rFonts w:ascii="Times New Roman" w:hAnsi="Times New Roman"/>
              </w:rPr>
              <w:t>290,9</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3,42</w:t>
            </w:r>
          </w:p>
          <w:p w:rsidR="000C0368" w:rsidP="000C0368">
            <w:pPr>
              <w:bidi w:val="0"/>
              <w:jc w:val="center"/>
              <w:rPr>
                <w:rFonts w:ascii="Times New Roman" w:hAnsi="Times New Roman"/>
              </w:rPr>
            </w:pPr>
            <w:r>
              <w:rPr>
                <w:rFonts w:ascii="Times New Roman" w:hAnsi="Times New Roman"/>
              </w:rPr>
              <w:t>2,92</w:t>
            </w:r>
          </w:p>
          <w:p w:rsidR="000C0368" w:rsidP="000C0368">
            <w:pPr>
              <w:bidi w:val="0"/>
              <w:jc w:val="center"/>
              <w:rPr>
                <w:rFonts w:ascii="Times New Roman" w:hAnsi="Times New Roman"/>
              </w:rPr>
            </w:pPr>
            <w:r>
              <w:rPr>
                <w:rFonts w:ascii="Times New Roman" w:hAnsi="Times New Roman"/>
              </w:rPr>
              <w:t>1,75</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1,6</w:t>
            </w:r>
          </w:p>
          <w:p w:rsidR="000C0368" w:rsidP="000C0368">
            <w:pPr>
              <w:bidi w:val="0"/>
              <w:jc w:val="center"/>
              <w:rPr>
                <w:rFonts w:ascii="Times New Roman" w:hAnsi="Times New Roman"/>
              </w:rPr>
            </w:pPr>
            <w:r>
              <w:rPr>
                <w:rFonts w:ascii="Times New Roman" w:hAnsi="Times New Roman"/>
              </w:rPr>
              <w:t>1,5</w:t>
            </w:r>
          </w:p>
          <w:p w:rsidR="000C0368" w:rsidP="000C0368">
            <w:pPr>
              <w:bidi w:val="0"/>
              <w:jc w:val="center"/>
              <w:rPr>
                <w:rFonts w:ascii="Times New Roman" w:hAnsi="Times New Roman"/>
              </w:rPr>
            </w:pPr>
            <w:r>
              <w:rPr>
                <w:rFonts w:ascii="Times New Roman" w:hAnsi="Times New Roman"/>
              </w:rPr>
              <w:t>0,3</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0,47</w:t>
            </w:r>
          </w:p>
          <w:p w:rsidR="000C0368" w:rsidP="000C0368">
            <w:pPr>
              <w:bidi w:val="0"/>
              <w:jc w:val="center"/>
              <w:rPr>
                <w:rFonts w:ascii="Times New Roman" w:hAnsi="Times New Roman"/>
              </w:rPr>
            </w:pPr>
            <w:r>
              <w:rPr>
                <w:rFonts w:ascii="Times New Roman" w:hAnsi="Times New Roman"/>
              </w:rPr>
              <w:t>0,51</w:t>
            </w:r>
          </w:p>
          <w:p w:rsidR="000C0368" w:rsidP="000C0368">
            <w:pPr>
              <w:bidi w:val="0"/>
              <w:jc w:val="center"/>
              <w:rPr>
                <w:rFonts w:ascii="Times New Roman" w:hAnsi="Times New Roman"/>
              </w:rPr>
            </w:pPr>
            <w:r>
              <w:rPr>
                <w:rFonts w:ascii="Times New Roman" w:hAnsi="Times New Roman"/>
              </w:rPr>
              <w:t>0,17</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Life +</w:t>
            </w:r>
          </w:p>
          <w:p w:rsidR="000C0368" w:rsidP="000C0368">
            <w:pPr>
              <w:bidi w:val="0"/>
              <w:rPr>
                <w:rFonts w:ascii="Times New Roman" w:hAnsi="Times New Roman"/>
                <w:i/>
              </w:rPr>
            </w:pPr>
            <w:r>
              <w:rPr>
                <w:rFonts w:ascii="Times New Roman" w:hAnsi="Times New Roman"/>
                <w:i/>
              </w:rPr>
              <w:t>(program pre životné prostredie)</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114,4</w:t>
            </w:r>
          </w:p>
          <w:p w:rsidR="000C0368" w:rsidP="000C0368">
            <w:pPr>
              <w:bidi w:val="0"/>
              <w:jc w:val="center"/>
              <w:rPr>
                <w:rFonts w:ascii="Times New Roman" w:hAnsi="Times New Roman"/>
              </w:rPr>
            </w:pPr>
            <w:r>
              <w:rPr>
                <w:rFonts w:ascii="Times New Roman" w:hAnsi="Times New Roman"/>
              </w:rPr>
              <w:t>145,4</w:t>
            </w:r>
          </w:p>
          <w:p w:rsidR="000C0368" w:rsidP="000C0368">
            <w:pPr>
              <w:bidi w:val="0"/>
              <w:jc w:val="center"/>
              <w:rPr>
                <w:rFonts w:ascii="Times New Roman" w:hAnsi="Times New Roman"/>
              </w:rPr>
            </w:pPr>
            <w:r>
              <w:rPr>
                <w:rFonts w:ascii="Times New Roman" w:hAnsi="Times New Roman"/>
              </w:rPr>
              <w:t>216,0</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0,52</w:t>
            </w:r>
          </w:p>
          <w:p w:rsidR="000C0368" w:rsidP="000C0368">
            <w:pPr>
              <w:bidi w:val="0"/>
              <w:jc w:val="center"/>
              <w:rPr>
                <w:rFonts w:ascii="Times New Roman" w:hAnsi="Times New Roman"/>
              </w:rPr>
            </w:pPr>
            <w:r>
              <w:rPr>
                <w:rFonts w:ascii="Times New Roman" w:hAnsi="Times New Roman"/>
              </w:rPr>
              <w:t>0,74</w:t>
            </w:r>
          </w:p>
          <w:p w:rsidR="000C0368" w:rsidP="000C0368">
            <w:pPr>
              <w:bidi w:val="0"/>
              <w:jc w:val="center"/>
              <w:rPr>
                <w:rFonts w:ascii="Times New Roman" w:hAnsi="Times New Roman"/>
              </w:rPr>
            </w:pPr>
            <w:r>
              <w:rPr>
                <w:rFonts w:ascii="Times New Roman" w:hAnsi="Times New Roman"/>
              </w:rPr>
              <w:t>1,30</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0,5</w:t>
            </w:r>
          </w:p>
          <w:p w:rsidR="000C0368" w:rsidP="000C0368">
            <w:pPr>
              <w:bidi w:val="0"/>
              <w:jc w:val="center"/>
              <w:rPr>
                <w:rFonts w:ascii="Times New Roman" w:hAnsi="Times New Roman"/>
              </w:rPr>
            </w:pPr>
            <w:r>
              <w:rPr>
                <w:rFonts w:ascii="Times New Roman" w:hAnsi="Times New Roman"/>
              </w:rPr>
              <w:t>0,7</w:t>
            </w:r>
          </w:p>
          <w:p w:rsidR="000C0368" w:rsidP="000C0368">
            <w:pPr>
              <w:bidi w:val="0"/>
              <w:jc w:val="center"/>
              <w:rPr>
                <w:rFonts w:ascii="Times New Roman" w:hAnsi="Times New Roman"/>
              </w:rPr>
            </w:pPr>
            <w:r>
              <w:rPr>
                <w:rFonts w:ascii="Times New Roman" w:hAnsi="Times New Roman"/>
              </w:rPr>
              <w:t>3,1</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Cs/>
              </w:rPr>
            </w:pPr>
            <w:r>
              <w:rPr>
                <w:rFonts w:ascii="Times New Roman" w:hAnsi="Times New Roman"/>
                <w:bCs/>
              </w:rPr>
              <w:t>0,96</w:t>
            </w:r>
          </w:p>
          <w:p w:rsidR="000C0368" w:rsidP="000C0368">
            <w:pPr>
              <w:bidi w:val="0"/>
              <w:jc w:val="center"/>
              <w:rPr>
                <w:rFonts w:ascii="Times New Roman" w:hAnsi="Times New Roman"/>
                <w:bCs/>
              </w:rPr>
            </w:pPr>
            <w:r>
              <w:rPr>
                <w:rFonts w:ascii="Times New Roman" w:hAnsi="Times New Roman"/>
                <w:bCs/>
              </w:rPr>
              <w:t>0,95</w:t>
            </w:r>
          </w:p>
          <w:p w:rsidR="000C0368" w:rsidP="000C0368">
            <w:pPr>
              <w:bidi w:val="0"/>
              <w:jc w:val="center"/>
              <w:rPr>
                <w:rFonts w:ascii="Times New Roman" w:hAnsi="Times New Roman"/>
                <w:b/>
              </w:rPr>
            </w:pPr>
            <w:r>
              <w:rPr>
                <w:rFonts w:ascii="Times New Roman" w:hAnsi="Times New Roman"/>
                <w:b/>
              </w:rPr>
              <w:t>2,38</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b/>
              </w:rPr>
            </w:pPr>
            <w:r>
              <w:rPr>
                <w:rFonts w:ascii="Times New Roman" w:hAnsi="Times New Roman"/>
                <w:b/>
              </w:rPr>
              <w:t>3A – SOLIDARITA, BEZPEČNOSŤ A SPRAVODLIVOSŤ</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212,2</w:t>
            </w:r>
          </w:p>
          <w:p w:rsidR="000C0368" w:rsidP="000C0368">
            <w:pPr>
              <w:bidi w:val="0"/>
              <w:jc w:val="center"/>
              <w:rPr>
                <w:rFonts w:ascii="Times New Roman" w:hAnsi="Times New Roman"/>
              </w:rPr>
            </w:pPr>
            <w:r>
              <w:rPr>
                <w:rFonts w:ascii="Times New Roman" w:hAnsi="Times New Roman"/>
              </w:rPr>
              <w:t>389,7</w:t>
            </w:r>
          </w:p>
          <w:p w:rsidR="000C0368" w:rsidP="000C0368">
            <w:pPr>
              <w:bidi w:val="0"/>
              <w:jc w:val="center"/>
              <w:rPr>
                <w:rFonts w:ascii="Times New Roman" w:hAnsi="Times New Roman"/>
              </w:rPr>
            </w:pPr>
            <w:r>
              <w:rPr>
                <w:rFonts w:ascii="Times New Roman" w:hAnsi="Times New Roman"/>
              </w:rPr>
              <w:t>684,5</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0,97</w:t>
            </w:r>
          </w:p>
          <w:p w:rsidR="000C0368" w:rsidP="000C0368">
            <w:pPr>
              <w:bidi w:val="0"/>
              <w:jc w:val="center"/>
              <w:rPr>
                <w:rFonts w:ascii="Times New Roman" w:hAnsi="Times New Roman"/>
              </w:rPr>
            </w:pPr>
            <w:r>
              <w:rPr>
                <w:rFonts w:ascii="Times New Roman" w:hAnsi="Times New Roman"/>
              </w:rPr>
              <w:t>1,99</w:t>
            </w:r>
          </w:p>
          <w:p w:rsidR="000C0368" w:rsidP="000C0368">
            <w:pPr>
              <w:bidi w:val="0"/>
              <w:jc w:val="center"/>
              <w:rPr>
                <w:rFonts w:ascii="Times New Roman" w:hAnsi="Times New Roman"/>
              </w:rPr>
            </w:pPr>
            <w:r>
              <w:rPr>
                <w:rFonts w:ascii="Times New Roman" w:hAnsi="Times New Roman"/>
              </w:rPr>
              <w:t>4,12</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1,4</w:t>
            </w:r>
          </w:p>
          <w:p w:rsidR="000C0368" w:rsidP="000C0368">
            <w:pPr>
              <w:bidi w:val="0"/>
              <w:jc w:val="center"/>
              <w:rPr>
                <w:rFonts w:ascii="Times New Roman" w:hAnsi="Times New Roman"/>
              </w:rPr>
            </w:pPr>
            <w:r>
              <w:rPr>
                <w:rFonts w:ascii="Times New Roman" w:hAnsi="Times New Roman"/>
              </w:rPr>
              <w:t>2,7</w:t>
            </w:r>
          </w:p>
          <w:p w:rsidR="000C0368" w:rsidP="000C0368">
            <w:pPr>
              <w:bidi w:val="0"/>
              <w:jc w:val="center"/>
              <w:rPr>
                <w:rFonts w:ascii="Times New Roman" w:hAnsi="Times New Roman"/>
              </w:rPr>
            </w:pPr>
            <w:r>
              <w:rPr>
                <w:rFonts w:ascii="Times New Roman" w:hAnsi="Times New Roman"/>
              </w:rPr>
              <w:t>4,3</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1,44</w:t>
            </w:r>
          </w:p>
          <w:p w:rsidR="000C0368" w:rsidP="000C0368">
            <w:pPr>
              <w:bidi w:val="0"/>
              <w:jc w:val="center"/>
              <w:rPr>
                <w:rFonts w:ascii="Times New Roman" w:hAnsi="Times New Roman"/>
                <w:b/>
              </w:rPr>
            </w:pPr>
            <w:r>
              <w:rPr>
                <w:rFonts w:ascii="Times New Roman" w:hAnsi="Times New Roman"/>
                <w:b/>
              </w:rPr>
              <w:t>1,36</w:t>
            </w:r>
          </w:p>
          <w:p w:rsidR="000C0368" w:rsidP="000C0368">
            <w:pPr>
              <w:bidi w:val="0"/>
              <w:jc w:val="center"/>
              <w:rPr>
                <w:rFonts w:ascii="Times New Roman" w:hAnsi="Times New Roman"/>
                <w:b/>
              </w:rPr>
            </w:pPr>
            <w:r>
              <w:rPr>
                <w:rFonts w:ascii="Times New Roman" w:hAnsi="Times New Roman"/>
                <w:b/>
              </w:rPr>
              <w:t>1,04</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Solidarita a riadenie migračných tokov</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68,7</w:t>
            </w:r>
          </w:p>
          <w:p w:rsidR="000C0368" w:rsidP="000C0368">
            <w:pPr>
              <w:bidi w:val="0"/>
              <w:jc w:val="center"/>
              <w:rPr>
                <w:rFonts w:ascii="Times New Roman" w:hAnsi="Times New Roman"/>
              </w:rPr>
            </w:pPr>
            <w:r>
              <w:rPr>
                <w:rFonts w:ascii="Times New Roman" w:hAnsi="Times New Roman"/>
              </w:rPr>
              <w:t>194,6</w:t>
            </w:r>
          </w:p>
          <w:p w:rsidR="000C0368" w:rsidP="000C0368">
            <w:pPr>
              <w:bidi w:val="0"/>
              <w:jc w:val="center"/>
              <w:rPr>
                <w:rFonts w:ascii="Times New Roman" w:hAnsi="Times New Roman"/>
              </w:rPr>
            </w:pPr>
            <w:r>
              <w:rPr>
                <w:rFonts w:ascii="Times New Roman" w:hAnsi="Times New Roman"/>
              </w:rPr>
              <w:t>405,5</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0,31</w:t>
            </w:r>
          </w:p>
          <w:p w:rsidR="000C0368" w:rsidP="000C0368">
            <w:pPr>
              <w:bidi w:val="0"/>
              <w:jc w:val="center"/>
              <w:rPr>
                <w:rFonts w:ascii="Times New Roman" w:hAnsi="Times New Roman"/>
              </w:rPr>
            </w:pPr>
            <w:r>
              <w:rPr>
                <w:rFonts w:ascii="Times New Roman" w:hAnsi="Times New Roman"/>
              </w:rPr>
              <w:t>0,99</w:t>
            </w:r>
          </w:p>
          <w:p w:rsidR="000C0368" w:rsidP="000C0368">
            <w:pPr>
              <w:bidi w:val="0"/>
              <w:jc w:val="center"/>
              <w:rPr>
                <w:rFonts w:ascii="Times New Roman" w:hAnsi="Times New Roman"/>
              </w:rPr>
            </w:pPr>
            <w:r>
              <w:rPr>
                <w:rFonts w:ascii="Times New Roman" w:hAnsi="Times New Roman"/>
              </w:rPr>
              <w:t>2,44</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1,3</w:t>
            </w:r>
          </w:p>
          <w:p w:rsidR="000C0368" w:rsidP="000C0368">
            <w:pPr>
              <w:bidi w:val="0"/>
              <w:jc w:val="center"/>
              <w:rPr>
                <w:rFonts w:ascii="Times New Roman" w:hAnsi="Times New Roman"/>
              </w:rPr>
            </w:pPr>
            <w:r>
              <w:rPr>
                <w:rFonts w:ascii="Times New Roman" w:hAnsi="Times New Roman"/>
              </w:rPr>
              <w:t>2,4</w:t>
            </w:r>
          </w:p>
          <w:p w:rsidR="000C0368" w:rsidP="000C0368">
            <w:pPr>
              <w:bidi w:val="0"/>
              <w:jc w:val="center"/>
              <w:rPr>
                <w:rFonts w:ascii="Times New Roman" w:hAnsi="Times New Roman"/>
              </w:rPr>
            </w:pPr>
            <w:r>
              <w:rPr>
                <w:rFonts w:ascii="Times New Roman" w:hAnsi="Times New Roman"/>
              </w:rPr>
              <w:t>3,2</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4,19</w:t>
            </w:r>
          </w:p>
          <w:p w:rsidR="000C0368" w:rsidP="000C0368">
            <w:pPr>
              <w:bidi w:val="0"/>
              <w:jc w:val="center"/>
              <w:rPr>
                <w:rFonts w:ascii="Times New Roman" w:hAnsi="Times New Roman"/>
                <w:b/>
              </w:rPr>
            </w:pPr>
            <w:r>
              <w:rPr>
                <w:rFonts w:ascii="Times New Roman" w:hAnsi="Times New Roman"/>
                <w:b/>
              </w:rPr>
              <w:t>2,42</w:t>
            </w:r>
          </w:p>
          <w:p w:rsidR="000C0368" w:rsidP="000C0368">
            <w:pPr>
              <w:bidi w:val="0"/>
              <w:jc w:val="center"/>
              <w:rPr>
                <w:rFonts w:ascii="Times New Roman" w:hAnsi="Times New Roman"/>
                <w:b/>
              </w:rPr>
            </w:pPr>
            <w:r>
              <w:rPr>
                <w:rFonts w:ascii="Times New Roman" w:hAnsi="Times New Roman"/>
                <w:b/>
              </w:rPr>
              <w:t>1,31</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Bezpečnosť</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5,1</w:t>
            </w:r>
          </w:p>
          <w:p w:rsidR="000C0368" w:rsidP="000C0368">
            <w:pPr>
              <w:bidi w:val="0"/>
              <w:jc w:val="center"/>
              <w:rPr>
                <w:rFonts w:ascii="Times New Roman" w:hAnsi="Times New Roman"/>
              </w:rPr>
            </w:pPr>
            <w:r>
              <w:rPr>
                <w:rFonts w:ascii="Times New Roman" w:hAnsi="Times New Roman"/>
              </w:rPr>
              <w:t>24,8</w:t>
            </w:r>
          </w:p>
          <w:p w:rsidR="000C0368" w:rsidP="000C0368">
            <w:pPr>
              <w:bidi w:val="0"/>
              <w:jc w:val="center"/>
              <w:rPr>
                <w:rFonts w:ascii="Times New Roman" w:hAnsi="Times New Roman"/>
              </w:rPr>
            </w:pPr>
            <w:r>
              <w:rPr>
                <w:rFonts w:ascii="Times New Roman" w:hAnsi="Times New Roman"/>
              </w:rPr>
              <w:t>44,7</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0,02</w:t>
            </w:r>
          </w:p>
          <w:p w:rsidR="000C0368" w:rsidP="000C0368">
            <w:pPr>
              <w:bidi w:val="0"/>
              <w:jc w:val="center"/>
              <w:rPr>
                <w:rFonts w:ascii="Times New Roman" w:hAnsi="Times New Roman"/>
              </w:rPr>
            </w:pPr>
            <w:r>
              <w:rPr>
                <w:rFonts w:ascii="Times New Roman" w:hAnsi="Times New Roman"/>
              </w:rPr>
              <w:t>0,13</w:t>
            </w:r>
          </w:p>
          <w:p w:rsidR="000C0368" w:rsidP="000C0368">
            <w:pPr>
              <w:bidi w:val="0"/>
              <w:jc w:val="center"/>
              <w:rPr>
                <w:rFonts w:ascii="Times New Roman" w:hAnsi="Times New Roman"/>
              </w:rPr>
            </w:pPr>
            <w:r>
              <w:rPr>
                <w:rFonts w:ascii="Times New Roman" w:hAnsi="Times New Roman"/>
              </w:rPr>
              <w:t>0,27</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0,6</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Cs/>
              </w:rPr>
            </w:pPr>
            <w:r>
              <w:rPr>
                <w:rFonts w:ascii="Times New Roman" w:hAnsi="Times New Roman"/>
                <w:bCs/>
              </w:rPr>
              <w:t>0,00</w:t>
            </w:r>
          </w:p>
          <w:p w:rsidR="000C0368" w:rsidP="000C0368">
            <w:pPr>
              <w:bidi w:val="0"/>
              <w:jc w:val="center"/>
              <w:rPr>
                <w:rFonts w:ascii="Times New Roman" w:hAnsi="Times New Roman"/>
                <w:bCs/>
              </w:rPr>
            </w:pPr>
            <w:r>
              <w:rPr>
                <w:rFonts w:ascii="Times New Roman" w:hAnsi="Times New Roman"/>
                <w:bCs/>
              </w:rPr>
              <w:t>0,00</w:t>
            </w:r>
          </w:p>
          <w:p w:rsidR="000C0368" w:rsidP="000C0368">
            <w:pPr>
              <w:bidi w:val="0"/>
              <w:jc w:val="center"/>
              <w:rPr>
                <w:rFonts w:ascii="Times New Roman" w:hAnsi="Times New Roman"/>
                <w:b/>
              </w:rPr>
            </w:pPr>
            <w:r>
              <w:rPr>
                <w:rFonts w:ascii="Times New Roman" w:hAnsi="Times New Roman"/>
                <w:b/>
              </w:rPr>
              <w:t>2,22</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Základné práva a spravodlivosť</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2,3</w:t>
            </w:r>
          </w:p>
          <w:p w:rsidR="000C0368" w:rsidP="000C0368">
            <w:pPr>
              <w:bidi w:val="0"/>
              <w:jc w:val="center"/>
              <w:rPr>
                <w:rFonts w:ascii="Times New Roman" w:hAnsi="Times New Roman"/>
              </w:rPr>
            </w:pPr>
            <w:r>
              <w:rPr>
                <w:rFonts w:ascii="Times New Roman" w:hAnsi="Times New Roman"/>
              </w:rPr>
              <w:t>29,5</w:t>
            </w:r>
          </w:p>
          <w:p w:rsidR="000C0368" w:rsidP="000C0368">
            <w:pPr>
              <w:bidi w:val="0"/>
              <w:jc w:val="center"/>
              <w:rPr>
                <w:rFonts w:ascii="Times New Roman" w:hAnsi="Times New Roman"/>
              </w:rPr>
            </w:pPr>
            <w:r>
              <w:rPr>
                <w:rFonts w:ascii="Times New Roman" w:hAnsi="Times New Roman"/>
              </w:rPr>
              <w:t>49,3</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0,01</w:t>
            </w:r>
          </w:p>
          <w:p w:rsidR="000C0368" w:rsidP="000C0368">
            <w:pPr>
              <w:bidi w:val="0"/>
              <w:jc w:val="center"/>
              <w:rPr>
                <w:rFonts w:ascii="Times New Roman" w:hAnsi="Times New Roman"/>
              </w:rPr>
            </w:pPr>
            <w:r>
              <w:rPr>
                <w:rFonts w:ascii="Times New Roman" w:hAnsi="Times New Roman"/>
              </w:rPr>
              <w:t>0,15</w:t>
            </w:r>
          </w:p>
          <w:p w:rsidR="000C0368" w:rsidP="000C0368">
            <w:pPr>
              <w:bidi w:val="0"/>
              <w:jc w:val="center"/>
              <w:rPr>
                <w:rFonts w:ascii="Times New Roman" w:hAnsi="Times New Roman"/>
              </w:rPr>
            </w:pPr>
            <w:r>
              <w:rPr>
                <w:rFonts w:ascii="Times New Roman" w:hAnsi="Times New Roman"/>
              </w:rPr>
              <w:t>0,30</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0,1</w:t>
            </w:r>
          </w:p>
          <w:p w:rsidR="000C0368" w:rsidP="000C0368">
            <w:pPr>
              <w:bidi w:val="0"/>
              <w:jc w:val="center"/>
              <w:rPr>
                <w:rFonts w:ascii="Times New Roman" w:hAnsi="Times New Roman"/>
              </w:rPr>
            </w:pPr>
            <w:r>
              <w:rPr>
                <w:rFonts w:ascii="Times New Roman" w:hAnsi="Times New Roman"/>
              </w:rPr>
              <w:t>0,2</w:t>
            </w:r>
          </w:p>
          <w:p w:rsidR="000C0368" w:rsidP="000C0368">
            <w:pPr>
              <w:bidi w:val="0"/>
              <w:jc w:val="center"/>
              <w:rPr>
                <w:rFonts w:ascii="Times New Roman" w:hAnsi="Times New Roman"/>
              </w:rPr>
            </w:pPr>
            <w:r>
              <w:rPr>
                <w:rFonts w:ascii="Times New Roman" w:hAnsi="Times New Roman"/>
              </w:rPr>
              <w:t>0,5</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10,00</w:t>
            </w:r>
          </w:p>
          <w:p w:rsidR="000C0368" w:rsidP="000C0368">
            <w:pPr>
              <w:bidi w:val="0"/>
              <w:jc w:val="center"/>
              <w:rPr>
                <w:rFonts w:ascii="Times New Roman" w:hAnsi="Times New Roman"/>
                <w:b/>
              </w:rPr>
            </w:pPr>
            <w:r>
              <w:rPr>
                <w:rFonts w:ascii="Times New Roman" w:hAnsi="Times New Roman"/>
                <w:b/>
              </w:rPr>
              <w:t>1,33</w:t>
            </w:r>
          </w:p>
          <w:p w:rsidR="000C0368" w:rsidP="000C0368">
            <w:pPr>
              <w:bidi w:val="0"/>
              <w:jc w:val="center"/>
              <w:rPr>
                <w:rFonts w:ascii="Times New Roman" w:hAnsi="Times New Roman"/>
                <w:b/>
              </w:rPr>
            </w:pPr>
            <w:r>
              <w:rPr>
                <w:rFonts w:ascii="Times New Roman" w:hAnsi="Times New Roman"/>
                <w:b/>
              </w:rPr>
              <w:t>1,67</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Decentralizované agentúry</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93,4</w:t>
            </w:r>
          </w:p>
          <w:p w:rsidR="000C0368" w:rsidP="000C0368">
            <w:pPr>
              <w:bidi w:val="0"/>
              <w:jc w:val="center"/>
              <w:rPr>
                <w:rFonts w:ascii="Times New Roman" w:hAnsi="Times New Roman"/>
              </w:rPr>
            </w:pPr>
            <w:r>
              <w:rPr>
                <w:rFonts w:ascii="Times New Roman" w:hAnsi="Times New Roman"/>
              </w:rPr>
              <w:t>99,5</w:t>
            </w:r>
          </w:p>
          <w:p w:rsidR="000C0368" w:rsidP="000C0368">
            <w:pPr>
              <w:bidi w:val="0"/>
              <w:jc w:val="center"/>
              <w:rPr>
                <w:rFonts w:ascii="Times New Roman" w:hAnsi="Times New Roman"/>
              </w:rPr>
            </w:pPr>
            <w:r>
              <w:rPr>
                <w:rFonts w:ascii="Times New Roman" w:hAnsi="Times New Roman"/>
              </w:rPr>
              <w:t>138,3</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0,43</w:t>
            </w:r>
          </w:p>
          <w:p w:rsidR="000C0368" w:rsidP="000C0368">
            <w:pPr>
              <w:bidi w:val="0"/>
              <w:jc w:val="center"/>
              <w:rPr>
                <w:rFonts w:ascii="Times New Roman" w:hAnsi="Times New Roman"/>
              </w:rPr>
            </w:pPr>
            <w:r>
              <w:rPr>
                <w:rFonts w:ascii="Times New Roman" w:hAnsi="Times New Roman"/>
              </w:rPr>
              <w:t>0,51</w:t>
            </w:r>
          </w:p>
          <w:p w:rsidR="000C0368" w:rsidP="000C0368">
            <w:pPr>
              <w:bidi w:val="0"/>
              <w:jc w:val="center"/>
              <w:rPr>
                <w:rFonts w:ascii="Times New Roman" w:hAnsi="Times New Roman"/>
              </w:rPr>
            </w:pPr>
            <w:r>
              <w:rPr>
                <w:rFonts w:ascii="Times New Roman" w:hAnsi="Times New Roman"/>
              </w:rPr>
              <w:t>0,83</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b/>
              </w:rPr>
            </w:pPr>
            <w:r>
              <w:rPr>
                <w:rFonts w:ascii="Times New Roman" w:hAnsi="Times New Roman"/>
                <w:b/>
              </w:rPr>
              <w:t>3B - OBČIANSTVO</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837,6</w:t>
            </w:r>
          </w:p>
          <w:p w:rsidR="000C0368" w:rsidP="000C0368">
            <w:pPr>
              <w:bidi w:val="0"/>
              <w:jc w:val="center"/>
              <w:rPr>
                <w:rFonts w:ascii="Times New Roman" w:hAnsi="Times New Roman"/>
              </w:rPr>
            </w:pPr>
            <w:r>
              <w:rPr>
                <w:rFonts w:ascii="Times New Roman" w:hAnsi="Times New Roman"/>
              </w:rPr>
              <w:t>920,9</w:t>
            </w:r>
          </w:p>
          <w:p w:rsidR="000C0368" w:rsidP="000C0368">
            <w:pPr>
              <w:bidi w:val="0"/>
              <w:jc w:val="center"/>
              <w:rPr>
                <w:rFonts w:ascii="Times New Roman" w:hAnsi="Times New Roman"/>
              </w:rPr>
            </w:pPr>
            <w:r>
              <w:rPr>
                <w:rFonts w:ascii="Times New Roman" w:hAnsi="Times New Roman"/>
              </w:rPr>
              <w:t>1 308,5</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3,82</w:t>
            </w:r>
          </w:p>
          <w:p w:rsidR="000C0368" w:rsidP="000C0368">
            <w:pPr>
              <w:bidi w:val="0"/>
              <w:jc w:val="center"/>
              <w:rPr>
                <w:rFonts w:ascii="Times New Roman" w:hAnsi="Times New Roman"/>
              </w:rPr>
            </w:pPr>
            <w:r>
              <w:rPr>
                <w:rFonts w:ascii="Times New Roman" w:hAnsi="Times New Roman"/>
              </w:rPr>
              <w:t>4,70</w:t>
            </w:r>
          </w:p>
          <w:p w:rsidR="000C0368" w:rsidP="000C0368">
            <w:pPr>
              <w:bidi w:val="0"/>
              <w:jc w:val="center"/>
              <w:rPr>
                <w:rFonts w:ascii="Times New Roman" w:hAnsi="Times New Roman"/>
              </w:rPr>
            </w:pPr>
            <w:r>
              <w:rPr>
                <w:rFonts w:ascii="Times New Roman" w:hAnsi="Times New Roman"/>
              </w:rPr>
              <w:t>7,87</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12,3</w:t>
            </w:r>
          </w:p>
          <w:p w:rsidR="000C0368" w:rsidP="000C0368">
            <w:pPr>
              <w:bidi w:val="0"/>
              <w:jc w:val="center"/>
              <w:rPr>
                <w:rFonts w:ascii="Times New Roman" w:hAnsi="Times New Roman"/>
              </w:rPr>
            </w:pPr>
            <w:r>
              <w:rPr>
                <w:rFonts w:ascii="Times New Roman" w:hAnsi="Times New Roman"/>
              </w:rPr>
              <w:t>8,4</w:t>
            </w:r>
          </w:p>
          <w:p w:rsidR="000C0368" w:rsidP="000C0368">
            <w:pPr>
              <w:bidi w:val="0"/>
              <w:jc w:val="center"/>
              <w:rPr>
                <w:rFonts w:ascii="Times New Roman" w:hAnsi="Times New Roman"/>
              </w:rPr>
            </w:pPr>
            <w:r>
              <w:rPr>
                <w:rFonts w:ascii="Times New Roman" w:hAnsi="Times New Roman"/>
              </w:rPr>
              <w:t>4,3</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bCs/>
              </w:rPr>
            </w:pPr>
            <w:r>
              <w:rPr>
                <w:rFonts w:ascii="Times New Roman" w:hAnsi="Times New Roman"/>
                <w:b/>
                <w:bCs/>
              </w:rPr>
              <w:t>3,22</w:t>
            </w:r>
          </w:p>
          <w:p w:rsidR="000C0368" w:rsidP="000C0368">
            <w:pPr>
              <w:bidi w:val="0"/>
              <w:jc w:val="center"/>
              <w:rPr>
                <w:rFonts w:ascii="Times New Roman" w:hAnsi="Times New Roman"/>
                <w:b/>
                <w:bCs/>
              </w:rPr>
            </w:pPr>
            <w:r>
              <w:rPr>
                <w:rFonts w:ascii="Times New Roman" w:hAnsi="Times New Roman"/>
                <w:b/>
                <w:bCs/>
              </w:rPr>
              <w:t>1,79</w:t>
            </w:r>
          </w:p>
          <w:p w:rsidR="000C0368" w:rsidP="000C0368">
            <w:pPr>
              <w:bidi w:val="0"/>
              <w:jc w:val="center"/>
              <w:rPr>
                <w:rFonts w:ascii="Times New Roman" w:hAnsi="Times New Roman"/>
              </w:rPr>
            </w:pPr>
            <w:r>
              <w:rPr>
                <w:rFonts w:ascii="Times New Roman" w:hAnsi="Times New Roman"/>
              </w:rPr>
              <w:t>0,55</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Verejné zdravie</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70,8</w:t>
            </w:r>
          </w:p>
          <w:p w:rsidR="000C0368" w:rsidP="000C0368">
            <w:pPr>
              <w:bidi w:val="0"/>
              <w:jc w:val="center"/>
              <w:rPr>
                <w:rFonts w:ascii="Times New Roman" w:hAnsi="Times New Roman"/>
              </w:rPr>
            </w:pPr>
            <w:r>
              <w:rPr>
                <w:rFonts w:ascii="Times New Roman" w:hAnsi="Times New Roman"/>
              </w:rPr>
              <w:t>64,0</w:t>
            </w:r>
          </w:p>
          <w:p w:rsidR="000C0368" w:rsidP="000C0368">
            <w:pPr>
              <w:bidi w:val="0"/>
              <w:jc w:val="center"/>
              <w:rPr>
                <w:rFonts w:ascii="Times New Roman" w:hAnsi="Times New Roman"/>
              </w:rPr>
            </w:pPr>
            <w:r>
              <w:rPr>
                <w:rFonts w:ascii="Times New Roman" w:hAnsi="Times New Roman"/>
              </w:rPr>
              <w:t>80,4</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0,32</w:t>
            </w:r>
          </w:p>
          <w:p w:rsidR="000C0368" w:rsidP="000C0368">
            <w:pPr>
              <w:bidi w:val="0"/>
              <w:jc w:val="center"/>
              <w:rPr>
                <w:rFonts w:ascii="Times New Roman" w:hAnsi="Times New Roman"/>
              </w:rPr>
            </w:pPr>
            <w:r>
              <w:rPr>
                <w:rFonts w:ascii="Times New Roman" w:hAnsi="Times New Roman"/>
              </w:rPr>
              <w:t>0,33</w:t>
            </w:r>
          </w:p>
          <w:p w:rsidR="000C0368" w:rsidP="000C0368">
            <w:pPr>
              <w:bidi w:val="0"/>
              <w:jc w:val="center"/>
              <w:rPr>
                <w:rFonts w:ascii="Times New Roman" w:hAnsi="Times New Roman"/>
              </w:rPr>
            </w:pPr>
            <w:r>
              <w:rPr>
                <w:rFonts w:ascii="Times New Roman" w:hAnsi="Times New Roman"/>
              </w:rPr>
              <w:t>0,48</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0,2</w:t>
            </w:r>
          </w:p>
          <w:p w:rsidR="000C0368" w:rsidP="000C0368">
            <w:pPr>
              <w:bidi w:val="0"/>
              <w:jc w:val="center"/>
              <w:rPr>
                <w:rFonts w:ascii="Times New Roman" w:hAnsi="Times New Roman"/>
              </w:rPr>
            </w:pPr>
            <w:r>
              <w:rPr>
                <w:rFonts w:ascii="Times New Roman" w:hAnsi="Times New Roman"/>
              </w:rPr>
              <w:t>0,1</w:t>
            </w:r>
          </w:p>
          <w:p w:rsidR="000C0368" w:rsidP="000C0368">
            <w:pPr>
              <w:bidi w:val="0"/>
              <w:jc w:val="center"/>
              <w:rPr>
                <w:rFonts w:ascii="Times New Roman" w:hAnsi="Times New Roman"/>
              </w:rPr>
            </w:pPr>
            <w:r>
              <w:rPr>
                <w:rFonts w:ascii="Times New Roman" w:hAnsi="Times New Roman"/>
              </w:rPr>
              <w:t>0,3</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0,63</w:t>
            </w:r>
          </w:p>
          <w:p w:rsidR="000C0368" w:rsidP="000C0368">
            <w:pPr>
              <w:bidi w:val="0"/>
              <w:jc w:val="center"/>
              <w:rPr>
                <w:rFonts w:ascii="Times New Roman" w:hAnsi="Times New Roman"/>
              </w:rPr>
            </w:pPr>
            <w:r>
              <w:rPr>
                <w:rFonts w:ascii="Times New Roman" w:hAnsi="Times New Roman"/>
              </w:rPr>
              <w:t>0,30</w:t>
            </w:r>
          </w:p>
          <w:p w:rsidR="000C0368" w:rsidP="000C0368">
            <w:pPr>
              <w:bidi w:val="0"/>
              <w:jc w:val="center"/>
              <w:rPr>
                <w:rFonts w:ascii="Times New Roman" w:hAnsi="Times New Roman"/>
              </w:rPr>
            </w:pPr>
            <w:r>
              <w:rPr>
                <w:rFonts w:ascii="Times New Roman" w:hAnsi="Times New Roman"/>
              </w:rPr>
              <w:t>0,63</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 xml:space="preserve">Kultúra </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38,1</w:t>
            </w:r>
          </w:p>
          <w:p w:rsidR="000C0368" w:rsidP="000C0368">
            <w:pPr>
              <w:bidi w:val="0"/>
              <w:jc w:val="center"/>
              <w:rPr>
                <w:rFonts w:ascii="Times New Roman" w:hAnsi="Times New Roman"/>
              </w:rPr>
            </w:pPr>
            <w:r>
              <w:rPr>
                <w:rFonts w:ascii="Times New Roman" w:hAnsi="Times New Roman"/>
              </w:rPr>
              <w:t>43,2</w:t>
            </w:r>
          </w:p>
          <w:p w:rsidR="000C0368" w:rsidP="000C0368">
            <w:pPr>
              <w:bidi w:val="0"/>
              <w:jc w:val="center"/>
              <w:rPr>
                <w:rFonts w:ascii="Times New Roman" w:hAnsi="Times New Roman"/>
              </w:rPr>
            </w:pPr>
            <w:r>
              <w:rPr>
                <w:rFonts w:ascii="Times New Roman" w:hAnsi="Times New Roman"/>
              </w:rPr>
              <w:t>50,1</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0,17</w:t>
            </w:r>
          </w:p>
          <w:p w:rsidR="000C0368" w:rsidP="000C0368">
            <w:pPr>
              <w:bidi w:val="0"/>
              <w:jc w:val="center"/>
              <w:rPr>
                <w:rFonts w:ascii="Times New Roman" w:hAnsi="Times New Roman"/>
              </w:rPr>
            </w:pPr>
            <w:r>
              <w:rPr>
                <w:rFonts w:ascii="Times New Roman" w:hAnsi="Times New Roman"/>
              </w:rPr>
              <w:t>0,22</w:t>
            </w:r>
          </w:p>
          <w:p w:rsidR="000C0368" w:rsidP="000C0368">
            <w:pPr>
              <w:bidi w:val="0"/>
              <w:jc w:val="center"/>
              <w:rPr>
                <w:rFonts w:ascii="Times New Roman" w:hAnsi="Times New Roman"/>
              </w:rPr>
            </w:pPr>
            <w:r>
              <w:rPr>
                <w:rFonts w:ascii="Times New Roman" w:hAnsi="Times New Roman"/>
              </w:rPr>
              <w:t>0,30</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0,1</w:t>
            </w:r>
          </w:p>
          <w:p w:rsidR="000C0368" w:rsidP="000C0368">
            <w:pPr>
              <w:bidi w:val="0"/>
              <w:jc w:val="center"/>
              <w:rPr>
                <w:rFonts w:ascii="Times New Roman" w:hAnsi="Times New Roman"/>
              </w:rPr>
            </w:pPr>
            <w:r>
              <w:rPr>
                <w:rFonts w:ascii="Times New Roman" w:hAnsi="Times New Roman"/>
              </w:rPr>
              <w:t>0,1</w:t>
            </w:r>
          </w:p>
          <w:p w:rsidR="000C0368" w:rsidP="000C0368">
            <w:pPr>
              <w:bidi w:val="0"/>
              <w:jc w:val="center"/>
              <w:rPr>
                <w:rFonts w:ascii="Times New Roman" w:hAnsi="Times New Roman"/>
              </w:rPr>
            </w:pPr>
            <w:r>
              <w:rPr>
                <w:rFonts w:ascii="Times New Roman" w:hAnsi="Times New Roman"/>
              </w:rPr>
              <w:t>0,1</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0,59</w:t>
            </w:r>
          </w:p>
          <w:p w:rsidR="000C0368" w:rsidP="000C0368">
            <w:pPr>
              <w:bidi w:val="0"/>
              <w:jc w:val="center"/>
              <w:rPr>
                <w:rFonts w:ascii="Times New Roman" w:hAnsi="Times New Roman"/>
              </w:rPr>
            </w:pPr>
            <w:r>
              <w:rPr>
                <w:rFonts w:ascii="Times New Roman" w:hAnsi="Times New Roman"/>
              </w:rPr>
              <w:t>0,45</w:t>
            </w:r>
          </w:p>
          <w:p w:rsidR="000C0368" w:rsidP="000C0368">
            <w:pPr>
              <w:bidi w:val="0"/>
              <w:jc w:val="center"/>
              <w:rPr>
                <w:rFonts w:ascii="Times New Roman" w:hAnsi="Times New Roman"/>
              </w:rPr>
            </w:pPr>
            <w:r>
              <w:rPr>
                <w:rFonts w:ascii="Times New Roman" w:hAnsi="Times New Roman"/>
              </w:rPr>
              <w:t>0,33</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Mládež</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124,7</w:t>
            </w:r>
          </w:p>
          <w:p w:rsidR="000C0368" w:rsidP="000C0368">
            <w:pPr>
              <w:bidi w:val="0"/>
              <w:jc w:val="center"/>
              <w:rPr>
                <w:rFonts w:ascii="Times New Roman" w:hAnsi="Times New Roman"/>
              </w:rPr>
            </w:pPr>
            <w:r>
              <w:rPr>
                <w:rFonts w:ascii="Times New Roman" w:hAnsi="Times New Roman"/>
              </w:rPr>
              <w:t>135,3</w:t>
            </w:r>
          </w:p>
          <w:p w:rsidR="000C0368" w:rsidP="000C0368">
            <w:pPr>
              <w:bidi w:val="0"/>
              <w:jc w:val="center"/>
              <w:rPr>
                <w:rFonts w:ascii="Times New Roman" w:hAnsi="Times New Roman"/>
              </w:rPr>
            </w:pPr>
            <w:r>
              <w:rPr>
                <w:rFonts w:ascii="Times New Roman" w:hAnsi="Times New Roman"/>
              </w:rPr>
              <w:t>139,8</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0,57</w:t>
            </w:r>
          </w:p>
          <w:p w:rsidR="000C0368" w:rsidP="000C0368">
            <w:pPr>
              <w:bidi w:val="0"/>
              <w:jc w:val="center"/>
              <w:rPr>
                <w:rFonts w:ascii="Times New Roman" w:hAnsi="Times New Roman"/>
              </w:rPr>
            </w:pPr>
            <w:r>
              <w:rPr>
                <w:rFonts w:ascii="Times New Roman" w:hAnsi="Times New Roman"/>
              </w:rPr>
              <w:t>0,69</w:t>
            </w:r>
          </w:p>
          <w:p w:rsidR="000C0368" w:rsidP="000C0368">
            <w:pPr>
              <w:bidi w:val="0"/>
              <w:jc w:val="center"/>
              <w:rPr>
                <w:rFonts w:ascii="Times New Roman" w:hAnsi="Times New Roman"/>
              </w:rPr>
            </w:pPr>
            <w:r>
              <w:rPr>
                <w:rFonts w:ascii="Times New Roman" w:hAnsi="Times New Roman"/>
              </w:rPr>
              <w:t>0,84</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2,3</w:t>
            </w:r>
          </w:p>
          <w:p w:rsidR="000C0368" w:rsidP="000C0368">
            <w:pPr>
              <w:bidi w:val="0"/>
              <w:jc w:val="center"/>
              <w:rPr>
                <w:rFonts w:ascii="Times New Roman" w:hAnsi="Times New Roman"/>
              </w:rPr>
            </w:pPr>
            <w:r>
              <w:rPr>
                <w:rFonts w:ascii="Times New Roman" w:hAnsi="Times New Roman"/>
              </w:rPr>
              <w:t>1,8</w:t>
            </w:r>
          </w:p>
          <w:p w:rsidR="000C0368" w:rsidP="000C0368">
            <w:pPr>
              <w:bidi w:val="0"/>
              <w:jc w:val="center"/>
              <w:rPr>
                <w:rFonts w:ascii="Times New Roman" w:hAnsi="Times New Roman"/>
              </w:rPr>
            </w:pPr>
            <w:r>
              <w:rPr>
                <w:rFonts w:ascii="Times New Roman" w:hAnsi="Times New Roman"/>
              </w:rPr>
              <w:t>1,9</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4,04</w:t>
            </w:r>
          </w:p>
          <w:p w:rsidR="000C0368" w:rsidP="000C0368">
            <w:pPr>
              <w:bidi w:val="0"/>
              <w:jc w:val="center"/>
              <w:rPr>
                <w:rFonts w:ascii="Times New Roman" w:hAnsi="Times New Roman"/>
                <w:b/>
              </w:rPr>
            </w:pPr>
            <w:r>
              <w:rPr>
                <w:rFonts w:ascii="Times New Roman" w:hAnsi="Times New Roman"/>
                <w:b/>
              </w:rPr>
              <w:t>2,61</w:t>
            </w:r>
          </w:p>
          <w:p w:rsidR="000C0368" w:rsidP="000C0368">
            <w:pPr>
              <w:bidi w:val="0"/>
              <w:jc w:val="center"/>
              <w:rPr>
                <w:rFonts w:ascii="Times New Roman" w:hAnsi="Times New Roman"/>
                <w:b/>
              </w:rPr>
            </w:pPr>
            <w:r>
              <w:rPr>
                <w:rFonts w:ascii="Times New Roman" w:hAnsi="Times New Roman"/>
                <w:b/>
              </w:rPr>
              <w:t>2,26</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Média 2007</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98,2</w:t>
            </w:r>
          </w:p>
          <w:p w:rsidR="000C0368" w:rsidP="000C0368">
            <w:pPr>
              <w:bidi w:val="0"/>
              <w:jc w:val="center"/>
              <w:rPr>
                <w:rFonts w:ascii="Times New Roman" w:hAnsi="Times New Roman"/>
              </w:rPr>
            </w:pPr>
            <w:r>
              <w:rPr>
                <w:rFonts w:ascii="Times New Roman" w:hAnsi="Times New Roman"/>
              </w:rPr>
              <w:t>111,8</w:t>
            </w:r>
          </w:p>
          <w:p w:rsidR="000C0368" w:rsidP="000C0368">
            <w:pPr>
              <w:bidi w:val="0"/>
              <w:jc w:val="center"/>
              <w:rPr>
                <w:rFonts w:ascii="Times New Roman" w:hAnsi="Times New Roman"/>
              </w:rPr>
            </w:pPr>
            <w:r>
              <w:rPr>
                <w:rFonts w:ascii="Times New Roman" w:hAnsi="Times New Roman"/>
              </w:rPr>
              <w:t>110,9</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0,45</w:t>
            </w:r>
          </w:p>
          <w:p w:rsidR="000C0368" w:rsidP="000C0368">
            <w:pPr>
              <w:bidi w:val="0"/>
              <w:jc w:val="center"/>
              <w:rPr>
                <w:rFonts w:ascii="Times New Roman" w:hAnsi="Times New Roman"/>
              </w:rPr>
            </w:pPr>
            <w:r>
              <w:rPr>
                <w:rFonts w:ascii="Times New Roman" w:hAnsi="Times New Roman"/>
              </w:rPr>
              <w:t>0,57</w:t>
            </w:r>
          </w:p>
          <w:p w:rsidR="000C0368" w:rsidP="000C0368">
            <w:pPr>
              <w:bidi w:val="0"/>
              <w:jc w:val="center"/>
              <w:rPr>
                <w:rFonts w:ascii="Times New Roman" w:hAnsi="Times New Roman"/>
              </w:rPr>
            </w:pPr>
            <w:r>
              <w:rPr>
                <w:rFonts w:ascii="Times New Roman" w:hAnsi="Times New Roman"/>
              </w:rPr>
              <w:t>0,67</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0,2</w:t>
            </w:r>
          </w:p>
          <w:p w:rsidR="000C0368" w:rsidP="000C0368">
            <w:pPr>
              <w:bidi w:val="0"/>
              <w:jc w:val="center"/>
              <w:rPr>
                <w:rFonts w:ascii="Times New Roman" w:hAnsi="Times New Roman"/>
              </w:rPr>
            </w:pPr>
            <w:r>
              <w:rPr>
                <w:rFonts w:ascii="Times New Roman" w:hAnsi="Times New Roman"/>
              </w:rPr>
              <w:t>0,2</w:t>
            </w:r>
          </w:p>
          <w:p w:rsidR="000C0368" w:rsidP="000C0368">
            <w:pPr>
              <w:bidi w:val="0"/>
              <w:jc w:val="center"/>
              <w:rPr>
                <w:rFonts w:ascii="Times New Roman" w:hAnsi="Times New Roman"/>
              </w:rPr>
            </w:pPr>
            <w:r>
              <w:rPr>
                <w:rFonts w:ascii="Times New Roman" w:hAnsi="Times New Roman"/>
              </w:rPr>
              <w:t>0,2</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0,44</w:t>
            </w:r>
          </w:p>
          <w:p w:rsidR="000C0368" w:rsidP="000C0368">
            <w:pPr>
              <w:bidi w:val="0"/>
              <w:jc w:val="center"/>
              <w:rPr>
                <w:rFonts w:ascii="Times New Roman" w:hAnsi="Times New Roman"/>
              </w:rPr>
            </w:pPr>
            <w:r>
              <w:rPr>
                <w:rFonts w:ascii="Times New Roman" w:hAnsi="Times New Roman"/>
              </w:rPr>
              <w:t>0,35</w:t>
            </w:r>
          </w:p>
          <w:p w:rsidR="000C0368" w:rsidP="000C0368">
            <w:pPr>
              <w:bidi w:val="0"/>
              <w:jc w:val="center"/>
              <w:rPr>
                <w:rFonts w:ascii="Times New Roman" w:hAnsi="Times New Roman"/>
              </w:rPr>
            </w:pPr>
            <w:r>
              <w:rPr>
                <w:rFonts w:ascii="Times New Roman" w:hAnsi="Times New Roman"/>
              </w:rPr>
              <w:t>0,30</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Fond solidarity EÚ</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196,6</w:t>
            </w:r>
          </w:p>
          <w:p w:rsidR="000C0368" w:rsidP="000C0368">
            <w:pPr>
              <w:bidi w:val="0"/>
              <w:jc w:val="center"/>
              <w:rPr>
                <w:rFonts w:ascii="Times New Roman" w:hAnsi="Times New Roman"/>
              </w:rPr>
            </w:pPr>
            <w:r>
              <w:rPr>
                <w:rFonts w:ascii="Times New Roman" w:hAnsi="Times New Roman"/>
              </w:rPr>
              <w:t>273,2</w:t>
            </w:r>
          </w:p>
          <w:p w:rsidR="000C0368" w:rsidP="000C0368">
            <w:pPr>
              <w:bidi w:val="0"/>
              <w:jc w:val="center"/>
              <w:rPr>
                <w:rFonts w:ascii="Times New Roman" w:hAnsi="Times New Roman"/>
              </w:rPr>
            </w:pPr>
            <w:r>
              <w:rPr>
                <w:rFonts w:ascii="Times New Roman" w:hAnsi="Times New Roman"/>
              </w:rPr>
              <w:t>622,5</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0,90</w:t>
            </w:r>
          </w:p>
          <w:p w:rsidR="000C0368" w:rsidP="000C0368">
            <w:pPr>
              <w:bidi w:val="0"/>
              <w:jc w:val="center"/>
              <w:rPr>
                <w:rFonts w:ascii="Times New Roman" w:hAnsi="Times New Roman"/>
              </w:rPr>
            </w:pPr>
            <w:r>
              <w:rPr>
                <w:rFonts w:ascii="Times New Roman" w:hAnsi="Times New Roman"/>
              </w:rPr>
              <w:t>1,39</w:t>
            </w:r>
          </w:p>
          <w:p w:rsidR="000C0368" w:rsidP="000C0368">
            <w:pPr>
              <w:bidi w:val="0"/>
              <w:jc w:val="center"/>
              <w:rPr>
                <w:rFonts w:ascii="Times New Roman" w:hAnsi="Times New Roman"/>
              </w:rPr>
            </w:pPr>
            <w:r>
              <w:rPr>
                <w:rFonts w:ascii="Times New Roman" w:hAnsi="Times New Roman"/>
              </w:rPr>
              <w:t>3,74</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Decentralizované agentúry</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76,6</w:t>
            </w:r>
          </w:p>
          <w:p w:rsidR="000C0368" w:rsidP="000C0368">
            <w:pPr>
              <w:bidi w:val="0"/>
              <w:jc w:val="center"/>
              <w:rPr>
                <w:rFonts w:ascii="Times New Roman" w:hAnsi="Times New Roman"/>
              </w:rPr>
            </w:pPr>
            <w:r>
              <w:rPr>
                <w:rFonts w:ascii="Times New Roman" w:hAnsi="Times New Roman"/>
              </w:rPr>
              <w:t>102,3</w:t>
            </w:r>
          </w:p>
          <w:p w:rsidR="000C0368" w:rsidP="000C0368">
            <w:pPr>
              <w:bidi w:val="0"/>
              <w:jc w:val="center"/>
              <w:rPr>
                <w:rFonts w:ascii="Times New Roman" w:hAnsi="Times New Roman"/>
              </w:rPr>
            </w:pPr>
            <w:r>
              <w:rPr>
                <w:rFonts w:ascii="Times New Roman" w:hAnsi="Times New Roman"/>
              </w:rPr>
              <w:t>112,6</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0,35</w:t>
            </w:r>
          </w:p>
          <w:p w:rsidR="000C0368" w:rsidP="000C0368">
            <w:pPr>
              <w:bidi w:val="0"/>
              <w:jc w:val="center"/>
              <w:rPr>
                <w:rFonts w:ascii="Times New Roman" w:hAnsi="Times New Roman"/>
              </w:rPr>
            </w:pPr>
            <w:r>
              <w:rPr>
                <w:rFonts w:ascii="Times New Roman" w:hAnsi="Times New Roman"/>
              </w:rPr>
              <w:t>0,52</w:t>
            </w:r>
          </w:p>
          <w:p w:rsidR="000C0368" w:rsidP="000C0368">
            <w:pPr>
              <w:bidi w:val="0"/>
              <w:jc w:val="center"/>
              <w:rPr>
                <w:rFonts w:ascii="Times New Roman" w:hAnsi="Times New Roman"/>
              </w:rPr>
            </w:pPr>
            <w:r>
              <w:rPr>
                <w:rFonts w:ascii="Times New Roman" w:hAnsi="Times New Roman"/>
              </w:rPr>
              <w:t>0,68</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Komunikačné činnosti</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75,2</w:t>
            </w:r>
          </w:p>
          <w:p w:rsidR="000C0368" w:rsidP="000C0368">
            <w:pPr>
              <w:bidi w:val="0"/>
              <w:jc w:val="center"/>
              <w:rPr>
                <w:rFonts w:ascii="Times New Roman" w:hAnsi="Times New Roman"/>
              </w:rPr>
            </w:pPr>
            <w:r>
              <w:rPr>
                <w:rFonts w:ascii="Times New Roman" w:hAnsi="Times New Roman"/>
              </w:rPr>
              <w:t>77,2</w:t>
            </w:r>
          </w:p>
          <w:p w:rsidR="000C0368" w:rsidP="000C0368">
            <w:pPr>
              <w:bidi w:val="0"/>
              <w:jc w:val="center"/>
              <w:rPr>
                <w:rFonts w:ascii="Times New Roman" w:hAnsi="Times New Roman"/>
              </w:rPr>
            </w:pPr>
            <w:r>
              <w:rPr>
                <w:rFonts w:ascii="Times New Roman" w:hAnsi="Times New Roman"/>
              </w:rPr>
              <w:t>89,6</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0,34</w:t>
            </w:r>
          </w:p>
          <w:p w:rsidR="000C0368" w:rsidP="000C0368">
            <w:pPr>
              <w:bidi w:val="0"/>
              <w:jc w:val="center"/>
              <w:rPr>
                <w:rFonts w:ascii="Times New Roman" w:hAnsi="Times New Roman"/>
              </w:rPr>
            </w:pPr>
            <w:r>
              <w:rPr>
                <w:rFonts w:ascii="Times New Roman" w:hAnsi="Times New Roman"/>
              </w:rPr>
              <w:t>0,39</w:t>
            </w:r>
          </w:p>
          <w:p w:rsidR="000C0368" w:rsidP="000C0368">
            <w:pPr>
              <w:bidi w:val="0"/>
              <w:jc w:val="center"/>
              <w:rPr>
                <w:rFonts w:ascii="Times New Roman" w:hAnsi="Times New Roman"/>
              </w:rPr>
            </w:pPr>
            <w:r>
              <w:rPr>
                <w:rFonts w:ascii="Times New Roman" w:hAnsi="Times New Roman"/>
              </w:rPr>
              <w:t>0,54</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0,4</w:t>
            </w:r>
          </w:p>
          <w:p w:rsidR="000C0368" w:rsidP="000C0368">
            <w:pPr>
              <w:bidi w:val="0"/>
              <w:jc w:val="center"/>
              <w:rPr>
                <w:rFonts w:ascii="Times New Roman" w:hAnsi="Times New Roman"/>
              </w:rPr>
            </w:pPr>
            <w:r>
              <w:rPr>
                <w:rFonts w:ascii="Times New Roman" w:hAnsi="Times New Roman"/>
              </w:rPr>
              <w:t>0,6</w:t>
            </w:r>
          </w:p>
          <w:p w:rsidR="000C0368" w:rsidP="000C0368">
            <w:pPr>
              <w:bidi w:val="0"/>
              <w:jc w:val="center"/>
              <w:rPr>
                <w:rFonts w:ascii="Times New Roman" w:hAnsi="Times New Roman"/>
              </w:rPr>
            </w:pPr>
            <w:r>
              <w:rPr>
                <w:rFonts w:ascii="Times New Roman" w:hAnsi="Times New Roman"/>
              </w:rPr>
              <w:t>0,7</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rPr>
            </w:pPr>
            <w:r>
              <w:rPr>
                <w:rFonts w:ascii="Times New Roman" w:hAnsi="Times New Roman"/>
                <w:b/>
              </w:rPr>
              <w:t>1,18</w:t>
            </w:r>
          </w:p>
          <w:p w:rsidR="000C0368" w:rsidP="000C0368">
            <w:pPr>
              <w:bidi w:val="0"/>
              <w:jc w:val="center"/>
              <w:rPr>
                <w:rFonts w:ascii="Times New Roman" w:hAnsi="Times New Roman"/>
                <w:b/>
              </w:rPr>
            </w:pPr>
            <w:r>
              <w:rPr>
                <w:rFonts w:ascii="Times New Roman" w:hAnsi="Times New Roman"/>
                <w:b/>
              </w:rPr>
              <w:t>1,54</w:t>
            </w:r>
          </w:p>
          <w:p w:rsidR="000C0368" w:rsidP="000C0368">
            <w:pPr>
              <w:bidi w:val="0"/>
              <w:jc w:val="center"/>
              <w:rPr>
                <w:rFonts w:ascii="Times New Roman" w:hAnsi="Times New Roman"/>
                <w:b/>
              </w:rPr>
            </w:pPr>
            <w:r>
              <w:rPr>
                <w:rFonts w:ascii="Times New Roman" w:hAnsi="Times New Roman"/>
                <w:b/>
              </w:rPr>
              <w:t>1,30</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b/>
              </w:rPr>
            </w:pPr>
            <w:r>
              <w:rPr>
                <w:rFonts w:ascii="Times New Roman" w:hAnsi="Times New Roman"/>
                <w:b/>
              </w:rPr>
              <w:t>4 – EÚ AKO GLOBÁLNY PARTNER</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7 291,8</w:t>
            </w:r>
          </w:p>
          <w:p w:rsidR="000C0368" w:rsidP="000C0368">
            <w:pPr>
              <w:bidi w:val="0"/>
              <w:jc w:val="center"/>
              <w:rPr>
                <w:rFonts w:ascii="Times New Roman" w:hAnsi="Times New Roman"/>
              </w:rPr>
            </w:pPr>
            <w:r>
              <w:rPr>
                <w:rFonts w:ascii="Times New Roman" w:hAnsi="Times New Roman"/>
              </w:rPr>
              <w:t>7 310,7</w:t>
            </w:r>
          </w:p>
          <w:p w:rsidR="000C0368" w:rsidP="000C0368">
            <w:pPr>
              <w:bidi w:val="0"/>
              <w:jc w:val="center"/>
              <w:rPr>
                <w:rFonts w:ascii="Times New Roman" w:hAnsi="Times New Roman"/>
              </w:rPr>
            </w:pPr>
            <w:r>
              <w:rPr>
                <w:rFonts w:ascii="Times New Roman" w:hAnsi="Times New Roman"/>
              </w:rPr>
              <w:t>7 982,9</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33,22</w:t>
            </w:r>
          </w:p>
          <w:p w:rsidR="000C0368" w:rsidP="000C0368">
            <w:pPr>
              <w:bidi w:val="0"/>
              <w:jc w:val="center"/>
              <w:rPr>
                <w:rFonts w:ascii="Times New Roman" w:hAnsi="Times New Roman"/>
              </w:rPr>
            </w:pPr>
            <w:r>
              <w:rPr>
                <w:rFonts w:ascii="Times New Roman" w:hAnsi="Times New Roman"/>
              </w:rPr>
              <w:t>37,31</w:t>
            </w:r>
          </w:p>
          <w:p w:rsidR="000C0368" w:rsidP="000C0368">
            <w:pPr>
              <w:bidi w:val="0"/>
              <w:jc w:val="center"/>
              <w:rPr>
                <w:rFonts w:ascii="Times New Roman" w:hAnsi="Times New Roman"/>
              </w:rPr>
            </w:pPr>
            <w:r>
              <w:rPr>
                <w:rFonts w:ascii="Times New Roman" w:hAnsi="Times New Roman"/>
              </w:rPr>
              <w:t>47,99</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9,9</w:t>
            </w:r>
          </w:p>
          <w:p w:rsidR="000C0368" w:rsidP="000C0368">
            <w:pPr>
              <w:bidi w:val="0"/>
              <w:jc w:val="center"/>
              <w:rPr>
                <w:rFonts w:ascii="Times New Roman" w:hAnsi="Times New Roman"/>
              </w:rPr>
            </w:pPr>
            <w:r>
              <w:rPr>
                <w:rFonts w:ascii="Times New Roman" w:hAnsi="Times New Roman"/>
              </w:rPr>
              <w:t>11,5</w:t>
            </w:r>
          </w:p>
          <w:p w:rsidR="000C0368" w:rsidP="000C0368">
            <w:pPr>
              <w:bidi w:val="0"/>
              <w:jc w:val="center"/>
              <w:rPr>
                <w:rFonts w:ascii="Times New Roman" w:hAnsi="Times New Roman"/>
              </w:rPr>
            </w:pPr>
            <w:r>
              <w:rPr>
                <w:rFonts w:ascii="Times New Roman" w:hAnsi="Times New Roman"/>
              </w:rPr>
              <w:t>26,6</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0,30</w:t>
            </w:r>
          </w:p>
          <w:p w:rsidR="000C0368" w:rsidP="000C0368">
            <w:pPr>
              <w:bidi w:val="0"/>
              <w:jc w:val="center"/>
              <w:rPr>
                <w:rFonts w:ascii="Times New Roman" w:hAnsi="Times New Roman"/>
              </w:rPr>
            </w:pPr>
            <w:r>
              <w:rPr>
                <w:rFonts w:ascii="Times New Roman" w:hAnsi="Times New Roman"/>
              </w:rPr>
              <w:t>0,31</w:t>
            </w:r>
          </w:p>
          <w:p w:rsidR="000C0368" w:rsidP="000C0368">
            <w:pPr>
              <w:bidi w:val="0"/>
              <w:jc w:val="center"/>
              <w:rPr>
                <w:rFonts w:ascii="Times New Roman" w:hAnsi="Times New Roman"/>
              </w:rPr>
            </w:pPr>
            <w:r>
              <w:rPr>
                <w:rFonts w:ascii="Times New Roman" w:hAnsi="Times New Roman"/>
              </w:rPr>
              <w:t>0,55</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Nástroj predvstupovej pomoci</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2 510,5</w:t>
            </w:r>
          </w:p>
          <w:p w:rsidR="000C0368" w:rsidP="000C0368">
            <w:pPr>
              <w:bidi w:val="0"/>
              <w:jc w:val="center"/>
              <w:rPr>
                <w:rFonts w:ascii="Times New Roman" w:hAnsi="Times New Roman"/>
              </w:rPr>
            </w:pPr>
            <w:r>
              <w:rPr>
                <w:rFonts w:ascii="Times New Roman" w:hAnsi="Times New Roman"/>
              </w:rPr>
              <w:t>2 126,7</w:t>
            </w:r>
          </w:p>
          <w:p w:rsidR="000C0368" w:rsidP="000C0368">
            <w:pPr>
              <w:bidi w:val="0"/>
              <w:jc w:val="center"/>
              <w:rPr>
                <w:rFonts w:ascii="Times New Roman" w:hAnsi="Times New Roman"/>
              </w:rPr>
            </w:pPr>
            <w:r>
              <w:rPr>
                <w:rFonts w:ascii="Times New Roman" w:hAnsi="Times New Roman"/>
              </w:rPr>
              <w:t>2 203,2</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11,44</w:t>
            </w:r>
          </w:p>
          <w:p w:rsidR="000C0368" w:rsidP="000C0368">
            <w:pPr>
              <w:bidi w:val="0"/>
              <w:jc w:val="center"/>
              <w:rPr>
                <w:rFonts w:ascii="Times New Roman" w:hAnsi="Times New Roman"/>
              </w:rPr>
            </w:pPr>
            <w:r>
              <w:rPr>
                <w:rFonts w:ascii="Times New Roman" w:hAnsi="Times New Roman"/>
              </w:rPr>
              <w:t>10,85</w:t>
            </w:r>
          </w:p>
          <w:p w:rsidR="000C0368" w:rsidP="000C0368">
            <w:pPr>
              <w:bidi w:val="0"/>
              <w:jc w:val="center"/>
              <w:rPr>
                <w:rFonts w:ascii="Times New Roman" w:hAnsi="Times New Roman"/>
              </w:rPr>
            </w:pPr>
            <w:r>
              <w:rPr>
                <w:rFonts w:ascii="Times New Roman" w:hAnsi="Times New Roman"/>
              </w:rPr>
              <w:t>13,25</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9,9</w:t>
            </w:r>
          </w:p>
          <w:p w:rsidR="000C0368" w:rsidP="000C0368">
            <w:pPr>
              <w:bidi w:val="0"/>
              <w:jc w:val="center"/>
              <w:rPr>
                <w:rFonts w:ascii="Times New Roman" w:hAnsi="Times New Roman"/>
              </w:rPr>
            </w:pPr>
            <w:r>
              <w:rPr>
                <w:rFonts w:ascii="Times New Roman" w:hAnsi="Times New Roman"/>
              </w:rPr>
              <w:t>11,5</w:t>
            </w:r>
          </w:p>
          <w:p w:rsidR="000C0368" w:rsidP="000C0368">
            <w:pPr>
              <w:bidi w:val="0"/>
              <w:jc w:val="center"/>
              <w:rPr>
                <w:rFonts w:ascii="Times New Roman" w:hAnsi="Times New Roman"/>
              </w:rPr>
            </w:pPr>
            <w:r>
              <w:rPr>
                <w:rFonts w:ascii="Times New Roman" w:hAnsi="Times New Roman"/>
              </w:rPr>
              <w:t>26,6</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Cs/>
              </w:rPr>
            </w:pPr>
            <w:r>
              <w:rPr>
                <w:rFonts w:ascii="Times New Roman" w:hAnsi="Times New Roman"/>
                <w:bCs/>
              </w:rPr>
              <w:t>0,87</w:t>
            </w:r>
          </w:p>
          <w:p w:rsidR="000C0368" w:rsidP="000C0368">
            <w:pPr>
              <w:bidi w:val="0"/>
              <w:jc w:val="center"/>
              <w:rPr>
                <w:rFonts w:ascii="Times New Roman" w:hAnsi="Times New Roman"/>
                <w:b/>
              </w:rPr>
            </w:pPr>
            <w:r>
              <w:rPr>
                <w:rFonts w:ascii="Times New Roman" w:hAnsi="Times New Roman"/>
                <w:b/>
              </w:rPr>
              <w:t>1,06</w:t>
            </w:r>
          </w:p>
          <w:p w:rsidR="000C0368" w:rsidP="000C0368">
            <w:pPr>
              <w:bidi w:val="0"/>
              <w:jc w:val="center"/>
              <w:rPr>
                <w:rFonts w:ascii="Times New Roman" w:hAnsi="Times New Roman"/>
                <w:b/>
              </w:rPr>
            </w:pPr>
            <w:r>
              <w:rPr>
                <w:rFonts w:ascii="Times New Roman" w:hAnsi="Times New Roman"/>
                <w:b/>
              </w:rPr>
              <w:t>2,01</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i/>
              </w:rPr>
            </w:pPr>
            <w:r>
              <w:rPr>
                <w:rFonts w:ascii="Times New Roman" w:hAnsi="Times New Roman"/>
                <w:i/>
              </w:rPr>
              <w:t>Ostatné programy a nástroje</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4 781,3</w:t>
            </w:r>
          </w:p>
          <w:p w:rsidR="000C0368" w:rsidP="000C0368">
            <w:pPr>
              <w:bidi w:val="0"/>
              <w:jc w:val="center"/>
              <w:rPr>
                <w:rFonts w:ascii="Times New Roman" w:hAnsi="Times New Roman"/>
              </w:rPr>
            </w:pPr>
            <w:r>
              <w:rPr>
                <w:rFonts w:ascii="Times New Roman" w:hAnsi="Times New Roman"/>
              </w:rPr>
              <w:t>5 184,0</w:t>
            </w:r>
          </w:p>
          <w:p w:rsidR="000C0368" w:rsidP="000C0368">
            <w:pPr>
              <w:bidi w:val="0"/>
              <w:jc w:val="center"/>
              <w:rPr>
                <w:rFonts w:ascii="Times New Roman" w:hAnsi="Times New Roman"/>
              </w:rPr>
            </w:pPr>
            <w:r>
              <w:rPr>
                <w:rFonts w:ascii="Times New Roman" w:hAnsi="Times New Roman"/>
              </w:rPr>
              <w:t>5 779,8</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21,78</w:t>
            </w:r>
          </w:p>
          <w:p w:rsidR="000C0368" w:rsidP="000C0368">
            <w:pPr>
              <w:bidi w:val="0"/>
              <w:jc w:val="center"/>
              <w:rPr>
                <w:rFonts w:ascii="Times New Roman" w:hAnsi="Times New Roman"/>
              </w:rPr>
            </w:pPr>
            <w:r>
              <w:rPr>
                <w:rFonts w:ascii="Times New Roman" w:hAnsi="Times New Roman"/>
              </w:rPr>
              <w:t>26,46</w:t>
            </w:r>
          </w:p>
          <w:p w:rsidR="000C0368" w:rsidP="000C0368">
            <w:pPr>
              <w:bidi w:val="0"/>
              <w:jc w:val="center"/>
              <w:rPr>
                <w:rFonts w:ascii="Times New Roman" w:hAnsi="Times New Roman"/>
              </w:rPr>
            </w:pPr>
            <w:r>
              <w:rPr>
                <w:rFonts w:ascii="Times New Roman" w:hAnsi="Times New Roman"/>
              </w:rPr>
              <w:t>34,75</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b/>
              </w:rPr>
            </w:pPr>
            <w:r>
              <w:rPr>
                <w:rFonts w:ascii="Times New Roman" w:hAnsi="Times New Roman"/>
                <w:b/>
              </w:rPr>
              <w:t>5 - ADMINISTRATÍVA</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6 805,6</w:t>
            </w:r>
          </w:p>
          <w:p w:rsidR="000C0368" w:rsidP="000C0368">
            <w:pPr>
              <w:bidi w:val="0"/>
              <w:jc w:val="center"/>
              <w:rPr>
                <w:rFonts w:ascii="Times New Roman" w:hAnsi="Times New Roman"/>
              </w:rPr>
            </w:pPr>
            <w:r>
              <w:rPr>
                <w:rFonts w:ascii="Times New Roman" w:hAnsi="Times New Roman"/>
              </w:rPr>
              <w:t>7 292,5</w:t>
            </w:r>
          </w:p>
          <w:p w:rsidR="000C0368" w:rsidP="000C0368">
            <w:pPr>
              <w:bidi w:val="0"/>
              <w:jc w:val="center"/>
              <w:rPr>
                <w:rFonts w:ascii="Times New Roman" w:hAnsi="Times New Roman"/>
              </w:rPr>
            </w:pPr>
            <w:r>
              <w:rPr>
                <w:rFonts w:ascii="Times New Roman" w:hAnsi="Times New Roman"/>
              </w:rPr>
              <w:t>7 615,3</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31,01</w:t>
            </w:r>
          </w:p>
          <w:p w:rsidR="000C0368" w:rsidP="000C0368">
            <w:pPr>
              <w:bidi w:val="0"/>
              <w:jc w:val="center"/>
              <w:rPr>
                <w:rFonts w:ascii="Times New Roman" w:hAnsi="Times New Roman"/>
              </w:rPr>
            </w:pPr>
            <w:r>
              <w:rPr>
                <w:rFonts w:ascii="Times New Roman" w:hAnsi="Times New Roman"/>
              </w:rPr>
              <w:t>37,22</w:t>
            </w:r>
          </w:p>
          <w:p w:rsidR="000C0368" w:rsidP="000C0368">
            <w:pPr>
              <w:bidi w:val="0"/>
              <w:jc w:val="center"/>
              <w:rPr>
                <w:rFonts w:ascii="Times New Roman" w:hAnsi="Times New Roman"/>
              </w:rPr>
            </w:pPr>
            <w:r>
              <w:rPr>
                <w:rFonts w:ascii="Times New Roman" w:hAnsi="Times New Roman"/>
              </w:rPr>
              <w:t>45,78</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9,6</w:t>
            </w:r>
          </w:p>
          <w:p w:rsidR="000C0368" w:rsidP="000C0368">
            <w:pPr>
              <w:bidi w:val="0"/>
              <w:jc w:val="center"/>
              <w:rPr>
                <w:rFonts w:ascii="Times New Roman" w:hAnsi="Times New Roman"/>
              </w:rPr>
            </w:pPr>
            <w:r>
              <w:rPr>
                <w:rFonts w:ascii="Times New Roman" w:hAnsi="Times New Roman"/>
              </w:rPr>
              <w:t>9,4</w:t>
            </w:r>
          </w:p>
          <w:p w:rsidR="000C0368" w:rsidP="000C0368">
            <w:pPr>
              <w:bidi w:val="0"/>
              <w:jc w:val="center"/>
              <w:rPr>
                <w:rFonts w:ascii="Times New Roman" w:hAnsi="Times New Roman"/>
              </w:rPr>
            </w:pPr>
            <w:r>
              <w:rPr>
                <w:rFonts w:ascii="Times New Roman" w:hAnsi="Times New Roman"/>
              </w:rPr>
              <w:t>10,8</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0,31</w:t>
            </w:r>
          </w:p>
          <w:p w:rsidR="000C0368" w:rsidP="000C0368">
            <w:pPr>
              <w:bidi w:val="0"/>
              <w:jc w:val="center"/>
              <w:rPr>
                <w:rFonts w:ascii="Times New Roman" w:hAnsi="Times New Roman"/>
              </w:rPr>
            </w:pPr>
            <w:r>
              <w:rPr>
                <w:rFonts w:ascii="Times New Roman" w:hAnsi="Times New Roman"/>
              </w:rPr>
              <w:t>0,25</w:t>
            </w:r>
          </w:p>
          <w:p w:rsidR="000C0368" w:rsidP="000C0368">
            <w:pPr>
              <w:bidi w:val="0"/>
              <w:jc w:val="center"/>
              <w:rPr>
                <w:rFonts w:ascii="Times New Roman" w:hAnsi="Times New Roman"/>
              </w:rPr>
            </w:pPr>
            <w:r>
              <w:rPr>
                <w:rFonts w:ascii="Times New Roman" w:hAnsi="Times New Roman"/>
              </w:rPr>
              <w:t>0,24</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b/>
              </w:rPr>
            </w:pPr>
            <w:r>
              <w:rPr>
                <w:rFonts w:ascii="Times New Roman" w:hAnsi="Times New Roman"/>
                <w:b/>
              </w:rPr>
              <w:t xml:space="preserve">KOMPENZÁCIE </w:t>
            </w:r>
          </w:p>
          <w:p w:rsidR="000C0368" w:rsidP="000C0368">
            <w:pPr>
              <w:bidi w:val="0"/>
              <w:rPr>
                <w:rFonts w:ascii="Times New Roman" w:hAnsi="Times New Roman"/>
                <w:b/>
              </w:rPr>
            </w:pPr>
            <w:r>
              <w:rPr>
                <w:rFonts w:ascii="Times New Roman" w:hAnsi="Times New Roman"/>
                <w:bCs/>
              </w:rPr>
              <w:t>(pre Rumunsko a Bulharsko)</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444,6</w:t>
            </w:r>
          </w:p>
          <w:p w:rsidR="000C0368" w:rsidP="000C0368">
            <w:pPr>
              <w:bidi w:val="0"/>
              <w:jc w:val="center"/>
              <w:rPr>
                <w:rFonts w:ascii="Times New Roman" w:hAnsi="Times New Roman"/>
              </w:rPr>
            </w:pPr>
            <w:r>
              <w:rPr>
                <w:rFonts w:ascii="Times New Roman" w:hAnsi="Times New Roman"/>
              </w:rPr>
              <w:t>206,6</w:t>
            </w:r>
          </w:p>
          <w:p w:rsidR="000C0368" w:rsidP="000C0368">
            <w:pPr>
              <w:bidi w:val="0"/>
              <w:jc w:val="center"/>
              <w:rPr>
                <w:rFonts w:ascii="Times New Roman" w:hAnsi="Times New Roman"/>
              </w:rPr>
            </w:pPr>
            <w:r>
              <w:rPr>
                <w:rFonts w:ascii="Times New Roman" w:hAnsi="Times New Roman"/>
              </w:rPr>
              <w:t>209,1</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2,03</w:t>
            </w:r>
          </w:p>
          <w:p w:rsidR="000C0368" w:rsidP="000C0368">
            <w:pPr>
              <w:bidi w:val="0"/>
              <w:jc w:val="center"/>
              <w:rPr>
                <w:rFonts w:ascii="Times New Roman" w:hAnsi="Times New Roman"/>
              </w:rPr>
            </w:pPr>
            <w:r>
              <w:rPr>
                <w:rFonts w:ascii="Times New Roman" w:hAnsi="Times New Roman"/>
              </w:rPr>
              <w:t>1,05</w:t>
            </w:r>
          </w:p>
          <w:p w:rsidR="000C0368" w:rsidP="000C0368">
            <w:pPr>
              <w:bidi w:val="0"/>
              <w:jc w:val="center"/>
              <w:rPr>
                <w:rFonts w:ascii="Times New Roman" w:hAnsi="Times New Roman"/>
              </w:rPr>
            </w:pPr>
            <w:r>
              <w:rPr>
                <w:rFonts w:ascii="Times New Roman" w:hAnsi="Times New Roman"/>
              </w:rPr>
              <w:t>1,26</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p w:rsidR="000C0368" w:rsidP="000C0368">
            <w:pPr>
              <w:bidi w:val="0"/>
              <w:jc w:val="center"/>
              <w:rPr>
                <w:rFonts w:ascii="Times New Roman" w:hAnsi="Times New Roman"/>
              </w:rPr>
            </w:pPr>
            <w:r>
              <w:rPr>
                <w:rFonts w:ascii="Times New Roman" w:hAnsi="Times New Roman"/>
              </w:rPr>
              <w:t>0,0</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p w:rsidR="000C0368" w:rsidP="000C0368">
            <w:pPr>
              <w:bidi w:val="0"/>
              <w:jc w:val="center"/>
              <w:rPr>
                <w:rFonts w:ascii="Times New Roman" w:hAnsi="Times New Roman"/>
              </w:rPr>
            </w:pPr>
            <w:r>
              <w:rPr>
                <w:rFonts w:ascii="Times New Roman" w:hAnsi="Times New Roman"/>
              </w:rPr>
              <w:t>0,00</w:t>
            </w:r>
          </w:p>
        </w:tc>
      </w:tr>
      <w:tr>
        <w:tblPrEx>
          <w:tblW w:w="9468" w:type="dxa"/>
          <w:tblLook w:val="04A0"/>
        </w:tblPrEx>
        <w:tc>
          <w:tcPr>
            <w:tcW w:w="35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rPr>
                <w:rFonts w:ascii="Times New Roman" w:hAnsi="Times New Roman"/>
                <w:b/>
              </w:rPr>
            </w:pPr>
            <w:r>
              <w:rPr>
                <w:rFonts w:ascii="Times New Roman" w:hAnsi="Times New Roman"/>
                <w:b/>
              </w:rPr>
              <w:t>CELKOVÉ VÝDAVKY</w:t>
            </w:r>
          </w:p>
        </w:tc>
        <w:tc>
          <w:tcPr>
            <w:tcW w:w="737"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2007</w:t>
            </w:r>
          </w:p>
          <w:p w:rsidR="000C0368" w:rsidP="000C0368">
            <w:pPr>
              <w:bidi w:val="0"/>
              <w:jc w:val="center"/>
              <w:rPr>
                <w:rFonts w:ascii="Times New Roman" w:hAnsi="Times New Roman"/>
              </w:rPr>
            </w:pPr>
            <w:r>
              <w:rPr>
                <w:rFonts w:ascii="Times New Roman" w:hAnsi="Times New Roman"/>
              </w:rPr>
              <w:t>2008</w:t>
            </w:r>
          </w:p>
          <w:p w:rsidR="000C0368" w:rsidP="000C0368">
            <w:pPr>
              <w:bidi w:val="0"/>
              <w:jc w:val="center"/>
              <w:rPr>
                <w:rFonts w:ascii="Times New Roman" w:hAnsi="Times New Roman"/>
              </w:rPr>
            </w:pPr>
            <w:r>
              <w:rPr>
                <w:rFonts w:ascii="Times New Roman" w:hAnsi="Times New Roman"/>
              </w:rPr>
              <w:t>2009</w:t>
            </w:r>
          </w:p>
        </w:tc>
        <w:tc>
          <w:tcPr>
            <w:tcW w:w="122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113 953,3</w:t>
            </w:r>
          </w:p>
          <w:p w:rsidR="000C0368" w:rsidP="000C0368">
            <w:pPr>
              <w:bidi w:val="0"/>
              <w:jc w:val="center"/>
              <w:rPr>
                <w:rFonts w:ascii="Times New Roman" w:hAnsi="Times New Roman"/>
              </w:rPr>
            </w:pPr>
            <w:r>
              <w:rPr>
                <w:rFonts w:ascii="Times New Roman" w:hAnsi="Times New Roman"/>
              </w:rPr>
              <w:t>116 544,5</w:t>
            </w:r>
          </w:p>
          <w:p w:rsidR="000C0368" w:rsidP="000C0368">
            <w:pPr>
              <w:bidi w:val="0"/>
              <w:jc w:val="center"/>
              <w:rPr>
                <w:rFonts w:ascii="Times New Roman" w:hAnsi="Times New Roman"/>
              </w:rPr>
            </w:pPr>
            <w:r>
              <w:rPr>
                <w:rFonts w:ascii="Times New Roman" w:hAnsi="Times New Roman"/>
              </w:rPr>
              <w:t>118 361,0</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519,2</w:t>
            </w:r>
          </w:p>
          <w:p w:rsidR="000C0368" w:rsidP="000C0368">
            <w:pPr>
              <w:bidi w:val="0"/>
              <w:jc w:val="center"/>
              <w:rPr>
                <w:rFonts w:ascii="Times New Roman" w:hAnsi="Times New Roman"/>
              </w:rPr>
            </w:pPr>
            <w:r>
              <w:rPr>
                <w:rFonts w:ascii="Times New Roman" w:hAnsi="Times New Roman"/>
              </w:rPr>
              <w:t>594,9</w:t>
            </w:r>
          </w:p>
          <w:p w:rsidR="000C0368" w:rsidP="000C0368">
            <w:pPr>
              <w:bidi w:val="0"/>
              <w:jc w:val="center"/>
              <w:rPr>
                <w:rFonts w:ascii="Times New Roman" w:hAnsi="Times New Roman"/>
              </w:rPr>
            </w:pPr>
            <w:r>
              <w:rPr>
                <w:rFonts w:ascii="Times New Roman" w:hAnsi="Times New Roman"/>
              </w:rPr>
              <w:t>711,6</w:t>
            </w:r>
          </w:p>
        </w:tc>
        <w:tc>
          <w:tcPr>
            <w:tcW w:w="1163"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rPr>
            </w:pPr>
            <w:r>
              <w:rPr>
                <w:rFonts w:ascii="Times New Roman" w:hAnsi="Times New Roman"/>
              </w:rPr>
              <w:t>1 082,6</w:t>
            </w:r>
          </w:p>
          <w:p w:rsidR="000C0368" w:rsidP="000C0368">
            <w:pPr>
              <w:bidi w:val="0"/>
              <w:jc w:val="center"/>
              <w:rPr>
                <w:rFonts w:ascii="Times New Roman" w:hAnsi="Times New Roman"/>
              </w:rPr>
            </w:pPr>
            <w:r>
              <w:rPr>
                <w:rFonts w:ascii="Times New Roman" w:hAnsi="Times New Roman"/>
              </w:rPr>
              <w:t>1 241,8</w:t>
            </w:r>
          </w:p>
          <w:p w:rsidR="000C0368" w:rsidP="000C0368">
            <w:pPr>
              <w:bidi w:val="0"/>
              <w:jc w:val="center"/>
              <w:rPr>
                <w:rFonts w:ascii="Times New Roman" w:hAnsi="Times New Roman"/>
              </w:rPr>
            </w:pPr>
            <w:r>
              <w:rPr>
                <w:rFonts w:ascii="Times New Roman" w:hAnsi="Times New Roman"/>
              </w:rPr>
              <w:t>1 192,4</w:t>
            </w:r>
          </w:p>
        </w:tc>
        <w:tc>
          <w:tcPr>
            <w:tcW w:w="1472" w:type="dxa"/>
            <w:tcBorders>
              <w:top w:val="single" w:sz="4" w:space="0" w:color="auto"/>
              <w:left w:val="single" w:sz="4" w:space="0" w:color="auto"/>
              <w:bottom w:val="single" w:sz="4" w:space="0" w:color="auto"/>
              <w:right w:val="single" w:sz="4" w:space="0" w:color="auto"/>
            </w:tcBorders>
            <w:textDirection w:val="lrTb"/>
            <w:vAlign w:val="top"/>
          </w:tcPr>
          <w:p w:rsidR="000C0368" w:rsidP="000C0368">
            <w:pPr>
              <w:bidi w:val="0"/>
              <w:jc w:val="center"/>
              <w:rPr>
                <w:rFonts w:ascii="Times New Roman" w:hAnsi="Times New Roman"/>
                <w:b/>
                <w:bCs/>
              </w:rPr>
            </w:pPr>
            <w:r>
              <w:rPr>
                <w:rFonts w:ascii="Times New Roman" w:hAnsi="Times New Roman"/>
                <w:b/>
                <w:bCs/>
              </w:rPr>
              <w:t>2,09</w:t>
            </w:r>
          </w:p>
          <w:p w:rsidR="000C0368" w:rsidP="000C0368">
            <w:pPr>
              <w:bidi w:val="0"/>
              <w:jc w:val="center"/>
              <w:rPr>
                <w:rFonts w:ascii="Times New Roman" w:hAnsi="Times New Roman"/>
                <w:b/>
                <w:bCs/>
              </w:rPr>
            </w:pPr>
            <w:r>
              <w:rPr>
                <w:rFonts w:ascii="Times New Roman" w:hAnsi="Times New Roman"/>
                <w:b/>
                <w:bCs/>
              </w:rPr>
              <w:t>2,09</w:t>
            </w:r>
          </w:p>
          <w:p w:rsidR="000C0368" w:rsidP="000C0368">
            <w:pPr>
              <w:bidi w:val="0"/>
              <w:jc w:val="center"/>
              <w:rPr>
                <w:rFonts w:ascii="Times New Roman" w:hAnsi="Times New Roman"/>
                <w:b/>
                <w:bCs/>
              </w:rPr>
            </w:pPr>
            <w:r>
              <w:rPr>
                <w:rFonts w:ascii="Times New Roman" w:hAnsi="Times New Roman"/>
                <w:b/>
                <w:bCs/>
              </w:rPr>
              <w:t>1,68</w:t>
            </w:r>
          </w:p>
        </w:tc>
      </w:tr>
    </w:tbl>
    <w:p w:rsidR="000C0368" w:rsidP="000C0368">
      <w:pPr>
        <w:bidi w:val="0"/>
        <w:rPr>
          <w:rFonts w:ascii="Times New Roman" w:hAnsi="Times New Roman"/>
        </w:rPr>
      </w:pPr>
    </w:p>
    <w:p w:rsidR="000C0368" w:rsidP="000C0368">
      <w:pPr>
        <w:bidi w:val="0"/>
        <w:rPr>
          <w:rFonts w:ascii="Times New Roman" w:hAnsi="Times New Roman"/>
        </w:rPr>
      </w:pPr>
      <w:r w:rsidRPr="00DF43E8">
        <w:rPr>
          <w:rFonts w:ascii="Times New Roman" w:hAnsi="Times New Roman"/>
          <w:b/>
          <w:bCs/>
          <w:color w:val="000000"/>
        </w:rPr>
        <w:t>Zdroj</w:t>
      </w:r>
      <w:r w:rsidRPr="00DF43E8">
        <w:rPr>
          <w:rFonts w:ascii="Times New Roman" w:hAnsi="Times New Roman"/>
          <w:color w:val="000000"/>
        </w:rPr>
        <w:t xml:space="preserve">:  Finančná správa Európskej komisie za rok </w:t>
      </w:r>
      <w:smartTag w:uri="urn:schemas-microsoft-com:office:smarttags" w:element="metricconverter">
        <w:smartTagPr>
          <w:attr w:name="ProductID" w:val="2009 a"/>
        </w:smartTagPr>
        <w:r w:rsidRPr="00DF43E8">
          <w:rPr>
            <w:rFonts w:ascii="Times New Roman" w:hAnsi="Times New Roman"/>
            <w:color w:val="000000"/>
          </w:rPr>
          <w:t>2009 a</w:t>
        </w:r>
      </w:smartTag>
      <w:r w:rsidRPr="00DF43E8">
        <w:rPr>
          <w:rFonts w:ascii="Times New Roman" w:hAnsi="Times New Roman"/>
          <w:color w:val="000000"/>
        </w:rPr>
        <w:t xml:space="preserve"> prepočty MZV SR</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093"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EE"/>
    <w:family w:val="auto"/>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68" w:rsidP="000C036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C0368" w:rsidP="000C036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235"/>
    <w:multiLevelType w:val="hybridMultilevel"/>
    <w:tmpl w:val="0E540FE0"/>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2FF2BAB"/>
    <w:multiLevelType w:val="hybridMultilevel"/>
    <w:tmpl w:val="CF9ABC0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39D59E0"/>
    <w:multiLevelType w:val="hybridMultilevel"/>
    <w:tmpl w:val="02EC8DC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78D5830"/>
    <w:multiLevelType w:val="hybridMultilevel"/>
    <w:tmpl w:val="CE5C519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4B4424"/>
    <w:multiLevelType w:val="hybridMultilevel"/>
    <w:tmpl w:val="C21071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0B114A"/>
    <w:multiLevelType w:val="hybridMultilevel"/>
    <w:tmpl w:val="E294D332"/>
    <w:lvl w:ilvl="0">
      <w:start w:val="0"/>
      <w:numFmt w:val="bullet"/>
      <w:lvlText w:val="-"/>
      <w:lvlJc w:val="left"/>
      <w:pPr>
        <w:tabs>
          <w:tab w:val="num" w:pos="1440"/>
        </w:tabs>
        <w:ind w:left="1440" w:hanging="360"/>
      </w:pPr>
      <w:rPr>
        <w:rFonts w:ascii="Arial" w:eastAsia="Times New Roman" w:hAnsi="Aria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1BF53237"/>
    <w:multiLevelType w:val="hybridMultilevel"/>
    <w:tmpl w:val="0E02E5C0"/>
    <w:lvl w:ilvl="0">
      <w:start w:val="0"/>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1EA8424C"/>
    <w:multiLevelType w:val="hybridMultilevel"/>
    <w:tmpl w:val="49F83908"/>
    <w:lvl w:ilvl="0">
      <w:start w:val="1"/>
      <w:numFmt w:val="bullet"/>
      <w:lvlText w:val="-"/>
      <w:lvlJc w:val="left"/>
      <w:pPr>
        <w:tabs>
          <w:tab w:val="num" w:pos="720"/>
        </w:tabs>
        <w:ind w:left="720" w:hanging="360"/>
      </w:pPr>
      <w:rPr>
        <w:rFonts w:ascii="Helvetica" w:eastAsia="Helvetica" w:hAnsi="Helvetica"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2035499B"/>
    <w:multiLevelType w:val="hybridMultilevel"/>
    <w:tmpl w:val="0DD6174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2387328D"/>
    <w:multiLevelType w:val="hybridMultilevel"/>
    <w:tmpl w:val="0AA836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B1B72D2"/>
    <w:multiLevelType w:val="hybridMultilevel"/>
    <w:tmpl w:val="8C8657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B936911"/>
    <w:multiLevelType w:val="hybridMultilevel"/>
    <w:tmpl w:val="12F006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0876BE0"/>
    <w:multiLevelType w:val="hybridMultilevel"/>
    <w:tmpl w:val="A9C80B5C"/>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4B658C0"/>
    <w:multiLevelType w:val="hybridMultilevel"/>
    <w:tmpl w:val="E7368DCC"/>
    <w:lvl w:ilvl="0">
      <w:start w:val="1"/>
      <w:numFmt w:val="bullet"/>
      <w:lvlText w:val="-"/>
      <w:lvlJc w:val="left"/>
      <w:pPr>
        <w:tabs>
          <w:tab w:val="num" w:pos="360"/>
        </w:tabs>
        <w:ind w:left="360" w:hanging="360"/>
      </w:pPr>
      <w:rPr>
        <w:rFonts w:ascii="Helvetica" w:eastAsia="Helvetica" w:hAnsi="Helvetica"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37696996"/>
    <w:multiLevelType w:val="singleLevel"/>
    <w:tmpl w:val="EEDADCA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rtl w:val="0"/>
        <w:cs w:val="0"/>
      </w:rPr>
    </w:lvl>
  </w:abstractNum>
  <w:abstractNum w:abstractNumId="15">
    <w:nsid w:val="388E5520"/>
    <w:multiLevelType w:val="hybridMultilevel"/>
    <w:tmpl w:val="0378545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3A3C5ED7"/>
    <w:multiLevelType w:val="hybridMultilevel"/>
    <w:tmpl w:val="7152F846"/>
    <w:lvl w:ilvl="0">
      <w:start w:val="1"/>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EEB7C71"/>
    <w:multiLevelType w:val="hybridMultilevel"/>
    <w:tmpl w:val="1A404818"/>
    <w:lvl w:ilvl="0">
      <w:start w:val="3"/>
      <w:numFmt w:val="bullet"/>
      <w:lvlText w:val=""/>
      <w:lvlJc w:val="left"/>
      <w:pPr>
        <w:tabs>
          <w:tab w:val="num" w:pos="360"/>
        </w:tabs>
        <w:ind w:left="360" w:hanging="360"/>
      </w:pPr>
      <w:rPr>
        <w:rFonts w:ascii="Symbol" w:eastAsia="Helvetica"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FE149AF"/>
    <w:multiLevelType w:val="multilevel"/>
    <w:tmpl w:val="DA06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2906214"/>
    <w:multiLevelType w:val="hybridMultilevel"/>
    <w:tmpl w:val="4E3CE6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4890D1D"/>
    <w:multiLevelType w:val="hybridMultilevel"/>
    <w:tmpl w:val="B844952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448D1CAE"/>
    <w:multiLevelType w:val="hybridMultilevel"/>
    <w:tmpl w:val="E9DE9682"/>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71C4FB5"/>
    <w:multiLevelType w:val="hybridMultilevel"/>
    <w:tmpl w:val="3E8871E6"/>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77C14FA"/>
    <w:multiLevelType w:val="hybridMultilevel"/>
    <w:tmpl w:val="DD406B34"/>
    <w:lvl w:ilvl="0">
      <w:start w:val="2"/>
      <w:numFmt w:val="upp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47C355D1"/>
    <w:multiLevelType w:val="hybridMultilevel"/>
    <w:tmpl w:val="BBC04D0E"/>
    <w:lvl w:ilvl="0">
      <w:start w:val="1"/>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1C64D1C"/>
    <w:multiLevelType w:val="singleLevel"/>
    <w:tmpl w:val="D2CED7EC"/>
    <w:lvl w:ilvl="0">
      <w:start w:val="2"/>
      <w:numFmt w:val="upperLetter"/>
      <w:lvlText w:val="%1. "/>
      <w:legacy w:legacy="1" w:legacySpace="0" w:legacyIndent="283"/>
      <w:lvlJc w:val="left"/>
      <w:pPr>
        <w:ind w:left="283" w:hanging="283"/>
      </w:pPr>
      <w:rPr>
        <w:rFonts w:cs="Times New Roman"/>
        <w:b w:val="0"/>
        <w:i w:val="0"/>
        <w:sz w:val="24"/>
        <w:rtl w:val="0"/>
        <w:cs w:val="0"/>
      </w:rPr>
    </w:lvl>
  </w:abstractNum>
  <w:abstractNum w:abstractNumId="26">
    <w:nsid w:val="5B55261B"/>
    <w:multiLevelType w:val="hybridMultilevel"/>
    <w:tmpl w:val="C548E04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D1D7B0B"/>
    <w:multiLevelType w:val="hybridMultilevel"/>
    <w:tmpl w:val="C43233F8"/>
    <w:lvl w:ilvl="0">
      <w:start w:val="1"/>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5DB06FCC"/>
    <w:multiLevelType w:val="hybridMultilevel"/>
    <w:tmpl w:val="7048DAF6"/>
    <w:lvl w:ilvl="0">
      <w:start w:val="1"/>
      <w:numFmt w:val="bullet"/>
      <w:lvlText w:val="-"/>
      <w:lvlJc w:val="left"/>
      <w:pPr>
        <w:tabs>
          <w:tab w:val="num" w:pos="360"/>
        </w:tabs>
        <w:ind w:left="360" w:hanging="360"/>
      </w:pPr>
      <w:rPr>
        <w:rFonts w:ascii="Helvetica" w:eastAsia="Helvetica" w:hAnsi="Helvetica"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5DD1571B"/>
    <w:multiLevelType w:val="hybridMultilevel"/>
    <w:tmpl w:val="B80AD25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657A4CF4"/>
    <w:multiLevelType w:val="hybridMultilevel"/>
    <w:tmpl w:val="6FC40AEC"/>
    <w:lvl w:ilvl="0">
      <w:start w:val="1"/>
      <w:numFmt w:val="bullet"/>
      <w:lvlText w:val=""/>
      <w:lvlJc w:val="left"/>
      <w:pPr>
        <w:tabs>
          <w:tab w:val="num" w:pos="360"/>
        </w:tabs>
        <w:ind w:left="360" w:hanging="360"/>
      </w:pPr>
      <w:rPr>
        <w:rFonts w:ascii="Wingdings" w:hAnsi="Wingdings" w:hint="default"/>
      </w:rPr>
    </w:lvl>
    <w:lvl w:ilvl="1">
      <w:start w:val="18"/>
      <w:numFmt w:val="bullet"/>
      <w:lvlText w:val="-"/>
      <w:lvlJc w:val="left"/>
      <w:pPr>
        <w:tabs>
          <w:tab w:val="num" w:pos="1080"/>
        </w:tabs>
        <w:ind w:left="1080" w:hanging="360"/>
      </w:pPr>
      <w:rPr>
        <w:rFonts w:ascii="Times New Roman" w:eastAsia="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6637230D"/>
    <w:multiLevelType w:val="hybridMultilevel"/>
    <w:tmpl w:val="6A10530C"/>
    <w:lvl w:ilvl="0">
      <w:start w:val="3"/>
      <w:numFmt w:val="decimal"/>
      <w:lvlText w:val="%1."/>
      <w:lvlJc w:val="left"/>
      <w:pPr>
        <w:tabs>
          <w:tab w:val="num" w:pos="6024"/>
        </w:tabs>
        <w:ind w:left="6024" w:hanging="360"/>
      </w:pPr>
      <w:rPr>
        <w:rFonts w:cs="Times New Roman" w:hint="default"/>
        <w:rtl w:val="0"/>
        <w:cs w:val="0"/>
      </w:rPr>
    </w:lvl>
    <w:lvl w:ilvl="1">
      <w:start w:val="1"/>
      <w:numFmt w:val="lowerLetter"/>
      <w:lvlText w:val="%2."/>
      <w:lvlJc w:val="left"/>
      <w:pPr>
        <w:tabs>
          <w:tab w:val="num" w:pos="6744"/>
        </w:tabs>
        <w:ind w:left="6744" w:hanging="360"/>
      </w:pPr>
      <w:rPr>
        <w:rFonts w:cs="Times New Roman"/>
        <w:rtl w:val="0"/>
        <w:cs w:val="0"/>
      </w:rPr>
    </w:lvl>
    <w:lvl w:ilvl="2">
      <w:start w:val="1"/>
      <w:numFmt w:val="lowerRoman"/>
      <w:lvlText w:val="%3."/>
      <w:lvlJc w:val="right"/>
      <w:pPr>
        <w:tabs>
          <w:tab w:val="num" w:pos="7464"/>
        </w:tabs>
        <w:ind w:left="7464" w:hanging="180"/>
      </w:pPr>
      <w:rPr>
        <w:rFonts w:cs="Times New Roman"/>
        <w:rtl w:val="0"/>
        <w:cs w:val="0"/>
      </w:rPr>
    </w:lvl>
    <w:lvl w:ilvl="3">
      <w:start w:val="1"/>
      <w:numFmt w:val="decimal"/>
      <w:lvlText w:val="%4."/>
      <w:lvlJc w:val="left"/>
      <w:pPr>
        <w:tabs>
          <w:tab w:val="num" w:pos="8184"/>
        </w:tabs>
        <w:ind w:left="8184" w:hanging="360"/>
      </w:pPr>
      <w:rPr>
        <w:rFonts w:cs="Times New Roman"/>
        <w:rtl w:val="0"/>
        <w:cs w:val="0"/>
      </w:rPr>
    </w:lvl>
    <w:lvl w:ilvl="4">
      <w:start w:val="1"/>
      <w:numFmt w:val="lowerLetter"/>
      <w:lvlText w:val="%5."/>
      <w:lvlJc w:val="left"/>
      <w:pPr>
        <w:tabs>
          <w:tab w:val="num" w:pos="8904"/>
        </w:tabs>
        <w:ind w:left="8904" w:hanging="360"/>
      </w:pPr>
      <w:rPr>
        <w:rFonts w:cs="Times New Roman"/>
        <w:rtl w:val="0"/>
        <w:cs w:val="0"/>
      </w:rPr>
    </w:lvl>
    <w:lvl w:ilvl="5">
      <w:start w:val="1"/>
      <w:numFmt w:val="lowerRoman"/>
      <w:lvlText w:val="%6."/>
      <w:lvlJc w:val="right"/>
      <w:pPr>
        <w:tabs>
          <w:tab w:val="num" w:pos="9624"/>
        </w:tabs>
        <w:ind w:left="9624" w:hanging="180"/>
      </w:pPr>
      <w:rPr>
        <w:rFonts w:cs="Times New Roman"/>
        <w:rtl w:val="0"/>
        <w:cs w:val="0"/>
      </w:rPr>
    </w:lvl>
    <w:lvl w:ilvl="6">
      <w:start w:val="1"/>
      <w:numFmt w:val="decimal"/>
      <w:lvlText w:val="%7."/>
      <w:lvlJc w:val="left"/>
      <w:pPr>
        <w:tabs>
          <w:tab w:val="num" w:pos="10344"/>
        </w:tabs>
        <w:ind w:left="10344" w:hanging="360"/>
      </w:pPr>
      <w:rPr>
        <w:rFonts w:cs="Times New Roman"/>
        <w:rtl w:val="0"/>
        <w:cs w:val="0"/>
      </w:rPr>
    </w:lvl>
    <w:lvl w:ilvl="7">
      <w:start w:val="1"/>
      <w:numFmt w:val="lowerLetter"/>
      <w:lvlText w:val="%8."/>
      <w:lvlJc w:val="left"/>
      <w:pPr>
        <w:tabs>
          <w:tab w:val="num" w:pos="11064"/>
        </w:tabs>
        <w:ind w:left="11064" w:hanging="360"/>
      </w:pPr>
      <w:rPr>
        <w:rFonts w:cs="Times New Roman"/>
        <w:rtl w:val="0"/>
        <w:cs w:val="0"/>
      </w:rPr>
    </w:lvl>
    <w:lvl w:ilvl="8">
      <w:start w:val="1"/>
      <w:numFmt w:val="lowerRoman"/>
      <w:lvlText w:val="%9."/>
      <w:lvlJc w:val="right"/>
      <w:pPr>
        <w:tabs>
          <w:tab w:val="num" w:pos="11784"/>
        </w:tabs>
        <w:ind w:left="11784" w:hanging="180"/>
      </w:pPr>
      <w:rPr>
        <w:rFonts w:cs="Times New Roman"/>
        <w:rtl w:val="0"/>
        <w:cs w:val="0"/>
      </w:rPr>
    </w:lvl>
  </w:abstractNum>
  <w:abstractNum w:abstractNumId="32">
    <w:nsid w:val="6E516CDB"/>
    <w:multiLevelType w:val="hybridMultilevel"/>
    <w:tmpl w:val="20CC9F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EED430C"/>
    <w:multiLevelType w:val="hybridMultilevel"/>
    <w:tmpl w:val="DC880AE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4790580"/>
    <w:multiLevelType w:val="hybridMultilevel"/>
    <w:tmpl w:val="585C2362"/>
    <w:lvl w:ilvl="0">
      <w:start w:val="1"/>
      <w:numFmt w:val="bullet"/>
      <w:lvlText w:val="-"/>
      <w:lvlJc w:val="left"/>
      <w:pPr>
        <w:tabs>
          <w:tab w:val="num" w:pos="360"/>
        </w:tabs>
        <w:ind w:left="360" w:hanging="360"/>
      </w:pPr>
      <w:rPr>
        <w:rFonts w:ascii="Helvetica" w:eastAsia="Helvetica" w:hAnsi="Helvetica"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75E07263"/>
    <w:multiLevelType w:val="hybridMultilevel"/>
    <w:tmpl w:val="0A60874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nsid w:val="795C7E2A"/>
    <w:multiLevelType w:val="hybridMultilevel"/>
    <w:tmpl w:val="B88ECD0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EBC3A4A"/>
    <w:multiLevelType w:val="hybridMultilevel"/>
    <w:tmpl w:val="C23AE66A"/>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5"/>
  </w:num>
  <w:num w:numId="3">
    <w:abstractNumId w:val="25"/>
    <w:lvlOverride w:ilvl="0">
      <w:lvl w:ilvl="0">
        <w:start w:val="1"/>
        <w:numFmt w:val="upperLetter"/>
        <w:lvlText w:val="%1. "/>
        <w:legacy w:legacy="1" w:legacySpace="0" w:legacyIndent="283"/>
        <w:lvlJc w:val="left"/>
        <w:pPr>
          <w:ind w:left="283" w:hanging="283"/>
        </w:pPr>
        <w:rPr>
          <w:rFonts w:cs="Times New Roman"/>
          <w:b w:val="0"/>
          <w:i w:val="0"/>
          <w:sz w:val="24"/>
          <w:rtl w:val="0"/>
          <w:cs w:val="0"/>
        </w:rPr>
      </w:lvl>
    </w:lvlOverride>
  </w:num>
  <w:num w:numId="4">
    <w:abstractNumId w:val="31"/>
  </w:num>
  <w:num w:numId="5">
    <w:abstractNumId w:val="3"/>
  </w:num>
  <w:num w:numId="6">
    <w:abstractNumId w:val="6"/>
  </w:num>
  <w:num w:numId="7">
    <w:abstractNumId w:val="27"/>
  </w:num>
  <w:num w:numId="8">
    <w:abstractNumId w:val="22"/>
  </w:num>
  <w:num w:numId="9">
    <w:abstractNumId w:val="21"/>
  </w:num>
  <w:num w:numId="10">
    <w:abstractNumId w:val="17"/>
  </w:num>
  <w:num w:numId="11">
    <w:abstractNumId w:val="7"/>
  </w:num>
  <w:num w:numId="12">
    <w:abstractNumId w:val="13"/>
  </w:num>
  <w:num w:numId="13">
    <w:abstractNumId w:val="28"/>
  </w:num>
  <w:num w:numId="14">
    <w:abstractNumId w:val="34"/>
  </w:num>
  <w:num w:numId="15">
    <w:abstractNumId w:val="5"/>
  </w:num>
  <w:num w:numId="16">
    <w:abstractNumId w:val="18"/>
  </w:num>
  <w:num w:numId="17">
    <w:abstractNumId w:val="37"/>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26"/>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12"/>
  </w:num>
  <w:num w:numId="27">
    <w:abstractNumId w:val="24"/>
  </w:num>
  <w:num w:numId="28">
    <w:abstractNumId w:val="16"/>
  </w:num>
  <w:num w:numId="29">
    <w:abstractNumId w:val="2"/>
  </w:num>
  <w:num w:numId="30">
    <w:abstractNumId w:val="30"/>
  </w:num>
  <w:num w:numId="31">
    <w:abstractNumId w:val="9"/>
  </w:num>
  <w:num w:numId="32">
    <w:abstractNumId w:val="29"/>
  </w:num>
  <w:num w:numId="33">
    <w:abstractNumId w:val="20"/>
  </w:num>
  <w:num w:numId="34">
    <w:abstractNumId w:val="1"/>
  </w:num>
  <w:num w:numId="35">
    <w:abstractNumId w:val="8"/>
  </w:num>
  <w:num w:numId="36">
    <w:abstractNumId w:val="35"/>
  </w:num>
  <w:num w:numId="37">
    <w:abstractNumId w:val="11"/>
  </w:num>
  <w:num w:numId="38">
    <w:abstractNumId w:val="36"/>
  </w:num>
  <w:num w:numId="39">
    <w:abstractNumId w:val="15"/>
  </w:num>
  <w:num w:numId="4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num>
  <w:num w:numId="42">
    <w:abstractNumId w:val="25"/>
    <w:lvlOverride w:ilvl="0">
      <w:startOverride w:val="2"/>
    </w:lvlOverride>
  </w:num>
  <w:num w:numId="43">
    <w:abstractNumId w:val="23"/>
  </w:num>
  <w:num w:numId="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0C0368"/>
    <w:rsid w:val="00024D0A"/>
    <w:rsid w:val="000C0368"/>
    <w:rsid w:val="0011133B"/>
    <w:rsid w:val="001171AB"/>
    <w:rsid w:val="00123E63"/>
    <w:rsid w:val="0018216D"/>
    <w:rsid w:val="00192AB7"/>
    <w:rsid w:val="001C1EC9"/>
    <w:rsid w:val="001C52DF"/>
    <w:rsid w:val="002B203D"/>
    <w:rsid w:val="002D1000"/>
    <w:rsid w:val="002F6025"/>
    <w:rsid w:val="00301A40"/>
    <w:rsid w:val="0032528F"/>
    <w:rsid w:val="00346C1F"/>
    <w:rsid w:val="00354D03"/>
    <w:rsid w:val="00356B66"/>
    <w:rsid w:val="00377AC9"/>
    <w:rsid w:val="003D661A"/>
    <w:rsid w:val="003D6E93"/>
    <w:rsid w:val="003F68C2"/>
    <w:rsid w:val="004011A0"/>
    <w:rsid w:val="00406ED1"/>
    <w:rsid w:val="004B4204"/>
    <w:rsid w:val="004D477F"/>
    <w:rsid w:val="00502266"/>
    <w:rsid w:val="005145B0"/>
    <w:rsid w:val="005230F8"/>
    <w:rsid w:val="00556771"/>
    <w:rsid w:val="005D61EF"/>
    <w:rsid w:val="005E76AB"/>
    <w:rsid w:val="00634942"/>
    <w:rsid w:val="006B58B0"/>
    <w:rsid w:val="0073067E"/>
    <w:rsid w:val="00731D4A"/>
    <w:rsid w:val="007D5E33"/>
    <w:rsid w:val="007D79D1"/>
    <w:rsid w:val="00812EC9"/>
    <w:rsid w:val="00822386"/>
    <w:rsid w:val="00830B7B"/>
    <w:rsid w:val="008608EF"/>
    <w:rsid w:val="00876C7D"/>
    <w:rsid w:val="00903FCA"/>
    <w:rsid w:val="009620FF"/>
    <w:rsid w:val="0096479D"/>
    <w:rsid w:val="009872EE"/>
    <w:rsid w:val="00993778"/>
    <w:rsid w:val="009D025A"/>
    <w:rsid w:val="00A02D47"/>
    <w:rsid w:val="00A061A7"/>
    <w:rsid w:val="00A235AE"/>
    <w:rsid w:val="00A6459C"/>
    <w:rsid w:val="00A729B0"/>
    <w:rsid w:val="00A83AE9"/>
    <w:rsid w:val="00AA6719"/>
    <w:rsid w:val="00AB21CA"/>
    <w:rsid w:val="00AC5B24"/>
    <w:rsid w:val="00AD3057"/>
    <w:rsid w:val="00AE7202"/>
    <w:rsid w:val="00B404CA"/>
    <w:rsid w:val="00B64620"/>
    <w:rsid w:val="00BE1089"/>
    <w:rsid w:val="00BE57DA"/>
    <w:rsid w:val="00C11ADA"/>
    <w:rsid w:val="00C15192"/>
    <w:rsid w:val="00C31CCB"/>
    <w:rsid w:val="00C72834"/>
    <w:rsid w:val="00C86124"/>
    <w:rsid w:val="00C91299"/>
    <w:rsid w:val="00CC0F80"/>
    <w:rsid w:val="00D23E65"/>
    <w:rsid w:val="00D857D0"/>
    <w:rsid w:val="00D97207"/>
    <w:rsid w:val="00D975C1"/>
    <w:rsid w:val="00DE22D1"/>
    <w:rsid w:val="00DF1F11"/>
    <w:rsid w:val="00DF43E8"/>
    <w:rsid w:val="00E00909"/>
    <w:rsid w:val="00E050B2"/>
    <w:rsid w:val="00E074ED"/>
    <w:rsid w:val="00E2030B"/>
    <w:rsid w:val="00E3297C"/>
    <w:rsid w:val="00E72FA4"/>
    <w:rsid w:val="00F05FBB"/>
    <w:rsid w:val="00F1285E"/>
    <w:rsid w:val="00F33DF5"/>
    <w:rsid w:val="00F465D5"/>
    <w:rsid w:val="00F73AFF"/>
    <w:rsid w:val="00F8460F"/>
    <w:rsid w:val="00F90381"/>
    <w:rsid w:val="00FA142C"/>
    <w:rsid w:val="00FA4182"/>
    <w:rsid w:val="00FB00BC"/>
    <w:rsid w:val="00FD61C1"/>
    <w:rsid w:val="00FE059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36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0C0368"/>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qFormat/>
    <w:rsid w:val="000C0368"/>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0C0368"/>
    <w:pPr>
      <w:keepNext/>
      <w:spacing w:before="240" w:after="60"/>
      <w:jc w:val="left"/>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CharCharCharCharCharCharChar">
    <w:name w:val="Char Char Char Char Char Char Char"/>
    <w:basedOn w:val="Normal"/>
    <w:rsid w:val="000C0368"/>
    <w:pPr>
      <w:jc w:val="left"/>
    </w:pPr>
    <w:rPr>
      <w:lang w:val="pl-PL" w:eastAsia="pl-PL"/>
    </w:rPr>
  </w:style>
  <w:style w:type="paragraph" w:customStyle="1" w:styleId="Zakladnystyl">
    <w:name w:val="Zakladny styl"/>
    <w:rsid w:val="000C036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BodyTextIndent2">
    <w:name w:val="Body Text Indent 2"/>
    <w:basedOn w:val="Normal"/>
    <w:link w:val="BodyTextIndent2Char"/>
    <w:rsid w:val="000C0368"/>
    <w:pPr>
      <w:spacing w:after="120" w:line="480" w:lineRule="auto"/>
      <w:ind w:left="283"/>
      <w:jc w:val="left"/>
    </w:pPr>
  </w:style>
  <w:style w:type="character" w:customStyle="1" w:styleId="BodyTextIndent2Char">
    <w:name w:val="Body Text Indent 2 Char"/>
    <w:basedOn w:val="DefaultParagraphFont"/>
    <w:link w:val="BodyTextIndent2"/>
    <w:locked/>
    <w:rsid w:val="000C0368"/>
    <w:rPr>
      <w:rFonts w:cs="Times New Roman"/>
      <w:sz w:val="24"/>
      <w:szCs w:val="24"/>
      <w:rtl w:val="0"/>
      <w:cs w:val="0"/>
      <w:lang w:val="sk-SK" w:eastAsia="sk-SK" w:bidi="ar-SA"/>
    </w:rPr>
  </w:style>
  <w:style w:type="paragraph" w:styleId="Title">
    <w:name w:val="Title"/>
    <w:basedOn w:val="Normal"/>
    <w:qFormat/>
    <w:rsid w:val="000C0368"/>
    <w:pPr>
      <w:tabs>
        <w:tab w:val="left" w:pos="-720"/>
        <w:tab w:val="left" w:pos="0"/>
        <w:tab w:val="left" w:pos="720"/>
        <w:tab w:val="left" w:pos="1440"/>
        <w:tab w:val="left" w:pos="2160"/>
        <w:tab w:val="left" w:pos="2880"/>
      </w:tabs>
      <w:suppressAutoHyphens/>
      <w:jc w:val="center"/>
    </w:pPr>
    <w:rPr>
      <w:b/>
    </w:rPr>
  </w:style>
  <w:style w:type="paragraph" w:styleId="BodyText">
    <w:name w:val="Body Text"/>
    <w:basedOn w:val="Normal"/>
    <w:rsid w:val="000C0368"/>
    <w:pPr>
      <w:spacing w:after="120"/>
      <w:jc w:val="left"/>
    </w:pPr>
  </w:style>
  <w:style w:type="paragraph" w:styleId="BodyTextIndent3">
    <w:name w:val="Body Text Indent 3"/>
    <w:basedOn w:val="Normal"/>
    <w:rsid w:val="000C0368"/>
    <w:pPr>
      <w:spacing w:after="120"/>
      <w:ind w:left="283"/>
      <w:jc w:val="left"/>
    </w:pPr>
    <w:rPr>
      <w:sz w:val="16"/>
      <w:szCs w:val="16"/>
    </w:rPr>
  </w:style>
  <w:style w:type="paragraph" w:styleId="FootnoteText">
    <w:name w:val="footnote text"/>
    <w:aliases w:val="Text poznámky pod čiarou 007"/>
    <w:basedOn w:val="Normal"/>
    <w:link w:val="FootnoteTextChar"/>
    <w:semiHidden/>
    <w:rsid w:val="000C0368"/>
    <w:pPr>
      <w:jc w:val="left"/>
    </w:pPr>
    <w:rPr>
      <w:sz w:val="20"/>
      <w:szCs w:val="20"/>
      <w:lang w:eastAsia="cs-CZ"/>
    </w:rPr>
  </w:style>
  <w:style w:type="character" w:customStyle="1" w:styleId="FootnoteTextChar">
    <w:name w:val="Footnote Text Char"/>
    <w:aliases w:val="Text poznámky pod čiarou 007 Char"/>
    <w:basedOn w:val="DefaultParagraphFont"/>
    <w:link w:val="FootnoteText"/>
    <w:semiHidden/>
    <w:locked/>
    <w:rsid w:val="000C0368"/>
    <w:rPr>
      <w:rFonts w:cs="Times New Roman"/>
      <w:rtl w:val="0"/>
      <w:cs w:val="0"/>
      <w:lang w:val="sk-SK" w:eastAsia="cs-CZ" w:bidi="ar-SA"/>
    </w:rPr>
  </w:style>
  <w:style w:type="paragraph" w:customStyle="1" w:styleId="CharCharCharCharCharCharCharCharCharCharCharCharCharCharCharCharCharCharChar">
    <w:name w:val="Char Char Char Char Char Char Char Char Char Char Char Char Char Char Char Char Char Char Char"/>
    <w:basedOn w:val="Normal"/>
    <w:rsid w:val="000C0368"/>
    <w:pPr>
      <w:spacing w:after="160" w:line="240" w:lineRule="exact"/>
      <w:jc w:val="left"/>
    </w:pPr>
    <w:rPr>
      <w:rFonts w:ascii="Tahoma" w:hAnsi="Tahoma" w:cs="Tahoma"/>
      <w:sz w:val="20"/>
      <w:szCs w:val="20"/>
      <w:lang w:val="en-US" w:eastAsia="en-US"/>
    </w:rPr>
  </w:style>
  <w:style w:type="paragraph" w:styleId="BodyTextFirstIndent">
    <w:name w:val="Body Text First Indent"/>
    <w:basedOn w:val="BodyText"/>
    <w:rsid w:val="000C0368"/>
    <w:pPr>
      <w:ind w:firstLine="210"/>
      <w:jc w:val="left"/>
    </w:pPr>
    <w:rPr>
      <w:lang w:eastAsia="cs-CZ"/>
    </w:rPr>
  </w:style>
  <w:style w:type="paragraph" w:customStyle="1" w:styleId="tl">
    <w:name w:val="Štýl"/>
    <w:rsid w:val="000C0368"/>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character" w:styleId="Hyperlink">
    <w:name w:val="Hyperlink"/>
    <w:basedOn w:val="DefaultParagraphFont"/>
    <w:rsid w:val="000C0368"/>
    <w:rPr>
      <w:rFonts w:cs="Times New Roman"/>
      <w:strike w:val="0"/>
      <w:dstrike w:val="0"/>
      <w:color w:val="294B73"/>
      <w:u w:val="none"/>
      <w:effect w:val="none"/>
      <w:rtl w:val="0"/>
      <w:cs w:val="0"/>
    </w:rPr>
  </w:style>
  <w:style w:type="paragraph" w:styleId="NormalWeb">
    <w:name w:val="Normal (Web)"/>
    <w:basedOn w:val="Normal"/>
    <w:rsid w:val="000C0368"/>
    <w:pPr>
      <w:spacing w:before="100" w:beforeAutospacing="1" w:after="100" w:afterAutospacing="1"/>
      <w:jc w:val="left"/>
    </w:pPr>
  </w:style>
  <w:style w:type="paragraph" w:styleId="Footer">
    <w:name w:val="footer"/>
    <w:basedOn w:val="Normal"/>
    <w:link w:val="FooterChar"/>
    <w:rsid w:val="000C0368"/>
    <w:pPr>
      <w:tabs>
        <w:tab w:val="center" w:pos="4536"/>
        <w:tab w:val="right" w:pos="9072"/>
      </w:tabs>
      <w:jc w:val="left"/>
    </w:pPr>
    <w:rPr>
      <w:sz w:val="20"/>
      <w:szCs w:val="20"/>
      <w:lang w:val="cs-CZ"/>
    </w:rPr>
  </w:style>
  <w:style w:type="character" w:customStyle="1" w:styleId="FooterChar">
    <w:name w:val="Footer Char"/>
    <w:basedOn w:val="DefaultParagraphFont"/>
    <w:link w:val="Footer"/>
    <w:locked/>
    <w:rsid w:val="000C0368"/>
    <w:rPr>
      <w:rFonts w:cs="Times New Roman"/>
      <w:rtl w:val="0"/>
      <w:cs w:val="0"/>
      <w:lang w:val="cs-CZ" w:eastAsia="sk-SK" w:bidi="ar-SA"/>
    </w:rPr>
  </w:style>
  <w:style w:type="paragraph" w:customStyle="1" w:styleId="Default">
    <w:name w:val="Default"/>
    <w:rsid w:val="000C0368"/>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har">
    <w:name w:val="Char"/>
    <w:basedOn w:val="Normal"/>
    <w:rsid w:val="000C0368"/>
    <w:pPr>
      <w:spacing w:after="160" w:line="240" w:lineRule="exact"/>
      <w:jc w:val="left"/>
    </w:pPr>
    <w:rPr>
      <w:rFonts w:ascii="Tahoma" w:hAnsi="Tahoma" w:cs="Tahoma"/>
      <w:sz w:val="20"/>
      <w:szCs w:val="20"/>
      <w:lang w:val="en-US" w:eastAsia="en-US"/>
    </w:rPr>
  </w:style>
  <w:style w:type="character" w:customStyle="1" w:styleId="longtext">
    <w:name w:val="long_text"/>
    <w:basedOn w:val="DefaultParagraphFont"/>
    <w:rsid w:val="000C0368"/>
    <w:rPr>
      <w:rFonts w:cs="Times New Roman"/>
      <w:rtl w:val="0"/>
      <w:cs w:val="0"/>
    </w:rPr>
  </w:style>
  <w:style w:type="character" w:styleId="Strong">
    <w:name w:val="Strong"/>
    <w:basedOn w:val="DefaultParagraphFont"/>
    <w:qFormat/>
    <w:rsid w:val="000C0368"/>
    <w:rPr>
      <w:rFonts w:cs="Times New Roman"/>
      <w:b/>
      <w:bCs/>
      <w:rtl w:val="0"/>
      <w:cs w:val="0"/>
    </w:rPr>
  </w:style>
  <w:style w:type="character" w:styleId="Emphasis">
    <w:name w:val="Emphasis"/>
    <w:basedOn w:val="DefaultParagraphFont"/>
    <w:qFormat/>
    <w:rsid w:val="000C0368"/>
    <w:rPr>
      <w:rFonts w:cs="Times New Roman"/>
      <w:i/>
      <w:iCs/>
      <w:rtl w:val="0"/>
      <w:cs w:val="0"/>
    </w:rPr>
  </w:style>
  <w:style w:type="paragraph" w:customStyle="1" w:styleId="Text1">
    <w:name w:val="Text 1"/>
    <w:basedOn w:val="Normal"/>
    <w:rsid w:val="000C0368"/>
    <w:pPr>
      <w:spacing w:before="120" w:after="120"/>
      <w:ind w:left="851"/>
      <w:jc w:val="both"/>
    </w:pPr>
    <w:rPr>
      <w:lang w:val="en-GB" w:eastAsia="fr-BE"/>
    </w:rPr>
  </w:style>
  <w:style w:type="paragraph" w:customStyle="1" w:styleId="Listaszerubekezds">
    <w:name w:val="Listaszeru bekezdés"/>
    <w:basedOn w:val="Normal"/>
    <w:rsid w:val="000C0368"/>
    <w:pPr>
      <w:spacing w:after="200" w:line="276" w:lineRule="auto"/>
      <w:ind w:left="720"/>
      <w:contextualSpacing/>
      <w:jc w:val="left"/>
    </w:pPr>
    <w:rPr>
      <w:rFonts w:ascii="Calibri" w:hAnsi="Calibri" w:cs="Calibri"/>
      <w:sz w:val="22"/>
      <w:szCs w:val="22"/>
      <w:lang w:val="hu-HU" w:eastAsia="fr-BE"/>
    </w:rPr>
  </w:style>
  <w:style w:type="paragraph" w:customStyle="1" w:styleId="Odsekzoznamu">
    <w:name w:val="Odsek zoznamu"/>
    <w:basedOn w:val="Normal"/>
    <w:qFormat/>
    <w:rsid w:val="000C0368"/>
    <w:pPr>
      <w:ind w:left="720"/>
      <w:contextualSpacing/>
      <w:jc w:val="left"/>
    </w:pPr>
  </w:style>
  <w:style w:type="paragraph" w:customStyle="1" w:styleId="EntRefer">
    <w:name w:val="EntRefer"/>
    <w:basedOn w:val="Normal"/>
    <w:rsid w:val="000C0368"/>
    <w:pPr>
      <w:jc w:val="left"/>
    </w:pPr>
    <w:rPr>
      <w:rFonts w:ascii="Times New Roman" w:eastAsia="Calibri" w:hAnsi="Times New Roman"/>
      <w:b/>
      <w:szCs w:val="20"/>
      <w:lang w:eastAsia="fr-BE"/>
    </w:rPr>
  </w:style>
  <w:style w:type="paragraph" w:customStyle="1" w:styleId="EntEmet">
    <w:name w:val="EntEmet"/>
    <w:basedOn w:val="Normal"/>
    <w:rsid w:val="000C0368"/>
    <w:pPr>
      <w:spacing w:before="40"/>
      <w:jc w:val="left"/>
    </w:pPr>
    <w:rPr>
      <w:szCs w:val="20"/>
      <w:lang w:eastAsia="en-US"/>
    </w:rPr>
  </w:style>
  <w:style w:type="character" w:customStyle="1" w:styleId="at4">
    <w:name w:val="a__t4"/>
    <w:rsid w:val="000C0368"/>
  </w:style>
  <w:style w:type="character" w:customStyle="1" w:styleId="at1">
    <w:name w:val="a__t1"/>
    <w:rsid w:val="000C0368"/>
  </w:style>
  <w:style w:type="paragraph" w:customStyle="1" w:styleId="astandard3420chapeau">
    <w:name w:val="a_standard__34__20_chapeau"/>
    <w:basedOn w:val="Normal"/>
    <w:rsid w:val="000C0368"/>
    <w:pPr>
      <w:spacing w:before="600" w:after="240"/>
      <w:jc w:val="both"/>
    </w:pPr>
    <w:rPr>
      <w:b/>
      <w:bCs/>
      <w:i/>
      <w:iCs/>
    </w:rPr>
  </w:style>
  <w:style w:type="paragraph" w:customStyle="1" w:styleId="Prrafodelista">
    <w:name w:val="Párrafo de lista"/>
    <w:basedOn w:val="Normal"/>
    <w:rsid w:val="000C0368"/>
    <w:pPr>
      <w:widowControl w:val="0"/>
      <w:snapToGrid w:val="0"/>
      <w:spacing w:line="360" w:lineRule="auto"/>
      <w:ind w:left="708"/>
      <w:jc w:val="left"/>
    </w:pPr>
    <w:rPr>
      <w:lang w:val="es-ES" w:eastAsia="fr-BE"/>
    </w:rPr>
  </w:style>
  <w:style w:type="paragraph" w:styleId="BodyTextIndent">
    <w:name w:val="Body Text Indent"/>
    <w:basedOn w:val="Normal"/>
    <w:link w:val="BodyTextIndentChar"/>
    <w:rsid w:val="000C0368"/>
    <w:pPr>
      <w:spacing w:after="120"/>
      <w:ind w:left="283"/>
      <w:jc w:val="left"/>
    </w:pPr>
  </w:style>
  <w:style w:type="character" w:customStyle="1" w:styleId="BodyTextIndentChar">
    <w:name w:val="Body Text Indent Char"/>
    <w:basedOn w:val="DefaultParagraphFont"/>
    <w:link w:val="BodyTextIndent"/>
    <w:locked/>
    <w:rsid w:val="000C0368"/>
    <w:rPr>
      <w:rFonts w:cs="Times New Roman"/>
      <w:sz w:val="24"/>
      <w:szCs w:val="24"/>
      <w:rtl w:val="0"/>
      <w:cs w:val="0"/>
      <w:lang w:val="sk-SK" w:eastAsia="sk-SK" w:bidi="ar-SA"/>
    </w:rPr>
  </w:style>
  <w:style w:type="paragraph" w:customStyle="1" w:styleId="CharCharChar1CharCharCharCharChar">
    <w:name w:val="Char Char Char1 Char Char Char Char Char"/>
    <w:basedOn w:val="Normal"/>
    <w:rsid w:val="000C0368"/>
    <w:pPr>
      <w:spacing w:after="160" w:line="240" w:lineRule="exact"/>
      <w:jc w:val="left"/>
    </w:pPr>
    <w:rPr>
      <w:rFonts w:ascii="Tahoma" w:hAnsi="Tahoma"/>
      <w:sz w:val="20"/>
      <w:szCs w:val="20"/>
      <w:lang w:val="en-US" w:eastAsia="en-US"/>
    </w:rPr>
  </w:style>
  <w:style w:type="paragraph" w:customStyle="1" w:styleId="Vlada">
    <w:name w:val="Vlada"/>
    <w:basedOn w:val="Normal"/>
    <w:rsid w:val="000C0368"/>
    <w:pPr>
      <w:spacing w:before="480" w:after="120"/>
      <w:jc w:val="left"/>
    </w:pPr>
    <w:rPr>
      <w:b/>
      <w:bCs/>
      <w:sz w:val="32"/>
      <w:szCs w:val="32"/>
    </w:rPr>
  </w:style>
  <w:style w:type="character" w:styleId="FollowedHyperlink">
    <w:name w:val="FollowedHyperlink"/>
    <w:basedOn w:val="DefaultParagraphFont"/>
    <w:rsid w:val="000C0368"/>
    <w:rPr>
      <w:rFonts w:cs="Times New Roman"/>
      <w:color w:val="800080"/>
      <w:u w:val="single"/>
      <w:rtl w:val="0"/>
      <w:cs w:val="0"/>
    </w:rPr>
  </w:style>
  <w:style w:type="character" w:customStyle="1" w:styleId="CharChar">
    <w:name w:val="Char Char"/>
    <w:basedOn w:val="DefaultParagraphFont"/>
    <w:locked/>
    <w:rsid w:val="000C0368"/>
    <w:rPr>
      <w:rFonts w:cs="Times New Roman"/>
      <w:sz w:val="24"/>
      <w:szCs w:val="24"/>
      <w:rtl w:val="0"/>
      <w:cs w:val="0"/>
      <w:lang w:val="sk-SK" w:eastAsia="sk-SK" w:bidi="ar-SA"/>
    </w:rPr>
  </w:style>
  <w:style w:type="character" w:customStyle="1" w:styleId="CharChar1">
    <w:name w:val="Char Char1"/>
    <w:basedOn w:val="DefaultParagraphFont"/>
    <w:locked/>
    <w:rsid w:val="000C0368"/>
    <w:rPr>
      <w:rFonts w:cs="Times New Roman"/>
      <w:sz w:val="24"/>
      <w:szCs w:val="24"/>
      <w:rtl w:val="0"/>
      <w:cs w:val="0"/>
      <w:lang w:val="sk-SK" w:eastAsia="sk-SK" w:bidi="ar-SA"/>
    </w:rPr>
  </w:style>
  <w:style w:type="paragraph" w:customStyle="1" w:styleId="CharCharCharCharCharCharChar0">
    <w:name w:val="Char Char Char Char Char Char Char_0"/>
    <w:basedOn w:val="Normal"/>
    <w:rsid w:val="000C0368"/>
    <w:pPr>
      <w:jc w:val="left"/>
    </w:pPr>
    <w:rPr>
      <w:lang w:val="pl-PL" w:eastAsia="pl-PL"/>
    </w:rPr>
  </w:style>
  <w:style w:type="paragraph" w:customStyle="1" w:styleId="Char0">
    <w:name w:val="Char_0"/>
    <w:basedOn w:val="Normal"/>
    <w:rsid w:val="000C0368"/>
    <w:pPr>
      <w:spacing w:after="160" w:line="240" w:lineRule="exact"/>
      <w:jc w:val="left"/>
    </w:pPr>
    <w:rPr>
      <w:rFonts w:ascii="Tahoma" w:hAnsi="Tahoma" w:cs="Tahoma"/>
      <w:sz w:val="20"/>
      <w:szCs w:val="20"/>
      <w:lang w:val="en-US" w:eastAsia="en-US"/>
    </w:rPr>
  </w:style>
  <w:style w:type="paragraph" w:styleId="Header">
    <w:name w:val="header"/>
    <w:basedOn w:val="Normal"/>
    <w:link w:val="HeaderChar"/>
    <w:rsid w:val="000C0368"/>
    <w:pPr>
      <w:tabs>
        <w:tab w:val="center" w:pos="4536"/>
        <w:tab w:val="right" w:pos="9072"/>
      </w:tabs>
      <w:jc w:val="left"/>
    </w:pPr>
  </w:style>
  <w:style w:type="character" w:customStyle="1" w:styleId="HeaderChar">
    <w:name w:val="Header Char"/>
    <w:basedOn w:val="DefaultParagraphFont"/>
    <w:link w:val="Header"/>
    <w:locked/>
    <w:rsid w:val="000C0368"/>
    <w:rPr>
      <w:rFonts w:cs="Times New Roman"/>
      <w:sz w:val="24"/>
      <w:szCs w:val="24"/>
      <w:rtl w:val="0"/>
      <w:cs w:val="0"/>
      <w:lang w:val="sk-SK" w:eastAsia="sk-SK" w:bidi="ar-SA"/>
    </w:rPr>
  </w:style>
  <w:style w:type="character" w:customStyle="1" w:styleId="spanr">
    <w:name w:val="span_r"/>
    <w:basedOn w:val="DefaultParagraphFont"/>
    <w:rsid w:val="000C0368"/>
    <w:rPr>
      <w:rFonts w:cs="Times New Roman"/>
      <w:rtl w:val="0"/>
      <w:cs w:val="0"/>
    </w:rPr>
  </w:style>
  <w:style w:type="character" w:styleId="PageNumber">
    <w:name w:val="page number"/>
    <w:basedOn w:val="DefaultParagraphFont"/>
    <w:rsid w:val="000C0368"/>
    <w:rPr>
      <w:rFonts w:cs="Times New Roman"/>
      <w:rtl w:val="0"/>
      <w:cs w:val="0"/>
    </w:rPr>
  </w:style>
  <w:style w:type="character" w:customStyle="1" w:styleId="apple-style-span">
    <w:name w:val="apple-style-span"/>
    <w:basedOn w:val="DefaultParagraphFont"/>
    <w:rsid w:val="000C0368"/>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e-justice.europa.e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27</Pages>
  <Words>13061</Words>
  <Characters>74449</Characters>
  <Application>Microsoft Office Word</Application>
  <DocSecurity>0</DocSecurity>
  <Lines>0</Lines>
  <Paragraphs>0</Paragraphs>
  <ScaleCrop>false</ScaleCrop>
  <Company>Kancelaria NR SR</Company>
  <LinksUpToDate>false</LinksUpToDate>
  <CharactersWithSpaces>87336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SIEDMOM ROKU ČLENSTVA SR V EÚ</dc:title>
  <dc:creator>123</dc:creator>
  <cp:lastModifiedBy>Gašparíková, Jarmila</cp:lastModifiedBy>
  <cp:revision>2</cp:revision>
  <dcterms:created xsi:type="dcterms:W3CDTF">2011-07-15T16:07:00Z</dcterms:created>
  <dcterms:modified xsi:type="dcterms:W3CDTF">2011-07-15T16:07:00Z</dcterms:modified>
</cp:coreProperties>
</file>