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3434" w:rsidRPr="00546A07" w:rsidP="00D03434">
      <w:pPr>
        <w:bidi w:val="0"/>
        <w:jc w:val="center"/>
        <w:rPr>
          <w:rFonts w:ascii="Times New Roman" w:hAnsi="Times New Roman"/>
          <w:b/>
          <w:caps/>
          <w:color w:val="000000"/>
          <w:spacing w:val="30"/>
        </w:rPr>
      </w:pPr>
      <w:r w:rsidRPr="00546A07">
        <w:rPr>
          <w:rFonts w:ascii="Times New Roman" w:hAnsi="Times New Roman"/>
          <w:b/>
          <w:caps/>
          <w:color w:val="000000"/>
          <w:spacing w:val="30"/>
        </w:rPr>
        <w:t>DôvodovÁ</w:t>
      </w:r>
      <w:r w:rsidRPr="00546A07" w:rsidR="00A04902">
        <w:rPr>
          <w:rFonts w:ascii="Times New Roman" w:hAnsi="Times New Roman"/>
          <w:b/>
          <w:caps/>
          <w:color w:val="000000"/>
          <w:spacing w:val="30"/>
        </w:rPr>
        <w:t xml:space="preserve"> </w:t>
      </w:r>
      <w:r w:rsidRPr="00546A07">
        <w:rPr>
          <w:rFonts w:ascii="Times New Roman" w:hAnsi="Times New Roman"/>
          <w:b/>
          <w:caps/>
          <w:color w:val="000000"/>
          <w:spacing w:val="30"/>
        </w:rPr>
        <w:t>sprÁva</w:t>
      </w:r>
    </w:p>
    <w:p w:rsidR="00D03434" w:rsidP="00885BDB">
      <w:pPr>
        <w:pStyle w:val="BodyTextIndent"/>
        <w:bidi w:val="0"/>
        <w:ind w:firstLine="0"/>
        <w:rPr>
          <w:rFonts w:ascii="Times New Roman" w:hAnsi="Times New Roman"/>
          <w:b/>
          <w:caps/>
          <w:color w:val="000000"/>
          <w:spacing w:val="30"/>
          <w:szCs w:val="24"/>
        </w:rPr>
      </w:pPr>
    </w:p>
    <w:p w:rsidR="006A0FEA" w:rsidRPr="00546A07" w:rsidP="00885BDB">
      <w:pPr>
        <w:pStyle w:val="BodyTextIndent"/>
        <w:bidi w:val="0"/>
        <w:ind w:firstLine="0"/>
        <w:rPr>
          <w:rFonts w:ascii="Times New Roman" w:hAnsi="Times New Roman"/>
          <w:b/>
          <w:bCs/>
          <w:szCs w:val="24"/>
          <w:u w:val="single"/>
        </w:rPr>
      </w:pPr>
    </w:p>
    <w:p w:rsidR="00885BDB" w:rsidRPr="006A0FEA" w:rsidP="006A0FEA">
      <w:pPr>
        <w:pStyle w:val="BodyTextIndent"/>
        <w:numPr>
          <w:numId w:val="10"/>
        </w:numPr>
        <w:bidi w:val="0"/>
        <w:ind w:left="357" w:hanging="357"/>
        <w:rPr>
          <w:rFonts w:ascii="Times New Roman" w:hAnsi="Times New Roman"/>
          <w:b/>
          <w:bCs/>
          <w:szCs w:val="24"/>
        </w:rPr>
      </w:pPr>
      <w:r w:rsidRPr="006A0FEA">
        <w:rPr>
          <w:rFonts w:ascii="Times New Roman" w:hAnsi="Times New Roman"/>
          <w:b/>
          <w:bCs/>
          <w:szCs w:val="24"/>
        </w:rPr>
        <w:t>Všeobecná časť</w:t>
      </w:r>
    </w:p>
    <w:p w:rsidR="00885BDB" w:rsidRPr="00546A07" w:rsidP="00885BDB">
      <w:pPr>
        <w:pStyle w:val="BodyTextIndent"/>
        <w:bidi w:val="0"/>
        <w:ind w:firstLine="0"/>
        <w:rPr>
          <w:rFonts w:ascii="Times New Roman" w:hAnsi="Times New Roman"/>
          <w:szCs w:val="24"/>
        </w:rPr>
      </w:pPr>
    </w:p>
    <w:p w:rsidR="00885BDB" w:rsidRPr="00546A07" w:rsidP="00885BDB">
      <w:pPr>
        <w:pStyle w:val="BodyTextIndent"/>
        <w:bidi w:val="0"/>
        <w:ind w:firstLine="0"/>
        <w:rPr>
          <w:rFonts w:ascii="Times New Roman" w:hAnsi="Times New Roman"/>
          <w:szCs w:val="24"/>
        </w:rPr>
      </w:pPr>
    </w:p>
    <w:p w:rsidR="00885BDB" w:rsidRPr="00546A07" w:rsidP="00885BDB">
      <w:pPr>
        <w:pStyle w:val="Zkladntext"/>
        <w:bidi w:val="0"/>
        <w:spacing w:line="240" w:lineRule="atLeast"/>
        <w:ind w:firstLine="708"/>
        <w:jc w:val="both"/>
        <w:rPr>
          <w:rFonts w:ascii="Times New Roman" w:hAnsi="Times New Roman"/>
          <w:szCs w:val="24"/>
        </w:rPr>
      </w:pPr>
      <w:r w:rsidRPr="00546A07">
        <w:rPr>
          <w:rFonts w:ascii="Times New Roman" w:hAnsi="Times New Roman"/>
          <w:b/>
          <w:szCs w:val="24"/>
        </w:rPr>
        <w:t>Zhodnotenie súčasného stavu</w:t>
      </w:r>
    </w:p>
    <w:p w:rsidR="00885BDB" w:rsidRPr="00546A07" w:rsidP="00885BDB">
      <w:pPr>
        <w:pStyle w:val="Zkladntext"/>
        <w:bidi w:val="0"/>
        <w:spacing w:line="240" w:lineRule="atLeast"/>
        <w:jc w:val="both"/>
        <w:rPr>
          <w:rFonts w:ascii="Times New Roman" w:hAnsi="Times New Roman"/>
          <w:szCs w:val="24"/>
        </w:rPr>
      </w:pPr>
    </w:p>
    <w:p w:rsidR="00885BDB" w:rsidRPr="00546A07" w:rsidP="00885BDB">
      <w:pPr>
        <w:pStyle w:val="BodyText2"/>
        <w:bidi w:val="0"/>
        <w:rPr>
          <w:rFonts w:ascii="Times New Roman" w:hAnsi="Times New Roman"/>
          <w:sz w:val="24"/>
          <w:szCs w:val="24"/>
        </w:rPr>
      </w:pPr>
      <w:r w:rsidRPr="00546A07">
        <w:rPr>
          <w:rFonts w:ascii="Times New Roman" w:hAnsi="Times New Roman"/>
          <w:sz w:val="24"/>
          <w:szCs w:val="24"/>
        </w:rPr>
        <w:tab/>
        <w:t>V súvislosti so vstupom Slovenskej republiky do Európskej únie nadobudol 1. mája 2004 účinnosť zákon č. 222/2004 Z. z. o dani z pridanej hodnoty, ktorý vychádza z právnych predpisov Európsk</w:t>
      </w:r>
      <w:r w:rsidRPr="00546A07" w:rsidR="00383524">
        <w:rPr>
          <w:rFonts w:ascii="Times New Roman" w:hAnsi="Times New Roman"/>
          <w:sz w:val="24"/>
          <w:szCs w:val="24"/>
        </w:rPr>
        <w:t>ej</w:t>
      </w:r>
      <w:r w:rsidRPr="00546A07">
        <w:rPr>
          <w:rFonts w:ascii="Times New Roman" w:hAnsi="Times New Roman"/>
          <w:sz w:val="24"/>
          <w:szCs w:val="24"/>
        </w:rPr>
        <w:t xml:space="preserve"> </w:t>
      </w:r>
      <w:r w:rsidRPr="00546A07" w:rsidR="00383524">
        <w:rPr>
          <w:rFonts w:ascii="Times New Roman" w:hAnsi="Times New Roman"/>
          <w:sz w:val="24"/>
          <w:szCs w:val="24"/>
        </w:rPr>
        <w:t>únie</w:t>
      </w:r>
      <w:r w:rsidRPr="00546A07">
        <w:rPr>
          <w:rFonts w:ascii="Times New Roman" w:hAnsi="Times New Roman"/>
          <w:sz w:val="24"/>
          <w:szCs w:val="24"/>
        </w:rPr>
        <w:t xml:space="preserve"> upravujúcich uplatňovanie tejto dane. Ide predovšetkým o sekundárnu legislatívu Európsk</w:t>
      </w:r>
      <w:r w:rsidRPr="00546A07" w:rsidR="00383524">
        <w:rPr>
          <w:rFonts w:ascii="Times New Roman" w:hAnsi="Times New Roman"/>
          <w:sz w:val="24"/>
          <w:szCs w:val="24"/>
        </w:rPr>
        <w:t>ej</w:t>
      </w:r>
      <w:r w:rsidRPr="00546A07">
        <w:rPr>
          <w:rFonts w:ascii="Times New Roman" w:hAnsi="Times New Roman"/>
          <w:sz w:val="24"/>
          <w:szCs w:val="24"/>
        </w:rPr>
        <w:t xml:space="preserve"> </w:t>
      </w:r>
      <w:r w:rsidRPr="00546A07" w:rsidR="00383524">
        <w:rPr>
          <w:rFonts w:ascii="Times New Roman" w:hAnsi="Times New Roman"/>
          <w:sz w:val="24"/>
          <w:szCs w:val="24"/>
        </w:rPr>
        <w:t>únie</w:t>
      </w:r>
      <w:r w:rsidRPr="00546A07">
        <w:rPr>
          <w:rFonts w:ascii="Times New Roman" w:hAnsi="Times New Roman"/>
          <w:sz w:val="24"/>
          <w:szCs w:val="24"/>
        </w:rPr>
        <w:t>, konkrétne smernicu Rady 2006/112/ES z 28. novembra 2006 o spoločnom systéme dane z pridanej hodnoty v znení jej zmien a doplnkov, ktorá je základnou smernicou upravujúcou uplatňovanie dane z pridanej hodnoty v Euró</w:t>
      </w:r>
      <w:r w:rsidRPr="00546A07" w:rsidR="00AC1D0C">
        <w:rPr>
          <w:rFonts w:ascii="Times New Roman" w:hAnsi="Times New Roman"/>
          <w:sz w:val="24"/>
          <w:szCs w:val="24"/>
        </w:rPr>
        <w:t>pskej únii. Zákon č. 222/2004 Z</w:t>
      </w:r>
      <w:r w:rsidRPr="00546A07">
        <w:rPr>
          <w:rFonts w:ascii="Times New Roman" w:hAnsi="Times New Roman"/>
          <w:sz w:val="24"/>
          <w:szCs w:val="24"/>
        </w:rPr>
        <w:t>.</w:t>
      </w:r>
      <w:r w:rsidRPr="00546A07" w:rsidR="00AC1D0C">
        <w:rPr>
          <w:rFonts w:ascii="Times New Roman" w:hAnsi="Times New Roman"/>
          <w:sz w:val="24"/>
          <w:szCs w:val="24"/>
        </w:rPr>
        <w:t xml:space="preserve"> </w:t>
      </w:r>
      <w:r w:rsidRPr="00546A07">
        <w:rPr>
          <w:rFonts w:ascii="Times New Roman" w:hAnsi="Times New Roman"/>
          <w:sz w:val="24"/>
          <w:szCs w:val="24"/>
        </w:rPr>
        <w:t xml:space="preserve">z. bol doteraz </w:t>
      </w:r>
      <w:r w:rsidRPr="00546A07" w:rsidR="00040396">
        <w:rPr>
          <w:rFonts w:ascii="Times New Roman" w:hAnsi="Times New Roman"/>
          <w:sz w:val="24"/>
          <w:szCs w:val="24"/>
        </w:rPr>
        <w:t>štrnásť</w:t>
      </w:r>
      <w:r w:rsidRPr="00546A07">
        <w:rPr>
          <w:rFonts w:ascii="Times New Roman" w:hAnsi="Times New Roman"/>
          <w:sz w:val="24"/>
          <w:szCs w:val="24"/>
        </w:rPr>
        <w:t xml:space="preserve">krát novelizovaný, naposledy zákonom č. </w:t>
      </w:r>
      <w:r w:rsidRPr="00546A07" w:rsidR="00040396">
        <w:rPr>
          <w:rFonts w:ascii="Times New Roman" w:hAnsi="Times New Roman"/>
          <w:sz w:val="24"/>
          <w:szCs w:val="24"/>
        </w:rPr>
        <w:t>83/2010</w:t>
      </w:r>
      <w:r w:rsidRPr="00546A07">
        <w:rPr>
          <w:rFonts w:ascii="Times New Roman" w:hAnsi="Times New Roman"/>
          <w:sz w:val="24"/>
          <w:szCs w:val="24"/>
        </w:rPr>
        <w:t xml:space="preserve"> Z. z.</w:t>
      </w:r>
      <w:r w:rsidRPr="00546A07" w:rsidR="009B3C2E">
        <w:rPr>
          <w:rFonts w:ascii="Times New Roman" w:hAnsi="Times New Roman"/>
          <w:sz w:val="24"/>
          <w:szCs w:val="24"/>
        </w:rPr>
        <w:t xml:space="preserve"> </w:t>
      </w:r>
      <w:r w:rsidRPr="00546A07">
        <w:rPr>
          <w:rFonts w:ascii="Times New Roman" w:hAnsi="Times New Roman"/>
          <w:sz w:val="24"/>
          <w:szCs w:val="24"/>
        </w:rPr>
        <w:t xml:space="preserve">(účinnosť od 1. </w:t>
      </w:r>
      <w:r w:rsidRPr="00546A07" w:rsidR="00040396">
        <w:rPr>
          <w:rFonts w:ascii="Times New Roman" w:hAnsi="Times New Roman"/>
          <w:sz w:val="24"/>
          <w:szCs w:val="24"/>
        </w:rPr>
        <w:t>mája</w:t>
      </w:r>
      <w:r w:rsidRPr="00546A07">
        <w:rPr>
          <w:rFonts w:ascii="Times New Roman" w:hAnsi="Times New Roman"/>
          <w:sz w:val="24"/>
          <w:szCs w:val="24"/>
        </w:rPr>
        <w:t xml:space="preserve"> 20</w:t>
      </w:r>
      <w:r w:rsidRPr="00546A07" w:rsidR="009B3C2E">
        <w:rPr>
          <w:rFonts w:ascii="Times New Roman" w:hAnsi="Times New Roman"/>
          <w:sz w:val="24"/>
          <w:szCs w:val="24"/>
        </w:rPr>
        <w:t>1</w:t>
      </w:r>
      <w:r w:rsidRPr="00546A07">
        <w:rPr>
          <w:rFonts w:ascii="Times New Roman" w:hAnsi="Times New Roman"/>
          <w:sz w:val="24"/>
          <w:szCs w:val="24"/>
        </w:rPr>
        <w:t>0).</w:t>
      </w:r>
    </w:p>
    <w:p w:rsidR="00885BDB" w:rsidRPr="00546A07" w:rsidP="00885BDB">
      <w:pPr>
        <w:bidi w:val="0"/>
        <w:ind w:firstLine="709"/>
        <w:jc w:val="both"/>
        <w:rPr>
          <w:rFonts w:ascii="Times New Roman" w:hAnsi="Times New Roman"/>
        </w:rPr>
      </w:pPr>
    </w:p>
    <w:p w:rsidR="00885BDB" w:rsidRPr="00546A07" w:rsidP="00885BDB">
      <w:pPr>
        <w:pStyle w:val="Zkladntext"/>
        <w:bidi w:val="0"/>
        <w:spacing w:line="240" w:lineRule="atLeast"/>
        <w:ind w:firstLine="709"/>
        <w:jc w:val="both"/>
        <w:rPr>
          <w:rFonts w:ascii="Times New Roman" w:hAnsi="Times New Roman"/>
          <w:szCs w:val="24"/>
        </w:rPr>
      </w:pPr>
      <w:r w:rsidRPr="00546A07">
        <w:rPr>
          <w:rFonts w:ascii="Times New Roman" w:hAnsi="Times New Roman"/>
          <w:szCs w:val="24"/>
        </w:rPr>
        <w:t xml:space="preserve">Zámerom novely zákona o dani z pridanej hodnoty je prebrať do slovenskej právnej úpravy </w:t>
      </w:r>
    </w:p>
    <w:p w:rsidR="00885BDB" w:rsidRPr="00546A07" w:rsidP="00885BDB">
      <w:pPr>
        <w:pStyle w:val="Zkladntext"/>
        <w:bidi w:val="0"/>
        <w:spacing w:line="240" w:lineRule="atLeast"/>
        <w:jc w:val="both"/>
        <w:rPr>
          <w:rFonts w:ascii="Times New Roman" w:hAnsi="Times New Roman"/>
          <w:szCs w:val="24"/>
        </w:rPr>
      </w:pPr>
      <w:r w:rsidRPr="00546A07">
        <w:rPr>
          <w:rFonts w:ascii="Times New Roman" w:hAnsi="Times New Roman"/>
          <w:szCs w:val="24"/>
        </w:rPr>
        <w:t>- smernicu Rady 2008/8/ES z 12. februára 2008, ktorou sa mení a dopĺňa smernica 2006/112/ES, pokiaľ ide o miesto poskytovania služieb</w:t>
      </w:r>
      <w:r w:rsidRPr="00546A07" w:rsidR="009B3C2E">
        <w:rPr>
          <w:rFonts w:ascii="Times New Roman" w:hAnsi="Times New Roman"/>
          <w:szCs w:val="24"/>
        </w:rPr>
        <w:t xml:space="preserve"> – článok 3</w:t>
      </w:r>
      <w:r w:rsidRPr="00546A07">
        <w:rPr>
          <w:rFonts w:ascii="Times New Roman" w:hAnsi="Times New Roman"/>
          <w:szCs w:val="24"/>
        </w:rPr>
        <w:t xml:space="preserve">, </w:t>
      </w:r>
    </w:p>
    <w:p w:rsidR="00885BDB" w:rsidRPr="00546A07" w:rsidP="00885BDB">
      <w:pPr>
        <w:pStyle w:val="Zkladntext"/>
        <w:bidi w:val="0"/>
        <w:spacing w:line="240" w:lineRule="atLeast"/>
        <w:jc w:val="both"/>
        <w:rPr>
          <w:rFonts w:ascii="Times New Roman" w:hAnsi="Times New Roman"/>
          <w:szCs w:val="24"/>
        </w:rPr>
      </w:pPr>
      <w:r w:rsidRPr="00546A07">
        <w:rPr>
          <w:rFonts w:ascii="Times New Roman" w:hAnsi="Times New Roman"/>
          <w:szCs w:val="24"/>
        </w:rPr>
        <w:t>-  smernicu Rady 200</w:t>
      </w:r>
      <w:r w:rsidRPr="00546A07" w:rsidR="00021693">
        <w:rPr>
          <w:rFonts w:ascii="Times New Roman" w:hAnsi="Times New Roman"/>
          <w:szCs w:val="24"/>
        </w:rPr>
        <w:t>9</w:t>
      </w:r>
      <w:r w:rsidRPr="00546A07">
        <w:rPr>
          <w:rFonts w:ascii="Times New Roman" w:hAnsi="Times New Roman"/>
          <w:szCs w:val="24"/>
        </w:rPr>
        <w:t>/</w:t>
      </w:r>
      <w:r w:rsidRPr="00546A07" w:rsidR="00021693">
        <w:rPr>
          <w:rFonts w:ascii="Times New Roman" w:hAnsi="Times New Roman"/>
          <w:szCs w:val="24"/>
        </w:rPr>
        <w:t>69</w:t>
      </w:r>
      <w:r w:rsidRPr="00546A07">
        <w:rPr>
          <w:rFonts w:ascii="Times New Roman" w:hAnsi="Times New Roman"/>
          <w:szCs w:val="24"/>
        </w:rPr>
        <w:t xml:space="preserve">/ES z </w:t>
      </w:r>
      <w:r w:rsidRPr="00546A07" w:rsidR="00021693">
        <w:rPr>
          <w:rFonts w:ascii="Times New Roman" w:hAnsi="Times New Roman"/>
          <w:szCs w:val="24"/>
        </w:rPr>
        <w:t>25</w:t>
      </w:r>
      <w:r w:rsidRPr="00546A07">
        <w:rPr>
          <w:rFonts w:ascii="Times New Roman" w:hAnsi="Times New Roman"/>
          <w:szCs w:val="24"/>
        </w:rPr>
        <w:t xml:space="preserve">. </w:t>
      </w:r>
      <w:r w:rsidRPr="00546A07" w:rsidR="00021693">
        <w:rPr>
          <w:rFonts w:ascii="Times New Roman" w:hAnsi="Times New Roman"/>
          <w:szCs w:val="24"/>
        </w:rPr>
        <w:t xml:space="preserve">júna </w:t>
      </w:r>
      <w:r w:rsidRPr="00546A07">
        <w:rPr>
          <w:rFonts w:ascii="Times New Roman" w:hAnsi="Times New Roman"/>
          <w:szCs w:val="24"/>
        </w:rPr>
        <w:t>200</w:t>
      </w:r>
      <w:r w:rsidRPr="00546A07" w:rsidR="00021693">
        <w:rPr>
          <w:rFonts w:ascii="Times New Roman" w:hAnsi="Times New Roman"/>
          <w:szCs w:val="24"/>
        </w:rPr>
        <w:t>9</w:t>
      </w:r>
      <w:r w:rsidRPr="00546A07">
        <w:rPr>
          <w:rFonts w:ascii="Times New Roman" w:hAnsi="Times New Roman"/>
          <w:szCs w:val="24"/>
        </w:rPr>
        <w:t xml:space="preserve">, ktorou sa mení a dopĺňa smernica 2006/112/ES o spoločnom </w:t>
      </w:r>
      <w:r w:rsidRPr="00546A07" w:rsidR="00021693">
        <w:rPr>
          <w:rFonts w:ascii="Times New Roman" w:hAnsi="Times New Roman"/>
          <w:szCs w:val="24"/>
        </w:rPr>
        <w:t>systéme dane z pridanej hodnoty, pokiaľ ide o </w:t>
      </w:r>
      <w:r w:rsidRPr="00546A07">
        <w:rPr>
          <w:rFonts w:ascii="Times New Roman" w:hAnsi="Times New Roman"/>
          <w:szCs w:val="24"/>
        </w:rPr>
        <w:t>daňov</w:t>
      </w:r>
      <w:r w:rsidRPr="00546A07" w:rsidR="00021693">
        <w:rPr>
          <w:rFonts w:ascii="Times New Roman" w:hAnsi="Times New Roman"/>
          <w:szCs w:val="24"/>
        </w:rPr>
        <w:t>é úniky súvisiace s</w:t>
      </w:r>
      <w:r w:rsidRPr="00546A07" w:rsidR="0011412E">
        <w:rPr>
          <w:rFonts w:ascii="Times New Roman" w:hAnsi="Times New Roman"/>
          <w:szCs w:val="24"/>
        </w:rPr>
        <w:t> </w:t>
      </w:r>
      <w:r w:rsidRPr="00546A07" w:rsidR="00021693">
        <w:rPr>
          <w:rFonts w:ascii="Times New Roman" w:hAnsi="Times New Roman"/>
          <w:szCs w:val="24"/>
        </w:rPr>
        <w:t>dovozom</w:t>
      </w:r>
      <w:r w:rsidRPr="00546A07" w:rsidR="0011412E">
        <w:rPr>
          <w:rFonts w:ascii="Times New Roman" w:hAnsi="Times New Roman"/>
          <w:szCs w:val="24"/>
        </w:rPr>
        <w:t>,</w:t>
      </w:r>
    </w:p>
    <w:p w:rsidR="00754288" w:rsidRPr="00546A07" w:rsidP="00885BDB">
      <w:pPr>
        <w:pStyle w:val="Zkladntext"/>
        <w:bidi w:val="0"/>
        <w:spacing w:line="240" w:lineRule="atLeast"/>
        <w:jc w:val="both"/>
        <w:rPr>
          <w:rFonts w:ascii="Times New Roman" w:hAnsi="Times New Roman"/>
          <w:szCs w:val="24"/>
        </w:rPr>
      </w:pPr>
      <w:r w:rsidRPr="00546A07" w:rsidR="0011412E">
        <w:rPr>
          <w:rFonts w:ascii="Times New Roman" w:hAnsi="Times New Roman"/>
          <w:szCs w:val="24"/>
        </w:rPr>
        <w:t>- smernicu Rady 2009/162/E</w:t>
      </w:r>
      <w:r w:rsidRPr="00546A07" w:rsidR="00182246">
        <w:rPr>
          <w:rFonts w:ascii="Times New Roman" w:hAnsi="Times New Roman"/>
          <w:szCs w:val="24"/>
        </w:rPr>
        <w:t>Ú</w:t>
      </w:r>
      <w:r w:rsidRPr="00546A07" w:rsidR="0011412E">
        <w:rPr>
          <w:rFonts w:ascii="Times New Roman" w:hAnsi="Times New Roman"/>
          <w:szCs w:val="24"/>
        </w:rPr>
        <w:t xml:space="preserve"> z 22. decembra 2009, ktorou sa menia a dopĺňajú niektoré ustanovenia smernice 2006/112/ES o spoločnom systéme dane z pridanej hodnoty</w:t>
      </w:r>
      <w:r w:rsidRPr="00546A07" w:rsidR="000933C6">
        <w:rPr>
          <w:rFonts w:ascii="Times New Roman" w:hAnsi="Times New Roman"/>
          <w:szCs w:val="24"/>
        </w:rPr>
        <w:t>.</w:t>
      </w:r>
    </w:p>
    <w:p w:rsidR="000933C6" w:rsidRPr="00546A07" w:rsidP="00754288">
      <w:pPr>
        <w:bidi w:val="0"/>
        <w:spacing w:line="240" w:lineRule="atLeast"/>
        <w:ind w:firstLine="709"/>
        <w:jc w:val="both"/>
        <w:rPr>
          <w:rFonts w:ascii="Times New Roman" w:hAnsi="Times New Roman"/>
        </w:rPr>
      </w:pPr>
    </w:p>
    <w:p w:rsidR="00754288" w:rsidRPr="00546A07" w:rsidP="00754288">
      <w:pPr>
        <w:bidi w:val="0"/>
        <w:spacing w:line="240" w:lineRule="atLeast"/>
        <w:ind w:firstLine="709"/>
        <w:jc w:val="both"/>
        <w:rPr>
          <w:rStyle w:val="PlaceholderText"/>
          <w:color w:val="000000"/>
        </w:rPr>
      </w:pPr>
      <w:r w:rsidRPr="00546A07" w:rsidR="00885BDB">
        <w:rPr>
          <w:rFonts w:ascii="Times New Roman" w:hAnsi="Times New Roman"/>
        </w:rPr>
        <w:t xml:space="preserve">Uvedené smernice </w:t>
      </w:r>
      <w:r w:rsidRPr="00546A07" w:rsidR="00C264F4">
        <w:rPr>
          <w:rFonts w:ascii="Times New Roman" w:hAnsi="Times New Roman"/>
        </w:rPr>
        <w:t>stanovu</w:t>
      </w:r>
      <w:r w:rsidRPr="00546A07" w:rsidR="00885BDB">
        <w:rPr>
          <w:rFonts w:ascii="Times New Roman" w:hAnsi="Times New Roman"/>
        </w:rPr>
        <w:t xml:space="preserve">jú daňové pravidlá </w:t>
      </w:r>
      <w:r w:rsidRPr="00546A07" w:rsidR="00021693">
        <w:rPr>
          <w:rFonts w:ascii="Times New Roman" w:hAnsi="Times New Roman"/>
        </w:rPr>
        <w:t xml:space="preserve">pre miesto poskytnutia </w:t>
      </w:r>
      <w:r w:rsidRPr="00546A07" w:rsidR="000933C6">
        <w:rPr>
          <w:rFonts w:ascii="Times New Roman" w:hAnsi="Times New Roman"/>
        </w:rPr>
        <w:t xml:space="preserve">kultúrnych, umeleckých, športových a podobných </w:t>
      </w:r>
      <w:r w:rsidRPr="00546A07" w:rsidR="00021693">
        <w:rPr>
          <w:rFonts w:ascii="Times New Roman" w:hAnsi="Times New Roman"/>
        </w:rPr>
        <w:t>služieb</w:t>
      </w:r>
      <w:r w:rsidRPr="00546A07" w:rsidR="00662ED4">
        <w:rPr>
          <w:rFonts w:ascii="Times New Roman" w:hAnsi="Times New Roman"/>
        </w:rPr>
        <w:t>,</w:t>
      </w:r>
      <w:r w:rsidRPr="00546A07" w:rsidR="00E676EB">
        <w:rPr>
          <w:rFonts w:ascii="Times New Roman" w:hAnsi="Times New Roman"/>
        </w:rPr>
        <w:t> </w:t>
      </w:r>
      <w:r w:rsidRPr="00546A07" w:rsidR="00C264F4">
        <w:rPr>
          <w:rFonts w:ascii="Times New Roman" w:hAnsi="Times New Roman"/>
        </w:rPr>
        <w:t>špecifiku</w:t>
      </w:r>
      <w:r w:rsidRPr="00546A07" w:rsidR="00E676EB">
        <w:rPr>
          <w:rFonts w:ascii="Times New Roman" w:hAnsi="Times New Roman"/>
        </w:rPr>
        <w:t xml:space="preserve">jú minimálne podmienky </w:t>
      </w:r>
      <w:r w:rsidRPr="00546A07" w:rsidR="00662ED4">
        <w:rPr>
          <w:rFonts w:ascii="Times New Roman" w:hAnsi="Times New Roman"/>
        </w:rPr>
        <w:t>pre zamedzenie</w:t>
      </w:r>
      <w:r w:rsidRPr="00546A07" w:rsidR="00E676EB">
        <w:rPr>
          <w:rFonts w:ascii="Times New Roman" w:hAnsi="Times New Roman"/>
        </w:rPr>
        <w:t xml:space="preserve"> </w:t>
      </w:r>
      <w:r w:rsidRPr="00546A07" w:rsidR="00885BDB">
        <w:rPr>
          <w:rFonts w:ascii="Times New Roman" w:hAnsi="Times New Roman"/>
        </w:rPr>
        <w:t xml:space="preserve">daňovým </w:t>
      </w:r>
      <w:r w:rsidRPr="00546A07" w:rsidR="00E676EB">
        <w:rPr>
          <w:rFonts w:ascii="Times New Roman" w:hAnsi="Times New Roman"/>
        </w:rPr>
        <w:t>únikom pri dovoze tovaru</w:t>
      </w:r>
      <w:r w:rsidRPr="00546A07" w:rsidR="00033E8D">
        <w:rPr>
          <w:rFonts w:ascii="Times New Roman" w:hAnsi="Times New Roman"/>
        </w:rPr>
        <w:t xml:space="preserve"> a technicky upresňujú niektoré ustanovenia smernice o spoločnom systéme dane z pridanej hodnoty</w:t>
      </w:r>
      <w:r w:rsidRPr="00546A07" w:rsidR="00C264F4">
        <w:rPr>
          <w:rFonts w:ascii="Times New Roman" w:hAnsi="Times New Roman"/>
        </w:rPr>
        <w:t>,</w:t>
      </w:r>
      <w:r w:rsidRPr="00546A07" w:rsidR="00033E8D">
        <w:rPr>
          <w:rFonts w:ascii="Times New Roman" w:hAnsi="Times New Roman"/>
        </w:rPr>
        <w:t xml:space="preserve"> pokiaľ ide</w:t>
      </w:r>
      <w:r w:rsidRPr="00546A07" w:rsidR="00943F3B">
        <w:rPr>
          <w:rFonts w:ascii="Times New Roman" w:hAnsi="Times New Roman"/>
        </w:rPr>
        <w:t xml:space="preserve"> napr. o dovoz a miesto zdanenia</w:t>
      </w:r>
      <w:r w:rsidRPr="00546A07" w:rsidR="00033E8D">
        <w:rPr>
          <w:rFonts w:ascii="Times New Roman" w:hAnsi="Times New Roman"/>
        </w:rPr>
        <w:t xml:space="preserve"> dodávok plynu, dodávky </w:t>
      </w:r>
      <w:r w:rsidRPr="00546A07" w:rsidR="00C264F4">
        <w:rPr>
          <w:rFonts w:ascii="Times New Roman" w:hAnsi="Times New Roman"/>
        </w:rPr>
        <w:t>a dovoz tepla alebo chladu vráta</w:t>
      </w:r>
      <w:r w:rsidRPr="00546A07" w:rsidR="00033E8D">
        <w:rPr>
          <w:rFonts w:ascii="Times New Roman" w:hAnsi="Times New Roman"/>
        </w:rPr>
        <w:t>ne služieb súvisiacich s prístupom k rozvod</w:t>
      </w:r>
      <w:r w:rsidRPr="00546A07" w:rsidR="00ED019B">
        <w:rPr>
          <w:rFonts w:ascii="Times New Roman" w:hAnsi="Times New Roman"/>
        </w:rPr>
        <w:t xml:space="preserve">u a sieťam ich prenosu, </w:t>
      </w:r>
      <w:r w:rsidRPr="00546A07" w:rsidR="00C264F4">
        <w:rPr>
          <w:rFonts w:ascii="Times New Roman" w:hAnsi="Times New Roman"/>
        </w:rPr>
        <w:t>s</w:t>
      </w:r>
      <w:r w:rsidRPr="00546A07" w:rsidR="00B62CFA">
        <w:rPr>
          <w:rFonts w:ascii="Times New Roman" w:hAnsi="Times New Roman"/>
        </w:rPr>
        <w:t>prísňujú</w:t>
      </w:r>
      <w:r w:rsidRPr="00546A07" w:rsidR="00033E8D">
        <w:rPr>
          <w:rFonts w:ascii="Times New Roman" w:hAnsi="Times New Roman"/>
        </w:rPr>
        <w:t xml:space="preserve"> pravidlá odpočítania dane vo vzťahu k nehnuteľnému majetku</w:t>
      </w:r>
      <w:r w:rsidRPr="00546A07" w:rsidR="000933C6">
        <w:rPr>
          <w:rFonts w:ascii="Times New Roman" w:hAnsi="Times New Roman"/>
        </w:rPr>
        <w:t>.</w:t>
      </w:r>
      <w:r w:rsidRPr="00546A07">
        <w:rPr>
          <w:rStyle w:val="PlaceholderText"/>
          <w:color w:val="000000"/>
        </w:rPr>
        <w:t xml:space="preserve"> </w:t>
      </w:r>
    </w:p>
    <w:p w:rsidR="00885BDB" w:rsidRPr="00546A07" w:rsidP="00754288">
      <w:pPr>
        <w:pStyle w:val="Zkladntext"/>
        <w:bidi w:val="0"/>
        <w:spacing w:line="240" w:lineRule="atLeast"/>
        <w:jc w:val="both"/>
        <w:rPr>
          <w:rFonts w:ascii="Times New Roman" w:hAnsi="Times New Roman"/>
          <w:szCs w:val="24"/>
        </w:rPr>
      </w:pPr>
    </w:p>
    <w:p w:rsidR="000F267B" w:rsidRPr="00546A07" w:rsidP="00885BDB">
      <w:pPr>
        <w:pStyle w:val="Zkladntext"/>
        <w:bidi w:val="0"/>
        <w:spacing w:line="240" w:lineRule="atLeast"/>
        <w:ind w:firstLine="709"/>
        <w:jc w:val="both"/>
        <w:rPr>
          <w:rFonts w:ascii="Times New Roman" w:hAnsi="Times New Roman"/>
          <w:szCs w:val="24"/>
        </w:rPr>
      </w:pPr>
      <w:r w:rsidRPr="00546A07" w:rsidR="007D4097">
        <w:rPr>
          <w:rFonts w:ascii="Times New Roman" w:hAnsi="Times New Roman"/>
          <w:szCs w:val="24"/>
        </w:rPr>
        <w:t>S účinnosťou od 1</w:t>
      </w:r>
      <w:r w:rsidRPr="00546A07" w:rsidR="00A12086">
        <w:rPr>
          <w:rFonts w:ascii="Times New Roman" w:hAnsi="Times New Roman"/>
          <w:szCs w:val="24"/>
        </w:rPr>
        <w:t>.</w:t>
      </w:r>
      <w:r w:rsidRPr="00546A07" w:rsidR="007D4097">
        <w:rPr>
          <w:rFonts w:ascii="Times New Roman" w:hAnsi="Times New Roman"/>
          <w:szCs w:val="24"/>
        </w:rPr>
        <w:t xml:space="preserve"> januára 2010 bol už transponovaný do zákona čl. 2 smernice Rady 2008/8/ES, ktorou sa zmenila a doplnila smernica Rady 2006/112/ES o spoločnom systéme dane z pridanej hodnoty, pokiaľ ide o miesto poskytovania služieb. Ďalším krokom je transponovať do zákona o dani z pridanej hodnoty čl. 3 smernice Rady 2008/8/ES, na základe ktorého sa zmenia pravidlá pre určenie miesta dodania kultúrnych, umeleckých, športových, vedeckých, vzdelávacích, zábavných a podobných služieb (veľtrhy a výstavy)</w:t>
      </w:r>
      <w:r w:rsidRPr="00546A07" w:rsidR="000C7914">
        <w:rPr>
          <w:rFonts w:ascii="Times New Roman" w:hAnsi="Times New Roman"/>
          <w:szCs w:val="24"/>
        </w:rPr>
        <w:t>,</w:t>
      </w:r>
      <w:r w:rsidRPr="00546A07" w:rsidR="007D4097">
        <w:rPr>
          <w:rFonts w:ascii="Times New Roman" w:hAnsi="Times New Roman"/>
          <w:szCs w:val="24"/>
        </w:rPr>
        <w:t xml:space="preserve"> iných ako súvisiacich so vstupom na kultúrne, umelecké, športové, vedecké, vzdelávacie, zábavné alebo podobné podujatia (veľtrhy a výstavy)</w:t>
      </w:r>
      <w:r w:rsidRPr="00546A07" w:rsidR="000C7914">
        <w:rPr>
          <w:rFonts w:ascii="Times New Roman" w:hAnsi="Times New Roman"/>
          <w:szCs w:val="24"/>
        </w:rPr>
        <w:t>,</w:t>
      </w:r>
      <w:r w:rsidRPr="00546A07" w:rsidR="007D4097">
        <w:rPr>
          <w:rFonts w:ascii="Times New Roman" w:hAnsi="Times New Roman"/>
          <w:szCs w:val="24"/>
        </w:rPr>
        <w:t xml:space="preserve"> pre zdaniteľnú osobu.</w:t>
      </w:r>
    </w:p>
    <w:p w:rsidR="000F267B" w:rsidRPr="00546A07" w:rsidP="00885BDB">
      <w:pPr>
        <w:pStyle w:val="Zkladntext"/>
        <w:bidi w:val="0"/>
        <w:spacing w:line="240" w:lineRule="atLeast"/>
        <w:ind w:firstLine="709"/>
        <w:jc w:val="both"/>
        <w:rPr>
          <w:rFonts w:ascii="Times New Roman" w:hAnsi="Times New Roman"/>
          <w:szCs w:val="24"/>
        </w:rPr>
      </w:pPr>
    </w:p>
    <w:p w:rsidR="00B62CFA" w:rsidRPr="00546A07" w:rsidP="00B62CFA">
      <w:pPr>
        <w:pStyle w:val="Zkladntext"/>
        <w:bidi w:val="0"/>
        <w:spacing w:line="240" w:lineRule="atLeast"/>
        <w:ind w:firstLine="709"/>
        <w:jc w:val="both"/>
        <w:rPr>
          <w:rFonts w:ascii="Times New Roman" w:hAnsi="Times New Roman"/>
          <w:szCs w:val="24"/>
        </w:rPr>
      </w:pPr>
      <w:r w:rsidRPr="00546A07" w:rsidR="002C60CC">
        <w:rPr>
          <w:rFonts w:ascii="Times New Roman" w:hAnsi="Times New Roman"/>
          <w:szCs w:val="24"/>
        </w:rPr>
        <w:t>V súlade so stratégiou boja proti daňovým podvodom v oblasti nepriameho zdaňovania</w:t>
      </w:r>
      <w:r w:rsidRPr="00546A07" w:rsidR="00A12086">
        <w:rPr>
          <w:rFonts w:ascii="Times New Roman" w:hAnsi="Times New Roman"/>
          <w:szCs w:val="24"/>
        </w:rPr>
        <w:t xml:space="preserve"> a</w:t>
      </w:r>
      <w:r w:rsidRPr="00546A07" w:rsidR="002C60CC">
        <w:rPr>
          <w:rFonts w:ascii="Times New Roman" w:hAnsi="Times New Roman"/>
          <w:szCs w:val="24"/>
        </w:rPr>
        <w:t xml:space="preserve"> nadväzne na  prijaté minimálne podmienky na úrovni </w:t>
      </w:r>
      <w:r w:rsidRPr="00546A07" w:rsidR="00383524">
        <w:rPr>
          <w:rFonts w:ascii="Times New Roman" w:hAnsi="Times New Roman"/>
          <w:szCs w:val="24"/>
        </w:rPr>
        <w:t>Európskej únie</w:t>
      </w:r>
      <w:r w:rsidRPr="00546A07" w:rsidR="002C60CC">
        <w:rPr>
          <w:rFonts w:ascii="Times New Roman" w:hAnsi="Times New Roman"/>
          <w:szCs w:val="24"/>
        </w:rPr>
        <w:t xml:space="preserve"> </w:t>
      </w:r>
      <w:r w:rsidRPr="00546A07" w:rsidR="00A12086">
        <w:rPr>
          <w:rFonts w:ascii="Times New Roman" w:hAnsi="Times New Roman"/>
          <w:szCs w:val="24"/>
        </w:rPr>
        <w:t>smernicou Rady 2009/69/ES</w:t>
      </w:r>
      <w:r w:rsidRPr="00546A07" w:rsidR="006C043E">
        <w:rPr>
          <w:rFonts w:ascii="Times New Roman" w:hAnsi="Times New Roman"/>
          <w:szCs w:val="24"/>
        </w:rPr>
        <w:t xml:space="preserve"> sa </w:t>
      </w:r>
      <w:r w:rsidRPr="00546A07" w:rsidR="002C60CC">
        <w:rPr>
          <w:rFonts w:ascii="Times New Roman" w:hAnsi="Times New Roman"/>
          <w:szCs w:val="24"/>
        </w:rPr>
        <w:t>v zákone vytvori</w:t>
      </w:r>
      <w:r w:rsidRPr="00546A07" w:rsidR="00C264F4">
        <w:rPr>
          <w:rFonts w:ascii="Times New Roman" w:hAnsi="Times New Roman"/>
          <w:szCs w:val="24"/>
        </w:rPr>
        <w:t>a</w:t>
      </w:r>
      <w:r w:rsidRPr="00546A07" w:rsidR="002C60CC">
        <w:rPr>
          <w:rFonts w:ascii="Times New Roman" w:hAnsi="Times New Roman"/>
          <w:szCs w:val="24"/>
        </w:rPr>
        <w:t xml:space="preserve"> podmienky, aby sa nezneužívalo oslobodenie od dane pri dovoze tovaru</w:t>
      </w:r>
      <w:r w:rsidRPr="00546A07" w:rsidR="00C264F4">
        <w:rPr>
          <w:rFonts w:ascii="Times New Roman" w:hAnsi="Times New Roman"/>
          <w:szCs w:val="24"/>
        </w:rPr>
        <w:t xml:space="preserve"> z tretích štátov</w:t>
      </w:r>
      <w:r w:rsidRPr="00546A07" w:rsidR="002C60CC">
        <w:rPr>
          <w:rFonts w:ascii="Times New Roman" w:hAnsi="Times New Roman"/>
          <w:szCs w:val="24"/>
        </w:rPr>
        <w:t xml:space="preserve">, </w:t>
      </w:r>
      <w:r w:rsidRPr="00546A07">
        <w:rPr>
          <w:rFonts w:ascii="Times New Roman" w:hAnsi="Times New Roman"/>
          <w:szCs w:val="24"/>
        </w:rPr>
        <w:t>ktoré platí v prípade, že po dovoze tovaru nasleduje dodanie alebo premiestnenie tovaru do iného členského štátu EÚ.</w:t>
      </w:r>
    </w:p>
    <w:p w:rsidR="00885BDB" w:rsidRPr="00546A07" w:rsidP="00885BDB">
      <w:pPr>
        <w:bidi w:val="0"/>
        <w:rPr>
          <w:rFonts w:ascii="Times New Roman" w:hAnsi="Times New Roman"/>
        </w:rPr>
      </w:pPr>
    </w:p>
    <w:p w:rsidR="00A12086" w:rsidRPr="00546A07" w:rsidP="00885BDB">
      <w:pPr>
        <w:pStyle w:val="BodyText2"/>
        <w:bidi w:val="0"/>
        <w:rPr>
          <w:rFonts w:ascii="Times New Roman" w:hAnsi="Times New Roman"/>
          <w:sz w:val="24"/>
          <w:szCs w:val="24"/>
        </w:rPr>
      </w:pPr>
      <w:r w:rsidRPr="00546A07" w:rsidR="00885BDB">
        <w:rPr>
          <w:rFonts w:ascii="Times New Roman" w:hAnsi="Times New Roman"/>
          <w:sz w:val="24"/>
          <w:szCs w:val="24"/>
        </w:rPr>
        <w:tab/>
      </w:r>
      <w:r w:rsidRPr="00546A07" w:rsidR="006C043E">
        <w:rPr>
          <w:rFonts w:ascii="Times New Roman" w:hAnsi="Times New Roman"/>
          <w:sz w:val="24"/>
          <w:szCs w:val="24"/>
        </w:rPr>
        <w:t>Smernica Rady 2009/162/EÚ</w:t>
      </w:r>
      <w:r w:rsidRPr="00546A07" w:rsidR="00182246">
        <w:rPr>
          <w:rFonts w:ascii="Times New Roman" w:hAnsi="Times New Roman"/>
          <w:sz w:val="24"/>
          <w:szCs w:val="24"/>
        </w:rPr>
        <w:t xml:space="preserve"> má za cieľ vykonať niektoré technické zmeny smernice 2006/112/ES</w:t>
      </w:r>
      <w:r w:rsidRPr="00546A07" w:rsidR="004A0729">
        <w:rPr>
          <w:rFonts w:ascii="Times New Roman" w:hAnsi="Times New Roman"/>
          <w:sz w:val="24"/>
          <w:szCs w:val="24"/>
        </w:rPr>
        <w:t xml:space="preserve"> tak, aby sa osobitná</w:t>
      </w:r>
      <w:r w:rsidRPr="00546A07" w:rsidR="00182246">
        <w:rPr>
          <w:rFonts w:ascii="Times New Roman" w:hAnsi="Times New Roman"/>
          <w:sz w:val="24"/>
          <w:szCs w:val="24"/>
        </w:rPr>
        <w:t xml:space="preserve"> úprav</w:t>
      </w:r>
      <w:r w:rsidRPr="00546A07" w:rsidR="004A0729">
        <w:rPr>
          <w:rFonts w:ascii="Times New Roman" w:hAnsi="Times New Roman"/>
          <w:sz w:val="24"/>
          <w:szCs w:val="24"/>
        </w:rPr>
        <w:t>a</w:t>
      </w:r>
      <w:r w:rsidRPr="00546A07" w:rsidR="00182246">
        <w:rPr>
          <w:rFonts w:ascii="Times New Roman" w:hAnsi="Times New Roman"/>
          <w:sz w:val="24"/>
          <w:szCs w:val="24"/>
        </w:rPr>
        <w:t xml:space="preserve"> pre dovoz a miesto zdanenia dodávok plynu </w:t>
      </w:r>
      <w:r w:rsidRPr="00546A07" w:rsidR="004A0729">
        <w:rPr>
          <w:rFonts w:ascii="Times New Roman" w:hAnsi="Times New Roman"/>
          <w:sz w:val="24"/>
          <w:szCs w:val="24"/>
        </w:rPr>
        <w:t>c</w:t>
      </w:r>
      <w:r w:rsidRPr="00546A07" w:rsidR="00182246">
        <w:rPr>
          <w:rFonts w:ascii="Times New Roman" w:hAnsi="Times New Roman"/>
          <w:sz w:val="24"/>
          <w:szCs w:val="24"/>
        </w:rPr>
        <w:t>ez rozvodné siete</w:t>
      </w:r>
      <w:r w:rsidRPr="00546A07" w:rsidR="004A0729">
        <w:rPr>
          <w:rFonts w:ascii="Times New Roman" w:hAnsi="Times New Roman"/>
          <w:sz w:val="24"/>
          <w:szCs w:val="24"/>
        </w:rPr>
        <w:t xml:space="preserve"> rovnako uplatňovala </w:t>
      </w:r>
      <w:r w:rsidRPr="00546A07" w:rsidR="00182246">
        <w:rPr>
          <w:rFonts w:ascii="Times New Roman" w:hAnsi="Times New Roman"/>
          <w:sz w:val="24"/>
          <w:szCs w:val="24"/>
        </w:rPr>
        <w:t xml:space="preserve">aj na dovoz </w:t>
      </w:r>
      <w:r w:rsidRPr="00546A07">
        <w:rPr>
          <w:rFonts w:ascii="Times New Roman" w:hAnsi="Times New Roman"/>
          <w:sz w:val="24"/>
          <w:szCs w:val="24"/>
        </w:rPr>
        <w:t xml:space="preserve">plynu </w:t>
      </w:r>
      <w:r w:rsidRPr="00546A07" w:rsidR="00182246">
        <w:rPr>
          <w:rFonts w:ascii="Times New Roman" w:hAnsi="Times New Roman"/>
          <w:sz w:val="24"/>
          <w:szCs w:val="24"/>
        </w:rPr>
        <w:t xml:space="preserve">plynovodmi, ktoré do distribučnej siete nepatria, ako aj na dovoz plynu </w:t>
      </w:r>
      <w:r w:rsidRPr="00546A07" w:rsidR="004A0729">
        <w:rPr>
          <w:rFonts w:ascii="Times New Roman" w:hAnsi="Times New Roman"/>
          <w:sz w:val="24"/>
          <w:szCs w:val="24"/>
        </w:rPr>
        <w:t>uskutočnen</w:t>
      </w:r>
      <w:r w:rsidRPr="00546A07" w:rsidR="006D6BCB">
        <w:rPr>
          <w:rFonts w:ascii="Times New Roman" w:hAnsi="Times New Roman"/>
          <w:sz w:val="24"/>
          <w:szCs w:val="24"/>
        </w:rPr>
        <w:t>ý</w:t>
      </w:r>
      <w:r w:rsidRPr="00546A07" w:rsidR="004A0729">
        <w:rPr>
          <w:rFonts w:ascii="Times New Roman" w:hAnsi="Times New Roman"/>
          <w:sz w:val="24"/>
          <w:szCs w:val="24"/>
        </w:rPr>
        <w:t xml:space="preserve"> </w:t>
      </w:r>
      <w:r w:rsidRPr="00546A07" w:rsidR="00182246">
        <w:rPr>
          <w:rFonts w:ascii="Times New Roman" w:hAnsi="Times New Roman"/>
          <w:sz w:val="24"/>
          <w:szCs w:val="24"/>
        </w:rPr>
        <w:t>plavidl</w:t>
      </w:r>
      <w:r w:rsidRPr="00546A07" w:rsidR="004A0729">
        <w:rPr>
          <w:rFonts w:ascii="Times New Roman" w:hAnsi="Times New Roman"/>
          <w:sz w:val="24"/>
          <w:szCs w:val="24"/>
        </w:rPr>
        <w:t>ami</w:t>
      </w:r>
      <w:r w:rsidRPr="00546A07" w:rsidR="00182246">
        <w:rPr>
          <w:rFonts w:ascii="Times New Roman" w:hAnsi="Times New Roman"/>
          <w:sz w:val="24"/>
          <w:szCs w:val="24"/>
        </w:rPr>
        <w:t>.</w:t>
      </w:r>
      <w:r w:rsidRPr="00546A07" w:rsidR="004A0729">
        <w:rPr>
          <w:rFonts w:ascii="Times New Roman" w:hAnsi="Times New Roman"/>
          <w:sz w:val="24"/>
          <w:szCs w:val="24"/>
        </w:rPr>
        <w:t xml:space="preserve"> Osobitnej úprave majú podliehať aj dodávky a dovoz tepla a chladu, ktoré doteraz neboli predmetom osobitnej úpravy. </w:t>
      </w:r>
    </w:p>
    <w:p w:rsidR="00394053" w:rsidRPr="00546A07" w:rsidP="00A12086">
      <w:pPr>
        <w:pStyle w:val="BodyText2"/>
        <w:bidi w:val="0"/>
        <w:ind w:firstLine="708"/>
        <w:rPr>
          <w:rFonts w:ascii="Times New Roman" w:hAnsi="Times New Roman"/>
          <w:sz w:val="24"/>
          <w:szCs w:val="24"/>
        </w:rPr>
      </w:pPr>
      <w:r w:rsidRPr="00546A07" w:rsidR="004A0729">
        <w:rPr>
          <w:rFonts w:ascii="Times New Roman" w:hAnsi="Times New Roman"/>
          <w:sz w:val="24"/>
          <w:szCs w:val="24"/>
        </w:rPr>
        <w:t>Technické úpravy sa týkajú aj práva na odpočítanie dane v zmysle základného pravidla, že právo vzniká len v prípade, ak zdaniteľná osoba používa tovary a služby na účely</w:t>
      </w:r>
      <w:r w:rsidRPr="00546A07" w:rsidR="00ED019B">
        <w:rPr>
          <w:rFonts w:ascii="Times New Roman" w:hAnsi="Times New Roman"/>
          <w:sz w:val="24"/>
          <w:szCs w:val="24"/>
        </w:rPr>
        <w:t xml:space="preserve"> svojej podnikateľskej činnosti</w:t>
      </w:r>
      <w:r w:rsidRPr="00546A07" w:rsidR="00C264F4">
        <w:rPr>
          <w:rFonts w:ascii="Times New Roman" w:hAnsi="Times New Roman"/>
          <w:sz w:val="24"/>
          <w:szCs w:val="24"/>
        </w:rPr>
        <w:t>.</w:t>
      </w:r>
      <w:r w:rsidRPr="00546A07" w:rsidR="004A0729">
        <w:rPr>
          <w:rFonts w:ascii="Times New Roman" w:hAnsi="Times New Roman"/>
          <w:sz w:val="24"/>
          <w:szCs w:val="24"/>
        </w:rPr>
        <w:t xml:space="preserve"> </w:t>
      </w:r>
      <w:r w:rsidRPr="00546A07" w:rsidR="00C264F4">
        <w:rPr>
          <w:rFonts w:ascii="Times New Roman" w:hAnsi="Times New Roman"/>
          <w:sz w:val="24"/>
          <w:szCs w:val="24"/>
        </w:rPr>
        <w:t>T</w:t>
      </w:r>
      <w:r w:rsidRPr="00546A07" w:rsidR="004A0729">
        <w:rPr>
          <w:rFonts w:ascii="Times New Roman" w:hAnsi="Times New Roman"/>
          <w:sz w:val="24"/>
          <w:szCs w:val="24"/>
        </w:rPr>
        <w:t>oto pravidlo</w:t>
      </w:r>
      <w:r w:rsidRPr="00546A07" w:rsidR="00C264F4">
        <w:rPr>
          <w:rFonts w:ascii="Times New Roman" w:hAnsi="Times New Roman"/>
          <w:sz w:val="24"/>
          <w:szCs w:val="24"/>
        </w:rPr>
        <w:t xml:space="preserve"> sa spresní</w:t>
      </w:r>
      <w:r w:rsidRPr="00546A07" w:rsidR="004A0729">
        <w:rPr>
          <w:rFonts w:ascii="Times New Roman" w:hAnsi="Times New Roman"/>
          <w:sz w:val="24"/>
          <w:szCs w:val="24"/>
        </w:rPr>
        <w:t xml:space="preserve"> </w:t>
      </w:r>
      <w:r w:rsidRPr="00546A07" w:rsidR="00C264F4">
        <w:rPr>
          <w:rFonts w:ascii="Times New Roman" w:hAnsi="Times New Roman"/>
          <w:sz w:val="24"/>
          <w:szCs w:val="24"/>
        </w:rPr>
        <w:t xml:space="preserve">a sprísni </w:t>
      </w:r>
      <w:r w:rsidRPr="00546A07" w:rsidR="004A0729">
        <w:rPr>
          <w:rFonts w:ascii="Times New Roman" w:hAnsi="Times New Roman"/>
          <w:sz w:val="24"/>
          <w:szCs w:val="24"/>
        </w:rPr>
        <w:t>vo vzťahu k </w:t>
      </w:r>
      <w:r w:rsidRPr="00546A07" w:rsidR="00533E55">
        <w:rPr>
          <w:rFonts w:ascii="Times New Roman" w:hAnsi="Times New Roman"/>
          <w:sz w:val="24"/>
          <w:szCs w:val="24"/>
        </w:rPr>
        <w:t>nadobudnutiu</w:t>
      </w:r>
      <w:r w:rsidRPr="00546A07" w:rsidR="004A0729">
        <w:rPr>
          <w:rFonts w:ascii="Times New Roman" w:hAnsi="Times New Roman"/>
          <w:sz w:val="24"/>
          <w:szCs w:val="24"/>
        </w:rPr>
        <w:t xml:space="preserve"> n</w:t>
      </w:r>
      <w:r w:rsidRPr="00546A07" w:rsidR="00ED019B">
        <w:rPr>
          <w:rFonts w:ascii="Times New Roman" w:hAnsi="Times New Roman"/>
          <w:sz w:val="24"/>
          <w:szCs w:val="24"/>
        </w:rPr>
        <w:t>ehnuteľného majetku a súvisiacich</w:t>
      </w:r>
      <w:r w:rsidRPr="00546A07" w:rsidR="004A0729">
        <w:rPr>
          <w:rFonts w:ascii="Times New Roman" w:hAnsi="Times New Roman"/>
          <w:sz w:val="24"/>
          <w:szCs w:val="24"/>
        </w:rPr>
        <w:t xml:space="preserve"> </w:t>
      </w:r>
      <w:r w:rsidRPr="00546A07" w:rsidR="004D1A59">
        <w:rPr>
          <w:rFonts w:ascii="Times New Roman" w:hAnsi="Times New Roman"/>
          <w:sz w:val="24"/>
          <w:szCs w:val="24"/>
        </w:rPr>
        <w:t>výdavko</w:t>
      </w:r>
      <w:r w:rsidRPr="00546A07" w:rsidR="00ED019B">
        <w:rPr>
          <w:rFonts w:ascii="Times New Roman" w:hAnsi="Times New Roman"/>
          <w:sz w:val="24"/>
          <w:szCs w:val="24"/>
        </w:rPr>
        <w:t>v</w:t>
      </w:r>
      <w:r w:rsidRPr="00546A07" w:rsidR="00A12086">
        <w:rPr>
          <w:rFonts w:ascii="Times New Roman" w:hAnsi="Times New Roman"/>
          <w:sz w:val="24"/>
          <w:szCs w:val="24"/>
        </w:rPr>
        <w:t xml:space="preserve"> </w:t>
      </w:r>
      <w:r w:rsidRPr="00546A07" w:rsidR="00ED019B">
        <w:rPr>
          <w:rFonts w:ascii="Times New Roman" w:hAnsi="Times New Roman"/>
          <w:sz w:val="24"/>
          <w:szCs w:val="24"/>
        </w:rPr>
        <w:t>s cieľom zabezpečiť, aby sa so zdaniteľnými osobami zaobch</w:t>
      </w:r>
      <w:r w:rsidRPr="00546A07" w:rsidR="00943F3B">
        <w:rPr>
          <w:rFonts w:ascii="Times New Roman" w:hAnsi="Times New Roman"/>
          <w:sz w:val="24"/>
          <w:szCs w:val="24"/>
        </w:rPr>
        <w:t>ádzalo rovnakým spôsobom, keď</w:t>
      </w:r>
      <w:r w:rsidRPr="00546A07" w:rsidR="00ED019B">
        <w:rPr>
          <w:rFonts w:ascii="Times New Roman" w:hAnsi="Times New Roman"/>
          <w:sz w:val="24"/>
          <w:szCs w:val="24"/>
        </w:rPr>
        <w:t xml:space="preserve"> nehnuteľný majetok</w:t>
      </w:r>
      <w:r w:rsidRPr="00546A07" w:rsidR="006E7611">
        <w:rPr>
          <w:rFonts w:ascii="Times New Roman" w:hAnsi="Times New Roman"/>
          <w:sz w:val="24"/>
          <w:szCs w:val="24"/>
        </w:rPr>
        <w:t xml:space="preserve">, </w:t>
      </w:r>
      <w:r w:rsidRPr="00546A07" w:rsidR="004D1A59">
        <w:rPr>
          <w:rFonts w:ascii="Times New Roman" w:hAnsi="Times New Roman"/>
          <w:sz w:val="24"/>
          <w:szCs w:val="24"/>
        </w:rPr>
        <w:t xml:space="preserve">ktorý používajú </w:t>
      </w:r>
      <w:r w:rsidRPr="00546A07" w:rsidR="006E7611">
        <w:rPr>
          <w:rFonts w:ascii="Times New Roman" w:hAnsi="Times New Roman"/>
          <w:sz w:val="24"/>
          <w:szCs w:val="24"/>
        </w:rPr>
        <w:t xml:space="preserve">v rámci svojho podnikania, nepoužívajú výlučne </w:t>
      </w:r>
      <w:r w:rsidRPr="00546A07" w:rsidR="004D1A59">
        <w:rPr>
          <w:rFonts w:ascii="Times New Roman" w:hAnsi="Times New Roman"/>
          <w:sz w:val="24"/>
          <w:szCs w:val="24"/>
        </w:rPr>
        <w:t>na</w:t>
      </w:r>
      <w:r w:rsidRPr="00546A07" w:rsidR="006E7611">
        <w:rPr>
          <w:rFonts w:ascii="Times New Roman" w:hAnsi="Times New Roman"/>
          <w:sz w:val="24"/>
          <w:szCs w:val="24"/>
        </w:rPr>
        <w:t xml:space="preserve"> účely súvisiace s touto činnosťou</w:t>
      </w:r>
      <w:r w:rsidRPr="00546A07" w:rsidR="004D1A59">
        <w:rPr>
          <w:rFonts w:ascii="Times New Roman" w:hAnsi="Times New Roman"/>
          <w:sz w:val="24"/>
          <w:szCs w:val="24"/>
        </w:rPr>
        <w:t xml:space="preserve">. Pri zmiešanom použití </w:t>
      </w:r>
      <w:r w:rsidRPr="00546A07" w:rsidR="00C264F4">
        <w:rPr>
          <w:rFonts w:ascii="Times New Roman" w:hAnsi="Times New Roman"/>
          <w:sz w:val="24"/>
          <w:szCs w:val="24"/>
        </w:rPr>
        <w:t>ne</w:t>
      </w:r>
      <w:r w:rsidRPr="00546A07" w:rsidR="004D1A59">
        <w:rPr>
          <w:rFonts w:ascii="Times New Roman" w:hAnsi="Times New Roman"/>
          <w:sz w:val="24"/>
          <w:szCs w:val="24"/>
        </w:rPr>
        <w:t>hnuteľného maje</w:t>
      </w:r>
      <w:r w:rsidRPr="00546A07" w:rsidR="006E7611">
        <w:rPr>
          <w:rFonts w:ascii="Times New Roman" w:hAnsi="Times New Roman"/>
          <w:sz w:val="24"/>
          <w:szCs w:val="24"/>
        </w:rPr>
        <w:t>tku sa má zabezpečiť spravodlivý</w:t>
      </w:r>
      <w:r w:rsidRPr="00546A07" w:rsidR="004D1A59">
        <w:rPr>
          <w:rFonts w:ascii="Times New Roman" w:hAnsi="Times New Roman"/>
          <w:sz w:val="24"/>
          <w:szCs w:val="24"/>
        </w:rPr>
        <w:t xml:space="preserve"> systém úpravy odpočítania dane tak, aby zohľadnil zmeny v používaní tohto majetku na podnikateľskú a nepodnikateľskú činnosť.</w:t>
      </w:r>
      <w:r w:rsidRPr="00546A07" w:rsidR="005651A6">
        <w:rPr>
          <w:rFonts w:ascii="Times New Roman" w:hAnsi="Times New Roman"/>
          <w:sz w:val="24"/>
          <w:szCs w:val="24"/>
        </w:rPr>
        <w:t xml:space="preserve"> </w:t>
      </w:r>
    </w:p>
    <w:p w:rsidR="00885BDB" w:rsidRPr="00546A07" w:rsidP="00394053">
      <w:pPr>
        <w:pStyle w:val="BodyText2"/>
        <w:bidi w:val="0"/>
        <w:ind w:firstLine="709"/>
        <w:rPr>
          <w:rFonts w:ascii="Times New Roman" w:hAnsi="Times New Roman"/>
          <w:sz w:val="24"/>
          <w:szCs w:val="24"/>
        </w:rPr>
      </w:pPr>
      <w:r w:rsidRPr="00546A07" w:rsidR="005651A6">
        <w:rPr>
          <w:rFonts w:ascii="Times New Roman" w:hAnsi="Times New Roman"/>
          <w:sz w:val="24"/>
          <w:szCs w:val="24"/>
        </w:rPr>
        <w:t xml:space="preserve">Do zákona sa dopĺňa </w:t>
      </w:r>
      <w:r w:rsidRPr="00546A07" w:rsidR="00394053">
        <w:rPr>
          <w:rFonts w:ascii="Times New Roman" w:hAnsi="Times New Roman"/>
          <w:sz w:val="24"/>
          <w:szCs w:val="24"/>
        </w:rPr>
        <w:t>oslobodenie od dane pri dodaní tovaru do iného členského štátu, oslobodenie pri dovoze tovaru a</w:t>
      </w:r>
      <w:r w:rsidRPr="00546A07" w:rsidR="005651A6">
        <w:rPr>
          <w:rFonts w:ascii="Times New Roman" w:hAnsi="Times New Roman"/>
          <w:sz w:val="24"/>
          <w:szCs w:val="24"/>
        </w:rPr>
        <w:t xml:space="preserve"> </w:t>
      </w:r>
      <w:r w:rsidRPr="00546A07" w:rsidR="00394053">
        <w:rPr>
          <w:rFonts w:ascii="Times New Roman" w:hAnsi="Times New Roman"/>
          <w:sz w:val="24"/>
          <w:szCs w:val="24"/>
        </w:rPr>
        <w:t xml:space="preserve">nárok </w:t>
      </w:r>
      <w:r w:rsidRPr="00546A07" w:rsidR="003D4905">
        <w:rPr>
          <w:rFonts w:ascii="Times New Roman" w:hAnsi="Times New Roman"/>
          <w:sz w:val="24"/>
          <w:szCs w:val="24"/>
        </w:rPr>
        <w:t xml:space="preserve">na </w:t>
      </w:r>
      <w:r w:rsidRPr="00546A07" w:rsidR="005651A6">
        <w:rPr>
          <w:rFonts w:ascii="Times New Roman" w:hAnsi="Times New Roman"/>
          <w:sz w:val="24"/>
          <w:szCs w:val="24"/>
        </w:rPr>
        <w:t xml:space="preserve">vrátenie dane </w:t>
      </w:r>
      <w:r w:rsidRPr="00546A07" w:rsidR="00394053">
        <w:rPr>
          <w:rFonts w:ascii="Times New Roman" w:hAnsi="Times New Roman"/>
          <w:sz w:val="24"/>
          <w:szCs w:val="24"/>
        </w:rPr>
        <w:t xml:space="preserve">z vnútroštátnych nákupov tovarov a služieb </w:t>
      </w:r>
      <w:r w:rsidRPr="00546A07" w:rsidR="005651A6">
        <w:rPr>
          <w:rFonts w:ascii="Times New Roman" w:hAnsi="Times New Roman"/>
          <w:sz w:val="24"/>
          <w:szCs w:val="24"/>
        </w:rPr>
        <w:t>orgánom E</w:t>
      </w:r>
      <w:r w:rsidRPr="00546A07" w:rsidR="00383524">
        <w:rPr>
          <w:rFonts w:ascii="Times New Roman" w:hAnsi="Times New Roman"/>
          <w:sz w:val="24"/>
          <w:szCs w:val="24"/>
        </w:rPr>
        <w:t>Ú</w:t>
      </w:r>
      <w:r w:rsidRPr="00546A07" w:rsidR="005651A6">
        <w:rPr>
          <w:rFonts w:ascii="Times New Roman" w:hAnsi="Times New Roman"/>
          <w:sz w:val="24"/>
          <w:szCs w:val="24"/>
        </w:rPr>
        <w:t xml:space="preserve"> a medzinárodným organizáciám v rozsahu podľa </w:t>
      </w:r>
      <w:r w:rsidRPr="00546A07" w:rsidR="007A614D">
        <w:rPr>
          <w:rFonts w:ascii="Times New Roman" w:hAnsi="Times New Roman"/>
          <w:sz w:val="24"/>
          <w:szCs w:val="24"/>
        </w:rPr>
        <w:t>P</w:t>
      </w:r>
      <w:r w:rsidRPr="00546A07" w:rsidR="005651A6">
        <w:rPr>
          <w:rFonts w:ascii="Times New Roman" w:hAnsi="Times New Roman"/>
          <w:sz w:val="24"/>
          <w:szCs w:val="24"/>
        </w:rPr>
        <w:t>rotokolu</w:t>
      </w:r>
      <w:r w:rsidRPr="00546A07" w:rsidR="007A614D">
        <w:rPr>
          <w:rFonts w:ascii="Times New Roman" w:hAnsi="Times New Roman"/>
          <w:sz w:val="24"/>
          <w:szCs w:val="24"/>
        </w:rPr>
        <w:t xml:space="preserve"> z 8. apríla 1965 o výsadách a imunitách Európskych spoločenstiev</w:t>
      </w:r>
      <w:r w:rsidRPr="00546A07" w:rsidR="003D4905">
        <w:rPr>
          <w:rFonts w:ascii="Times New Roman" w:hAnsi="Times New Roman"/>
          <w:sz w:val="24"/>
          <w:szCs w:val="24"/>
        </w:rPr>
        <w:t xml:space="preserve">. Tento nárok na vrátenie dane sa uplatňoval aj doteraz podľa </w:t>
      </w:r>
      <w:r w:rsidRPr="00546A07" w:rsidR="00A12086">
        <w:rPr>
          <w:rFonts w:ascii="Times New Roman" w:hAnsi="Times New Roman"/>
          <w:sz w:val="24"/>
          <w:szCs w:val="24"/>
        </w:rPr>
        <w:t xml:space="preserve">uvedeného </w:t>
      </w:r>
      <w:r w:rsidRPr="00546A07" w:rsidR="003D4905">
        <w:rPr>
          <w:rFonts w:ascii="Times New Roman" w:hAnsi="Times New Roman"/>
          <w:sz w:val="24"/>
          <w:szCs w:val="24"/>
        </w:rPr>
        <w:t xml:space="preserve">protokolu. Uvedenie </w:t>
      </w:r>
      <w:r w:rsidRPr="00546A07" w:rsidR="00394053">
        <w:rPr>
          <w:rFonts w:ascii="Times New Roman" w:hAnsi="Times New Roman"/>
          <w:sz w:val="24"/>
          <w:szCs w:val="24"/>
        </w:rPr>
        <w:t>oslobodenia od dane a </w:t>
      </w:r>
      <w:r w:rsidRPr="00546A07" w:rsidR="003D4905">
        <w:rPr>
          <w:rFonts w:ascii="Times New Roman" w:hAnsi="Times New Roman"/>
          <w:sz w:val="24"/>
          <w:szCs w:val="24"/>
        </w:rPr>
        <w:t>nároku</w:t>
      </w:r>
      <w:r w:rsidRPr="00546A07" w:rsidR="00394053">
        <w:rPr>
          <w:rFonts w:ascii="Times New Roman" w:hAnsi="Times New Roman"/>
          <w:sz w:val="24"/>
          <w:szCs w:val="24"/>
        </w:rPr>
        <w:t xml:space="preserve"> na vrátenie dane</w:t>
      </w:r>
      <w:r w:rsidRPr="00546A07" w:rsidR="003D4905">
        <w:rPr>
          <w:rFonts w:ascii="Times New Roman" w:hAnsi="Times New Roman"/>
          <w:sz w:val="24"/>
          <w:szCs w:val="24"/>
        </w:rPr>
        <w:t xml:space="preserve"> v zákone </w:t>
      </w:r>
      <w:r w:rsidRPr="00546A07" w:rsidR="00AC1D0C">
        <w:rPr>
          <w:rFonts w:ascii="Times New Roman" w:hAnsi="Times New Roman"/>
          <w:sz w:val="24"/>
          <w:szCs w:val="24"/>
        </w:rPr>
        <w:t xml:space="preserve">vyplýva z </w:t>
      </w:r>
      <w:r w:rsidRPr="00546A07" w:rsidR="003D4905">
        <w:rPr>
          <w:rFonts w:ascii="Times New Roman" w:hAnsi="Times New Roman"/>
          <w:sz w:val="24"/>
          <w:szCs w:val="24"/>
        </w:rPr>
        <w:t> technických úprav smernice o spoločnom systéme dane z pridanej hodnoty od 1.</w:t>
      </w:r>
      <w:r w:rsidRPr="00546A07" w:rsidR="00A12086">
        <w:rPr>
          <w:rFonts w:ascii="Times New Roman" w:hAnsi="Times New Roman"/>
          <w:sz w:val="24"/>
          <w:szCs w:val="24"/>
        </w:rPr>
        <w:t xml:space="preserve"> januára </w:t>
      </w:r>
      <w:r w:rsidRPr="00546A07" w:rsidR="003D4905">
        <w:rPr>
          <w:rFonts w:ascii="Times New Roman" w:hAnsi="Times New Roman"/>
          <w:sz w:val="24"/>
          <w:szCs w:val="24"/>
        </w:rPr>
        <w:t>2011.</w:t>
      </w:r>
    </w:p>
    <w:p w:rsidR="00754288" w:rsidRPr="00546A07" w:rsidP="00F827E6">
      <w:pPr>
        <w:pStyle w:val="BodyText2"/>
        <w:bidi w:val="0"/>
        <w:rPr>
          <w:rFonts w:ascii="Times New Roman" w:hAnsi="Times New Roman"/>
          <w:sz w:val="24"/>
          <w:szCs w:val="24"/>
        </w:rPr>
      </w:pPr>
    </w:p>
    <w:p w:rsidR="001C144D" w:rsidRPr="00546A07" w:rsidP="00754288">
      <w:pPr>
        <w:pStyle w:val="BodyText2"/>
        <w:bidi w:val="0"/>
        <w:ind w:firstLine="708"/>
        <w:rPr>
          <w:rFonts w:ascii="Times New Roman" w:hAnsi="Times New Roman"/>
          <w:sz w:val="24"/>
          <w:szCs w:val="24"/>
        </w:rPr>
      </w:pPr>
      <w:r w:rsidRPr="00546A07">
        <w:rPr>
          <w:rFonts w:ascii="Times New Roman" w:hAnsi="Times New Roman"/>
          <w:sz w:val="24"/>
          <w:szCs w:val="24"/>
        </w:rPr>
        <w:t xml:space="preserve">Do zákona sa nadväzne na zavedený mechanizmus administratívnej spolupráce a výmeny informácií v oblasti dane z pridanej hodnoty v zmysle nariadenia Rady (ES) </w:t>
      </w:r>
      <w:r w:rsidRPr="00546A07" w:rsidR="00C93E81">
        <w:rPr>
          <w:rFonts w:ascii="Times New Roman" w:hAnsi="Times New Roman"/>
          <w:sz w:val="24"/>
          <w:szCs w:val="24"/>
        </w:rPr>
        <w:t xml:space="preserve">č. </w:t>
      </w:r>
      <w:r w:rsidRPr="00546A07">
        <w:rPr>
          <w:rFonts w:ascii="Times New Roman" w:hAnsi="Times New Roman"/>
          <w:sz w:val="24"/>
          <w:szCs w:val="24"/>
        </w:rPr>
        <w:t xml:space="preserve">1798/2003, pokiaľ ide o informácie vo vzťahu k pravidlám pre vrátenie dane z pridanej </w:t>
      </w:r>
      <w:r w:rsidRPr="00546A07" w:rsidR="00C93E81">
        <w:rPr>
          <w:rFonts w:ascii="Times New Roman" w:hAnsi="Times New Roman"/>
          <w:sz w:val="24"/>
          <w:szCs w:val="24"/>
        </w:rPr>
        <w:t xml:space="preserve">osobám z iných členských štátov, nadväzne na nariadenie Komisie (ES) č. 1174/2009, ktorým sa stanovujú pravidlá vykonávania článkov 34a a 37 nariadenia Rady (ES) č. 1798/2003, pokiaľ ide o daň z pridanej hodnoty podľa smernice Rady 2008/9/ES, </w:t>
      </w:r>
      <w:r w:rsidRPr="00546A07" w:rsidR="00943F3B">
        <w:rPr>
          <w:rFonts w:ascii="Times New Roman" w:hAnsi="Times New Roman"/>
          <w:sz w:val="24"/>
          <w:szCs w:val="24"/>
        </w:rPr>
        <w:t xml:space="preserve">doplní </w:t>
      </w:r>
      <w:r w:rsidRPr="00546A07" w:rsidR="00A12086">
        <w:rPr>
          <w:rFonts w:ascii="Times New Roman" w:hAnsi="Times New Roman"/>
          <w:sz w:val="24"/>
          <w:szCs w:val="24"/>
        </w:rPr>
        <w:t>povinnosť uvádzať kódy</w:t>
      </w:r>
      <w:r w:rsidRPr="00546A07" w:rsidR="00C93E81">
        <w:rPr>
          <w:rFonts w:ascii="Times New Roman" w:hAnsi="Times New Roman"/>
          <w:sz w:val="24"/>
          <w:szCs w:val="24"/>
        </w:rPr>
        <w:t>, ktor</w:t>
      </w:r>
      <w:r w:rsidRPr="00546A07" w:rsidR="00A12086">
        <w:rPr>
          <w:rFonts w:ascii="Times New Roman" w:hAnsi="Times New Roman"/>
          <w:sz w:val="24"/>
          <w:szCs w:val="24"/>
        </w:rPr>
        <w:t xml:space="preserve">é </w:t>
      </w:r>
      <w:r w:rsidRPr="00546A07" w:rsidR="00C93E81">
        <w:rPr>
          <w:rFonts w:ascii="Times New Roman" w:hAnsi="Times New Roman"/>
          <w:sz w:val="24"/>
          <w:szCs w:val="24"/>
        </w:rPr>
        <w:t>bud</w:t>
      </w:r>
      <w:r w:rsidRPr="00546A07" w:rsidR="00A12086">
        <w:rPr>
          <w:rFonts w:ascii="Times New Roman" w:hAnsi="Times New Roman"/>
          <w:sz w:val="24"/>
          <w:szCs w:val="24"/>
        </w:rPr>
        <w:t>ú</w:t>
      </w:r>
      <w:r w:rsidRPr="00546A07" w:rsidR="00C93E81">
        <w:rPr>
          <w:rFonts w:ascii="Times New Roman" w:hAnsi="Times New Roman"/>
          <w:sz w:val="24"/>
          <w:szCs w:val="24"/>
        </w:rPr>
        <w:t xml:space="preserve"> presnejšie špecifikovať tovary a</w:t>
      </w:r>
      <w:r w:rsidRPr="00546A07" w:rsidR="006E7611">
        <w:rPr>
          <w:rFonts w:ascii="Times New Roman" w:hAnsi="Times New Roman"/>
          <w:sz w:val="24"/>
          <w:szCs w:val="24"/>
        </w:rPr>
        <w:t> </w:t>
      </w:r>
      <w:r w:rsidRPr="00546A07" w:rsidR="00C93E81">
        <w:rPr>
          <w:rFonts w:ascii="Times New Roman" w:hAnsi="Times New Roman"/>
          <w:sz w:val="24"/>
          <w:szCs w:val="24"/>
        </w:rPr>
        <w:t>služby</w:t>
      </w:r>
      <w:r w:rsidRPr="00546A07" w:rsidR="006E7611">
        <w:rPr>
          <w:rFonts w:ascii="Times New Roman" w:hAnsi="Times New Roman"/>
          <w:sz w:val="24"/>
          <w:szCs w:val="24"/>
        </w:rPr>
        <w:t>,</w:t>
      </w:r>
      <w:r w:rsidRPr="00546A07" w:rsidR="00C93E81">
        <w:rPr>
          <w:rFonts w:ascii="Times New Roman" w:hAnsi="Times New Roman"/>
          <w:sz w:val="24"/>
          <w:szCs w:val="24"/>
        </w:rPr>
        <w:t xml:space="preserve"> pri ktorých </w:t>
      </w:r>
      <w:r w:rsidRPr="00546A07" w:rsidR="00A12086">
        <w:rPr>
          <w:rFonts w:ascii="Times New Roman" w:hAnsi="Times New Roman"/>
          <w:sz w:val="24"/>
          <w:szCs w:val="24"/>
        </w:rPr>
        <w:t>zahraničn</w:t>
      </w:r>
      <w:r w:rsidRPr="00546A07" w:rsidR="00AC1D0C">
        <w:rPr>
          <w:rFonts w:ascii="Times New Roman" w:hAnsi="Times New Roman"/>
          <w:sz w:val="24"/>
          <w:szCs w:val="24"/>
        </w:rPr>
        <w:t>á</w:t>
      </w:r>
      <w:r w:rsidRPr="00546A07" w:rsidR="00A12086">
        <w:rPr>
          <w:rFonts w:ascii="Times New Roman" w:hAnsi="Times New Roman"/>
          <w:sz w:val="24"/>
          <w:szCs w:val="24"/>
        </w:rPr>
        <w:t xml:space="preserve"> osob</w:t>
      </w:r>
      <w:r w:rsidRPr="00546A07" w:rsidR="00AC1D0C">
        <w:rPr>
          <w:rFonts w:ascii="Times New Roman" w:hAnsi="Times New Roman"/>
          <w:sz w:val="24"/>
          <w:szCs w:val="24"/>
        </w:rPr>
        <w:t>a</w:t>
      </w:r>
      <w:r w:rsidRPr="00546A07" w:rsidR="00A12086">
        <w:rPr>
          <w:rFonts w:ascii="Times New Roman" w:hAnsi="Times New Roman"/>
          <w:sz w:val="24"/>
          <w:szCs w:val="24"/>
        </w:rPr>
        <w:t xml:space="preserve"> usaden</w:t>
      </w:r>
      <w:r w:rsidRPr="00546A07" w:rsidR="00AC1D0C">
        <w:rPr>
          <w:rFonts w:ascii="Times New Roman" w:hAnsi="Times New Roman"/>
          <w:sz w:val="24"/>
          <w:szCs w:val="24"/>
        </w:rPr>
        <w:t>á</w:t>
      </w:r>
      <w:r w:rsidRPr="00546A07" w:rsidR="00A12086">
        <w:rPr>
          <w:rFonts w:ascii="Times New Roman" w:hAnsi="Times New Roman"/>
          <w:sz w:val="24"/>
          <w:szCs w:val="24"/>
        </w:rPr>
        <w:t xml:space="preserve"> v inom členskom štáte EÚ</w:t>
      </w:r>
      <w:r w:rsidRPr="00546A07" w:rsidR="00AC1D0C">
        <w:rPr>
          <w:rFonts w:ascii="Times New Roman" w:hAnsi="Times New Roman"/>
          <w:sz w:val="24"/>
          <w:szCs w:val="24"/>
        </w:rPr>
        <w:t xml:space="preserve"> žiada vrátenie dane</w:t>
      </w:r>
      <w:r w:rsidRPr="00546A07" w:rsidR="00C93E81">
        <w:rPr>
          <w:rFonts w:ascii="Times New Roman" w:hAnsi="Times New Roman"/>
          <w:sz w:val="24"/>
          <w:szCs w:val="24"/>
        </w:rPr>
        <w:t>.</w:t>
      </w:r>
    </w:p>
    <w:p w:rsidR="00740D39" w:rsidRPr="00546A07" w:rsidP="00754288">
      <w:pPr>
        <w:pStyle w:val="BodyText2"/>
        <w:bidi w:val="0"/>
        <w:ind w:firstLine="708"/>
        <w:rPr>
          <w:rFonts w:ascii="Times New Roman" w:hAnsi="Times New Roman"/>
          <w:sz w:val="24"/>
          <w:szCs w:val="24"/>
        </w:rPr>
      </w:pPr>
    </w:p>
    <w:p w:rsidR="00575ADB" w:rsidRPr="00546A07" w:rsidP="00575ADB">
      <w:pPr>
        <w:pStyle w:val="Zkladntext"/>
        <w:bidi w:val="0"/>
        <w:spacing w:line="240" w:lineRule="atLeast"/>
        <w:ind w:firstLine="709"/>
        <w:jc w:val="both"/>
        <w:rPr>
          <w:rFonts w:ascii="Times New Roman" w:hAnsi="Times New Roman"/>
          <w:szCs w:val="24"/>
        </w:rPr>
      </w:pPr>
      <w:r w:rsidRPr="00546A07" w:rsidR="00F827E6">
        <w:rPr>
          <w:rFonts w:ascii="Times New Roman" w:hAnsi="Times New Roman"/>
          <w:szCs w:val="24"/>
        </w:rPr>
        <w:t xml:space="preserve">V rámci opatrení na zníženie deficitu verejných financií </w:t>
      </w:r>
      <w:r w:rsidRPr="00546A07" w:rsidR="00132202">
        <w:rPr>
          <w:rFonts w:ascii="Times New Roman" w:hAnsi="Times New Roman"/>
          <w:szCs w:val="24"/>
        </w:rPr>
        <w:t xml:space="preserve">v súlade s Programovým vyhlásením vlády SR </w:t>
      </w:r>
      <w:r w:rsidRPr="00546A07" w:rsidR="00F827E6">
        <w:rPr>
          <w:rFonts w:ascii="Times New Roman" w:hAnsi="Times New Roman"/>
          <w:szCs w:val="24"/>
        </w:rPr>
        <w:t xml:space="preserve">návrh zákona obsahuje zmeny v sadzbách dane z pridanej hodnoty. S účinnosťou od 1. januára 2011 sa navrhuje dočasné zvýšenie základnej sadzby dane z 19 % na 20 % a zrušenie zníženej sadzby dane 6 % na tzv. predaj potravín z dvora. </w:t>
      </w:r>
      <w:r w:rsidRPr="00546A07">
        <w:rPr>
          <w:rFonts w:ascii="Times New Roman" w:hAnsi="Times New Roman"/>
          <w:szCs w:val="24"/>
        </w:rPr>
        <w:t xml:space="preserve">Zvýšenie základnej sadzby dane o 1 % je dočasným opatrením, ktorého platnosť skončí, </w:t>
      </w:r>
      <w:r w:rsidRPr="00546A07" w:rsidR="00BF46DE">
        <w:rPr>
          <w:rFonts w:ascii="Times New Roman" w:hAnsi="Times New Roman"/>
          <w:szCs w:val="24"/>
        </w:rPr>
        <w:t>keď</w:t>
      </w:r>
      <w:r w:rsidRPr="00546A07">
        <w:rPr>
          <w:rFonts w:ascii="Times New Roman" w:hAnsi="Times New Roman"/>
          <w:szCs w:val="24"/>
        </w:rPr>
        <w:t xml:space="preserve"> schodok verejnej správy dosiahne úroveň menej ako 3 %.</w:t>
      </w:r>
    </w:p>
    <w:p w:rsidR="00F827E6" w:rsidRPr="00546A07" w:rsidP="00F827E6">
      <w:pPr>
        <w:pStyle w:val="Zkladntext"/>
        <w:bidi w:val="0"/>
        <w:spacing w:line="240" w:lineRule="atLeast"/>
        <w:ind w:firstLine="709"/>
        <w:jc w:val="both"/>
        <w:rPr>
          <w:rFonts w:ascii="Times New Roman" w:hAnsi="Times New Roman"/>
          <w:szCs w:val="24"/>
        </w:rPr>
      </w:pPr>
      <w:r w:rsidRPr="00546A07">
        <w:rPr>
          <w:rFonts w:ascii="Times New Roman" w:hAnsi="Times New Roman"/>
          <w:szCs w:val="24"/>
        </w:rPr>
        <w:t>Navrhovanými zmenami sadzieb dane sa zabezpečí zvýšenie daňových príjmov štátneho rozpočtu v roku 2011 o 185,5 mil. eur, v roku 2012 o 196,3 mil. eur  a v roku 2013 o 209,3 mil. eur.</w:t>
      </w:r>
    </w:p>
    <w:p w:rsidR="00F827E6" w:rsidRPr="00546A07" w:rsidP="00754288">
      <w:pPr>
        <w:pStyle w:val="BodyText2"/>
        <w:bidi w:val="0"/>
        <w:ind w:firstLine="708"/>
        <w:rPr>
          <w:rFonts w:ascii="Times New Roman" w:hAnsi="Times New Roman"/>
          <w:sz w:val="24"/>
          <w:szCs w:val="24"/>
        </w:rPr>
      </w:pPr>
    </w:p>
    <w:p w:rsidR="00885BDB" w:rsidRPr="00546A07" w:rsidP="00F827E6">
      <w:pPr>
        <w:pStyle w:val="BodyText2"/>
        <w:bidi w:val="0"/>
        <w:ind w:firstLine="708"/>
        <w:rPr>
          <w:rFonts w:ascii="Times New Roman" w:hAnsi="Times New Roman"/>
          <w:sz w:val="24"/>
          <w:szCs w:val="24"/>
          <w:lang w:eastAsia="cs-CZ"/>
        </w:rPr>
      </w:pPr>
      <w:r w:rsidRPr="00546A07">
        <w:rPr>
          <w:rFonts w:ascii="Times New Roman" w:hAnsi="Times New Roman"/>
          <w:sz w:val="24"/>
          <w:szCs w:val="24"/>
        </w:rPr>
        <w:t>Návrh zákona, ktorým sa mení a dopĺňa zákon č. 222/2004 Z. z. o dani z pridanej hodnoty v znení neskorších predpisov, je v súlade s Ústavou Slovenskej republiky, inými zákonmi a ostatnými všeobecne záväznými právnymi predpismi a medzinárodnými zmluvami, ktorými je Slovenská republika viazaná.</w:t>
      </w:r>
    </w:p>
    <w:p w:rsidR="00885BDB" w:rsidRPr="00546A07" w:rsidP="00885BDB">
      <w:pPr>
        <w:bidi w:val="0"/>
        <w:jc w:val="both"/>
        <w:rPr>
          <w:rFonts w:ascii="Times New Roman" w:hAnsi="Times New Roman"/>
        </w:rPr>
      </w:pPr>
    </w:p>
    <w:p w:rsidR="008843D2" w:rsidP="00A12086">
      <w:pPr>
        <w:bidi w:val="0"/>
        <w:jc w:val="both"/>
        <w:rPr>
          <w:rFonts w:ascii="Times New Roman" w:hAnsi="Times New Roman"/>
          <w:b/>
          <w:bCs/>
          <w:caps/>
          <w:color w:val="000000"/>
          <w:spacing w:val="30"/>
        </w:rPr>
      </w:pPr>
    </w:p>
    <w:p w:rsidR="006A3BF2" w:rsidP="00A12086">
      <w:pPr>
        <w:bidi w:val="0"/>
        <w:jc w:val="both"/>
        <w:rPr>
          <w:rFonts w:ascii="Times New Roman" w:hAnsi="Times New Roman"/>
          <w:b/>
          <w:bCs/>
          <w:caps/>
          <w:color w:val="000000"/>
          <w:spacing w:val="30"/>
        </w:rPr>
      </w:pPr>
    </w:p>
    <w:p w:rsidR="006A3BF2" w:rsidRPr="00546A07" w:rsidP="00A12086">
      <w:pPr>
        <w:bidi w:val="0"/>
        <w:jc w:val="both"/>
        <w:rPr>
          <w:rFonts w:ascii="Times New Roman" w:hAnsi="Times New Roman"/>
          <w:b/>
          <w:bCs/>
          <w:caps/>
          <w:color w:val="000000"/>
          <w:spacing w:val="30"/>
        </w:rPr>
      </w:pPr>
    </w:p>
    <w:p w:rsidR="006404CE" w:rsidRPr="00546A07" w:rsidP="00D815E0">
      <w:pPr>
        <w:bidi w:val="0"/>
        <w:jc w:val="center"/>
        <w:rPr>
          <w:rFonts w:ascii="Times New Roman" w:hAnsi="Times New Roman"/>
          <w:b/>
          <w:bCs/>
          <w:color w:val="000000"/>
        </w:rPr>
      </w:pPr>
    </w:p>
    <w:p w:rsidR="00CD06A6" w:rsidRPr="00546A07" w:rsidP="00D815E0">
      <w:pPr>
        <w:bidi w:val="0"/>
        <w:jc w:val="center"/>
        <w:rPr>
          <w:rFonts w:ascii="Times New Roman" w:hAnsi="Times New Roman"/>
          <w:b/>
          <w:bCs/>
          <w:color w:val="000000"/>
          <w:spacing w:val="30"/>
        </w:rPr>
      </w:pPr>
      <w:r w:rsidRPr="00546A07" w:rsidR="00D815E0">
        <w:rPr>
          <w:rFonts w:ascii="Times New Roman" w:hAnsi="Times New Roman"/>
          <w:b/>
          <w:bCs/>
          <w:color w:val="000000"/>
        </w:rPr>
        <w:t>D</w:t>
      </w:r>
      <w:r w:rsidRPr="00546A07">
        <w:rPr>
          <w:rFonts w:ascii="Times New Roman" w:hAnsi="Times New Roman"/>
          <w:b/>
          <w:bCs/>
          <w:color w:val="000000"/>
        </w:rPr>
        <w:t>oložka</w:t>
      </w:r>
      <w:r w:rsidRPr="00546A07" w:rsidR="00D815E0">
        <w:rPr>
          <w:rFonts w:ascii="Times New Roman" w:hAnsi="Times New Roman"/>
          <w:b/>
          <w:bCs/>
          <w:color w:val="000000"/>
        </w:rPr>
        <w:t xml:space="preserve"> </w:t>
      </w:r>
      <w:r w:rsidRPr="00546A07">
        <w:rPr>
          <w:rFonts w:ascii="Times New Roman" w:hAnsi="Times New Roman"/>
          <w:b/>
          <w:bCs/>
          <w:color w:val="000000"/>
        </w:rPr>
        <w:t>vybraných vplyvov</w:t>
      </w:r>
    </w:p>
    <w:p w:rsidR="00CD06A6" w:rsidRPr="00546A07" w:rsidP="00CD06A6">
      <w:pPr>
        <w:bidi w:val="0"/>
        <w:rPr>
          <w:rFonts w:ascii="Times New Roman" w:hAnsi="Times New Roman"/>
          <w:color w:val="000000"/>
        </w:rPr>
      </w:pPr>
    </w:p>
    <w:p w:rsidR="00CD06A6" w:rsidRPr="00546A07" w:rsidP="00CD06A6">
      <w:pPr>
        <w:bidi w:val="0"/>
        <w:rPr>
          <w:rFonts w:ascii="Times New Roman" w:hAnsi="Times New Roman"/>
          <w:color w:val="000000"/>
        </w:rPr>
      </w:pPr>
    </w:p>
    <w:p w:rsidR="00CD06A6" w:rsidRPr="00546A07" w:rsidP="00CD06A6">
      <w:pPr>
        <w:bidi w:val="0"/>
        <w:jc w:val="both"/>
        <w:rPr>
          <w:rFonts w:ascii="Times New Roman" w:hAnsi="Times New Roman"/>
          <w:color w:val="000000"/>
        </w:rPr>
      </w:pPr>
      <w:r w:rsidRPr="00546A07">
        <w:rPr>
          <w:rFonts w:ascii="Times New Roman" w:hAnsi="Times New Roman"/>
          <w:b/>
          <w:bCs/>
          <w:color w:val="000000"/>
        </w:rPr>
        <w:t xml:space="preserve">A.1. Názov materiálu: </w:t>
      </w:r>
      <w:r w:rsidRPr="00546A07">
        <w:rPr>
          <w:rFonts w:ascii="Times New Roman" w:hAnsi="Times New Roman"/>
          <w:bCs/>
          <w:color w:val="000000"/>
        </w:rPr>
        <w:t xml:space="preserve">návrh zákona, ktorým sa mení </w:t>
      </w:r>
      <w:r w:rsidRPr="00546A07" w:rsidR="000262B7">
        <w:rPr>
          <w:rFonts w:ascii="Times New Roman" w:hAnsi="Times New Roman"/>
          <w:bCs/>
          <w:color w:val="000000"/>
        </w:rPr>
        <w:t xml:space="preserve">a dopĺňa </w:t>
      </w:r>
      <w:r w:rsidRPr="00546A07">
        <w:rPr>
          <w:rFonts w:ascii="Times New Roman" w:hAnsi="Times New Roman"/>
          <w:bCs/>
          <w:color w:val="000000"/>
        </w:rPr>
        <w:t>zákon č. 222/2004 Z. z. o dani z pridanej hodnoty v znení neskorších predpisov</w:t>
      </w:r>
    </w:p>
    <w:p w:rsidR="00CD06A6" w:rsidRPr="00546A07" w:rsidP="00CD06A6">
      <w:pPr>
        <w:bidi w:val="0"/>
        <w:jc w:val="both"/>
        <w:rPr>
          <w:rFonts w:ascii="Times New Roman" w:hAnsi="Times New Roman"/>
          <w:b/>
          <w:bCs/>
          <w:color w:val="000000"/>
        </w:rPr>
      </w:pPr>
      <w:r w:rsidRPr="00546A07">
        <w:rPr>
          <w:rFonts w:ascii="Times New Roman" w:hAnsi="Times New Roman"/>
          <w:b/>
          <w:bCs/>
          <w:color w:val="000000"/>
        </w:rPr>
        <w:t xml:space="preserve">        Termín začatia a ukončenia PPK:</w:t>
      </w:r>
      <w:r w:rsidRPr="00546A07">
        <w:rPr>
          <w:rFonts w:ascii="Times New Roman" w:hAnsi="Times New Roman"/>
          <w:color w:val="000000"/>
        </w:rPr>
        <w:t xml:space="preserve"> </w:t>
      </w:r>
      <w:r w:rsidRPr="00546A07">
        <w:rPr>
          <w:rFonts w:ascii="Times New Roman" w:hAnsi="Times New Roman"/>
          <w:i/>
          <w:color w:val="000000"/>
        </w:rPr>
        <w:t>bezpredmetné</w:t>
      </w:r>
    </w:p>
    <w:p w:rsidR="00CD06A6" w:rsidRPr="00546A07" w:rsidP="00CD06A6">
      <w:pPr>
        <w:bidi w:val="0"/>
        <w:jc w:val="both"/>
        <w:rPr>
          <w:rFonts w:ascii="Times New Roman" w:hAnsi="Times New Roman"/>
          <w:b/>
          <w:bCs/>
          <w:color w:val="000000"/>
        </w:rPr>
      </w:pPr>
    </w:p>
    <w:p w:rsidR="00CD06A6" w:rsidRPr="00546A07" w:rsidP="00CD06A6">
      <w:pPr>
        <w:bidi w:val="0"/>
        <w:jc w:val="both"/>
        <w:rPr>
          <w:rFonts w:ascii="Times New Roman" w:hAnsi="Times New Roman"/>
          <w:b/>
          <w:bCs/>
          <w:color w:val="000000"/>
        </w:rPr>
      </w:pPr>
      <w:r w:rsidRPr="00546A07">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7"/>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sidR="00A7362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D06A6" w:rsidRPr="00546A07" w:rsidP="00FF1383">
            <w:pPr>
              <w:bidi w:val="0"/>
              <w:spacing w:line="276" w:lineRule="auto"/>
              <w:jc w:val="center"/>
              <w:rPr>
                <w:rFonts w:ascii="Times New Roman" w:hAnsi="Times New Roman"/>
                <w:color w:val="000000"/>
              </w:rPr>
            </w:pPr>
            <w:r w:rsidRPr="00546A07" w:rsidR="00FF1383">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sidR="00FF1383">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sidR="00FF1383">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rPr>
                <w:rFonts w:ascii="Times New Roman" w:hAnsi="Times New Roman"/>
                <w:color w:val="000000"/>
              </w:rPr>
            </w:pPr>
            <w:r w:rsidRPr="00546A07">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r w:rsidRPr="00546A07">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D06A6" w:rsidRPr="00546A07">
            <w:pPr>
              <w:bidi w:val="0"/>
              <w:spacing w:line="276" w:lineRule="auto"/>
              <w:jc w:val="center"/>
              <w:rPr>
                <w:rFonts w:ascii="Times New Roman" w:hAnsi="Times New Roman"/>
                <w:color w:val="000000"/>
              </w:rPr>
            </w:pPr>
          </w:p>
        </w:tc>
      </w:tr>
    </w:tbl>
    <w:p w:rsidR="00CD06A6" w:rsidRPr="00546A07" w:rsidP="00CD06A6">
      <w:pPr>
        <w:bidi w:val="0"/>
        <w:rPr>
          <w:rFonts w:ascii="Times New Roman" w:hAnsi="Times New Roman"/>
          <w:color w:val="000000"/>
        </w:rPr>
      </w:pPr>
      <w:r w:rsidRPr="00546A07">
        <w:rPr>
          <w:rFonts w:ascii="Times New Roman" w:hAnsi="Times New Roman"/>
          <w:color w:val="000000"/>
        </w:rPr>
        <w:t> </w:t>
      </w:r>
    </w:p>
    <w:p w:rsidR="00CD06A6" w:rsidRPr="00546A07" w:rsidP="00CD06A6">
      <w:pPr>
        <w:bidi w:val="0"/>
        <w:jc w:val="both"/>
        <w:rPr>
          <w:rFonts w:ascii="Times New Roman" w:hAnsi="Times New Roman"/>
          <w:b/>
          <w:bCs/>
          <w:color w:val="000000"/>
        </w:rPr>
      </w:pPr>
    </w:p>
    <w:p w:rsidR="00CD06A6" w:rsidRPr="00546A07" w:rsidP="00CD06A6">
      <w:pPr>
        <w:bidi w:val="0"/>
        <w:jc w:val="both"/>
        <w:rPr>
          <w:rFonts w:ascii="Times New Roman" w:hAnsi="Times New Roman"/>
          <w:b/>
          <w:bCs/>
          <w:color w:val="000000"/>
        </w:rPr>
      </w:pPr>
      <w:r w:rsidRPr="00546A07">
        <w:rPr>
          <w:rFonts w:ascii="Times New Roman" w:hAnsi="Times New Roman"/>
          <w:b/>
          <w:bCs/>
          <w:color w:val="000000"/>
        </w:rPr>
        <w:t>A.3. Poznámky</w:t>
      </w:r>
    </w:p>
    <w:p w:rsidR="00CD06A6" w:rsidRPr="00546A07" w:rsidP="00CD06A6">
      <w:pPr>
        <w:bidi w:val="0"/>
        <w:jc w:val="both"/>
        <w:rPr>
          <w:rFonts w:ascii="Times New Roman" w:hAnsi="Times New Roman"/>
          <w:color w:val="000000"/>
        </w:rPr>
      </w:pPr>
      <w:r w:rsidRPr="00546A07">
        <w:rPr>
          <w:rFonts w:ascii="Times New Roman" w:hAnsi="Times New Roman"/>
          <w:color w:val="000000"/>
        </w:rPr>
        <w:t> </w:t>
      </w:r>
    </w:p>
    <w:p w:rsidR="00CD06A6" w:rsidRPr="00546A07" w:rsidP="00CD06A6">
      <w:pPr>
        <w:bidi w:val="0"/>
        <w:jc w:val="both"/>
        <w:rPr>
          <w:rFonts w:ascii="Times New Roman" w:hAnsi="Times New Roman"/>
          <w:i/>
          <w:color w:val="000000"/>
        </w:rPr>
      </w:pPr>
      <w:r w:rsidRPr="00546A07">
        <w:rPr>
          <w:rFonts w:ascii="Times New Roman" w:hAnsi="Times New Roman"/>
          <w:i/>
          <w:color w:val="000000"/>
        </w:rPr>
        <w:t>bezpredmetné</w:t>
      </w:r>
    </w:p>
    <w:p w:rsidR="00CD06A6" w:rsidRPr="00546A07" w:rsidP="00CD06A6">
      <w:pPr>
        <w:bidi w:val="0"/>
        <w:jc w:val="both"/>
        <w:rPr>
          <w:rFonts w:ascii="Times New Roman" w:hAnsi="Times New Roman"/>
          <w:i/>
          <w:iCs/>
          <w:color w:val="000000"/>
        </w:rPr>
      </w:pPr>
      <w:r w:rsidRPr="00546A07">
        <w:rPr>
          <w:rFonts w:ascii="Times New Roman" w:hAnsi="Times New Roman"/>
          <w:i/>
          <w:iCs/>
          <w:color w:val="000000"/>
        </w:rPr>
        <w:t xml:space="preserve">      </w:t>
      </w:r>
    </w:p>
    <w:p w:rsidR="00CD06A6" w:rsidRPr="00546A07" w:rsidP="00CD06A6">
      <w:pPr>
        <w:bidi w:val="0"/>
        <w:jc w:val="both"/>
        <w:rPr>
          <w:rFonts w:ascii="Times New Roman" w:hAnsi="Times New Roman"/>
          <w:b/>
          <w:bCs/>
          <w:color w:val="000000"/>
        </w:rPr>
      </w:pPr>
      <w:r w:rsidRPr="00546A07">
        <w:rPr>
          <w:rFonts w:ascii="Times New Roman" w:hAnsi="Times New Roman"/>
          <w:b/>
          <w:bCs/>
          <w:color w:val="000000"/>
        </w:rPr>
        <w:t>A.4. Alternatívne riešenia</w:t>
      </w:r>
    </w:p>
    <w:p w:rsidR="00CD06A6" w:rsidRPr="00546A07" w:rsidP="00CD06A6">
      <w:pPr>
        <w:bidi w:val="0"/>
        <w:jc w:val="both"/>
        <w:rPr>
          <w:rFonts w:ascii="Times New Roman" w:hAnsi="Times New Roman"/>
          <w:b/>
          <w:bCs/>
          <w:color w:val="000000"/>
        </w:rPr>
      </w:pPr>
      <w:r w:rsidRPr="00546A07">
        <w:rPr>
          <w:rFonts w:ascii="Times New Roman" w:hAnsi="Times New Roman"/>
          <w:color w:val="000000"/>
        </w:rPr>
        <w:t> </w:t>
      </w:r>
    </w:p>
    <w:p w:rsidR="00CD06A6" w:rsidRPr="00546A07" w:rsidP="00CD06A6">
      <w:pPr>
        <w:bidi w:val="0"/>
        <w:jc w:val="both"/>
        <w:rPr>
          <w:rFonts w:ascii="Times New Roman" w:hAnsi="Times New Roman"/>
          <w:i/>
          <w:color w:val="000000"/>
        </w:rPr>
      </w:pPr>
      <w:r w:rsidRPr="00546A07">
        <w:rPr>
          <w:rFonts w:ascii="Times New Roman" w:hAnsi="Times New Roman"/>
          <w:i/>
          <w:color w:val="000000"/>
        </w:rPr>
        <w:t>bezpredmetné</w:t>
      </w:r>
    </w:p>
    <w:p w:rsidR="00CD06A6" w:rsidRPr="00546A07" w:rsidP="00CD06A6">
      <w:pPr>
        <w:bidi w:val="0"/>
        <w:jc w:val="both"/>
        <w:rPr>
          <w:rFonts w:ascii="Times New Roman" w:hAnsi="Times New Roman"/>
          <w:b/>
          <w:bCs/>
          <w:color w:val="000000"/>
        </w:rPr>
      </w:pPr>
    </w:p>
    <w:p w:rsidR="00CD06A6" w:rsidRPr="00546A07" w:rsidP="00CD06A6">
      <w:pPr>
        <w:bidi w:val="0"/>
        <w:jc w:val="both"/>
        <w:rPr>
          <w:rFonts w:ascii="Times New Roman" w:hAnsi="Times New Roman"/>
          <w:b/>
          <w:bCs/>
          <w:color w:val="000000"/>
        </w:rPr>
      </w:pPr>
      <w:r w:rsidRPr="00546A07">
        <w:rPr>
          <w:rFonts w:ascii="Times New Roman" w:hAnsi="Times New Roman"/>
          <w:b/>
          <w:bCs/>
          <w:color w:val="000000"/>
        </w:rPr>
        <w:t>A.5. Stanovisko gestorov</w:t>
      </w:r>
    </w:p>
    <w:p w:rsidR="00CD06A6" w:rsidRPr="00546A07" w:rsidP="00CD06A6">
      <w:pPr>
        <w:bidi w:val="0"/>
        <w:jc w:val="both"/>
        <w:rPr>
          <w:rFonts w:ascii="Times New Roman" w:hAnsi="Times New Roman"/>
          <w:b/>
          <w:bCs/>
        </w:rPr>
      </w:pPr>
    </w:p>
    <w:p w:rsidR="00CD06A6" w:rsidRPr="00546A07" w:rsidP="00CD06A6">
      <w:pPr>
        <w:bidi w:val="0"/>
        <w:jc w:val="both"/>
        <w:rPr>
          <w:rFonts w:ascii="Times New Roman" w:hAnsi="Times New Roman"/>
          <w:i/>
          <w:color w:val="000000"/>
        </w:rPr>
      </w:pPr>
      <w:r w:rsidRPr="00546A07">
        <w:rPr>
          <w:rFonts w:ascii="Times New Roman" w:hAnsi="Times New Roman"/>
          <w:i/>
          <w:color w:val="000000"/>
        </w:rPr>
        <w:t>bezpredmetné</w:t>
      </w:r>
    </w:p>
    <w:p w:rsidR="00CD06A6" w:rsidRPr="00546A07" w:rsidP="00CD06A6">
      <w:pPr>
        <w:bidi w:val="0"/>
        <w:rPr>
          <w:rFonts w:ascii="Times New Roman" w:hAnsi="Times New Roman"/>
        </w:rPr>
      </w:pPr>
    </w:p>
    <w:p w:rsidR="00CD06A6" w:rsidRPr="00546A07" w:rsidP="00CD06A6">
      <w:pPr>
        <w:bidi w:val="0"/>
        <w:rPr>
          <w:rFonts w:ascii="Times New Roman" w:hAnsi="Times New Roman"/>
        </w:rPr>
      </w:pPr>
    </w:p>
    <w:p w:rsidR="00EB19AB" w:rsidRPr="00546A07" w:rsidP="00CD06A6">
      <w:pPr>
        <w:bidi w:val="0"/>
        <w:rPr>
          <w:rFonts w:ascii="Times New Roman" w:hAnsi="Times New Roman"/>
        </w:rPr>
      </w:pPr>
    </w:p>
    <w:p w:rsidR="00E46AAC" w:rsidRPr="00546A07" w:rsidP="00E46AAC">
      <w:pPr>
        <w:bidi w:val="0"/>
        <w:jc w:val="center"/>
        <w:rPr>
          <w:rFonts w:ascii="Times New Roman" w:hAnsi="Times New Roman"/>
          <w:b/>
          <w:bCs/>
        </w:rPr>
      </w:pPr>
      <w:r w:rsidRPr="00546A07">
        <w:rPr>
          <w:rFonts w:ascii="Times New Roman" w:hAnsi="Times New Roman"/>
          <w:b/>
          <w:bCs/>
        </w:rPr>
        <w:t>Vplyvy na rozpočet verejnej správy,</w:t>
      </w:r>
    </w:p>
    <w:p w:rsidR="00E46AAC" w:rsidRPr="00546A07" w:rsidP="00E46AAC">
      <w:pPr>
        <w:bidi w:val="0"/>
        <w:jc w:val="center"/>
        <w:rPr>
          <w:rFonts w:ascii="Times New Roman" w:hAnsi="Times New Roman"/>
          <w:b/>
          <w:bCs/>
        </w:rPr>
      </w:pPr>
      <w:r w:rsidRPr="00546A07">
        <w:rPr>
          <w:rFonts w:ascii="Times New Roman" w:hAnsi="Times New Roman"/>
          <w:b/>
          <w:bCs/>
        </w:rPr>
        <w:t>na zamestnanosť vo verejnej správe a financovanie návrhu</w:t>
      </w:r>
    </w:p>
    <w:p w:rsidR="00E46AAC" w:rsidRPr="00546A07" w:rsidP="00E46AAC">
      <w:pPr>
        <w:bidi w:val="0"/>
        <w:rPr>
          <w:rFonts w:ascii="Times New Roman" w:hAnsi="Times New Roman"/>
        </w:rPr>
      </w:pPr>
    </w:p>
    <w:p w:rsidR="00E46AAC" w:rsidRPr="00546A07" w:rsidP="00E46AAC">
      <w:pPr>
        <w:bidi w:val="0"/>
        <w:rPr>
          <w:rFonts w:ascii="Times New Roman" w:hAnsi="Times New Roman"/>
        </w:rPr>
      </w:pPr>
    </w:p>
    <w:p w:rsidR="00E46AAC" w:rsidRPr="00546A07" w:rsidP="00E46AAC">
      <w:pPr>
        <w:bidi w:val="0"/>
        <w:rPr>
          <w:rFonts w:ascii="Times New Roman" w:hAnsi="Times New Roman"/>
          <w:b/>
        </w:rPr>
      </w:pPr>
      <w:r w:rsidRPr="00546A07">
        <w:rPr>
          <w:rFonts w:ascii="Times New Roman" w:hAnsi="Times New Roman"/>
          <w:b/>
        </w:rPr>
        <w:t>2.1. Zhrnutie vplyvov na rozpočet verejnej správy v návrhu</w:t>
      </w:r>
    </w:p>
    <w:p w:rsidR="00E46AAC" w:rsidRPr="00546A07" w:rsidP="00E46AAC">
      <w:pPr>
        <w:bidi w:val="0"/>
        <w:jc w:val="right"/>
        <w:rPr>
          <w:rFonts w:ascii="Times New Roman" w:hAnsi="Times New Roman"/>
        </w:rPr>
      </w:pPr>
      <w:r w:rsidRPr="00546A07">
        <w:rPr>
          <w:rFonts w:ascii="Times New Roman" w:hAnsi="Times New Roman"/>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46AAC" w:rsidRPr="00546A07" w:rsidP="00616005">
            <w:pPr>
              <w:bidi w:val="0"/>
              <w:jc w:val="center"/>
              <w:rPr>
                <w:rFonts w:ascii="Times New Roman" w:hAnsi="Times New Roman"/>
                <w:b/>
                <w:bCs/>
                <w:color w:val="FFFFFF"/>
              </w:rPr>
            </w:pPr>
            <w:bookmarkStart w:id="0" w:name="OLE_LINK1"/>
            <w:r w:rsidRPr="00546A07">
              <w:rPr>
                <w:rFonts w:ascii="Times New Roman" w:hAnsi="Times New Roman"/>
                <w:b/>
                <w:bCs/>
                <w:color w:val="FFFFFF"/>
              </w:rPr>
              <w:t xml:space="preserve">Vplyvy na </w:t>
            </w:r>
            <w:r w:rsidRPr="00546A07">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46AAC" w:rsidRPr="00546A07" w:rsidP="00616005">
            <w:pPr>
              <w:bidi w:val="0"/>
              <w:jc w:val="center"/>
              <w:rPr>
                <w:rFonts w:ascii="Times New Roman" w:hAnsi="Times New Roman"/>
                <w:b/>
                <w:bCs/>
                <w:color w:val="FFFFFF"/>
              </w:rPr>
            </w:pPr>
            <w:r w:rsidRPr="00546A07">
              <w:rPr>
                <w:rFonts w:ascii="Times New Roman" w:hAnsi="Times New Roman"/>
                <w:b/>
                <w:bCs/>
                <w:color w:val="FFFFFF"/>
              </w:rPr>
              <w:t xml:space="preserve">Vplyv na rozpočet verejnej správy </w:t>
            </w:r>
            <w:r w:rsidRPr="00546A07">
              <w:rPr>
                <w:rFonts w:ascii="Times New Roman" w:hAnsi="Times New Roman"/>
                <w:b/>
                <w:bCs/>
              </w:rPr>
              <w:t>(v mil. 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E46AAC" w:rsidRPr="00546A07" w:rsidP="00616005">
            <w:pPr>
              <w:bidi w:val="0"/>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46AAC" w:rsidRPr="00546A07" w:rsidP="00616005">
            <w:pPr>
              <w:bidi w:val="0"/>
              <w:jc w:val="center"/>
              <w:rPr>
                <w:rFonts w:ascii="Times New Roman" w:hAnsi="Times New Roman"/>
                <w:b/>
                <w:bCs/>
                <w:color w:val="FFFFFF"/>
              </w:rPr>
            </w:pPr>
            <w:r w:rsidRPr="00546A07">
              <w:rPr>
                <w:rFonts w:ascii="Times New Roman" w:hAnsi="Times New Roman"/>
                <w:b/>
                <w:bCs/>
                <w:color w:val="FFFFFF"/>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46AAC" w:rsidRPr="00546A07" w:rsidP="00616005">
            <w:pPr>
              <w:bidi w:val="0"/>
              <w:jc w:val="center"/>
              <w:rPr>
                <w:rFonts w:ascii="Times New Roman" w:hAnsi="Times New Roman"/>
                <w:b/>
                <w:bCs/>
                <w:color w:val="FFFFFF"/>
              </w:rPr>
            </w:pPr>
            <w:r w:rsidRPr="00546A07">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46AAC" w:rsidRPr="00546A07" w:rsidP="00616005">
            <w:pPr>
              <w:bidi w:val="0"/>
              <w:jc w:val="center"/>
              <w:rPr>
                <w:rFonts w:ascii="Times New Roman" w:hAnsi="Times New Roman"/>
                <w:b/>
                <w:bCs/>
                <w:color w:val="FFFFFF"/>
              </w:rPr>
            </w:pPr>
            <w:r w:rsidRPr="00546A07">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46AAC" w:rsidRPr="00546A07" w:rsidP="00616005">
            <w:pPr>
              <w:bidi w:val="0"/>
              <w:jc w:val="center"/>
              <w:rPr>
                <w:rFonts w:ascii="Times New Roman" w:hAnsi="Times New Roman"/>
                <w:b/>
                <w:bCs/>
                <w:color w:val="FFFFFF"/>
              </w:rPr>
            </w:pPr>
            <w:r w:rsidRPr="00546A07">
              <w:rPr>
                <w:rFonts w:ascii="Times New Roman" w:hAnsi="Times New Roman"/>
                <w:b/>
                <w:bCs/>
                <w:color w:val="FFFFFF"/>
              </w:rPr>
              <w:t>2014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rPr>
                <w:rFonts w:ascii="Times New Roman" w:hAnsi="Times New Roman"/>
              </w:rPr>
            </w:pPr>
            <w:r w:rsidRPr="00546A07">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46AAC" w:rsidRPr="00546A07" w:rsidP="00616005">
            <w:pPr>
              <w:bidi w:val="0"/>
              <w:jc w:val="right"/>
              <w:rPr>
                <w:rFonts w:ascii="Times New Roman" w:hAnsi="Times New Roman"/>
                <w:b/>
                <w:bCs/>
              </w:rPr>
            </w:pPr>
            <w:r w:rsidRPr="00546A07" w:rsidR="000933C6">
              <w:rPr>
                <w:rFonts w:ascii="Times New Roman" w:hAnsi="Times New Roman"/>
                <w:b/>
                <w:bCs/>
              </w:rPr>
              <w:t>185,5</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46AAC" w:rsidRPr="00546A07" w:rsidP="00616005">
            <w:pPr>
              <w:bidi w:val="0"/>
              <w:jc w:val="right"/>
              <w:rPr>
                <w:rFonts w:ascii="Times New Roman" w:hAnsi="Times New Roman"/>
                <w:b/>
                <w:bCs/>
              </w:rPr>
            </w:pPr>
            <w:r w:rsidRPr="00546A07" w:rsidR="000933C6">
              <w:rPr>
                <w:rFonts w:ascii="Times New Roman" w:hAnsi="Times New Roman"/>
                <w:b/>
                <w:bCs/>
              </w:rPr>
              <w:t>196,3</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46AAC" w:rsidRPr="00546A07" w:rsidP="00616005">
            <w:pPr>
              <w:bidi w:val="0"/>
              <w:jc w:val="right"/>
              <w:rPr>
                <w:rFonts w:ascii="Times New Roman" w:hAnsi="Times New Roman"/>
                <w:b/>
                <w:bCs/>
              </w:rPr>
            </w:pPr>
            <w:r w:rsidRPr="00546A07" w:rsidR="000933C6">
              <w:rPr>
                <w:rFonts w:ascii="Times New Roman" w:hAnsi="Times New Roman"/>
                <w:b/>
                <w:bCs/>
              </w:rPr>
              <w:t>209,3</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46AAC" w:rsidRPr="00546A07" w:rsidP="00616005">
            <w:pPr>
              <w:bidi w:val="0"/>
              <w:jc w:val="right"/>
              <w:rPr>
                <w:rFonts w:ascii="Times New Roman" w:hAnsi="Times New Roman"/>
                <w:b/>
                <w:bCs/>
              </w:rPr>
            </w:pPr>
            <w:r w:rsidRPr="00546A07" w:rsidR="000933C6">
              <w:rPr>
                <w:rFonts w:ascii="Times New Roman" w:hAnsi="Times New Roman"/>
                <w:b/>
                <w:bCs/>
              </w:rPr>
              <w:t>224,2</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rPr>
            </w:pPr>
            <w:r w:rsidRPr="00546A07">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b/>
                <w:bCs/>
                <w:i/>
                <w:iCs/>
              </w:rPr>
            </w:pPr>
            <w:r w:rsidRPr="00546A07">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b/>
                <w:bCs/>
                <w:i/>
                <w:iCs/>
              </w:rPr>
            </w:pPr>
            <w:r w:rsidRPr="00546A07">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sidR="000933C6">
              <w:rPr>
                <w:rFonts w:ascii="Times New Roman" w:hAnsi="Times New Roman"/>
                <w:b/>
                <w:bCs/>
                <w:i/>
                <w:iCs/>
              </w:rPr>
              <w:t>185,5</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sidR="000933C6">
              <w:rPr>
                <w:rFonts w:ascii="Times New Roman" w:hAnsi="Times New Roman"/>
                <w:b/>
                <w:bCs/>
                <w:i/>
                <w:iCs/>
              </w:rPr>
              <w:t>196,3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sidR="000933C6">
              <w:rPr>
                <w:rFonts w:ascii="Times New Roman" w:hAnsi="Times New Roman"/>
                <w:b/>
                <w:bCs/>
                <w:i/>
                <w:iCs/>
              </w:rPr>
              <w:t>209,3</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sidR="000933C6">
              <w:rPr>
                <w:rFonts w:ascii="Times New Roman" w:hAnsi="Times New Roman"/>
                <w:b/>
                <w:bCs/>
                <w:i/>
                <w:iCs/>
              </w:rPr>
              <w:t>224,2</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b/>
                <w:bCs/>
                <w:i/>
                <w:iCs/>
              </w:rPr>
            </w:pPr>
            <w:r w:rsidRPr="00546A07">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rPr>
                <w:rFonts w:ascii="Times New Roman" w:hAnsi="Times New Roman"/>
                <w:b/>
                <w:bCs/>
              </w:rPr>
            </w:pPr>
            <w:r w:rsidRPr="00546A07">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rPr>
            </w:pPr>
            <w:r w:rsidRPr="00546A07">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b/>
                <w:bCs/>
                <w:i/>
                <w:iCs/>
              </w:rPr>
            </w:pPr>
            <w:r w:rsidRPr="00546A07">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b/>
                <w:bCs/>
                <w:i/>
                <w:iCs/>
              </w:rPr>
            </w:pPr>
            <w:r w:rsidRPr="00546A07">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b/>
                <w:bCs/>
                <w:i/>
                <w:iCs/>
              </w:rPr>
            </w:pPr>
            <w:r w:rsidRPr="00546A07">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b/>
                <w:bCs/>
                <w:i/>
                <w:iCs/>
              </w:rPr>
            </w:pPr>
            <w:r w:rsidRPr="00546A07">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rPr>
                <w:rFonts w:ascii="Times New Roman" w:hAnsi="Times New Roman"/>
                <w:b/>
                <w:bCs/>
              </w:rPr>
            </w:pPr>
            <w:r w:rsidRPr="00546A07">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rPr>
            </w:pPr>
            <w:r w:rsidRPr="00546A07">
              <w:rPr>
                <w:rFonts w:ascii="Times New Roman" w:hAnsi="Times New Roman"/>
                <w:b/>
                <w:i/>
              </w:rPr>
              <w:t>- z toho vplyv na ŠR</w:t>
            </w:r>
            <w:r w:rsidRPr="00546A07">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rPr>
                <w:rFonts w:ascii="Times New Roman" w:hAnsi="Times New Roman"/>
                <w:b/>
                <w:bCs/>
              </w:rPr>
            </w:pPr>
            <w:r w:rsidRPr="00546A07">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46AAC" w:rsidRPr="00546A07" w:rsidP="00616005">
            <w:pPr>
              <w:bidi w:val="0"/>
              <w:jc w:val="right"/>
              <w:rPr>
                <w:rFonts w:ascii="Times New Roman" w:hAnsi="Times New Roman"/>
                <w:b/>
                <w:bCs/>
              </w:rPr>
            </w:pPr>
            <w:r w:rsidRPr="00546A07">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rPr>
                <w:rFonts w:ascii="Times New Roman" w:hAnsi="Times New Roman"/>
              </w:rPr>
            </w:pPr>
            <w:r w:rsidRPr="00546A07">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E46AAC" w:rsidRPr="00546A07" w:rsidP="00616005">
            <w:pPr>
              <w:bidi w:val="0"/>
              <w:jc w:val="right"/>
              <w:rPr>
                <w:rFonts w:ascii="Times New Roman" w:hAnsi="Times New Roman"/>
              </w:rPr>
            </w:pPr>
            <w:r w:rsidRPr="00546A07">
              <w:rPr>
                <w:rFonts w:ascii="Times New Roman" w:hAnsi="Times New Roman"/>
              </w:rPr>
              <w:t>0</w:t>
            </w:r>
          </w:p>
        </w:tc>
      </w:tr>
    </w:tbl>
    <w:p w:rsidR="00E46AAC" w:rsidRPr="00546A07" w:rsidP="00E46AAC">
      <w:pPr>
        <w:bidi w:val="0"/>
        <w:rPr>
          <w:rFonts w:ascii="Times New Roman" w:hAnsi="Times New Roman"/>
        </w:rPr>
      </w:pPr>
      <w:bookmarkEnd w:id="0"/>
    </w:p>
    <w:p w:rsidR="00E46AAC" w:rsidRPr="00546A07" w:rsidP="00E46AAC">
      <w:pPr>
        <w:bidi w:val="0"/>
        <w:rPr>
          <w:rFonts w:ascii="Times New Roman" w:hAnsi="Times New Roman"/>
        </w:rPr>
      </w:pPr>
    </w:p>
    <w:p w:rsidR="00E46AAC" w:rsidRPr="00546A07" w:rsidP="00E46AAC">
      <w:pPr>
        <w:bidi w:val="0"/>
        <w:rPr>
          <w:rFonts w:ascii="Times New Roman" w:hAnsi="Times New Roman"/>
          <w:b/>
          <w:bCs/>
        </w:rPr>
      </w:pPr>
      <w:r w:rsidRPr="00546A07">
        <w:rPr>
          <w:rFonts w:ascii="Times New Roman" w:hAnsi="Times New Roman"/>
          <w:b/>
          <w:bCs/>
        </w:rPr>
        <w:t>2.2. Financovanie návrhu</w:t>
      </w:r>
    </w:p>
    <w:p w:rsidR="00E46AAC" w:rsidRPr="00546A07" w:rsidP="00E46AAC">
      <w:pPr>
        <w:bidi w:val="0"/>
        <w:rPr>
          <w:rFonts w:ascii="Times New Roman" w:hAnsi="Times New Roman"/>
          <w:b/>
          <w:bCs/>
        </w:rPr>
      </w:pPr>
    </w:p>
    <w:p w:rsidR="00E46AAC" w:rsidRPr="00546A07" w:rsidP="00E46AAC">
      <w:pPr>
        <w:bidi w:val="0"/>
        <w:jc w:val="both"/>
        <w:rPr>
          <w:rFonts w:ascii="Times New Roman" w:hAnsi="Times New Roman"/>
          <w:bCs/>
        </w:rPr>
      </w:pPr>
      <w:r w:rsidRPr="00546A07">
        <w:rPr>
          <w:rFonts w:ascii="Times New Roman" w:hAnsi="Times New Roman"/>
          <w:bCs/>
        </w:rPr>
        <w:t xml:space="preserve">Navrhované zmeny v sadzbách dane môžu viesť k zmene rozpočtu verejnej správy alebo sa môžu pokryť racionalizačnými opatreniami vedúcimi </w:t>
      </w:r>
      <w:r w:rsidRPr="00546A07" w:rsidR="008658C0">
        <w:rPr>
          <w:rFonts w:ascii="Times New Roman" w:hAnsi="Times New Roman"/>
          <w:bCs/>
        </w:rPr>
        <w:t>k</w:t>
      </w:r>
      <w:r w:rsidRPr="00546A07">
        <w:rPr>
          <w:rFonts w:ascii="Times New Roman" w:hAnsi="Times New Roman"/>
          <w:bCs/>
        </w:rPr>
        <w:t> úspore v iných výdavkoch. Nekvantifikované – tabuľka  č. 2 Financovanie návrhu sa nepredkladá.</w:t>
      </w:r>
    </w:p>
    <w:p w:rsidR="00E46AAC" w:rsidRPr="00546A07" w:rsidP="00E46AAC">
      <w:pPr>
        <w:bidi w:val="0"/>
        <w:jc w:val="both"/>
        <w:rPr>
          <w:rFonts w:ascii="Times New Roman" w:hAnsi="Times New Roman"/>
          <w:b/>
          <w:bCs/>
        </w:rPr>
      </w:pPr>
    </w:p>
    <w:p w:rsidR="00E46AAC" w:rsidRPr="00546A07" w:rsidP="00E46AAC">
      <w:pPr>
        <w:bidi w:val="0"/>
        <w:jc w:val="both"/>
        <w:rPr>
          <w:rFonts w:ascii="Times New Roman" w:hAnsi="Times New Roman"/>
          <w:b/>
          <w:bCs/>
        </w:rPr>
      </w:pPr>
    </w:p>
    <w:p w:rsidR="00E46AAC" w:rsidRPr="00546A07" w:rsidP="00E46AAC">
      <w:pPr>
        <w:bidi w:val="0"/>
        <w:rPr>
          <w:rFonts w:ascii="Times New Roman" w:hAnsi="Times New Roman"/>
          <w:b/>
          <w:bCs/>
        </w:rPr>
      </w:pPr>
      <w:r w:rsidRPr="00546A07">
        <w:rPr>
          <w:rFonts w:ascii="Times New Roman" w:hAnsi="Times New Roman"/>
          <w:b/>
          <w:bCs/>
        </w:rPr>
        <w:t>2.3. Popis a charakteristika návrhu</w:t>
      </w:r>
    </w:p>
    <w:p w:rsidR="00E46AAC" w:rsidRPr="00546A07" w:rsidP="00E46AAC">
      <w:pPr>
        <w:bidi w:val="0"/>
        <w:rPr>
          <w:rFonts w:ascii="Times New Roman" w:hAnsi="Times New Roman"/>
        </w:rPr>
      </w:pPr>
    </w:p>
    <w:p w:rsidR="00E46AAC" w:rsidRPr="00546A07" w:rsidP="00E46AAC">
      <w:pPr>
        <w:bidi w:val="0"/>
        <w:jc w:val="both"/>
        <w:rPr>
          <w:rFonts w:ascii="Times New Roman" w:hAnsi="Times New Roman"/>
          <w:b/>
          <w:bCs/>
        </w:rPr>
      </w:pPr>
      <w:r w:rsidRPr="00546A07">
        <w:rPr>
          <w:rFonts w:ascii="Times New Roman" w:hAnsi="Times New Roman"/>
          <w:b/>
          <w:bCs/>
        </w:rPr>
        <w:t>2.3.1. Popis návrhu:</w:t>
      </w:r>
    </w:p>
    <w:p w:rsidR="00E46AAC" w:rsidRPr="00546A07" w:rsidP="00E46AAC">
      <w:pPr>
        <w:bidi w:val="0"/>
        <w:rPr>
          <w:rFonts w:ascii="Times New Roman" w:hAnsi="Times New Roman"/>
        </w:rPr>
      </w:pPr>
    </w:p>
    <w:p w:rsidR="00E46AAC" w:rsidRPr="00546A07" w:rsidP="00E46AAC">
      <w:pPr>
        <w:bidi w:val="0"/>
        <w:jc w:val="both"/>
        <w:rPr>
          <w:rFonts w:ascii="Times New Roman" w:hAnsi="Times New Roman"/>
        </w:rPr>
      </w:pPr>
      <w:r w:rsidRPr="00546A07">
        <w:rPr>
          <w:rStyle w:val="PlaceholderText"/>
          <w:color w:val="000000"/>
        </w:rPr>
        <w:t xml:space="preserve">Navrhuje sa </w:t>
      </w:r>
      <w:r w:rsidRPr="00546A07" w:rsidR="005706DF">
        <w:rPr>
          <w:rStyle w:val="PlaceholderText"/>
          <w:color w:val="000000"/>
        </w:rPr>
        <w:t xml:space="preserve">dočasne </w:t>
      </w:r>
      <w:r w:rsidRPr="00546A07">
        <w:rPr>
          <w:rStyle w:val="PlaceholderText"/>
          <w:color w:val="000000"/>
        </w:rPr>
        <w:t xml:space="preserve">zvýšiť základnú sadzbu dane z 19 % na </w:t>
      </w:r>
      <w:r w:rsidRPr="00546A07" w:rsidR="00E7631B">
        <w:rPr>
          <w:rStyle w:val="PlaceholderText"/>
          <w:color w:val="000000"/>
        </w:rPr>
        <w:t>20</w:t>
      </w:r>
      <w:r w:rsidRPr="00546A07">
        <w:rPr>
          <w:rStyle w:val="PlaceholderText"/>
          <w:color w:val="000000"/>
        </w:rPr>
        <w:t xml:space="preserve"> %</w:t>
      </w:r>
      <w:r w:rsidRPr="00546A07" w:rsidR="00E7631B">
        <w:rPr>
          <w:rStyle w:val="PlaceholderText"/>
          <w:color w:val="000000"/>
        </w:rPr>
        <w:t xml:space="preserve"> a zrušiť zníženú sadzbu</w:t>
      </w:r>
      <w:r w:rsidRPr="00546A07" w:rsidR="00533E55">
        <w:rPr>
          <w:rStyle w:val="PlaceholderText"/>
          <w:color w:val="000000"/>
        </w:rPr>
        <w:t xml:space="preserve"> dane 6 %</w:t>
      </w:r>
      <w:r w:rsidRPr="00546A07">
        <w:rPr>
          <w:rStyle w:val="PlaceholderText"/>
          <w:color w:val="000000"/>
        </w:rPr>
        <w:t xml:space="preserve">. </w:t>
      </w:r>
      <w:r w:rsidRPr="00546A07" w:rsidR="008658C0">
        <w:rPr>
          <w:rStyle w:val="PlaceholderText"/>
          <w:color w:val="000000"/>
        </w:rPr>
        <w:t xml:space="preserve">Znížená sadzba dane 6 % sa od 1. mája 2010 uplatňuje na </w:t>
      </w:r>
      <w:r w:rsidRPr="00546A07" w:rsidR="008658C0">
        <w:rPr>
          <w:rFonts w:ascii="Times New Roman" w:hAnsi="Times New Roman"/>
        </w:rPr>
        <w:t xml:space="preserve">vlastnú produkciu a predaj konkrétnych špecifikovaných druhov potravinárskych výrobkov (mäso, ryby, mlieko, vajcia, med), ktoré sú známe medzi poľnohospodármi ako „predaj z dvora“. </w:t>
      </w:r>
      <w:r w:rsidRPr="00546A07">
        <w:rPr>
          <w:rStyle w:val="PlaceholderText"/>
          <w:color w:val="000000"/>
        </w:rPr>
        <w:t>Znížená sadzba dane 10 %</w:t>
      </w:r>
      <w:r w:rsidRPr="00546A07" w:rsidR="00E7631B">
        <w:rPr>
          <w:rStyle w:val="PlaceholderText"/>
          <w:color w:val="000000"/>
        </w:rPr>
        <w:t xml:space="preserve">, ktorá sa </w:t>
      </w:r>
      <w:r w:rsidRPr="00546A07">
        <w:rPr>
          <w:rStyle w:val="PlaceholderText"/>
          <w:color w:val="000000"/>
        </w:rPr>
        <w:t>uplatňuje na lieky, vybrané druhy zdravotníckych pomôcok a</w:t>
      </w:r>
      <w:r w:rsidRPr="00546A07" w:rsidR="00E7631B">
        <w:rPr>
          <w:rStyle w:val="PlaceholderText"/>
          <w:color w:val="000000"/>
        </w:rPr>
        <w:t> </w:t>
      </w:r>
      <w:r w:rsidRPr="00546A07">
        <w:rPr>
          <w:rStyle w:val="PlaceholderText"/>
          <w:color w:val="000000"/>
        </w:rPr>
        <w:t>knihy</w:t>
      </w:r>
      <w:r w:rsidRPr="00546A07" w:rsidR="00E7631B">
        <w:rPr>
          <w:rStyle w:val="PlaceholderText"/>
          <w:color w:val="000000"/>
        </w:rPr>
        <w:t>, ostáva zachovaná</w:t>
      </w:r>
      <w:r w:rsidRPr="00546A07">
        <w:rPr>
          <w:rStyle w:val="PlaceholderText"/>
          <w:color w:val="000000"/>
        </w:rPr>
        <w:t xml:space="preserve">. </w:t>
      </w:r>
      <w:r w:rsidRPr="00546A07">
        <w:rPr>
          <w:rFonts w:ascii="Times New Roman" w:hAnsi="Times New Roman"/>
        </w:rPr>
        <w:t>Na ostatné tovary a služby sa v súčasnosti uplatňuje základná sadzba dane 19 %.</w:t>
      </w:r>
    </w:p>
    <w:p w:rsidR="00E46AAC" w:rsidRPr="00546A07" w:rsidP="00E46AAC">
      <w:pPr>
        <w:bidi w:val="0"/>
        <w:rPr>
          <w:rFonts w:ascii="Times New Roman" w:hAnsi="Times New Roman"/>
        </w:rPr>
      </w:pPr>
    </w:p>
    <w:p w:rsidR="00E46AAC" w:rsidRPr="00546A07" w:rsidP="00E46AAC">
      <w:pPr>
        <w:bidi w:val="0"/>
        <w:rPr>
          <w:rFonts w:ascii="Times New Roman" w:hAnsi="Times New Roman"/>
          <w:b/>
          <w:bCs/>
        </w:rPr>
      </w:pPr>
      <w:r w:rsidRPr="00546A07">
        <w:rPr>
          <w:rFonts w:ascii="Times New Roman" w:hAnsi="Times New Roman"/>
          <w:b/>
          <w:bCs/>
        </w:rPr>
        <w:t>2.3.2. Charakteristika návrhu podľa bodu  2.3.2. Metodiky :</w:t>
      </w:r>
    </w:p>
    <w:p w:rsidR="00E46AAC" w:rsidRPr="00546A07" w:rsidP="00E46AAC">
      <w:pPr>
        <w:bidi w:val="0"/>
        <w:rPr>
          <w:rFonts w:ascii="Times New Roman" w:hAnsi="Times New Roman"/>
        </w:rPr>
      </w:pPr>
    </w:p>
    <w:p w:rsidR="00E46AAC" w:rsidRPr="00546A07" w:rsidP="00E46AAC">
      <w:pPr>
        <w:pStyle w:val="BodyText"/>
        <w:bidi w:val="0"/>
        <w:rPr>
          <w:rFonts w:ascii="Times New Roman" w:hAnsi="Times New Roman"/>
          <w:b/>
        </w:rPr>
      </w:pPr>
      <w:r w:rsidRPr="00546A07" w:rsidR="00533E55">
        <w:rPr>
          <w:rFonts w:ascii="Times New Roman" w:hAnsi="Times New Roman"/>
          <w:bdr w:val="single" w:sz="4" w:space="0" w:color="auto"/>
        </w:rPr>
        <w:t xml:space="preserve">  X</w:t>
      </w:r>
      <w:r w:rsidRPr="00546A07">
        <w:rPr>
          <w:rFonts w:ascii="Times New Roman" w:hAnsi="Times New Roman"/>
          <w:bdr w:val="single" w:sz="4" w:space="0" w:color="auto"/>
        </w:rPr>
        <w:t xml:space="preserve">  </w:t>
      </w:r>
      <w:r w:rsidRPr="00546A07">
        <w:rPr>
          <w:rFonts w:ascii="Times New Roman" w:hAnsi="Times New Roman"/>
        </w:rPr>
        <w:t xml:space="preserve">  </w:t>
      </w:r>
      <w:r w:rsidRPr="00546A07">
        <w:rPr>
          <w:rFonts w:ascii="Times New Roman" w:hAnsi="Times New Roman"/>
          <w:b/>
        </w:rPr>
        <w:t>zmena sadzby</w:t>
      </w:r>
    </w:p>
    <w:p w:rsidR="00E46AAC" w:rsidRPr="00546A07" w:rsidP="00E46AAC">
      <w:pPr>
        <w:pStyle w:val="BodyText"/>
        <w:bidi w:val="0"/>
        <w:rPr>
          <w:rFonts w:ascii="Times New Roman" w:hAnsi="Times New Roman"/>
          <w:b/>
        </w:rPr>
      </w:pPr>
      <w:r w:rsidRPr="00546A07">
        <w:rPr>
          <w:rFonts w:ascii="Times New Roman" w:hAnsi="Times New Roman"/>
          <w:b/>
          <w:bdr w:val="single" w:sz="4" w:space="0" w:color="auto"/>
        </w:rPr>
        <w:t xml:space="preserve">     </w:t>
      </w:r>
      <w:r w:rsidRPr="00546A07">
        <w:rPr>
          <w:rFonts w:ascii="Times New Roman" w:hAnsi="Times New Roman"/>
          <w:b/>
        </w:rPr>
        <w:t xml:space="preserve">  zmena v nároku</w:t>
      </w:r>
    </w:p>
    <w:p w:rsidR="00E46AAC" w:rsidRPr="00546A07" w:rsidP="00E46AAC">
      <w:pPr>
        <w:pStyle w:val="BodyText"/>
        <w:bidi w:val="0"/>
        <w:rPr>
          <w:rFonts w:ascii="Times New Roman" w:hAnsi="Times New Roman"/>
          <w:b/>
        </w:rPr>
      </w:pPr>
      <w:r w:rsidRPr="00546A07">
        <w:rPr>
          <w:rFonts w:ascii="Times New Roman" w:hAnsi="Times New Roman"/>
          <w:b/>
          <w:bdr w:val="single" w:sz="4" w:space="0" w:color="auto"/>
        </w:rPr>
        <w:t xml:space="preserve">     </w:t>
      </w:r>
      <w:r w:rsidRPr="00546A07">
        <w:rPr>
          <w:rFonts w:ascii="Times New Roman" w:hAnsi="Times New Roman"/>
          <w:b/>
        </w:rPr>
        <w:t xml:space="preserve">  nová služba alebo nariadenie (alebo ich zrušenie)</w:t>
      </w:r>
    </w:p>
    <w:p w:rsidR="00E46AAC" w:rsidRPr="00546A07" w:rsidP="00E46AAC">
      <w:pPr>
        <w:pStyle w:val="BodyText"/>
        <w:bidi w:val="0"/>
        <w:rPr>
          <w:rFonts w:ascii="Times New Roman" w:hAnsi="Times New Roman"/>
          <w:b/>
        </w:rPr>
      </w:pPr>
      <w:r w:rsidRPr="00546A07">
        <w:rPr>
          <w:rFonts w:ascii="Times New Roman" w:hAnsi="Times New Roman"/>
          <w:b/>
          <w:bdr w:val="single" w:sz="4" w:space="0" w:color="auto"/>
        </w:rPr>
        <w:t xml:space="preserve">     </w:t>
      </w:r>
      <w:r w:rsidRPr="00546A07">
        <w:rPr>
          <w:rFonts w:ascii="Times New Roman" w:hAnsi="Times New Roman"/>
          <w:b/>
        </w:rPr>
        <w:t xml:space="preserve">  kombinovaný návrh</w:t>
      </w:r>
    </w:p>
    <w:p w:rsidR="00E46AAC" w:rsidRPr="00546A07" w:rsidP="00E46AAC">
      <w:pPr>
        <w:pStyle w:val="BodyText"/>
        <w:bidi w:val="0"/>
        <w:rPr>
          <w:rFonts w:ascii="Times New Roman" w:hAnsi="Times New Roman"/>
          <w:b/>
        </w:rPr>
      </w:pPr>
      <w:r w:rsidRPr="00546A07">
        <w:rPr>
          <w:rFonts w:ascii="Times New Roman" w:hAnsi="Times New Roman"/>
          <w:b/>
          <w:bdr w:val="single" w:sz="4" w:space="0" w:color="auto"/>
        </w:rPr>
        <w:t xml:space="preserve">     </w:t>
      </w:r>
      <w:r w:rsidRPr="00546A07">
        <w:rPr>
          <w:rFonts w:ascii="Times New Roman" w:hAnsi="Times New Roman"/>
          <w:b/>
        </w:rPr>
        <w:t xml:space="preserve">  iné </w:t>
      </w:r>
    </w:p>
    <w:p w:rsidR="00E46AAC" w:rsidRPr="00546A07" w:rsidP="00E46AAC">
      <w:pPr>
        <w:bidi w:val="0"/>
        <w:rPr>
          <w:rFonts w:ascii="Times New Roman" w:hAnsi="Times New Roman"/>
        </w:rPr>
      </w:pPr>
    </w:p>
    <w:p w:rsidR="00E46AAC" w:rsidRPr="00546A07" w:rsidP="00E46AAC">
      <w:pPr>
        <w:bidi w:val="0"/>
        <w:rPr>
          <w:rFonts w:ascii="Times New Roman" w:hAnsi="Times New Roman"/>
        </w:rPr>
      </w:pPr>
    </w:p>
    <w:p w:rsidR="00E46AAC" w:rsidRPr="00546A07" w:rsidP="00E46AAC">
      <w:pPr>
        <w:bidi w:val="0"/>
        <w:rPr>
          <w:rFonts w:ascii="Times New Roman" w:hAnsi="Times New Roman"/>
        </w:rPr>
      </w:pPr>
      <w:r w:rsidRPr="00546A07">
        <w:rPr>
          <w:rFonts w:ascii="Times New Roman" w:hAnsi="Times New Roman"/>
          <w:b/>
          <w:bCs/>
        </w:rPr>
        <w:t>2.3.3. Predpoklady vývoja objemu aktivít:</w:t>
      </w:r>
    </w:p>
    <w:p w:rsidR="00E46AAC" w:rsidRPr="00546A07" w:rsidP="00E46AAC">
      <w:pPr>
        <w:bidi w:val="0"/>
        <w:rPr>
          <w:rFonts w:ascii="Times New Roman" w:hAnsi="Times New Roman"/>
        </w:rPr>
      </w:pPr>
    </w:p>
    <w:p w:rsidR="00E46AAC" w:rsidRPr="00546A07" w:rsidP="00E46AAC">
      <w:pPr>
        <w:bidi w:val="0"/>
        <w:jc w:val="both"/>
        <w:rPr>
          <w:rFonts w:ascii="Times New Roman" w:hAnsi="Times New Roman"/>
        </w:rPr>
      </w:pPr>
      <w:r w:rsidRPr="00546A07">
        <w:rPr>
          <w:rFonts w:ascii="Times New Roman" w:hAnsi="Times New Roman"/>
        </w:rPr>
        <w:t>Návrh zákona nemá vplyv na zmenu vývoja objemu aktivít, z toho dôvodu sa tabuľka č. 3 Predpoklady vývoja objemu aktivít nepredkladá.</w:t>
      </w:r>
    </w:p>
    <w:p w:rsidR="00EB19AB" w:rsidRPr="00546A07" w:rsidP="00CD06A6">
      <w:pPr>
        <w:bidi w:val="0"/>
        <w:rPr>
          <w:rFonts w:ascii="Times New Roman" w:hAnsi="Times New Roman"/>
        </w:rPr>
      </w:pPr>
    </w:p>
    <w:p w:rsidR="00E46AAC" w:rsidRPr="00546A07" w:rsidP="00CD06A6">
      <w:pPr>
        <w:bidi w:val="0"/>
        <w:rPr>
          <w:rFonts w:ascii="Times New Roman" w:hAnsi="Times New Roman"/>
        </w:rPr>
      </w:pPr>
    </w:p>
    <w:p w:rsidR="00E46AAC" w:rsidRPr="00546A07" w:rsidP="00CD06A6">
      <w:pPr>
        <w:bidi w:val="0"/>
        <w:rPr>
          <w:rFonts w:ascii="Times New Roman" w:hAnsi="Times New Roman"/>
        </w:rPr>
      </w:pPr>
    </w:p>
    <w:p w:rsidR="003B534F" w:rsidRPr="00546A07" w:rsidP="00CD06A6">
      <w:pPr>
        <w:bidi w:val="0"/>
        <w:rPr>
          <w:rFonts w:ascii="Times New Roman" w:hAnsi="Times New Roman"/>
        </w:rPr>
        <w:sectPr w:rsidSect="00885BDB">
          <w:footerReference w:type="even" r:id="rId4"/>
          <w:footerReference w:type="default" r:id="rId5"/>
          <w:pgSz w:w="11905" w:h="16837" w:code="9"/>
          <w:pgMar w:top="1418" w:right="1418" w:bottom="1418" w:left="1418" w:header="567" w:footer="567" w:gutter="0"/>
          <w:lnNumType w:distance="0"/>
          <w:cols w:space="708"/>
          <w:noEndnote w:val="0"/>
          <w:bidi w:val="0"/>
          <w:docGrid w:linePitch="360"/>
        </w:sectPr>
      </w:pPr>
    </w:p>
    <w:p w:rsidR="003B534F" w:rsidRPr="00546A07" w:rsidP="003B534F">
      <w:pPr>
        <w:pStyle w:val="BodyText"/>
        <w:tabs>
          <w:tab w:val="num" w:pos="1080"/>
        </w:tabs>
        <w:bidi w:val="0"/>
        <w:jc w:val="right"/>
        <w:rPr>
          <w:rFonts w:ascii="Times New Roman" w:hAnsi="Times New Roman"/>
          <w:b/>
          <w:bCs/>
        </w:rPr>
      </w:pPr>
      <w:r w:rsidRPr="00546A07">
        <w:rPr>
          <w:rFonts w:ascii="Times New Roman" w:hAnsi="Times New Roman"/>
          <w:b/>
          <w:bCs/>
        </w:rPr>
        <w:t xml:space="preserve">Tabuľka č. 4 </w:t>
      </w:r>
    </w:p>
    <w:p w:rsidR="003B534F" w:rsidRPr="00546A07" w:rsidP="003B534F">
      <w:pPr>
        <w:pStyle w:val="BodyText"/>
        <w:tabs>
          <w:tab w:val="num" w:pos="1080"/>
        </w:tabs>
        <w:bidi w:val="0"/>
        <w:jc w:val="both"/>
        <w:rPr>
          <w:rFonts w:ascii="Times New Roman" w:hAnsi="Times New Roman"/>
          <w:b/>
          <w:bCs/>
        </w:rPr>
      </w:pPr>
    </w:p>
    <w:tbl>
      <w:tblPr>
        <w:tblStyle w:val="TableNormal"/>
        <w:tblpPr w:leftFromText="141" w:rightFromText="141" w:horzAnchor="margin" w:tblpXSpec="center" w:tblpY="533"/>
        <w:tblW w:w="13111" w:type="dxa"/>
        <w:tblCellMar>
          <w:left w:w="70" w:type="dxa"/>
          <w:right w:w="70" w:type="dxa"/>
        </w:tblCellMar>
      </w:tblPr>
      <w:tblGrid>
        <w:gridCol w:w="4950"/>
        <w:gridCol w:w="1500"/>
        <w:gridCol w:w="1500"/>
        <w:gridCol w:w="1500"/>
        <w:gridCol w:w="1500"/>
        <w:gridCol w:w="2161"/>
      </w:tblGrid>
      <w:tr>
        <w:tblPrEx>
          <w:tblW w:w="13111"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Príjmy (v mil. eur)</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Vplyv na rozpočet verejnej správy</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poznámka</w:t>
            </w:r>
          </w:p>
        </w:tc>
      </w:tr>
      <w:tr>
        <w:tblPrEx>
          <w:tblW w:w="13111"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3B534F" w:rsidRPr="00546A07" w:rsidP="000C530E">
            <w:pPr>
              <w:bidi w:val="0"/>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2011</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Pr>
                <w:rFonts w:ascii="Times New Roman" w:hAnsi="Times New Roman"/>
                <w:b/>
                <w:bCs/>
                <w:color w:val="FFFFFF"/>
              </w:rPr>
              <w:t>2014</w:t>
            </w:r>
          </w:p>
        </w:tc>
        <w:tc>
          <w:tcPr>
            <w:tcW w:w="2161" w:type="dxa"/>
            <w:vMerge/>
            <w:tcBorders>
              <w:top w:val="single" w:sz="4" w:space="0" w:color="auto"/>
              <w:left w:val="single" w:sz="4" w:space="0" w:color="auto"/>
              <w:bottom w:val="single" w:sz="4" w:space="0" w:color="auto"/>
              <w:right w:val="single" w:sz="4" w:space="0" w:color="auto"/>
            </w:tcBorders>
            <w:textDirection w:val="lrTb"/>
            <w:vAlign w:val="center"/>
          </w:tcPr>
          <w:p w:rsidR="003B534F" w:rsidRPr="00546A07" w:rsidP="000C530E">
            <w:pPr>
              <w:bidi w:val="0"/>
              <w:rPr>
                <w:rFonts w:ascii="Times New Roman" w:hAnsi="Times New Roman"/>
                <w:b/>
                <w:bCs/>
                <w:color w:val="FFFFFF"/>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B534F" w:rsidRPr="00546A07" w:rsidP="000C530E">
            <w:pPr>
              <w:pStyle w:val="Default"/>
              <w:bidi w:val="0"/>
              <w:rPr>
                <w:rFonts w:ascii="Times New Roman" w:hAnsi="Times New Roman" w:cs="Times New Roman"/>
              </w:rPr>
            </w:pPr>
            <w:r w:rsidRPr="00546A07">
              <w:rPr>
                <w:rFonts w:ascii="Times New Roman" w:hAnsi="Times New Roman" w:cs="Times New Roman"/>
                <w:b/>
                <w:bCs/>
              </w:rPr>
              <w:t>Daňové príjmy (100)</w:t>
            </w:r>
            <w:r w:rsidRPr="00546A07">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r w:rsidRPr="00546A07" w:rsidR="00E7631B">
              <w:rPr>
                <w:rFonts w:ascii="Times New Roman" w:hAnsi="Times New Roman"/>
                <w:b/>
                <w:bCs/>
              </w:rPr>
              <w:t>185,5</w:t>
            </w: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r w:rsidRPr="00546A07" w:rsidR="00E7631B">
              <w:rPr>
                <w:rFonts w:ascii="Times New Roman" w:hAnsi="Times New Roman"/>
                <w:b/>
                <w:bCs/>
              </w:rPr>
              <w:t>196,3</w:t>
            </w: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r w:rsidRPr="00546A07" w:rsidR="00E7631B">
              <w:rPr>
                <w:rFonts w:ascii="Times New Roman" w:hAnsi="Times New Roman"/>
                <w:b/>
                <w:bCs/>
              </w:rPr>
              <w:t>209,3</w:t>
            </w: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r w:rsidRPr="00546A07" w:rsidR="00E7631B">
              <w:rPr>
                <w:rFonts w:ascii="Times New Roman" w:hAnsi="Times New Roman"/>
                <w:b/>
                <w:bCs/>
              </w:rPr>
              <w:t>224,2</w:t>
            </w:r>
          </w:p>
        </w:tc>
        <w:tc>
          <w:tcPr>
            <w:tcW w:w="2161" w:type="dxa"/>
            <w:tcBorders>
              <w:top w:val="nil"/>
              <w:left w:val="nil"/>
              <w:bottom w:val="single" w:sz="4" w:space="0" w:color="auto"/>
              <w:right w:val="single" w:sz="4" w:space="0" w:color="auto"/>
            </w:tcBorders>
            <w:noWrap/>
            <w:textDirection w:val="lrTb"/>
            <w:vAlign w:val="bottom"/>
          </w:tcPr>
          <w:p w:rsidR="003B534F" w:rsidRPr="00546A07" w:rsidP="000C530E">
            <w:pPr>
              <w:bidi w:val="0"/>
              <w:rPr>
                <w:rFonts w:ascii="Times New Roman" w:hAnsi="Times New Roman"/>
              </w:rPr>
            </w:pPr>
            <w:r w:rsidRPr="00546A07">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B534F" w:rsidRPr="00546A07" w:rsidP="000C530E">
            <w:pPr>
              <w:bidi w:val="0"/>
              <w:rPr>
                <w:rFonts w:ascii="Times New Roman" w:hAnsi="Times New Roman"/>
                <w:b/>
                <w:bCs/>
              </w:rPr>
            </w:pPr>
            <w:r w:rsidRPr="00546A07">
              <w:rPr>
                <w:rFonts w:ascii="Times New Roman" w:hAnsi="Times New Roman"/>
                <w:b/>
                <w:bCs/>
              </w:rPr>
              <w:t>Nedaňové príjmy (200)</w:t>
            </w:r>
            <w:r w:rsidRPr="00546A07">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3B534F" w:rsidRPr="00546A07" w:rsidP="000C530E">
            <w:pPr>
              <w:bidi w:val="0"/>
              <w:rPr>
                <w:rFonts w:ascii="Times New Roman" w:hAnsi="Times New Roman"/>
              </w:rPr>
            </w:pPr>
            <w:r w:rsidRPr="00546A07">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B534F" w:rsidRPr="00546A07" w:rsidP="000C530E">
            <w:pPr>
              <w:bidi w:val="0"/>
              <w:rPr>
                <w:rFonts w:ascii="Times New Roman" w:hAnsi="Times New Roman"/>
                <w:b/>
                <w:bCs/>
              </w:rPr>
            </w:pPr>
            <w:r w:rsidRPr="00546A07">
              <w:rPr>
                <w:rFonts w:ascii="Times New Roman" w:hAnsi="Times New Roman"/>
                <w:b/>
                <w:bCs/>
              </w:rPr>
              <w:t>Granty a transfery (300)</w:t>
            </w:r>
            <w:r w:rsidRPr="00546A07">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B534F" w:rsidRPr="00546A07" w:rsidP="000C530E">
            <w:pPr>
              <w:bidi w:val="0"/>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3B534F" w:rsidRPr="00546A07" w:rsidP="000C530E">
            <w:pPr>
              <w:bidi w:val="0"/>
              <w:rPr>
                <w:rFonts w:ascii="Times New Roman" w:hAnsi="Times New Roman"/>
              </w:rPr>
            </w:pPr>
            <w:r w:rsidRPr="00546A07">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B534F" w:rsidRPr="00546A07" w:rsidP="000C530E">
            <w:pPr>
              <w:bidi w:val="0"/>
              <w:rPr>
                <w:rFonts w:ascii="Times New Roman" w:hAnsi="Times New Roman"/>
                <w:b/>
                <w:bCs/>
              </w:rPr>
            </w:pPr>
            <w:r w:rsidRPr="00546A07">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2161" w:type="dxa"/>
            <w:tcBorders>
              <w:top w:val="nil"/>
              <w:left w:val="nil"/>
              <w:bottom w:val="single" w:sz="4" w:space="0" w:color="auto"/>
              <w:right w:val="single" w:sz="4" w:space="0" w:color="auto"/>
            </w:tcBorders>
            <w:noWrap/>
            <w:textDirection w:val="lrTb"/>
            <w:vAlign w:val="bottom"/>
          </w:tcPr>
          <w:p w:rsidR="003B534F" w:rsidRPr="00546A07" w:rsidP="000C530E">
            <w:pPr>
              <w:bidi w:val="0"/>
              <w:rPr>
                <w:rFonts w:ascii="Times New Roman" w:hAnsi="Times New Roman"/>
              </w:rPr>
            </w:pPr>
            <w:r w:rsidRPr="00546A07">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B534F" w:rsidRPr="00546A07" w:rsidP="000C530E">
            <w:pPr>
              <w:bidi w:val="0"/>
              <w:rPr>
                <w:rFonts w:ascii="Times New Roman" w:hAnsi="Times New Roman"/>
                <w:b/>
                <w:bCs/>
              </w:rPr>
            </w:pPr>
            <w:r w:rsidRPr="00546A07">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B534F" w:rsidRPr="00546A07" w:rsidP="000C530E">
            <w:pPr>
              <w:bidi w:val="0"/>
              <w:jc w:val="center"/>
              <w:rPr>
                <w:rFonts w:ascii="Times New Roman" w:hAnsi="Times New Roman"/>
                <w:b/>
                <w:bCs/>
              </w:rPr>
            </w:pPr>
            <w:r w:rsidRPr="00546A07">
              <w:rPr>
                <w:rFonts w:ascii="Times New Roman" w:hAnsi="Times New Roman"/>
                <w:b/>
                <w:bCs/>
              </w:rPr>
              <w:t> </w:t>
            </w:r>
          </w:p>
        </w:tc>
        <w:tc>
          <w:tcPr>
            <w:tcW w:w="2161" w:type="dxa"/>
            <w:tcBorders>
              <w:top w:val="nil"/>
              <w:left w:val="nil"/>
              <w:bottom w:val="single" w:sz="4" w:space="0" w:color="auto"/>
              <w:right w:val="single" w:sz="4" w:space="0" w:color="auto"/>
            </w:tcBorders>
            <w:noWrap/>
            <w:textDirection w:val="lrTb"/>
            <w:vAlign w:val="bottom"/>
          </w:tcPr>
          <w:p w:rsidR="003B534F" w:rsidRPr="00546A07" w:rsidP="000C530E">
            <w:pPr>
              <w:bidi w:val="0"/>
              <w:rPr>
                <w:rFonts w:ascii="Times New Roman" w:hAnsi="Times New Roman"/>
              </w:rPr>
            </w:pPr>
            <w:r w:rsidRPr="00546A07">
              <w:rPr>
                <w:rFonts w:ascii="Times New Roman" w:hAnsi="Times New Roman"/>
              </w:rPr>
              <w:t> </w:t>
            </w:r>
          </w:p>
        </w:tc>
      </w:tr>
      <w:tr>
        <w:tblPrEx>
          <w:tblW w:w="13111" w:type="dxa"/>
          <w:tblCellMar>
            <w:left w:w="70" w:type="dxa"/>
            <w:right w:w="70" w:type="dxa"/>
          </w:tblCellMar>
        </w:tblPrEx>
        <w:trPr>
          <w:trHeight w:val="77"/>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3B534F" w:rsidRPr="00546A07" w:rsidP="000C530E">
            <w:pPr>
              <w:bidi w:val="0"/>
              <w:rPr>
                <w:rFonts w:ascii="Times New Roman" w:hAnsi="Times New Roman"/>
                <w:b/>
                <w:bCs/>
                <w:color w:val="FFFFFF"/>
              </w:rPr>
            </w:pPr>
            <w:r w:rsidRPr="00546A07">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sidR="00E7631B">
              <w:rPr>
                <w:rFonts w:ascii="Times New Roman" w:hAnsi="Times New Roman"/>
                <w:b/>
                <w:bCs/>
                <w:color w:val="FFFFFF"/>
              </w:rPr>
              <w:t>185,5</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sidR="00E7631B">
              <w:rPr>
                <w:rFonts w:ascii="Times New Roman" w:hAnsi="Times New Roman"/>
                <w:b/>
                <w:bCs/>
                <w:color w:val="FFFFFF"/>
              </w:rPr>
              <w:t>196,3</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sidR="00E7631B">
              <w:rPr>
                <w:rFonts w:ascii="Times New Roman" w:hAnsi="Times New Roman"/>
                <w:b/>
                <w:bCs/>
                <w:color w:val="FFFFFF"/>
              </w:rPr>
              <w:t>209,3</w:t>
            </w:r>
          </w:p>
        </w:tc>
        <w:tc>
          <w:tcPr>
            <w:tcW w:w="1500" w:type="dxa"/>
            <w:tcBorders>
              <w:top w:val="nil"/>
              <w:left w:val="nil"/>
              <w:bottom w:val="single" w:sz="4" w:space="0" w:color="auto"/>
              <w:right w:val="single" w:sz="4" w:space="0" w:color="auto"/>
            </w:tcBorders>
            <w:shd w:val="clear" w:color="auto" w:fill="000000"/>
            <w:textDirection w:val="lrTb"/>
            <w:vAlign w:val="top"/>
          </w:tcPr>
          <w:p w:rsidR="003B534F" w:rsidRPr="00546A07" w:rsidP="000C530E">
            <w:pPr>
              <w:bidi w:val="0"/>
              <w:jc w:val="center"/>
              <w:rPr>
                <w:rFonts w:ascii="Times New Roman" w:hAnsi="Times New Roman"/>
                <w:b/>
                <w:bCs/>
                <w:color w:val="FFFFFF"/>
              </w:rPr>
            </w:pPr>
            <w:r w:rsidRPr="00546A07" w:rsidR="00E7631B">
              <w:rPr>
                <w:rFonts w:ascii="Times New Roman" w:hAnsi="Times New Roman"/>
                <w:b/>
                <w:bCs/>
                <w:color w:val="FFFFFF"/>
              </w:rPr>
              <w:t>224,2</w:t>
            </w:r>
          </w:p>
        </w:tc>
        <w:tc>
          <w:tcPr>
            <w:tcW w:w="2161" w:type="dxa"/>
            <w:tcBorders>
              <w:top w:val="nil"/>
              <w:left w:val="nil"/>
              <w:bottom w:val="single" w:sz="4" w:space="0" w:color="auto"/>
              <w:right w:val="single" w:sz="4" w:space="0" w:color="auto"/>
            </w:tcBorders>
            <w:shd w:val="clear" w:color="auto" w:fill="000000"/>
            <w:noWrap/>
            <w:textDirection w:val="lrTb"/>
            <w:vAlign w:val="bottom"/>
          </w:tcPr>
          <w:p w:rsidR="003B534F" w:rsidRPr="00546A07" w:rsidP="000C530E">
            <w:pPr>
              <w:bidi w:val="0"/>
              <w:rPr>
                <w:rFonts w:ascii="Times New Roman" w:hAnsi="Times New Roman"/>
                <w:color w:val="FFFFFF"/>
              </w:rPr>
            </w:pPr>
            <w:r w:rsidRPr="00546A07">
              <w:rPr>
                <w:rFonts w:ascii="Times New Roman" w:hAnsi="Times New Roman"/>
                <w:color w:val="FFFFFF"/>
              </w:rPr>
              <w:t> </w:t>
            </w:r>
          </w:p>
        </w:tc>
      </w:tr>
    </w:tbl>
    <w:p w:rsidR="003B534F" w:rsidRPr="00546A07" w:rsidP="003B534F">
      <w:pPr>
        <w:pStyle w:val="BodyText"/>
        <w:tabs>
          <w:tab w:val="num" w:pos="1080"/>
        </w:tabs>
        <w:bidi w:val="0"/>
        <w:jc w:val="both"/>
        <w:rPr>
          <w:rFonts w:ascii="Times New Roman" w:hAnsi="Times New Roman"/>
          <w:b/>
          <w:bCs/>
        </w:rPr>
      </w:pPr>
      <w:r w:rsidRPr="00546A07">
        <w:rPr>
          <w:rFonts w:ascii="Times New Roman" w:hAnsi="Times New Roman"/>
          <w:b/>
          <w:bCs/>
        </w:rPr>
        <w:t>1 –  príjmy rozpísať až do položiek platnej ekonomickej klasifikácie</w:t>
      </w:r>
    </w:p>
    <w:p w:rsidR="003B534F" w:rsidRPr="00546A07" w:rsidP="003B534F">
      <w:pPr>
        <w:pStyle w:val="BodyText"/>
        <w:tabs>
          <w:tab w:val="num" w:pos="1080"/>
        </w:tabs>
        <w:bidi w:val="0"/>
        <w:jc w:val="both"/>
        <w:rPr>
          <w:rFonts w:ascii="Times New Roman" w:hAnsi="Times New Roman"/>
          <w:b/>
          <w:bCs/>
        </w:rPr>
      </w:pPr>
    </w:p>
    <w:p w:rsidR="003B534F" w:rsidRPr="00546A07" w:rsidP="003B534F">
      <w:pPr>
        <w:pStyle w:val="BodyText"/>
        <w:tabs>
          <w:tab w:val="num" w:pos="1080"/>
        </w:tabs>
        <w:bidi w:val="0"/>
        <w:ind w:right="-578"/>
        <w:jc w:val="right"/>
        <w:rPr>
          <w:rFonts w:ascii="Times New Roman" w:hAnsi="Times New Roman"/>
          <w:b/>
          <w:bCs/>
        </w:rPr>
      </w:pPr>
    </w:p>
    <w:p w:rsidR="003B534F" w:rsidRPr="00546A07" w:rsidP="003B534F">
      <w:pPr>
        <w:bidi w:val="0"/>
        <w:jc w:val="both"/>
        <w:rPr>
          <w:rFonts w:ascii="Times New Roman" w:hAnsi="Times New Roman"/>
          <w:bCs/>
        </w:rPr>
      </w:pPr>
      <w:r w:rsidRPr="00546A07">
        <w:rPr>
          <w:rFonts w:ascii="Times New Roman" w:hAnsi="Times New Roman"/>
          <w:bCs/>
        </w:rPr>
        <w:t>Tabuľka  č. 2 Financovanie návrhu sa nepredkladá, z tohto dôvodu sa tabuľka č. 5 Vplyv na rozpočet verejnej správy - výdavková časť nepredkladá.</w:t>
      </w:r>
    </w:p>
    <w:p w:rsidR="003B534F" w:rsidRPr="00546A07" w:rsidP="003B534F">
      <w:pPr>
        <w:pStyle w:val="BodyText"/>
        <w:tabs>
          <w:tab w:val="num" w:pos="1080"/>
        </w:tabs>
        <w:bidi w:val="0"/>
        <w:rPr>
          <w:rFonts w:ascii="Times New Roman" w:hAnsi="Times New Roman"/>
          <w:b/>
          <w:bCs/>
        </w:rPr>
      </w:pPr>
    </w:p>
    <w:p w:rsidR="003B534F" w:rsidRPr="00546A07" w:rsidP="003B534F">
      <w:pPr>
        <w:pStyle w:val="BodyText"/>
        <w:tabs>
          <w:tab w:val="num" w:pos="1080"/>
        </w:tabs>
        <w:bidi w:val="0"/>
        <w:rPr>
          <w:rFonts w:ascii="Times New Roman" w:hAnsi="Times New Roman"/>
          <w:bCs/>
        </w:rPr>
      </w:pPr>
      <w:r w:rsidRPr="00546A07">
        <w:rPr>
          <w:rFonts w:ascii="Times New Roman" w:hAnsi="Times New Roman"/>
          <w:bCs/>
        </w:rPr>
        <w:t>Návrh zákona nemá vplyv na zamestnanosť vo verejnej správe, z toho dôvodu sa tabuľka č. 6 Vplyv na zamestnanosť nepredkladá</w:t>
      </w:r>
      <w:r w:rsidRPr="00546A07" w:rsidR="00C22708">
        <w:rPr>
          <w:rFonts w:ascii="Times New Roman" w:hAnsi="Times New Roman"/>
          <w:bCs/>
        </w:rPr>
        <w:t>.</w:t>
      </w:r>
    </w:p>
    <w:p w:rsidR="003B534F" w:rsidRPr="00546A07" w:rsidP="003B534F">
      <w:pPr>
        <w:pStyle w:val="BodyText"/>
        <w:tabs>
          <w:tab w:val="num" w:pos="1080"/>
        </w:tabs>
        <w:bidi w:val="0"/>
        <w:rPr>
          <w:rFonts w:ascii="Times New Roman" w:hAnsi="Times New Roman"/>
          <w:b/>
          <w:bCs/>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pPr>
    </w:p>
    <w:p w:rsidR="003B534F" w:rsidRPr="00546A07" w:rsidP="00CD06A6">
      <w:pPr>
        <w:bidi w:val="0"/>
        <w:rPr>
          <w:rFonts w:ascii="Times New Roman" w:hAnsi="Times New Roman"/>
        </w:rPr>
        <w:sectPr w:rsidSect="003B534F">
          <w:pgSz w:w="16837" w:h="11905" w:orient="landscape" w:code="9"/>
          <w:pgMar w:top="1418" w:right="1418" w:bottom="1418" w:left="1418" w:header="567" w:footer="567" w:gutter="0"/>
          <w:lnNumType w:distance="0"/>
          <w:cols w:space="708"/>
          <w:noEndnote w:val="0"/>
          <w:bidi w:val="0"/>
          <w:docGrid w:linePitch="360"/>
        </w:sectPr>
      </w:pPr>
    </w:p>
    <w:p w:rsidR="003B534F" w:rsidRPr="00546A07" w:rsidP="00CD06A6">
      <w:pPr>
        <w:bidi w:val="0"/>
        <w:rPr>
          <w:rFonts w:ascii="Times New Roman" w:hAnsi="Times New Roman"/>
        </w:rPr>
      </w:pPr>
    </w:p>
    <w:p w:rsidR="006404CE" w:rsidRPr="00546A07" w:rsidP="006404CE">
      <w:pPr>
        <w:bidi w:val="0"/>
        <w:rPr>
          <w:rFonts w:ascii="Times New Roman" w:hAnsi="Times New Roman"/>
          <w:b/>
        </w:rPr>
      </w:pPr>
      <w:r w:rsidRPr="00546A07">
        <w:rPr>
          <w:rFonts w:ascii="Times New Roman" w:hAnsi="Times New Roman"/>
          <w:b/>
        </w:rPr>
        <w:t>Sociálne vplyvy -  vplyvy na hospodárenie obyvateľstva, sociálnu exklúziu, rovnosť príležitostí a rodovú rovnosť  a na zamestnanosť</w:t>
      </w:r>
    </w:p>
    <w:p w:rsidR="006404CE" w:rsidRPr="00546A07" w:rsidP="006404CE">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996"/>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6404CE" w:rsidRPr="00546A07" w:rsidP="00616005">
            <w:pPr>
              <w:bidi w:val="0"/>
              <w:jc w:val="center"/>
              <w:rPr>
                <w:rFonts w:ascii="Times New Roman" w:hAnsi="Times New Roman"/>
                <w:b/>
                <w:bCs/>
                <w:color w:val="FFFFFF"/>
              </w:rPr>
            </w:pPr>
            <w:r w:rsidRPr="00546A07">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404CE" w:rsidRPr="00546A07" w:rsidP="00616005">
            <w:pPr>
              <w:bidi w:val="0"/>
              <w:jc w:val="both"/>
              <w:rPr>
                <w:rFonts w:ascii="Times New Roman" w:hAnsi="Times New Roman"/>
              </w:rPr>
            </w:pPr>
            <w:r w:rsidRPr="00546A07">
              <w:rPr>
                <w:rFonts w:ascii="Times New Roman" w:hAnsi="Times New Roman"/>
                <w:b/>
              </w:rPr>
              <w:t>4.1.</w:t>
            </w:r>
            <w:r w:rsidRPr="00546A07">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6404CE" w:rsidRPr="00546A07" w:rsidP="00616005">
            <w:pPr>
              <w:bidi w:val="0"/>
              <w:jc w:val="both"/>
              <w:rPr>
                <w:rFonts w:ascii="Times New Roman" w:hAnsi="Times New Roman"/>
              </w:rPr>
            </w:pPr>
            <w:r w:rsidRPr="00546A07">
              <w:rPr>
                <w:rFonts w:ascii="Times New Roman" w:hAnsi="Times New Roman"/>
              </w:rPr>
              <w:t xml:space="preserve">Navrhované </w:t>
            </w:r>
            <w:r w:rsidRPr="00546A07" w:rsidR="005706DF">
              <w:rPr>
                <w:rFonts w:ascii="Times New Roman" w:hAnsi="Times New Roman"/>
              </w:rPr>
              <w:t xml:space="preserve">dočasné </w:t>
            </w:r>
            <w:r w:rsidRPr="00546A07" w:rsidR="00E7631B">
              <w:rPr>
                <w:rFonts w:ascii="Times New Roman" w:hAnsi="Times New Roman"/>
              </w:rPr>
              <w:t xml:space="preserve">zvýšenie základnej sadzby dane z 19 % na 20 % bude mať mierne negatívny vplyv na hospodárenie domácností. Taktiež </w:t>
            </w:r>
            <w:r w:rsidRPr="00546A07">
              <w:rPr>
                <w:rFonts w:ascii="Times New Roman" w:hAnsi="Times New Roman"/>
              </w:rPr>
              <w:t>zrušenie znížen</w:t>
            </w:r>
            <w:r w:rsidRPr="00546A07" w:rsidR="00E7631B">
              <w:rPr>
                <w:rFonts w:ascii="Times New Roman" w:hAnsi="Times New Roman"/>
              </w:rPr>
              <w:t>ej</w:t>
            </w:r>
            <w:r w:rsidRPr="00546A07">
              <w:rPr>
                <w:rFonts w:ascii="Times New Roman" w:hAnsi="Times New Roman"/>
              </w:rPr>
              <w:t xml:space="preserve"> sadzb</w:t>
            </w:r>
            <w:r w:rsidRPr="00546A07" w:rsidR="00E7631B">
              <w:rPr>
                <w:rFonts w:ascii="Times New Roman" w:hAnsi="Times New Roman"/>
              </w:rPr>
              <w:t>y</w:t>
            </w:r>
            <w:r w:rsidRPr="00546A07">
              <w:rPr>
                <w:rFonts w:ascii="Times New Roman" w:hAnsi="Times New Roman"/>
              </w:rPr>
              <w:t xml:space="preserve"> dane 6 % bude mať nepriaznivý vplyv na hospodárenie domácností. Keďže daň z pridanej hodnoty je súčasťou cien tovarov a služieb, možno predpokladať, že zmeny v sadzbách dane z pridanej hodnoty sa premietnu v cenách tovarov a služieb.</w:t>
            </w:r>
          </w:p>
          <w:p w:rsidR="006404CE" w:rsidRPr="00546A07" w:rsidP="00616005">
            <w:pPr>
              <w:bidi w:val="0"/>
              <w:jc w:val="both"/>
              <w:rPr>
                <w:rFonts w:ascii="Times New Roman" w:hAnsi="Times New Roman"/>
              </w:rPr>
            </w:pPr>
            <w:r w:rsidRPr="00546A07">
              <w:rPr>
                <w:rFonts w:ascii="Times New Roman" w:hAnsi="Times New Roman"/>
              </w:rPr>
              <w:t xml:space="preserve">Predpokladá sa </w:t>
            </w:r>
            <w:r w:rsidRPr="00546A07" w:rsidR="00E7631B">
              <w:rPr>
                <w:rFonts w:ascii="Times New Roman" w:hAnsi="Times New Roman"/>
              </w:rPr>
              <w:t xml:space="preserve">mierne </w:t>
            </w:r>
            <w:r w:rsidRPr="00546A07">
              <w:rPr>
                <w:rFonts w:ascii="Times New Roman" w:hAnsi="Times New Roman"/>
              </w:rPr>
              <w:t>zvýšenie cien pri všetkých tovaroch a službách, pričom k najvýraznejšiemu rastu cien dôjde pri tzv. predaji tovaru z dvora (mäso, ryby, mlieko, vajcia, med); pri tomto tovare sa v súčasnosti uplatňuje znížená sadzba dane 6 %.</w:t>
            </w:r>
          </w:p>
          <w:p w:rsidR="006404CE" w:rsidRPr="00546A07" w:rsidP="00616005">
            <w:pPr>
              <w:bidi w:val="0"/>
              <w:jc w:val="both"/>
              <w:rPr>
                <w:rFonts w:ascii="Times New Roman" w:hAnsi="Times New Roman"/>
              </w:rPr>
            </w:pP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6404CE" w:rsidRPr="00546A07" w:rsidP="00546A07">
            <w:pPr>
              <w:bidi w:val="0"/>
              <w:ind w:firstLine="480" w:firstLineChars="200"/>
              <w:jc w:val="both"/>
              <w:rPr>
                <w:rFonts w:ascii="Times New Roman" w:hAnsi="Times New Roman"/>
              </w:rPr>
            </w:pPr>
            <w:r w:rsidRPr="00546A07">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r w:rsidRPr="00546A07">
              <w:rPr>
                <w:rFonts w:ascii="Times New Roman" w:hAnsi="Times New Roman"/>
              </w:rPr>
              <w:t>Nekvantifikované.</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6404CE" w:rsidRPr="00546A07" w:rsidP="00546A07">
            <w:pPr>
              <w:bidi w:val="0"/>
              <w:ind w:firstLine="720" w:firstLineChars="300"/>
              <w:jc w:val="both"/>
              <w:rPr>
                <w:rFonts w:ascii="Times New Roman" w:hAnsi="Times New Roman"/>
              </w:rPr>
            </w:pPr>
            <w:r w:rsidRPr="00546A07">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6404CE" w:rsidRPr="00546A07" w:rsidP="00616005">
            <w:pPr>
              <w:bidi w:val="0"/>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6404CE" w:rsidRPr="00546A07" w:rsidP="00546A07">
            <w:pPr>
              <w:bidi w:val="0"/>
              <w:ind w:firstLine="720" w:firstLineChars="300"/>
              <w:jc w:val="both"/>
              <w:rPr>
                <w:rFonts w:ascii="Times New Roman" w:hAnsi="Times New Roman"/>
              </w:rPr>
            </w:pPr>
            <w:r w:rsidRPr="00546A07">
              <w:rPr>
                <w:rFonts w:ascii="Times New Roman" w:hAnsi="Times New Roman"/>
              </w:rPr>
              <w:t>- Rast alebo pokles príjmov/výdavkov                  za jednotlivé ovplyvnené  skupiny domácností</w:t>
            </w:r>
          </w:p>
          <w:p w:rsidR="006404CE" w:rsidRPr="00546A07" w:rsidP="00546A07">
            <w:pPr>
              <w:bidi w:val="0"/>
              <w:ind w:firstLine="720" w:firstLineChars="300"/>
              <w:jc w:val="both"/>
              <w:rPr>
                <w:rFonts w:ascii="Times New Roman" w:hAnsi="Times New Roman"/>
              </w:rPr>
            </w:pPr>
            <w:r w:rsidRPr="00546A07">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6404CE" w:rsidRPr="00546A07" w:rsidP="00616005">
            <w:pPr>
              <w:bidi w:val="0"/>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6404CE" w:rsidRPr="00546A07" w:rsidP="00616005">
            <w:pPr>
              <w:bidi w:val="0"/>
              <w:jc w:val="both"/>
              <w:rPr>
                <w:rFonts w:ascii="Times New Roman" w:hAnsi="Times New Roman"/>
              </w:rPr>
            </w:pPr>
          </w:p>
        </w:tc>
        <w:tc>
          <w:tcPr>
            <w:tcW w:w="0" w:type="auto"/>
            <w:vMerge/>
            <w:tcBorders>
              <w:top w:val="nil"/>
              <w:left w:val="nil"/>
              <w:bottom w:val="single" w:sz="4" w:space="0" w:color="auto"/>
              <w:right w:val="single" w:sz="4" w:space="0" w:color="auto"/>
            </w:tcBorders>
            <w:textDirection w:val="lrTb"/>
            <w:vAlign w:val="center"/>
          </w:tcPr>
          <w:p w:rsidR="006404CE" w:rsidRPr="00546A07" w:rsidP="00616005">
            <w:pPr>
              <w:bidi w:val="0"/>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404CE" w:rsidRPr="00546A07" w:rsidP="00616005">
            <w:pPr>
              <w:bidi w:val="0"/>
              <w:jc w:val="both"/>
              <w:rPr>
                <w:rFonts w:ascii="Times New Roman" w:hAnsi="Times New Roman"/>
              </w:rPr>
            </w:pPr>
            <w:r w:rsidRPr="00546A07">
              <w:rPr>
                <w:rFonts w:ascii="Times New Roman" w:hAnsi="Times New Roman"/>
                <w:b/>
              </w:rPr>
              <w:t>4.2.</w:t>
            </w:r>
            <w:r w:rsidRPr="00546A07">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6404CE" w:rsidRPr="00546A07" w:rsidP="00616005">
            <w:pPr>
              <w:bidi w:val="0"/>
              <w:jc w:val="both"/>
              <w:rPr>
                <w:rFonts w:ascii="Times New Roman" w:hAnsi="Times New Roman"/>
              </w:rPr>
            </w:pPr>
            <w:r w:rsidRPr="00546A07">
              <w:rPr>
                <w:rFonts w:ascii="Times New Roman" w:hAnsi="Times New Roman"/>
              </w:rPr>
              <w:t> </w:t>
            </w: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r w:rsidRPr="00546A07">
              <w:rPr>
                <w:rFonts w:ascii="Times New Roman" w:hAnsi="Times New Roman"/>
              </w:rPr>
              <w:t>Bez vplyvu.</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r w:rsidRPr="00546A07">
              <w:rPr>
                <w:rFonts w:ascii="Times New Roman" w:hAnsi="Times New Roman"/>
                <w:b/>
              </w:rPr>
              <w:t>4.3.</w:t>
            </w:r>
            <w:r w:rsidRPr="00546A07">
              <w:rPr>
                <w:rFonts w:ascii="Times New Roman" w:hAnsi="Times New Roman"/>
              </w:rPr>
              <w:t xml:space="preserve">  Zhodnoťte vplyv na rovnosť príležitostí:</w:t>
            </w:r>
          </w:p>
          <w:p w:rsidR="006404CE" w:rsidRPr="00546A07" w:rsidP="00616005">
            <w:pPr>
              <w:bidi w:val="0"/>
              <w:jc w:val="both"/>
              <w:rPr>
                <w:rFonts w:ascii="Times New Roman" w:hAnsi="Times New Roman"/>
              </w:rPr>
            </w:pPr>
            <w:r w:rsidRPr="00546A07">
              <w:rPr>
                <w:rFonts w:ascii="Times New Roman" w:hAnsi="Times New Roman"/>
              </w:rPr>
              <w:t>Zhodnoťte vplyv na rodovú rovnosť.</w:t>
            </w:r>
          </w:p>
        </w:tc>
        <w:tc>
          <w:tcPr>
            <w:tcW w:w="4140" w:type="dxa"/>
            <w:tcBorders>
              <w:top w:val="nil"/>
              <w:left w:val="nil"/>
              <w:bottom w:val="single" w:sz="4" w:space="0" w:color="auto"/>
              <w:right w:val="single" w:sz="4" w:space="0" w:color="auto"/>
            </w:tcBorders>
            <w:textDirection w:val="lrTb"/>
            <w:vAlign w:val="top"/>
          </w:tcPr>
          <w:p w:rsidR="006404CE" w:rsidRPr="00546A07" w:rsidP="00616005">
            <w:pPr>
              <w:bidi w:val="0"/>
              <w:jc w:val="both"/>
              <w:rPr>
                <w:rFonts w:ascii="Times New Roman" w:hAnsi="Times New Roman"/>
              </w:rPr>
            </w:pPr>
            <w:r w:rsidRPr="00546A07">
              <w:rPr>
                <w:rFonts w:ascii="Times New Roman" w:hAnsi="Times New Roman"/>
              </w:rPr>
              <w:t> </w:t>
            </w:r>
          </w:p>
          <w:p w:rsidR="006404CE" w:rsidRPr="00546A07" w:rsidP="00616005">
            <w:pPr>
              <w:bidi w:val="0"/>
              <w:jc w:val="both"/>
              <w:rPr>
                <w:rFonts w:ascii="Times New Roman" w:hAnsi="Times New Roman"/>
              </w:rPr>
            </w:pPr>
            <w:r w:rsidRPr="00546A07">
              <w:rPr>
                <w:rFonts w:ascii="Times New Roman" w:hAnsi="Times New Roman"/>
              </w:rPr>
              <w:t>Bez vplyvu.</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404CE" w:rsidRPr="00546A07" w:rsidP="00616005">
            <w:pPr>
              <w:bidi w:val="0"/>
              <w:jc w:val="both"/>
              <w:rPr>
                <w:rFonts w:ascii="Times New Roman" w:hAnsi="Times New Roman"/>
              </w:rPr>
            </w:pPr>
            <w:r w:rsidRPr="00546A07">
              <w:rPr>
                <w:rFonts w:ascii="Times New Roman" w:hAnsi="Times New Roman"/>
                <w:b/>
              </w:rPr>
              <w:t xml:space="preserve">4.4. </w:t>
            </w:r>
            <w:r w:rsidRPr="00546A07">
              <w:rPr>
                <w:rFonts w:ascii="Times New Roman" w:hAnsi="Times New Roman"/>
              </w:rPr>
              <w:t>Zhodnoťte vplyvy na zamestnanosť.</w:t>
            </w:r>
          </w:p>
          <w:p w:rsidR="006404CE" w:rsidRPr="00546A07" w:rsidP="00616005">
            <w:pPr>
              <w:bidi w:val="0"/>
              <w:jc w:val="both"/>
              <w:rPr>
                <w:rFonts w:ascii="Times New Roman" w:hAnsi="Times New Roman"/>
                <w:bCs/>
              </w:rPr>
            </w:pPr>
            <w:r w:rsidRPr="00546A07">
              <w:rPr>
                <w:rFonts w:ascii="Times New Roman" w:hAnsi="Times New Roman"/>
                <w:bCs/>
              </w:rPr>
              <w:t>Aké sú  vplyvy na zamestnanosť ?</w:t>
            </w:r>
          </w:p>
          <w:p w:rsidR="006404CE" w:rsidRPr="00546A07" w:rsidP="00616005">
            <w:pPr>
              <w:bidi w:val="0"/>
              <w:jc w:val="both"/>
              <w:rPr>
                <w:rFonts w:ascii="Times New Roman" w:hAnsi="Times New Roman"/>
              </w:rPr>
            </w:pPr>
            <w:r w:rsidRPr="00546A07">
              <w:rPr>
                <w:rFonts w:ascii="Times New Roman" w:hAnsi="Times New Roman"/>
                <w:bCs/>
              </w:rPr>
              <w:t>Ktoré skupiny zamestnancov budú ohrozené schválením predkladaného materiálu ?</w:t>
            </w:r>
          </w:p>
          <w:p w:rsidR="006404CE" w:rsidRPr="00546A07" w:rsidP="00616005">
            <w:pPr>
              <w:bidi w:val="0"/>
              <w:jc w:val="both"/>
              <w:rPr>
                <w:rFonts w:ascii="Times New Roman" w:hAnsi="Times New Roman"/>
                <w:bCs/>
              </w:rPr>
            </w:pPr>
            <w:r w:rsidRPr="00546A07">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6404CE" w:rsidRPr="00546A07" w:rsidP="00616005">
            <w:pPr>
              <w:bidi w:val="0"/>
              <w:jc w:val="both"/>
              <w:rPr>
                <w:rFonts w:ascii="Times New Roman" w:hAnsi="Times New Roman"/>
              </w:rPr>
            </w:pPr>
            <w:r w:rsidRPr="00546A07">
              <w:rPr>
                <w:rFonts w:ascii="Times New Roman" w:hAnsi="Times New Roman"/>
              </w:rPr>
              <w:t> </w:t>
            </w: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r w:rsidRPr="00546A07">
              <w:rPr>
                <w:rFonts w:ascii="Times New Roman" w:hAnsi="Times New Roman"/>
              </w:rPr>
              <w:t>Bez vplyvu.</w:t>
            </w: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p>
          <w:p w:rsidR="006404CE" w:rsidRPr="00546A07" w:rsidP="00616005">
            <w:pPr>
              <w:bidi w:val="0"/>
              <w:jc w:val="both"/>
              <w:rPr>
                <w:rFonts w:ascii="Times New Roman" w:hAnsi="Times New Roman"/>
              </w:rPr>
            </w:pPr>
          </w:p>
        </w:tc>
      </w:tr>
    </w:tbl>
    <w:p w:rsidR="006404CE" w:rsidRPr="00546A07" w:rsidP="006404CE">
      <w:pPr>
        <w:bidi w:val="0"/>
        <w:rPr>
          <w:rFonts w:ascii="Times New Roman" w:hAnsi="Times New Roman"/>
        </w:rPr>
      </w:pPr>
    </w:p>
    <w:p w:rsidR="00E46AAC" w:rsidRPr="00546A07" w:rsidP="00CD06A6">
      <w:pPr>
        <w:bidi w:val="0"/>
        <w:rPr>
          <w:rFonts w:ascii="Times New Roman" w:hAnsi="Times New Roman"/>
        </w:rPr>
      </w:pPr>
    </w:p>
    <w:p w:rsidR="00E46AAC" w:rsidRPr="00546A07" w:rsidP="00CD06A6">
      <w:pPr>
        <w:bidi w:val="0"/>
        <w:rPr>
          <w:rFonts w:ascii="Times New Roman" w:hAnsi="Times New Roman"/>
        </w:rPr>
      </w:pPr>
    </w:p>
    <w:p w:rsidR="00CD06A6" w:rsidRPr="00546A07" w:rsidP="00BA2317">
      <w:pPr>
        <w:bidi w:val="0"/>
        <w:jc w:val="both"/>
        <w:rPr>
          <w:rFonts w:ascii="Times New Roman" w:hAnsi="Times New Roman"/>
          <w:b/>
          <w:bCs/>
          <w:caps/>
          <w:color w:val="000000"/>
          <w:spacing w:val="30"/>
        </w:rPr>
      </w:pPr>
    </w:p>
    <w:p w:rsidR="008843D2" w:rsidRPr="00546A07" w:rsidP="005B50FF">
      <w:pPr>
        <w:bidi w:val="0"/>
        <w:rPr>
          <w:rFonts w:ascii="Times New Roman" w:hAnsi="Times New Roman"/>
        </w:rPr>
      </w:pPr>
    </w:p>
    <w:p w:rsidR="00B24B6B" w:rsidRPr="00546A07" w:rsidP="00B24B6B">
      <w:pPr>
        <w:pStyle w:val="Title"/>
        <w:bidi w:val="0"/>
        <w:rPr>
          <w:rFonts w:ascii="Times New Roman" w:hAnsi="Times New Roman"/>
        </w:rPr>
      </w:pPr>
      <w:r w:rsidRPr="00546A07">
        <w:rPr>
          <w:rFonts w:ascii="Times New Roman" w:hAnsi="Times New Roman"/>
        </w:rPr>
        <w:t>DOLOŽKA ZLUČITEĽNOSTI</w:t>
      </w:r>
    </w:p>
    <w:p w:rsidR="00B24B6B" w:rsidRPr="00546A07" w:rsidP="00B24B6B">
      <w:pPr>
        <w:pBdr>
          <w:bottom w:val="single" w:sz="6" w:space="1" w:color="auto"/>
        </w:pBdr>
        <w:bidi w:val="0"/>
        <w:jc w:val="center"/>
        <w:rPr>
          <w:rFonts w:ascii="Times New Roman" w:hAnsi="Times New Roman"/>
          <w:bCs/>
        </w:rPr>
      </w:pPr>
      <w:r w:rsidRPr="00546A07">
        <w:rPr>
          <w:rFonts w:ascii="Times New Roman" w:hAnsi="Times New Roman"/>
          <w:bCs/>
        </w:rPr>
        <w:t>návrhu zákona, ktorým sa mení a dopĺňa zákon č. 222/2004 Z. z. o dani z pridanej hodnoty v znení neskorších predpisov</w:t>
      </w:r>
    </w:p>
    <w:p w:rsidR="00B24B6B" w:rsidRPr="00546A07" w:rsidP="00B24B6B">
      <w:pPr>
        <w:pBdr>
          <w:bottom w:val="single" w:sz="6" w:space="1" w:color="auto"/>
        </w:pBdr>
        <w:bidi w:val="0"/>
        <w:jc w:val="center"/>
        <w:rPr>
          <w:rFonts w:ascii="Times New Roman" w:hAnsi="Times New Roman"/>
          <w:bCs/>
        </w:rPr>
      </w:pPr>
      <w:r w:rsidRPr="00546A07">
        <w:rPr>
          <w:rFonts w:ascii="Times New Roman" w:hAnsi="Times New Roman"/>
          <w:bCs/>
        </w:rPr>
        <w:t>s právom Európskej únie</w:t>
      </w:r>
    </w:p>
    <w:p w:rsidR="00B24B6B" w:rsidRPr="00546A07" w:rsidP="00B24B6B">
      <w:pPr>
        <w:bidi w:val="0"/>
        <w:jc w:val="center"/>
        <w:rPr>
          <w:rFonts w:ascii="Times New Roman" w:hAnsi="Times New Roman"/>
          <w:b/>
          <w:bCs/>
        </w:rPr>
      </w:pPr>
    </w:p>
    <w:p w:rsidR="00B24B6B" w:rsidRPr="00546A07" w:rsidP="00B24B6B">
      <w:pPr>
        <w:numPr>
          <w:numId w:val="1"/>
        </w:numPr>
        <w:bidi w:val="0"/>
        <w:spacing w:after="120"/>
        <w:jc w:val="both"/>
        <w:rPr>
          <w:rFonts w:ascii="Times New Roman" w:hAnsi="Times New Roman"/>
        </w:rPr>
      </w:pPr>
      <w:r w:rsidRPr="00546A07">
        <w:rPr>
          <w:rFonts w:ascii="Times New Roman" w:hAnsi="Times New Roman"/>
          <w:b/>
          <w:bCs/>
        </w:rPr>
        <w:t>Predkladateľ zákona:</w:t>
      </w:r>
    </w:p>
    <w:p w:rsidR="00B24B6B" w:rsidRPr="00546A07" w:rsidP="00B24B6B">
      <w:pPr>
        <w:bidi w:val="0"/>
        <w:ind w:firstLine="425"/>
        <w:jc w:val="both"/>
        <w:rPr>
          <w:rFonts w:ascii="Times New Roman" w:hAnsi="Times New Roman"/>
        </w:rPr>
      </w:pPr>
      <w:r w:rsidRPr="00546A07">
        <w:rPr>
          <w:rFonts w:ascii="Times New Roman" w:hAnsi="Times New Roman"/>
        </w:rPr>
        <w:t xml:space="preserve">Vláda Slovenskej republiky. </w:t>
      </w:r>
    </w:p>
    <w:p w:rsidR="00B24B6B" w:rsidRPr="00546A07" w:rsidP="00B24B6B">
      <w:pPr>
        <w:bidi w:val="0"/>
        <w:jc w:val="both"/>
        <w:rPr>
          <w:rFonts w:ascii="Times New Roman" w:hAnsi="Times New Roman"/>
          <w:bCs/>
        </w:rPr>
      </w:pPr>
    </w:p>
    <w:p w:rsidR="00B24B6B" w:rsidRPr="00546A07" w:rsidP="00B24B6B">
      <w:pPr>
        <w:numPr>
          <w:numId w:val="1"/>
        </w:numPr>
        <w:bidi w:val="0"/>
        <w:spacing w:after="120"/>
        <w:jc w:val="both"/>
        <w:rPr>
          <w:rFonts w:ascii="Times New Roman" w:hAnsi="Times New Roman"/>
          <w:b/>
          <w:bCs/>
        </w:rPr>
      </w:pPr>
      <w:r w:rsidRPr="00546A07">
        <w:rPr>
          <w:rFonts w:ascii="Times New Roman" w:hAnsi="Times New Roman"/>
          <w:b/>
          <w:bCs/>
        </w:rPr>
        <w:t>Názov návrhu zákona:</w:t>
      </w:r>
    </w:p>
    <w:p w:rsidR="00B24B6B" w:rsidRPr="00546A07" w:rsidP="008859C5">
      <w:pPr>
        <w:bidi w:val="0"/>
        <w:ind w:left="425"/>
        <w:jc w:val="both"/>
        <w:rPr>
          <w:rFonts w:ascii="Times New Roman" w:hAnsi="Times New Roman"/>
          <w:bCs/>
        </w:rPr>
      </w:pPr>
      <w:r w:rsidRPr="00546A07">
        <w:rPr>
          <w:rFonts w:ascii="Times New Roman" w:hAnsi="Times New Roman"/>
        </w:rPr>
        <w:t>Návrh zákona, ktorým sa mení a dopĺňa zákon č. 222/2004 Z. z. o dani z pridanej hodnoty v znení neskorších predpisov.</w:t>
      </w:r>
    </w:p>
    <w:p w:rsidR="00B24B6B" w:rsidRPr="00546A07" w:rsidP="00B24B6B">
      <w:pPr>
        <w:bidi w:val="0"/>
        <w:jc w:val="both"/>
        <w:rPr>
          <w:rFonts w:ascii="Times New Roman" w:hAnsi="Times New Roman"/>
          <w:bCs/>
        </w:rPr>
      </w:pPr>
    </w:p>
    <w:p w:rsidR="00B24B6B" w:rsidRPr="00546A07" w:rsidP="00B24B6B">
      <w:pPr>
        <w:numPr>
          <w:numId w:val="1"/>
        </w:numPr>
        <w:bidi w:val="0"/>
        <w:spacing w:after="120"/>
        <w:jc w:val="both"/>
        <w:rPr>
          <w:rFonts w:ascii="Times New Roman" w:hAnsi="Times New Roman"/>
          <w:b/>
          <w:bCs/>
        </w:rPr>
      </w:pPr>
      <w:r w:rsidRPr="00546A07">
        <w:rPr>
          <w:rFonts w:ascii="Times New Roman" w:hAnsi="Times New Roman"/>
          <w:b/>
          <w:bCs/>
        </w:rPr>
        <w:t xml:space="preserve">Problematika návrhu zákona: </w:t>
      </w:r>
    </w:p>
    <w:p w:rsidR="00B24B6B" w:rsidRPr="00546A07" w:rsidP="00B24B6B">
      <w:pPr>
        <w:pStyle w:val="BodyText"/>
        <w:numPr>
          <w:ilvl w:val="1"/>
          <w:numId w:val="1"/>
        </w:numPr>
        <w:bidi w:val="0"/>
        <w:rPr>
          <w:rFonts w:ascii="Times New Roman" w:hAnsi="Times New Roman"/>
        </w:rPr>
      </w:pPr>
      <w:r w:rsidRPr="00546A07">
        <w:rPr>
          <w:rFonts w:ascii="Times New Roman" w:hAnsi="Times New Roman"/>
        </w:rPr>
        <w:t>je upravená v práve Európskej únie:</w:t>
      </w:r>
    </w:p>
    <w:p w:rsidR="00B24B6B" w:rsidRPr="00546A07" w:rsidP="00B24B6B">
      <w:pPr>
        <w:pStyle w:val="BodyText"/>
        <w:bidi w:val="0"/>
        <w:ind w:left="896" w:hanging="357"/>
        <w:rPr>
          <w:rFonts w:ascii="Times New Roman" w:hAnsi="Times New Roman"/>
          <w:b/>
          <w:bCs/>
          <w:i/>
          <w:iCs/>
        </w:rPr>
      </w:pPr>
      <w:r w:rsidRPr="00546A07">
        <w:rPr>
          <w:rFonts w:ascii="Times New Roman" w:hAnsi="Times New Roman"/>
          <w:b/>
          <w:bCs/>
          <w:i/>
          <w:iCs/>
        </w:rPr>
        <w:t xml:space="preserve">v primárnom práve: </w:t>
      </w:r>
    </w:p>
    <w:p w:rsidR="00B24B6B" w:rsidRPr="00546A07" w:rsidP="00B24B6B">
      <w:pPr>
        <w:pStyle w:val="BodyText"/>
        <w:numPr>
          <w:numId w:val="2"/>
        </w:numPr>
        <w:bidi w:val="0"/>
        <w:ind w:left="896" w:hanging="357"/>
        <w:rPr>
          <w:rFonts w:ascii="Times New Roman" w:hAnsi="Times New Roman"/>
        </w:rPr>
      </w:pPr>
      <w:r w:rsidRPr="00546A07">
        <w:rPr>
          <w:rFonts w:ascii="Times New Roman" w:hAnsi="Times New Roman"/>
        </w:rPr>
        <w:t xml:space="preserve">čl. 110 až 113 Zmluvy o fungovaní Európskej únie (Ú.v. EÚ C 115/47, 9.5.2008), </w:t>
      </w:r>
    </w:p>
    <w:p w:rsidR="00B24B6B" w:rsidRPr="00546A07" w:rsidP="00B24B6B">
      <w:pPr>
        <w:pStyle w:val="BodyTextIndent"/>
        <w:bidi w:val="0"/>
        <w:spacing w:after="120"/>
        <w:ind w:firstLine="539"/>
        <w:rPr>
          <w:rFonts w:ascii="Times New Roman" w:hAnsi="Times New Roman"/>
          <w:b/>
          <w:bCs/>
          <w:i/>
          <w:iCs/>
          <w:szCs w:val="24"/>
        </w:rPr>
      </w:pPr>
      <w:r w:rsidRPr="00546A07">
        <w:rPr>
          <w:rFonts w:ascii="Times New Roman" w:hAnsi="Times New Roman"/>
          <w:b/>
          <w:bCs/>
          <w:i/>
          <w:iCs/>
          <w:szCs w:val="24"/>
        </w:rPr>
        <w:t xml:space="preserve">v sekundárnom práve: </w:t>
      </w:r>
    </w:p>
    <w:p w:rsidR="00B24B6B" w:rsidRPr="00546A07" w:rsidP="00B24B6B">
      <w:pPr>
        <w:pStyle w:val="BodyTextIndent"/>
        <w:numPr>
          <w:numId w:val="3"/>
        </w:numPr>
        <w:autoSpaceDE w:val="0"/>
        <w:autoSpaceDN w:val="0"/>
        <w:bidi w:val="0"/>
        <w:adjustRightInd w:val="0"/>
        <w:spacing w:after="120"/>
        <w:ind w:left="896" w:hanging="357"/>
        <w:rPr>
          <w:rStyle w:val="Emphasis"/>
          <w:rFonts w:ascii="Times New Roman" w:hAnsi="Times New Roman"/>
          <w:szCs w:val="24"/>
        </w:rPr>
      </w:pPr>
      <w:r w:rsidRPr="00546A07">
        <w:rPr>
          <w:rFonts w:ascii="Times New Roman" w:hAnsi="Times New Roman"/>
          <w:bCs/>
          <w:szCs w:val="24"/>
        </w:rPr>
        <w:t>smernica Rady 2009/162/EÚ z  22. decembra 2009, ktorou sa menia a dopĺňajú niektoré ustanovenia smernice 2006/112/ES o spoločnom systéme dane z pridanej hodnoty (</w:t>
      </w:r>
      <w:r w:rsidRPr="00546A07">
        <w:rPr>
          <w:rStyle w:val="Emphasis"/>
          <w:rFonts w:ascii="Times New Roman" w:hAnsi="Times New Roman"/>
          <w:i w:val="0"/>
          <w:szCs w:val="24"/>
        </w:rPr>
        <w:t>Ú. v. EÚ L 10, 15.1.2010),</w:t>
      </w:r>
    </w:p>
    <w:p w:rsidR="00B24B6B" w:rsidRPr="00546A07" w:rsidP="00B24B6B">
      <w:pPr>
        <w:pStyle w:val="BodyTextIndent"/>
        <w:numPr>
          <w:numId w:val="3"/>
        </w:numPr>
        <w:autoSpaceDE w:val="0"/>
        <w:autoSpaceDN w:val="0"/>
        <w:bidi w:val="0"/>
        <w:adjustRightInd w:val="0"/>
        <w:spacing w:after="120"/>
        <w:ind w:left="896" w:hanging="357"/>
        <w:rPr>
          <w:rStyle w:val="Emphasis"/>
          <w:rFonts w:ascii="Times New Roman" w:hAnsi="Times New Roman"/>
          <w:iCs w:val="0"/>
          <w:szCs w:val="24"/>
        </w:rPr>
      </w:pPr>
      <w:r w:rsidRPr="00546A07">
        <w:rPr>
          <w:rFonts w:ascii="Times New Roman" w:hAnsi="Times New Roman"/>
          <w:bCs/>
          <w:szCs w:val="24"/>
        </w:rPr>
        <w:t>smernica Rady 2009/69/ES z  25. júna 2009, ktorou sa mení a dopĺňa smernica 2006/112/ES o spoločnom systéme dane z pridanej hodnoty, pokiaľ ide o daňové úniky súvisiace s dovozom (</w:t>
      </w:r>
      <w:r w:rsidRPr="00546A07">
        <w:rPr>
          <w:rStyle w:val="Emphasis"/>
          <w:rFonts w:ascii="Times New Roman" w:hAnsi="Times New Roman"/>
          <w:i w:val="0"/>
          <w:szCs w:val="24"/>
        </w:rPr>
        <w:t>Ú. v. EÚ L 175, 4.7.2009),</w:t>
      </w:r>
    </w:p>
    <w:p w:rsidR="00B24B6B" w:rsidRPr="00546A07" w:rsidP="00B24B6B">
      <w:pPr>
        <w:pStyle w:val="BodyTextIndent"/>
        <w:numPr>
          <w:numId w:val="3"/>
        </w:numPr>
        <w:autoSpaceDE w:val="0"/>
        <w:autoSpaceDN w:val="0"/>
        <w:bidi w:val="0"/>
        <w:adjustRightInd w:val="0"/>
        <w:spacing w:after="120"/>
        <w:ind w:left="896" w:hanging="357"/>
        <w:rPr>
          <w:rStyle w:val="Emphasis"/>
          <w:rFonts w:ascii="Times New Roman" w:hAnsi="Times New Roman"/>
          <w:iCs w:val="0"/>
          <w:szCs w:val="24"/>
        </w:rPr>
      </w:pPr>
      <w:r w:rsidRPr="00546A07">
        <w:rPr>
          <w:rFonts w:ascii="Times New Roman" w:hAnsi="Times New Roman"/>
          <w:bCs/>
          <w:szCs w:val="24"/>
        </w:rPr>
        <w:t>smernica Rady 2008/9/ES z  12. februára 2008 , ktorou sa ustanovujú podrobné pravidlá pre vrátenie dane z pridanej hodnoty ustanovené v smernici 2006/112/ES zdaniteľným osobám, ktoré nie sú usadené v členskom štáte vrátenia dane, ale ktoré sú usadené v inom členskom štáte (</w:t>
      </w:r>
      <w:r w:rsidRPr="00546A07">
        <w:rPr>
          <w:rStyle w:val="Emphasis"/>
          <w:rFonts w:ascii="Times New Roman" w:hAnsi="Times New Roman"/>
          <w:i w:val="0"/>
          <w:szCs w:val="24"/>
        </w:rPr>
        <w:t>Ú. v. EÚ L 44, 20.2.2008),</w:t>
      </w:r>
    </w:p>
    <w:p w:rsidR="00B24B6B" w:rsidRPr="00546A07" w:rsidP="00B24B6B">
      <w:pPr>
        <w:pStyle w:val="BodyTextIndent"/>
        <w:numPr>
          <w:numId w:val="3"/>
        </w:numPr>
        <w:autoSpaceDE w:val="0"/>
        <w:autoSpaceDN w:val="0"/>
        <w:bidi w:val="0"/>
        <w:adjustRightInd w:val="0"/>
        <w:spacing w:after="120"/>
        <w:ind w:left="896" w:hanging="357"/>
        <w:rPr>
          <w:rFonts w:ascii="Times New Roman" w:hAnsi="Times New Roman"/>
          <w:szCs w:val="24"/>
        </w:rPr>
      </w:pPr>
      <w:r w:rsidRPr="00546A07">
        <w:rPr>
          <w:rFonts w:ascii="Times New Roman" w:hAnsi="Times New Roman"/>
          <w:szCs w:val="24"/>
        </w:rPr>
        <w:t>smernica Rady 2008/8/ES z 12. februára 2008, ktorou sa mení a dopĺňa smernica 2006/112/ES, pokiaľ ide o miesto poskytovania služieb (</w:t>
      </w:r>
      <w:r w:rsidRPr="00546A07">
        <w:rPr>
          <w:rStyle w:val="Emphasis"/>
          <w:rFonts w:ascii="Times New Roman" w:hAnsi="Times New Roman"/>
          <w:i w:val="0"/>
          <w:szCs w:val="24"/>
        </w:rPr>
        <w:t>Ú. v. EÚ L 44, 20.2.2008),</w:t>
      </w:r>
    </w:p>
    <w:p w:rsidR="00B24B6B" w:rsidRPr="00546A07" w:rsidP="00B24B6B">
      <w:pPr>
        <w:pStyle w:val="BodyTextIndent"/>
        <w:numPr>
          <w:numId w:val="3"/>
        </w:numPr>
        <w:autoSpaceDE w:val="0"/>
        <w:autoSpaceDN w:val="0"/>
        <w:bidi w:val="0"/>
        <w:adjustRightInd w:val="0"/>
        <w:spacing w:after="120"/>
        <w:ind w:left="896" w:hanging="357"/>
        <w:rPr>
          <w:rFonts w:ascii="Times New Roman" w:hAnsi="Times New Roman"/>
          <w:szCs w:val="24"/>
        </w:rPr>
      </w:pPr>
      <w:r w:rsidRPr="00546A07">
        <w:rPr>
          <w:rFonts w:ascii="Times New Roman" w:hAnsi="Times New Roman"/>
          <w:bCs/>
          <w:szCs w:val="24"/>
        </w:rPr>
        <w:t xml:space="preserve">smernica Rady 2006/112/ES z  28. novembra 2006  spoločnom systéme dane z pridanej hodnoty v platnom znení </w:t>
      </w:r>
      <w:r w:rsidRPr="00546A07">
        <w:rPr>
          <w:rFonts w:ascii="Times New Roman" w:hAnsi="Times New Roman"/>
          <w:szCs w:val="24"/>
        </w:rPr>
        <w:t>(Ú. v. EÚ L 347, 11.12.2006),</w:t>
      </w:r>
    </w:p>
    <w:p w:rsidR="00B24B6B" w:rsidRPr="00546A07" w:rsidP="00B24B6B">
      <w:pPr>
        <w:pStyle w:val="BodyTextIndent"/>
        <w:numPr>
          <w:numId w:val="3"/>
        </w:numPr>
        <w:autoSpaceDE w:val="0"/>
        <w:autoSpaceDN w:val="0"/>
        <w:bidi w:val="0"/>
        <w:adjustRightInd w:val="0"/>
        <w:spacing w:after="120"/>
        <w:ind w:left="896" w:hanging="357"/>
        <w:rPr>
          <w:rStyle w:val="Emphasis"/>
          <w:rFonts w:ascii="Times New Roman" w:hAnsi="Times New Roman"/>
          <w:i w:val="0"/>
          <w:iCs w:val="0"/>
          <w:szCs w:val="24"/>
        </w:rPr>
      </w:pPr>
      <w:r w:rsidRPr="00546A07">
        <w:rPr>
          <w:rFonts w:ascii="Times New Roman" w:hAnsi="Times New Roman"/>
          <w:bCs/>
          <w:szCs w:val="24"/>
        </w:rPr>
        <w:t>nariadenie Komisie (ES) č. 1174/2009 z  30. novembra 2009, ktorým sa stanovujú pravidlá vykonávania článkov 34a a 37 nariadenia Rady (ES) č. 1798/2003, pokiaľ ide o daň z pridanej hodnoty podľa smernice Rady 2008/9/ES (</w:t>
      </w:r>
      <w:r w:rsidRPr="00546A07">
        <w:rPr>
          <w:rStyle w:val="Emphasis"/>
          <w:rFonts w:ascii="Times New Roman" w:hAnsi="Times New Roman"/>
          <w:i w:val="0"/>
          <w:szCs w:val="24"/>
        </w:rPr>
        <w:t>Ú. v. EÚ L 314, 1.12.2009),</w:t>
      </w:r>
    </w:p>
    <w:p w:rsidR="00B24B6B" w:rsidRPr="00546A07" w:rsidP="00B24B6B">
      <w:pPr>
        <w:pStyle w:val="BodyTextIndent"/>
        <w:numPr>
          <w:numId w:val="3"/>
        </w:numPr>
        <w:autoSpaceDE w:val="0"/>
        <w:autoSpaceDN w:val="0"/>
        <w:bidi w:val="0"/>
        <w:adjustRightInd w:val="0"/>
        <w:spacing w:after="120"/>
        <w:ind w:left="896" w:hanging="357"/>
        <w:rPr>
          <w:rFonts w:ascii="Times New Roman" w:hAnsi="Times New Roman"/>
          <w:i/>
          <w:szCs w:val="24"/>
        </w:rPr>
      </w:pPr>
      <w:r w:rsidRPr="00546A07">
        <w:rPr>
          <w:rFonts w:ascii="Times New Roman" w:hAnsi="Times New Roman"/>
          <w:bCs/>
          <w:szCs w:val="24"/>
        </w:rPr>
        <w:t>nariadenie Rady (ES) č. 1798/2003 zo 7. októbra 2003 o administratívnej spolupráci v oblasti dane z pridanej hodnoty a ktoré zrušuje nariadenie (EHS) č. 218/92 v platnom znení (</w:t>
      </w:r>
      <w:r w:rsidRPr="00546A07">
        <w:rPr>
          <w:rStyle w:val="Emphasis"/>
          <w:rFonts w:ascii="Times New Roman" w:hAnsi="Times New Roman"/>
          <w:i w:val="0"/>
          <w:szCs w:val="24"/>
        </w:rPr>
        <w:t>Ú. v. EÚ L 264, 15.10.2003).</w:t>
      </w:r>
    </w:p>
    <w:p w:rsidR="00B24B6B" w:rsidRPr="00546A07" w:rsidP="00B24B6B">
      <w:pPr>
        <w:pStyle w:val="BodyText"/>
        <w:numPr>
          <w:ilvl w:val="1"/>
          <w:numId w:val="1"/>
        </w:numPr>
        <w:bidi w:val="0"/>
        <w:jc w:val="both"/>
        <w:rPr>
          <w:rFonts w:ascii="Times New Roman" w:hAnsi="Times New Roman"/>
        </w:rPr>
      </w:pPr>
      <w:r w:rsidRPr="00546A07" w:rsidR="003561CB">
        <w:rPr>
          <w:rFonts w:ascii="Times New Roman" w:hAnsi="Times New Roman"/>
        </w:rPr>
        <w:t xml:space="preserve">nie </w:t>
      </w:r>
      <w:r w:rsidRPr="00546A07">
        <w:rPr>
          <w:rFonts w:ascii="Times New Roman" w:hAnsi="Times New Roman"/>
        </w:rPr>
        <w:t>je obsiahnutá v judikatúre Súdneho dvora Európskej únie</w:t>
      </w:r>
      <w:r w:rsidRPr="00546A07" w:rsidR="003561CB">
        <w:rPr>
          <w:rFonts w:ascii="Times New Roman" w:hAnsi="Times New Roman"/>
        </w:rPr>
        <w:t>.</w:t>
      </w:r>
    </w:p>
    <w:p w:rsidR="00B24B6B" w:rsidRPr="00546A07" w:rsidP="00B24B6B">
      <w:pPr>
        <w:pStyle w:val="BodyText"/>
        <w:bidi w:val="0"/>
        <w:spacing w:after="0"/>
        <w:ind w:left="425"/>
        <w:jc w:val="both"/>
        <w:rPr>
          <w:rFonts w:ascii="Times New Roman" w:hAnsi="Times New Roman"/>
        </w:rPr>
      </w:pPr>
    </w:p>
    <w:p w:rsidR="00B24B6B" w:rsidRPr="00546A07" w:rsidP="00B24B6B">
      <w:pPr>
        <w:numPr>
          <w:numId w:val="1"/>
        </w:numPr>
        <w:tabs>
          <w:tab w:val="left" w:pos="360"/>
        </w:tabs>
        <w:bidi w:val="0"/>
        <w:spacing w:after="120"/>
        <w:jc w:val="both"/>
        <w:rPr>
          <w:rFonts w:ascii="Times New Roman" w:hAnsi="Times New Roman"/>
          <w:b/>
          <w:bCs/>
        </w:rPr>
      </w:pPr>
      <w:r w:rsidRPr="00546A07">
        <w:rPr>
          <w:rFonts w:ascii="Times New Roman" w:hAnsi="Times New Roman"/>
          <w:b/>
          <w:bCs/>
        </w:rPr>
        <w:t>Záväzky Slovenskej republiky vo vzťahu k Európskej únii:</w:t>
      </w:r>
    </w:p>
    <w:p w:rsidR="00B24B6B" w:rsidRPr="00546A07" w:rsidP="00B24B6B">
      <w:pPr>
        <w:pStyle w:val="BodyText"/>
        <w:numPr>
          <w:numId w:val="8"/>
        </w:numPr>
        <w:tabs>
          <w:tab w:val="left" w:pos="360"/>
          <w:tab w:val="left" w:pos="540"/>
        </w:tabs>
        <w:bidi w:val="0"/>
        <w:jc w:val="both"/>
        <w:rPr>
          <w:rFonts w:ascii="Times New Roman" w:hAnsi="Times New Roman"/>
        </w:rPr>
      </w:pPr>
      <w:r w:rsidRPr="00546A07">
        <w:rPr>
          <w:rFonts w:ascii="Times New Roman" w:hAnsi="Times New Roman"/>
        </w:rPr>
        <w:t>Lehota na prebratie smernice Rady 2009/162/ES, 2009/69/ES je stanovená do 1. januára 2011.</w:t>
      </w:r>
    </w:p>
    <w:p w:rsidR="00B24B6B" w:rsidRPr="00546A07" w:rsidP="00B24B6B">
      <w:pPr>
        <w:pStyle w:val="BodyText"/>
        <w:numPr>
          <w:numId w:val="8"/>
        </w:numPr>
        <w:tabs>
          <w:tab w:val="left" w:pos="360"/>
          <w:tab w:val="left" w:pos="540"/>
        </w:tabs>
        <w:bidi w:val="0"/>
        <w:jc w:val="both"/>
        <w:rPr>
          <w:rFonts w:ascii="Times New Roman" w:hAnsi="Times New Roman"/>
        </w:rPr>
      </w:pPr>
      <w:r w:rsidRPr="00546A07">
        <w:rPr>
          <w:rFonts w:ascii="Times New Roman" w:hAnsi="Times New Roman"/>
        </w:rPr>
        <w:t xml:space="preserve">Lehota </w:t>
      </w:r>
      <w:r w:rsidRPr="00546A07" w:rsidR="008F63DC">
        <w:rPr>
          <w:rFonts w:ascii="Times New Roman" w:hAnsi="Times New Roman"/>
        </w:rPr>
        <w:t>určená na predloženie návrhu právneho predpisu na rokovanie vlády podľa určenia gestorských ústredných orgánov štátnej správy zodpovedných za prebratie smerníc a vypracovanie tabuliek zhody k návrhom všeobecne záväzných právnych predpisov: bezpredmetné</w:t>
      </w:r>
    </w:p>
    <w:p w:rsidR="00B24B6B" w:rsidRPr="00546A07" w:rsidP="00B24B6B">
      <w:pPr>
        <w:pStyle w:val="BodyText"/>
        <w:numPr>
          <w:numId w:val="8"/>
        </w:numPr>
        <w:tabs>
          <w:tab w:val="left" w:pos="360"/>
        </w:tabs>
        <w:bidi w:val="0"/>
        <w:jc w:val="both"/>
        <w:rPr>
          <w:rFonts w:ascii="Times New Roman" w:hAnsi="Times New Roman"/>
        </w:rPr>
      </w:pPr>
      <w:r w:rsidRPr="00546A07">
        <w:rPr>
          <w:rFonts w:ascii="Times New Roman" w:hAnsi="Times New Roman"/>
        </w:rPr>
        <w:t>Proti SR nebolo začaté konanie o porušení Zmluvy o fungovaní Európskej únie podľa čl. 258 až 260 Zmluvy o fungovaní Európskej únie.</w:t>
      </w:r>
    </w:p>
    <w:p w:rsidR="00B24B6B" w:rsidRPr="00546A07" w:rsidP="008859C5">
      <w:pPr>
        <w:pStyle w:val="BodyText"/>
        <w:numPr>
          <w:numId w:val="8"/>
        </w:numPr>
        <w:tabs>
          <w:tab w:val="left" w:pos="360"/>
        </w:tabs>
        <w:bidi w:val="0"/>
        <w:spacing w:after="0"/>
        <w:ind w:left="782" w:hanging="357"/>
        <w:jc w:val="both"/>
        <w:rPr>
          <w:rFonts w:ascii="Times New Roman" w:hAnsi="Times New Roman"/>
        </w:rPr>
      </w:pPr>
      <w:r w:rsidRPr="00546A07">
        <w:rPr>
          <w:rFonts w:ascii="Times New Roman" w:hAnsi="Times New Roman"/>
          <w:bCs/>
        </w:rPr>
        <w:t>Smernica Rady 2006/112/ES</w:t>
      </w:r>
      <w:r w:rsidRPr="00546A07">
        <w:rPr>
          <w:rFonts w:ascii="Times New Roman" w:hAnsi="Times New Roman"/>
        </w:rPr>
        <w:t xml:space="preserve"> </w:t>
      </w:r>
      <w:r w:rsidRPr="00546A07">
        <w:rPr>
          <w:rFonts w:ascii="Times New Roman" w:hAnsi="Times New Roman"/>
          <w:bCs/>
        </w:rPr>
        <w:t>bola úplne prebratá</w:t>
      </w:r>
      <w:r w:rsidRPr="00546A07">
        <w:rPr>
          <w:rFonts w:ascii="Times New Roman" w:hAnsi="Times New Roman"/>
        </w:rPr>
        <w:t xml:space="preserve"> do zákona č. 222/2004 Z.</w:t>
      </w:r>
      <w:r w:rsidRPr="00546A07" w:rsidR="008859C5">
        <w:rPr>
          <w:rFonts w:ascii="Times New Roman" w:hAnsi="Times New Roman"/>
        </w:rPr>
        <w:t xml:space="preserve"> </w:t>
      </w:r>
      <w:r w:rsidRPr="00546A07">
        <w:rPr>
          <w:rFonts w:ascii="Times New Roman" w:hAnsi="Times New Roman"/>
        </w:rPr>
        <w:t>z. o dani z pridanej hodnoty v znení neskorších predpisov.</w:t>
      </w:r>
    </w:p>
    <w:p w:rsidR="00B24B6B" w:rsidRPr="00546A07" w:rsidP="00B24B6B">
      <w:pPr>
        <w:pStyle w:val="BodyTextIndent"/>
        <w:autoSpaceDE w:val="0"/>
        <w:autoSpaceDN w:val="0"/>
        <w:bidi w:val="0"/>
        <w:adjustRightInd w:val="0"/>
        <w:ind w:hanging="357"/>
        <w:rPr>
          <w:rFonts w:ascii="Times New Roman" w:hAnsi="Times New Roman"/>
          <w:szCs w:val="24"/>
        </w:rPr>
      </w:pPr>
    </w:p>
    <w:p w:rsidR="00B24B6B" w:rsidRPr="00546A07" w:rsidP="00B24B6B">
      <w:pPr>
        <w:tabs>
          <w:tab w:val="left" w:pos="360"/>
        </w:tabs>
        <w:bidi w:val="0"/>
        <w:spacing w:after="120"/>
        <w:jc w:val="both"/>
        <w:rPr>
          <w:rFonts w:ascii="Times New Roman" w:hAnsi="Times New Roman"/>
          <w:b/>
          <w:bCs/>
        </w:rPr>
      </w:pPr>
      <w:r w:rsidRPr="00546A07">
        <w:rPr>
          <w:rFonts w:ascii="Times New Roman" w:hAnsi="Times New Roman"/>
          <w:b/>
          <w:bCs/>
        </w:rPr>
        <w:t>5.</w:t>
        <w:tab/>
        <w:t>Stupeň zlučiteľnosti návrhu zákona s právom Európskej únie:</w:t>
      </w:r>
    </w:p>
    <w:p w:rsidR="00B24B6B" w:rsidRPr="00546A07" w:rsidP="008859C5">
      <w:pPr>
        <w:bidi w:val="0"/>
        <w:ind w:left="357"/>
        <w:jc w:val="both"/>
        <w:rPr>
          <w:rFonts w:ascii="Times New Roman" w:hAnsi="Times New Roman"/>
        </w:rPr>
      </w:pPr>
      <w:r w:rsidRPr="00546A07">
        <w:rPr>
          <w:rFonts w:ascii="Times New Roman" w:hAnsi="Times New Roman"/>
        </w:rPr>
        <w:t xml:space="preserve"> Úplný.</w:t>
      </w:r>
    </w:p>
    <w:p w:rsidR="00B24B6B" w:rsidRPr="00546A07" w:rsidP="00B24B6B">
      <w:pPr>
        <w:bidi w:val="0"/>
        <w:ind w:left="357"/>
        <w:jc w:val="both"/>
        <w:rPr>
          <w:rFonts w:ascii="Times New Roman" w:hAnsi="Times New Roman"/>
          <w:b/>
          <w:bCs/>
        </w:rPr>
      </w:pPr>
    </w:p>
    <w:p w:rsidR="00B24B6B" w:rsidRPr="00546A07" w:rsidP="00B24B6B">
      <w:pPr>
        <w:tabs>
          <w:tab w:val="left" w:pos="360"/>
        </w:tabs>
        <w:bidi w:val="0"/>
        <w:spacing w:after="120"/>
        <w:jc w:val="both"/>
        <w:rPr>
          <w:rFonts w:ascii="Times New Roman" w:hAnsi="Times New Roman"/>
          <w:b/>
          <w:bCs/>
        </w:rPr>
      </w:pPr>
      <w:r w:rsidRPr="00546A07">
        <w:rPr>
          <w:rFonts w:ascii="Times New Roman" w:hAnsi="Times New Roman"/>
          <w:b/>
          <w:bCs/>
        </w:rPr>
        <w:t>6.</w:t>
        <w:tab/>
        <w:t xml:space="preserve">Gestor a spolupracujúce rezorty: </w:t>
      </w:r>
    </w:p>
    <w:p w:rsidR="00B24B6B" w:rsidRPr="00546A07" w:rsidP="00B24B6B">
      <w:pPr>
        <w:bidi w:val="0"/>
        <w:spacing w:after="120"/>
        <w:ind w:left="360"/>
        <w:jc w:val="both"/>
        <w:rPr>
          <w:rFonts w:ascii="Times New Roman" w:hAnsi="Times New Roman"/>
          <w:b/>
          <w:bCs/>
        </w:rPr>
      </w:pPr>
      <w:r w:rsidRPr="00546A07">
        <w:rPr>
          <w:rFonts w:ascii="Times New Roman" w:hAnsi="Times New Roman"/>
        </w:rPr>
        <w:t xml:space="preserve"> Ministerstvo financií Slovenskej republiky.</w:t>
      </w:r>
    </w:p>
    <w:p w:rsidR="008843D2" w:rsidRPr="00546A07" w:rsidP="005B50FF">
      <w:pPr>
        <w:bidi w:val="0"/>
        <w:rPr>
          <w:rFonts w:ascii="Times New Roman" w:hAnsi="Times New Roman"/>
        </w:rPr>
      </w:pPr>
    </w:p>
    <w:p w:rsidR="00B24B6B" w:rsidRPr="00546A07" w:rsidP="005B50FF">
      <w:pPr>
        <w:bidi w:val="0"/>
        <w:rPr>
          <w:rFonts w:ascii="Times New Roman" w:hAnsi="Times New Roman"/>
        </w:rPr>
      </w:pPr>
    </w:p>
    <w:p w:rsidR="00B24B6B" w:rsidRPr="00546A07" w:rsidP="005B50FF">
      <w:pPr>
        <w:bidi w:val="0"/>
        <w:rPr>
          <w:rFonts w:ascii="Times New Roman" w:hAnsi="Times New Roman"/>
        </w:rPr>
      </w:pPr>
    </w:p>
    <w:p w:rsidR="005B50FF" w:rsidRPr="006A0FEA" w:rsidP="006A0FEA">
      <w:pPr>
        <w:pStyle w:val="BodyTextIndent"/>
        <w:numPr>
          <w:numId w:val="10"/>
        </w:numPr>
        <w:bidi w:val="0"/>
        <w:ind w:left="357" w:hanging="357"/>
        <w:rPr>
          <w:rFonts w:ascii="Times New Roman" w:hAnsi="Times New Roman"/>
          <w:b/>
          <w:bCs/>
          <w:szCs w:val="24"/>
        </w:rPr>
      </w:pPr>
      <w:r w:rsidRPr="006A0FEA">
        <w:rPr>
          <w:rFonts w:ascii="Times New Roman" w:hAnsi="Times New Roman"/>
          <w:b/>
          <w:bCs/>
          <w:szCs w:val="24"/>
        </w:rPr>
        <w:t>Osobitná časť</w:t>
      </w:r>
    </w:p>
    <w:p w:rsidR="005B50FF" w:rsidRPr="00546A07" w:rsidP="005B50FF">
      <w:pPr>
        <w:bidi w:val="0"/>
        <w:rPr>
          <w:rFonts w:ascii="Times New Roman" w:hAnsi="Times New Roman"/>
        </w:rPr>
      </w:pPr>
    </w:p>
    <w:p w:rsidR="005B50FF" w:rsidRPr="00546A07" w:rsidP="005B50FF">
      <w:pPr>
        <w:pStyle w:val="Heading1"/>
        <w:bidi w:val="0"/>
        <w:rPr>
          <w:rFonts w:ascii="Times New Roman" w:hAnsi="Times New Roman"/>
          <w:sz w:val="24"/>
        </w:rPr>
      </w:pPr>
      <w:r w:rsidRPr="00546A07">
        <w:rPr>
          <w:rFonts w:ascii="Times New Roman" w:hAnsi="Times New Roman"/>
          <w:sz w:val="24"/>
        </w:rPr>
        <w:t>K článku I</w:t>
      </w:r>
    </w:p>
    <w:p w:rsidR="005B50FF" w:rsidRPr="00546A07" w:rsidP="005B50FF">
      <w:pPr>
        <w:bidi w:val="0"/>
        <w:rPr>
          <w:rFonts w:ascii="Times New Roman" w:hAnsi="Times New Roman"/>
        </w:rPr>
      </w:pPr>
    </w:p>
    <w:p w:rsidR="000707BB" w:rsidRPr="00546A07" w:rsidP="005B50FF">
      <w:pPr>
        <w:bidi w:val="0"/>
        <w:rPr>
          <w:rFonts w:ascii="Times New Roman" w:hAnsi="Times New Roman"/>
          <w:b/>
          <w:bCs/>
        </w:rPr>
      </w:pPr>
      <w:r w:rsidRPr="00546A07">
        <w:rPr>
          <w:rFonts w:ascii="Times New Roman" w:hAnsi="Times New Roman"/>
          <w:b/>
          <w:bCs/>
        </w:rPr>
        <w:t>K bodu 1 (§ 5 ods. 1 písm. c)</w:t>
      </w:r>
    </w:p>
    <w:p w:rsidR="000707BB" w:rsidRPr="00546A07" w:rsidP="005B50FF">
      <w:pPr>
        <w:bidi w:val="0"/>
        <w:rPr>
          <w:rFonts w:ascii="Times New Roman" w:hAnsi="Times New Roman"/>
          <w:b/>
          <w:bCs/>
        </w:rPr>
      </w:pPr>
    </w:p>
    <w:p w:rsidR="000707BB" w:rsidRPr="00546A07" w:rsidP="005B50FF">
      <w:pPr>
        <w:bidi w:val="0"/>
        <w:rPr>
          <w:rFonts w:ascii="Times New Roman" w:hAnsi="Times New Roman"/>
          <w:bCs/>
        </w:rPr>
      </w:pPr>
      <w:r w:rsidRPr="00546A07">
        <w:rPr>
          <w:rFonts w:ascii="Times New Roman" w:hAnsi="Times New Roman"/>
          <w:b/>
          <w:bCs/>
        </w:rPr>
        <w:tab/>
      </w:r>
      <w:r w:rsidRPr="00546A07">
        <w:rPr>
          <w:rFonts w:ascii="Times New Roman" w:hAnsi="Times New Roman"/>
          <w:bCs/>
        </w:rPr>
        <w:t>Ustanovenie sa mení nadväzne na zmenu § 13 ods. 1 písm. e) a f) zákona.</w:t>
      </w:r>
    </w:p>
    <w:p w:rsidR="000707BB" w:rsidRPr="00546A07" w:rsidP="005B50FF">
      <w:pPr>
        <w:bidi w:val="0"/>
        <w:rPr>
          <w:rFonts w:ascii="Times New Roman" w:hAnsi="Times New Roman"/>
          <w:b/>
          <w:bCs/>
        </w:rPr>
      </w:pPr>
    </w:p>
    <w:p w:rsidR="005B50FF" w:rsidRPr="00546A07" w:rsidP="005B50FF">
      <w:pPr>
        <w:bidi w:val="0"/>
        <w:rPr>
          <w:rFonts w:ascii="Times New Roman" w:hAnsi="Times New Roman"/>
          <w:b/>
          <w:bCs/>
        </w:rPr>
      </w:pPr>
      <w:r w:rsidRPr="00546A07">
        <w:rPr>
          <w:rFonts w:ascii="Times New Roman" w:hAnsi="Times New Roman"/>
          <w:b/>
          <w:bCs/>
        </w:rPr>
        <w:t xml:space="preserve">K bodu </w:t>
      </w:r>
      <w:r w:rsidRPr="00546A07" w:rsidR="000707BB">
        <w:rPr>
          <w:rFonts w:ascii="Times New Roman" w:hAnsi="Times New Roman"/>
          <w:b/>
          <w:bCs/>
        </w:rPr>
        <w:t>2</w:t>
      </w:r>
      <w:r w:rsidRPr="00546A07">
        <w:rPr>
          <w:rFonts w:ascii="Times New Roman" w:hAnsi="Times New Roman"/>
          <w:b/>
          <w:bCs/>
        </w:rPr>
        <w:t xml:space="preserve"> (§ 6 ods. 6)</w:t>
      </w:r>
    </w:p>
    <w:p w:rsidR="005B50FF" w:rsidRPr="00546A07" w:rsidP="005B50FF">
      <w:pPr>
        <w:bidi w:val="0"/>
        <w:rPr>
          <w:rFonts w:ascii="Times New Roman" w:hAnsi="Times New Roman"/>
        </w:rPr>
      </w:pPr>
    </w:p>
    <w:p w:rsidR="005B50FF" w:rsidRPr="00546A07" w:rsidP="005B50FF">
      <w:pPr>
        <w:bidi w:val="0"/>
        <w:ind w:firstLine="709"/>
        <w:jc w:val="both"/>
        <w:rPr>
          <w:rFonts w:ascii="Times New Roman" w:hAnsi="Times New Roman"/>
        </w:rPr>
      </w:pPr>
      <w:r w:rsidRPr="00546A07">
        <w:rPr>
          <w:rFonts w:ascii="Times New Roman" w:hAnsi="Times New Roman"/>
        </w:rPr>
        <w:t xml:space="preserve">Na základe nového znenia čl. 2 ods. 3 smernice Rady 2006/112/ES (čl. 1 bod 1. smernice Rady 2009/162/EÚ) sa upresňuje definícia predmetov spotrebnej dane, konkrétne sa </w:t>
      </w:r>
      <w:r w:rsidRPr="00546A07" w:rsidR="002A2469">
        <w:rPr>
          <w:rFonts w:ascii="Times New Roman" w:hAnsi="Times New Roman"/>
        </w:rPr>
        <w:t xml:space="preserve">upresňuje </w:t>
      </w:r>
      <w:r w:rsidRPr="00546A07">
        <w:rPr>
          <w:rFonts w:ascii="Times New Roman" w:hAnsi="Times New Roman"/>
        </w:rPr>
        <w:t>vyl</w:t>
      </w:r>
      <w:r w:rsidRPr="00546A07" w:rsidR="002A2469">
        <w:rPr>
          <w:rFonts w:ascii="Times New Roman" w:hAnsi="Times New Roman"/>
        </w:rPr>
        <w:t>účenie</w:t>
      </w:r>
      <w:r w:rsidRPr="00546A07">
        <w:rPr>
          <w:rFonts w:ascii="Times New Roman" w:hAnsi="Times New Roman"/>
        </w:rPr>
        <w:t xml:space="preserve"> </w:t>
      </w:r>
      <w:r w:rsidRPr="00546A07" w:rsidR="002A2469">
        <w:rPr>
          <w:rFonts w:ascii="Times New Roman" w:hAnsi="Times New Roman"/>
        </w:rPr>
        <w:t xml:space="preserve">plynu </w:t>
      </w:r>
      <w:r w:rsidRPr="00546A07">
        <w:rPr>
          <w:rFonts w:ascii="Times New Roman" w:hAnsi="Times New Roman"/>
        </w:rPr>
        <w:t>z výrobkov podliehajúcich spotrebnej dani na účely uplatňovania dane z pridanej hodnoty, ktorý je dodávaný prostredníctvom sústavy zemného plynu, ktorá sa nachádza na území Európsk</w:t>
      </w:r>
      <w:r w:rsidRPr="00546A07" w:rsidR="002A2469">
        <w:rPr>
          <w:rFonts w:ascii="Times New Roman" w:hAnsi="Times New Roman"/>
        </w:rPr>
        <w:t>ej</w:t>
      </w:r>
      <w:r w:rsidRPr="00546A07">
        <w:rPr>
          <w:rFonts w:ascii="Times New Roman" w:hAnsi="Times New Roman"/>
        </w:rPr>
        <w:t xml:space="preserve"> </w:t>
      </w:r>
      <w:r w:rsidRPr="00546A07" w:rsidR="002A2469">
        <w:rPr>
          <w:rFonts w:ascii="Times New Roman" w:hAnsi="Times New Roman"/>
        </w:rPr>
        <w:t>únie</w:t>
      </w:r>
      <w:r w:rsidRPr="00546A07">
        <w:rPr>
          <w:rFonts w:ascii="Times New Roman" w:hAnsi="Times New Roman"/>
        </w:rPr>
        <w:t>, alebo akejkoľvek siete, ktorá je k takejto sústave pripojená.</w:t>
      </w:r>
    </w:p>
    <w:p w:rsidR="005B50FF" w:rsidRPr="00546A07" w:rsidP="005B50FF">
      <w:pPr>
        <w:bidi w:val="0"/>
        <w:rPr>
          <w:rFonts w:ascii="Times New Roman" w:hAnsi="Times New Roman"/>
        </w:rPr>
      </w:pPr>
    </w:p>
    <w:p w:rsidR="005B50FF" w:rsidRPr="00546A07" w:rsidP="005B50FF">
      <w:pPr>
        <w:bidi w:val="0"/>
        <w:rPr>
          <w:rFonts w:ascii="Times New Roman" w:hAnsi="Times New Roman"/>
          <w:b/>
          <w:bCs/>
        </w:rPr>
      </w:pPr>
      <w:r w:rsidRPr="00546A07">
        <w:rPr>
          <w:rFonts w:ascii="Times New Roman" w:hAnsi="Times New Roman"/>
          <w:b/>
          <w:bCs/>
        </w:rPr>
        <w:t xml:space="preserve">K bodu </w:t>
      </w:r>
      <w:r w:rsidRPr="00546A07" w:rsidR="00AA6A23">
        <w:rPr>
          <w:rFonts w:ascii="Times New Roman" w:hAnsi="Times New Roman"/>
          <w:b/>
          <w:bCs/>
        </w:rPr>
        <w:t>3</w:t>
      </w:r>
      <w:r w:rsidRPr="00546A07">
        <w:rPr>
          <w:rFonts w:ascii="Times New Roman" w:hAnsi="Times New Roman"/>
          <w:b/>
          <w:bCs/>
        </w:rPr>
        <w:t xml:space="preserve"> (§ 8 ods. 1 písm. a)</w:t>
      </w:r>
    </w:p>
    <w:p w:rsidR="005B50FF" w:rsidRPr="00546A07" w:rsidP="00CF2198">
      <w:pPr>
        <w:bidi w:val="0"/>
        <w:jc w:val="both"/>
        <w:rPr>
          <w:rFonts w:ascii="Times New Roman" w:hAnsi="Times New Roman"/>
        </w:rPr>
      </w:pPr>
    </w:p>
    <w:p w:rsidR="005B50FF" w:rsidRPr="00546A07" w:rsidP="00CF2198">
      <w:pPr>
        <w:pStyle w:val="BodyTextIndent3"/>
        <w:bidi w:val="0"/>
        <w:spacing w:after="0"/>
        <w:ind w:left="0" w:firstLine="709"/>
        <w:jc w:val="both"/>
        <w:rPr>
          <w:rFonts w:ascii="Times New Roman" w:hAnsi="Times New Roman"/>
          <w:sz w:val="24"/>
          <w:szCs w:val="24"/>
        </w:rPr>
      </w:pPr>
      <w:r w:rsidRPr="00546A07">
        <w:rPr>
          <w:rFonts w:ascii="Times New Roman" w:hAnsi="Times New Roman"/>
          <w:sz w:val="24"/>
          <w:szCs w:val="24"/>
        </w:rPr>
        <w:t>Ustanovenie sa upresňuje v nadväznosti na nové znenie čl. 15 ods. 1 smernice Rady 2006/112/ES ( čl. 1 bod 3. smernice Rady 2009/162/EÚ).</w:t>
      </w:r>
      <w:r w:rsidRPr="00546A07" w:rsidR="002A2469">
        <w:rPr>
          <w:rFonts w:ascii="Times New Roman" w:hAnsi="Times New Roman"/>
          <w:sz w:val="24"/>
          <w:szCs w:val="24"/>
        </w:rPr>
        <w:t xml:space="preserve"> </w:t>
      </w:r>
      <w:r w:rsidRPr="00546A07" w:rsidR="00286F0F">
        <w:rPr>
          <w:rFonts w:ascii="Times New Roman" w:hAnsi="Times New Roman"/>
          <w:sz w:val="24"/>
          <w:szCs w:val="24"/>
        </w:rPr>
        <w:t>Doplnením slov „</w:t>
      </w:r>
      <w:r w:rsidRPr="00546A07" w:rsidR="0036664E">
        <w:rPr>
          <w:rFonts w:ascii="Times New Roman" w:hAnsi="Times New Roman"/>
          <w:sz w:val="24"/>
          <w:szCs w:val="24"/>
        </w:rPr>
        <w:t xml:space="preserve">a </w:t>
      </w:r>
      <w:r w:rsidRPr="00546A07" w:rsidR="00286F0F">
        <w:rPr>
          <w:rFonts w:ascii="Times New Roman" w:hAnsi="Times New Roman"/>
          <w:sz w:val="24"/>
          <w:szCs w:val="24"/>
        </w:rPr>
        <w:t>podobn</w:t>
      </w:r>
      <w:r w:rsidRPr="00546A07" w:rsidR="00A401F4">
        <w:rPr>
          <w:rFonts w:ascii="Times New Roman" w:hAnsi="Times New Roman"/>
          <w:sz w:val="24"/>
          <w:szCs w:val="24"/>
        </w:rPr>
        <w:t>é nehmotné veci</w:t>
      </w:r>
      <w:r w:rsidRPr="00546A07" w:rsidR="00286F0F">
        <w:rPr>
          <w:rFonts w:ascii="Times New Roman" w:hAnsi="Times New Roman"/>
          <w:sz w:val="24"/>
          <w:szCs w:val="24"/>
        </w:rPr>
        <w:t xml:space="preserve">“ sa </w:t>
      </w:r>
      <w:r w:rsidRPr="00546A07" w:rsidR="00A401F4">
        <w:rPr>
          <w:rFonts w:ascii="Times New Roman" w:hAnsi="Times New Roman"/>
          <w:sz w:val="24"/>
          <w:szCs w:val="24"/>
        </w:rPr>
        <w:t xml:space="preserve">ustanovenie </w:t>
      </w:r>
      <w:r w:rsidRPr="00546A07" w:rsidR="00286F0F">
        <w:rPr>
          <w:rFonts w:ascii="Times New Roman" w:hAnsi="Times New Roman"/>
          <w:sz w:val="24"/>
          <w:szCs w:val="24"/>
        </w:rPr>
        <w:t>precizuje z dôvodu možného výskyt</w:t>
      </w:r>
      <w:r w:rsidRPr="00546A07" w:rsidR="00A401F4">
        <w:rPr>
          <w:rFonts w:ascii="Times New Roman" w:hAnsi="Times New Roman"/>
          <w:sz w:val="24"/>
          <w:szCs w:val="24"/>
        </w:rPr>
        <w:t>u</w:t>
      </w:r>
      <w:r w:rsidRPr="00546A07" w:rsidR="00286F0F">
        <w:rPr>
          <w:rFonts w:ascii="Times New Roman" w:hAnsi="Times New Roman"/>
          <w:sz w:val="24"/>
          <w:szCs w:val="24"/>
        </w:rPr>
        <w:t xml:space="preserve"> iných nehmatateľných predmetov dodávky.</w:t>
      </w:r>
    </w:p>
    <w:p w:rsidR="005B50FF" w:rsidRPr="00546A07" w:rsidP="005B50FF">
      <w:pPr>
        <w:bidi w:val="0"/>
        <w:rPr>
          <w:rFonts w:ascii="Times New Roman" w:hAnsi="Times New Roman"/>
        </w:rPr>
      </w:pPr>
    </w:p>
    <w:p w:rsidR="005B50FF" w:rsidRPr="00546A07" w:rsidP="005B50FF">
      <w:pPr>
        <w:bidi w:val="0"/>
        <w:jc w:val="both"/>
        <w:rPr>
          <w:rFonts w:ascii="Times New Roman" w:hAnsi="Times New Roman"/>
          <w:b/>
          <w:bCs/>
        </w:rPr>
      </w:pPr>
      <w:r w:rsidRPr="00546A07">
        <w:rPr>
          <w:rFonts w:ascii="Times New Roman" w:hAnsi="Times New Roman"/>
          <w:b/>
          <w:bCs/>
        </w:rPr>
        <w:t xml:space="preserve">K bodom </w:t>
      </w:r>
      <w:r w:rsidRPr="00546A07" w:rsidR="000707BB">
        <w:rPr>
          <w:rFonts w:ascii="Times New Roman" w:hAnsi="Times New Roman"/>
          <w:b/>
          <w:bCs/>
        </w:rPr>
        <w:t>4</w:t>
      </w:r>
      <w:r w:rsidRPr="00546A07">
        <w:rPr>
          <w:rFonts w:ascii="Times New Roman" w:hAnsi="Times New Roman"/>
          <w:b/>
          <w:bCs/>
        </w:rPr>
        <w:t xml:space="preserve">, </w:t>
      </w:r>
      <w:r w:rsidRPr="00546A07" w:rsidR="000707BB">
        <w:rPr>
          <w:rFonts w:ascii="Times New Roman" w:hAnsi="Times New Roman"/>
          <w:b/>
          <w:bCs/>
        </w:rPr>
        <w:t>7</w:t>
      </w:r>
      <w:r w:rsidRPr="00546A07">
        <w:rPr>
          <w:rFonts w:ascii="Times New Roman" w:hAnsi="Times New Roman"/>
          <w:b/>
          <w:bCs/>
        </w:rPr>
        <w:t xml:space="preserve">, </w:t>
      </w:r>
      <w:r w:rsidRPr="00546A07" w:rsidR="000707BB">
        <w:rPr>
          <w:rFonts w:ascii="Times New Roman" w:hAnsi="Times New Roman"/>
          <w:b/>
          <w:bCs/>
        </w:rPr>
        <w:t>9 a 1</w:t>
      </w:r>
      <w:r w:rsidRPr="00546A07" w:rsidR="005208A1">
        <w:rPr>
          <w:rFonts w:ascii="Times New Roman" w:hAnsi="Times New Roman"/>
          <w:b/>
          <w:bCs/>
        </w:rPr>
        <w:t>8</w:t>
      </w:r>
      <w:r w:rsidRPr="00546A07">
        <w:rPr>
          <w:rFonts w:ascii="Times New Roman" w:hAnsi="Times New Roman"/>
          <w:b/>
          <w:bCs/>
        </w:rPr>
        <w:t xml:space="preserve">  (§ 8 ods. 4 písm. i), § 13 ods. 1 písm. e) a f), § 16 ods. 17 písm. g) a § 48 ods. 9)</w:t>
      </w:r>
    </w:p>
    <w:p w:rsidR="005B50FF" w:rsidRPr="00546A07" w:rsidP="005B50FF">
      <w:pPr>
        <w:bidi w:val="0"/>
        <w:rPr>
          <w:rFonts w:ascii="Times New Roman" w:hAnsi="Times New Roman"/>
        </w:rPr>
      </w:pPr>
    </w:p>
    <w:p w:rsidR="005B50FF" w:rsidRPr="00546A07" w:rsidP="005B50FF">
      <w:pPr>
        <w:bidi w:val="0"/>
        <w:ind w:firstLine="709"/>
        <w:jc w:val="both"/>
        <w:rPr>
          <w:rFonts w:ascii="Times New Roman" w:hAnsi="Times New Roman"/>
        </w:rPr>
      </w:pPr>
      <w:r w:rsidRPr="00546A07">
        <w:rPr>
          <w:rFonts w:ascii="Times New Roman" w:hAnsi="Times New Roman"/>
        </w:rPr>
        <w:t>Problematika dodávky a dovozu tepla alebo chladu je rovnaká ako problematika dodávky a dovozu plynu alebo elektriny. Z tohto dôvodu sa tá istá úprava, ktorá sa vzťahuje na plyn a elektrinu, má vzťahovať tiež na teplo a chlad. V súvislosti s doplnením týchto tovarov sa upravujú všetky súvisiace ustanovenia zákona – miesto dodania tovaru, miesto dodania služby, dovoz tovaru. Tieto zmeny sú transpozíciou čl. 1 bodov 4, 5</w:t>
      </w:r>
      <w:r w:rsidRPr="00546A07" w:rsidR="00CF3084">
        <w:rPr>
          <w:rFonts w:ascii="Times New Roman" w:hAnsi="Times New Roman"/>
        </w:rPr>
        <w:t>, 6 a 10</w:t>
      </w:r>
      <w:r w:rsidRPr="00546A07">
        <w:rPr>
          <w:rFonts w:ascii="Times New Roman" w:hAnsi="Times New Roman"/>
        </w:rPr>
        <w:t xml:space="preserve"> smernice Rady 2009/162/EÚ.</w:t>
      </w:r>
    </w:p>
    <w:p w:rsidR="005B50FF" w:rsidRPr="00546A07" w:rsidP="005B50FF">
      <w:pPr>
        <w:bidi w:val="0"/>
        <w:jc w:val="both"/>
        <w:rPr>
          <w:rFonts w:ascii="Times New Roman" w:hAnsi="Times New Roman"/>
        </w:rPr>
      </w:pPr>
    </w:p>
    <w:p w:rsidR="005B50FF" w:rsidRPr="00546A07" w:rsidP="005B50FF">
      <w:pPr>
        <w:bidi w:val="0"/>
        <w:jc w:val="both"/>
        <w:rPr>
          <w:rFonts w:ascii="Times New Roman" w:hAnsi="Times New Roman"/>
          <w:b/>
          <w:bCs/>
        </w:rPr>
      </w:pPr>
      <w:r w:rsidRPr="00546A07">
        <w:rPr>
          <w:rFonts w:ascii="Times New Roman" w:hAnsi="Times New Roman"/>
          <w:b/>
          <w:bCs/>
        </w:rPr>
        <w:t xml:space="preserve">K bodu </w:t>
      </w:r>
      <w:r w:rsidRPr="00546A07" w:rsidR="000707BB">
        <w:rPr>
          <w:rFonts w:ascii="Times New Roman" w:hAnsi="Times New Roman"/>
          <w:b/>
          <w:bCs/>
        </w:rPr>
        <w:t>5</w:t>
      </w:r>
      <w:r w:rsidRPr="00546A07">
        <w:rPr>
          <w:rFonts w:ascii="Times New Roman" w:hAnsi="Times New Roman"/>
          <w:b/>
          <w:bCs/>
        </w:rPr>
        <w:t xml:space="preserve"> (§ 9 ods. 2)</w:t>
      </w:r>
    </w:p>
    <w:p w:rsidR="005B50FF" w:rsidRPr="00546A07" w:rsidP="005B50FF">
      <w:pPr>
        <w:bidi w:val="0"/>
        <w:jc w:val="both"/>
        <w:rPr>
          <w:rFonts w:ascii="Times New Roman" w:hAnsi="Times New Roman"/>
        </w:rPr>
      </w:pPr>
    </w:p>
    <w:p w:rsidR="005B50FF" w:rsidRPr="00546A07" w:rsidP="005B50FF">
      <w:pPr>
        <w:pStyle w:val="BodyText2"/>
        <w:bidi w:val="0"/>
        <w:ind w:firstLine="709"/>
        <w:rPr>
          <w:rFonts w:ascii="Times New Roman" w:hAnsi="Times New Roman"/>
          <w:sz w:val="24"/>
          <w:szCs w:val="24"/>
        </w:rPr>
      </w:pPr>
      <w:r w:rsidRPr="00546A07">
        <w:rPr>
          <w:rFonts w:ascii="Times New Roman" w:hAnsi="Times New Roman"/>
          <w:sz w:val="24"/>
          <w:szCs w:val="24"/>
        </w:rPr>
        <w:t>Ustanovenie sa upresňuje v súvislosti s novou úpravou obsiahnutou v § 49a zákona.</w:t>
      </w:r>
    </w:p>
    <w:p w:rsidR="005B50FF" w:rsidRPr="00546A07" w:rsidP="005B50FF">
      <w:pPr>
        <w:pStyle w:val="BodyText2"/>
        <w:bidi w:val="0"/>
        <w:ind w:firstLine="709"/>
        <w:rPr>
          <w:rFonts w:ascii="Times New Roman" w:hAnsi="Times New Roman"/>
          <w:sz w:val="24"/>
          <w:szCs w:val="24"/>
        </w:rPr>
      </w:pPr>
    </w:p>
    <w:p w:rsidR="005B50FF" w:rsidRPr="00546A07" w:rsidP="005B50FF">
      <w:pPr>
        <w:bidi w:val="0"/>
        <w:jc w:val="both"/>
        <w:rPr>
          <w:rFonts w:ascii="Times New Roman" w:hAnsi="Times New Roman"/>
          <w:b/>
        </w:rPr>
      </w:pPr>
      <w:r w:rsidRPr="00546A07">
        <w:rPr>
          <w:rFonts w:ascii="Times New Roman" w:hAnsi="Times New Roman"/>
          <w:b/>
        </w:rPr>
        <w:t xml:space="preserve">K bodu </w:t>
      </w:r>
      <w:r w:rsidRPr="00546A07" w:rsidR="000707BB">
        <w:rPr>
          <w:rFonts w:ascii="Times New Roman" w:hAnsi="Times New Roman"/>
          <w:b/>
        </w:rPr>
        <w:t>6</w:t>
      </w:r>
      <w:r w:rsidRPr="00546A07">
        <w:rPr>
          <w:rFonts w:ascii="Times New Roman" w:hAnsi="Times New Roman"/>
          <w:b/>
        </w:rPr>
        <w:t xml:space="preserve"> (§ 11 ods. 9)</w:t>
      </w:r>
    </w:p>
    <w:p w:rsidR="005B50FF" w:rsidRPr="00546A07" w:rsidP="005B50FF">
      <w:pPr>
        <w:bidi w:val="0"/>
        <w:jc w:val="both"/>
        <w:rPr>
          <w:rFonts w:ascii="Times New Roman" w:hAnsi="Times New Roman"/>
        </w:rPr>
      </w:pPr>
    </w:p>
    <w:p w:rsidR="005B50FF" w:rsidRPr="00546A07" w:rsidP="005B50FF">
      <w:pPr>
        <w:bidi w:val="0"/>
        <w:ind w:firstLine="709"/>
        <w:jc w:val="both"/>
        <w:rPr>
          <w:rFonts w:ascii="Times New Roman" w:hAnsi="Times New Roman"/>
        </w:rPr>
      </w:pPr>
      <w:r w:rsidRPr="00546A07">
        <w:rPr>
          <w:rFonts w:ascii="Times New Roman" w:hAnsi="Times New Roman"/>
        </w:rPr>
        <w:t>Ustanovenie sa zosúlaďuje s novým znením čl. 22 smernice Rady 2006/112/ES (čl. 1 bod 1 smernice Rady 2009/69/ES). Nedochádza k vecnej zmene ustanovenia.</w:t>
      </w:r>
    </w:p>
    <w:p w:rsidR="005B50FF" w:rsidRPr="00546A07" w:rsidP="005B50FF">
      <w:pPr>
        <w:bidi w:val="0"/>
        <w:ind w:firstLine="709"/>
        <w:jc w:val="both"/>
        <w:rPr>
          <w:rFonts w:ascii="Times New Roman" w:hAnsi="Times New Roman"/>
        </w:rPr>
      </w:pPr>
    </w:p>
    <w:p w:rsidR="005B50FF" w:rsidRPr="00546A07" w:rsidP="005B50FF">
      <w:pPr>
        <w:bidi w:val="0"/>
        <w:rPr>
          <w:rFonts w:ascii="Times New Roman" w:hAnsi="Times New Roman"/>
          <w:b/>
          <w:bCs/>
        </w:rPr>
      </w:pPr>
      <w:r w:rsidRPr="00546A07">
        <w:rPr>
          <w:rFonts w:ascii="Times New Roman" w:hAnsi="Times New Roman"/>
          <w:b/>
          <w:bCs/>
        </w:rPr>
        <w:t>K bod</w:t>
      </w:r>
      <w:r w:rsidRPr="00546A07" w:rsidR="00C5679C">
        <w:rPr>
          <w:rFonts w:ascii="Times New Roman" w:hAnsi="Times New Roman"/>
          <w:b/>
          <w:bCs/>
        </w:rPr>
        <w:t>u</w:t>
      </w:r>
      <w:r w:rsidRPr="00546A07">
        <w:rPr>
          <w:rFonts w:ascii="Times New Roman" w:hAnsi="Times New Roman"/>
          <w:b/>
          <w:bCs/>
        </w:rPr>
        <w:t xml:space="preserve"> </w:t>
      </w:r>
      <w:r w:rsidRPr="00546A07" w:rsidR="000707BB">
        <w:rPr>
          <w:rFonts w:ascii="Times New Roman" w:hAnsi="Times New Roman"/>
          <w:b/>
          <w:bCs/>
        </w:rPr>
        <w:t>8</w:t>
      </w:r>
      <w:r w:rsidRPr="00546A07">
        <w:rPr>
          <w:rFonts w:ascii="Times New Roman" w:hAnsi="Times New Roman"/>
          <w:b/>
          <w:bCs/>
        </w:rPr>
        <w:t xml:space="preserve"> (§ 16 ods. 3) </w:t>
      </w:r>
    </w:p>
    <w:p w:rsidR="005B50FF" w:rsidRPr="00546A07" w:rsidP="005B50FF">
      <w:pPr>
        <w:bidi w:val="0"/>
        <w:rPr>
          <w:rFonts w:ascii="Times New Roman" w:hAnsi="Times New Roman"/>
        </w:rPr>
      </w:pPr>
    </w:p>
    <w:p w:rsidR="005B50FF" w:rsidRPr="00546A07" w:rsidP="005B50FF">
      <w:pPr>
        <w:pStyle w:val="Zkladntext"/>
        <w:bidi w:val="0"/>
        <w:spacing w:line="240" w:lineRule="atLeast"/>
        <w:ind w:firstLine="709"/>
        <w:jc w:val="both"/>
        <w:rPr>
          <w:rFonts w:ascii="Times New Roman" w:hAnsi="Times New Roman"/>
          <w:szCs w:val="24"/>
        </w:rPr>
      </w:pPr>
      <w:r w:rsidRPr="00546A07">
        <w:rPr>
          <w:rFonts w:ascii="Times New Roman" w:hAnsi="Times New Roman"/>
          <w:szCs w:val="24"/>
        </w:rPr>
        <w:t>Od 1. januára 2010 na základe čl. 2 smernice Rady 2008/8/ES nastali zmeny týkajúce sa miesta poskytovania služieb. Keďže tieto zmeny by mohli mať značný dosah na rozpočet členských štátov, pri niektorých službách sa zmeny miesta dodania mali vykonať postupne. Jedným z okruhov takýchto služieb sú dodania kultúrnych, umeleckých, športových, vedeckých, vzdelávacích, zábavných a podobných služieb, ako napríklad služieb na výstavách a veľtrhoch, vrátane ich organizovania a s nimi súvisiacich doplnkových služieb. Pravidlo platné do 31. decembra 2010 pre uvedené služby týkajúce sa služieb dodaných zdaniteľnej osobe aj nezdaniteľnej osobe sa osobitne mení od 1. januára 2011 vo vzťahu k zdaniteľnej osobe. Osobitné pravidlo určenia miesta dodania služby pre zdaniteľnú osobu v súvislosti s uvedenými službami sa bude vzťahovať len na vstup na kultúrne, umelecké, športové a podobné podujatia (napr. výstavy a veľtrhy) ako aj na doplnkové služby, ktoré bezprostredne súvisia so vstupom na tieto podujatia (napr. šatňa</w:t>
      </w:r>
      <w:r w:rsidRPr="00546A07" w:rsidR="00533E55">
        <w:rPr>
          <w:rFonts w:ascii="Times New Roman" w:hAnsi="Times New Roman"/>
          <w:szCs w:val="24"/>
        </w:rPr>
        <w:t>, toaleta</w:t>
      </w:r>
      <w:r w:rsidRPr="00546A07">
        <w:rPr>
          <w:rFonts w:ascii="Times New Roman" w:hAnsi="Times New Roman"/>
          <w:szCs w:val="24"/>
        </w:rPr>
        <w:t>). Všetky ostatné kultúrne, umelecké, športové a podobné služby iné ako vstup na tieto podujatia sa budú posudzovať pri poskytnutí zdaniteľnej osobe podľa § 15 ods. 1 zákona. Uvedená zmena pravidiel vyplýva z čl. 3 smernice Rady 2008/8/ES.</w:t>
      </w:r>
    </w:p>
    <w:p w:rsidR="005B50FF" w:rsidRPr="00546A07" w:rsidP="005B50FF">
      <w:pPr>
        <w:pStyle w:val="Zkladntext"/>
        <w:bidi w:val="0"/>
        <w:spacing w:line="240" w:lineRule="atLeast"/>
        <w:jc w:val="both"/>
        <w:rPr>
          <w:rFonts w:ascii="Times New Roman" w:hAnsi="Times New Roman"/>
          <w:szCs w:val="24"/>
        </w:rPr>
      </w:pPr>
    </w:p>
    <w:p w:rsidR="00E70C97" w:rsidRPr="00546A07" w:rsidP="005B50FF">
      <w:pPr>
        <w:pStyle w:val="Zkladntext"/>
        <w:bidi w:val="0"/>
        <w:spacing w:line="240" w:lineRule="atLeast"/>
        <w:jc w:val="both"/>
        <w:rPr>
          <w:rFonts w:ascii="Times New Roman" w:hAnsi="Times New Roman"/>
          <w:b/>
          <w:szCs w:val="24"/>
        </w:rPr>
      </w:pPr>
      <w:r w:rsidRPr="00546A07">
        <w:rPr>
          <w:rFonts w:ascii="Times New Roman" w:hAnsi="Times New Roman"/>
          <w:b/>
          <w:szCs w:val="24"/>
        </w:rPr>
        <w:t>K bodu 10 (§ 19 ods. 3)</w:t>
      </w:r>
    </w:p>
    <w:p w:rsidR="00E70C97" w:rsidRPr="00546A07" w:rsidP="005B50FF">
      <w:pPr>
        <w:pStyle w:val="Zkladntext"/>
        <w:bidi w:val="0"/>
        <w:spacing w:line="240" w:lineRule="atLeast"/>
        <w:jc w:val="both"/>
        <w:rPr>
          <w:rFonts w:ascii="Times New Roman" w:hAnsi="Times New Roman"/>
          <w:szCs w:val="24"/>
        </w:rPr>
      </w:pPr>
    </w:p>
    <w:p w:rsidR="00E70C97" w:rsidRPr="00546A07" w:rsidP="005B50FF">
      <w:pPr>
        <w:pStyle w:val="Zkladntext"/>
        <w:bidi w:val="0"/>
        <w:spacing w:line="240" w:lineRule="atLeast"/>
        <w:jc w:val="both"/>
        <w:rPr>
          <w:rFonts w:ascii="Times New Roman" w:hAnsi="Times New Roman"/>
          <w:szCs w:val="24"/>
        </w:rPr>
      </w:pPr>
      <w:r w:rsidRPr="00546A07" w:rsidR="001D769C">
        <w:rPr>
          <w:rFonts w:ascii="Times New Roman" w:hAnsi="Times New Roman"/>
          <w:szCs w:val="24"/>
        </w:rPr>
        <w:tab/>
        <w:t>Doplnením ustanovenia sa zjednodušuje fakturácia za opakované a čiastkové dodania tovarov a služieb, čím sa odstránia aplikačné problémy spojené s týmto ustanovením.</w:t>
      </w:r>
      <w:r w:rsidRPr="00546A07" w:rsidR="009D703D">
        <w:rPr>
          <w:rFonts w:ascii="Times New Roman" w:hAnsi="Times New Roman"/>
          <w:szCs w:val="24"/>
        </w:rPr>
        <w:tab/>
      </w:r>
    </w:p>
    <w:p w:rsidR="00E70C97" w:rsidRPr="00546A07" w:rsidP="005B50FF">
      <w:pPr>
        <w:pStyle w:val="Zkladntext"/>
        <w:bidi w:val="0"/>
        <w:spacing w:line="240" w:lineRule="atLeast"/>
        <w:jc w:val="both"/>
        <w:rPr>
          <w:rFonts w:ascii="Times New Roman" w:hAnsi="Times New Roman"/>
          <w:szCs w:val="24"/>
        </w:rPr>
      </w:pPr>
    </w:p>
    <w:p w:rsidR="00C90C27" w:rsidRPr="00546A07" w:rsidP="005B50FF">
      <w:pPr>
        <w:pStyle w:val="Zkladntext"/>
        <w:bidi w:val="0"/>
        <w:spacing w:line="240" w:lineRule="atLeast"/>
        <w:jc w:val="both"/>
        <w:rPr>
          <w:rFonts w:ascii="Times New Roman" w:hAnsi="Times New Roman"/>
          <w:b/>
          <w:szCs w:val="24"/>
        </w:rPr>
      </w:pPr>
      <w:r w:rsidRPr="00546A07">
        <w:rPr>
          <w:rFonts w:ascii="Times New Roman" w:hAnsi="Times New Roman"/>
          <w:b/>
          <w:szCs w:val="24"/>
        </w:rPr>
        <w:t>K bod</w:t>
      </w:r>
      <w:r w:rsidRPr="00546A07" w:rsidR="00EA3F74">
        <w:rPr>
          <w:rFonts w:ascii="Times New Roman" w:hAnsi="Times New Roman"/>
          <w:b/>
          <w:szCs w:val="24"/>
        </w:rPr>
        <w:t>om</w:t>
      </w:r>
      <w:r w:rsidRPr="00546A07">
        <w:rPr>
          <w:rFonts w:ascii="Times New Roman" w:hAnsi="Times New Roman"/>
          <w:b/>
          <w:szCs w:val="24"/>
        </w:rPr>
        <w:t xml:space="preserve"> 11 </w:t>
      </w:r>
      <w:r w:rsidRPr="00546A07" w:rsidR="00EA3F74">
        <w:rPr>
          <w:rFonts w:ascii="Times New Roman" w:hAnsi="Times New Roman"/>
          <w:b/>
          <w:szCs w:val="24"/>
        </w:rPr>
        <w:t>a</w:t>
      </w:r>
      <w:r w:rsidRPr="00546A07" w:rsidR="005208A1">
        <w:rPr>
          <w:rFonts w:ascii="Times New Roman" w:hAnsi="Times New Roman"/>
          <w:b/>
          <w:szCs w:val="24"/>
        </w:rPr>
        <w:t>ž</w:t>
      </w:r>
      <w:r w:rsidRPr="00546A07" w:rsidR="00EA3F74">
        <w:rPr>
          <w:rFonts w:ascii="Times New Roman" w:hAnsi="Times New Roman"/>
          <w:b/>
          <w:szCs w:val="24"/>
        </w:rPr>
        <w:t> 1</w:t>
      </w:r>
      <w:r w:rsidRPr="00546A07" w:rsidR="005208A1">
        <w:rPr>
          <w:rFonts w:ascii="Times New Roman" w:hAnsi="Times New Roman"/>
          <w:b/>
          <w:szCs w:val="24"/>
        </w:rPr>
        <w:t>3</w:t>
      </w:r>
      <w:r w:rsidRPr="00546A07" w:rsidR="00EA3F74">
        <w:rPr>
          <w:rFonts w:ascii="Times New Roman" w:hAnsi="Times New Roman"/>
          <w:b/>
          <w:szCs w:val="24"/>
        </w:rPr>
        <w:t xml:space="preserve"> </w:t>
      </w:r>
      <w:r w:rsidRPr="00546A07">
        <w:rPr>
          <w:rFonts w:ascii="Times New Roman" w:hAnsi="Times New Roman"/>
          <w:b/>
          <w:szCs w:val="24"/>
        </w:rPr>
        <w:t>(§ 27)</w:t>
      </w:r>
    </w:p>
    <w:p w:rsidR="00C90C27" w:rsidRPr="00546A07" w:rsidP="005B50FF">
      <w:pPr>
        <w:pStyle w:val="Zkladntext"/>
        <w:bidi w:val="0"/>
        <w:spacing w:line="240" w:lineRule="atLeast"/>
        <w:jc w:val="both"/>
        <w:rPr>
          <w:rFonts w:ascii="Times New Roman" w:hAnsi="Times New Roman"/>
          <w:szCs w:val="24"/>
        </w:rPr>
      </w:pPr>
    </w:p>
    <w:p w:rsidR="00DD4142" w:rsidRPr="00546A07" w:rsidP="00DD4142">
      <w:pPr>
        <w:pStyle w:val="Zkladntext"/>
        <w:bidi w:val="0"/>
        <w:spacing w:line="240" w:lineRule="atLeast"/>
        <w:ind w:firstLine="709"/>
        <w:jc w:val="both"/>
        <w:rPr>
          <w:rFonts w:ascii="Times New Roman" w:hAnsi="Times New Roman"/>
          <w:szCs w:val="24"/>
        </w:rPr>
      </w:pPr>
      <w:r w:rsidRPr="00546A07">
        <w:rPr>
          <w:rFonts w:ascii="Times New Roman" w:hAnsi="Times New Roman"/>
          <w:szCs w:val="24"/>
        </w:rPr>
        <w:t xml:space="preserve">V rámci opatrení na zníženie deficitu verejných financií návrh zákona obsahuje zmeny v sadzbách dane z pridanej hodnoty. </w:t>
      </w:r>
      <w:r w:rsidRPr="00546A07" w:rsidR="005208A1">
        <w:rPr>
          <w:rFonts w:ascii="Times New Roman" w:hAnsi="Times New Roman"/>
          <w:szCs w:val="24"/>
        </w:rPr>
        <w:t>V § 85j ods. 1 sa s</w:t>
      </w:r>
      <w:r w:rsidRPr="00546A07">
        <w:rPr>
          <w:rFonts w:ascii="Times New Roman" w:hAnsi="Times New Roman"/>
          <w:szCs w:val="24"/>
        </w:rPr>
        <w:t> účinnosťou od 1. januára 2011 navrhuje dočasné zvýšenie základnej sadzby dane z 19 % na 20 %</w:t>
      </w:r>
      <w:r w:rsidRPr="00546A07" w:rsidR="005208A1">
        <w:rPr>
          <w:rFonts w:ascii="Times New Roman" w:hAnsi="Times New Roman"/>
          <w:szCs w:val="24"/>
        </w:rPr>
        <w:t>. Z</w:t>
      </w:r>
      <w:r w:rsidRPr="00546A07">
        <w:rPr>
          <w:rFonts w:ascii="Times New Roman" w:hAnsi="Times New Roman"/>
          <w:szCs w:val="24"/>
        </w:rPr>
        <w:t>nížen</w:t>
      </w:r>
      <w:r w:rsidRPr="00546A07" w:rsidR="005208A1">
        <w:rPr>
          <w:rFonts w:ascii="Times New Roman" w:hAnsi="Times New Roman"/>
          <w:szCs w:val="24"/>
        </w:rPr>
        <w:t>á</w:t>
      </w:r>
      <w:r w:rsidRPr="00546A07">
        <w:rPr>
          <w:rFonts w:ascii="Times New Roman" w:hAnsi="Times New Roman"/>
          <w:szCs w:val="24"/>
        </w:rPr>
        <w:t xml:space="preserve"> sadzb</w:t>
      </w:r>
      <w:r w:rsidRPr="00546A07" w:rsidR="005208A1">
        <w:rPr>
          <w:rFonts w:ascii="Times New Roman" w:hAnsi="Times New Roman"/>
          <w:szCs w:val="24"/>
        </w:rPr>
        <w:t>a</w:t>
      </w:r>
      <w:r w:rsidRPr="00546A07">
        <w:rPr>
          <w:rFonts w:ascii="Times New Roman" w:hAnsi="Times New Roman"/>
          <w:szCs w:val="24"/>
        </w:rPr>
        <w:t xml:space="preserve"> dane 6 % na tzv. predaj potravín z</w:t>
      </w:r>
      <w:r w:rsidRPr="00546A07" w:rsidR="005208A1">
        <w:rPr>
          <w:rFonts w:ascii="Times New Roman" w:hAnsi="Times New Roman"/>
          <w:szCs w:val="24"/>
        </w:rPr>
        <w:t> </w:t>
      </w:r>
      <w:r w:rsidRPr="00546A07">
        <w:rPr>
          <w:rFonts w:ascii="Times New Roman" w:hAnsi="Times New Roman"/>
          <w:szCs w:val="24"/>
        </w:rPr>
        <w:t>dvora</w:t>
      </w:r>
      <w:r w:rsidRPr="00546A07" w:rsidR="005208A1">
        <w:rPr>
          <w:rFonts w:ascii="Times New Roman" w:hAnsi="Times New Roman"/>
          <w:szCs w:val="24"/>
        </w:rPr>
        <w:t xml:space="preserve"> sa zrušuje</w:t>
      </w:r>
      <w:r w:rsidRPr="00546A07">
        <w:rPr>
          <w:rFonts w:ascii="Times New Roman" w:hAnsi="Times New Roman"/>
          <w:szCs w:val="24"/>
        </w:rPr>
        <w:t>. Navrhovanými zmenami sadzieb dane sa zabezpečí zvýšenie daňových príjmov štátneho rozpočtu v roku 2011 o 185,5 mil. eur, v roku 2012 o 196,3 mil. eur  a v roku 2013 o 209,3 mil. eur.</w:t>
      </w:r>
    </w:p>
    <w:p w:rsidR="006C5FF3" w:rsidRPr="00546A07" w:rsidP="00DD4142">
      <w:pPr>
        <w:pStyle w:val="Zkladntext"/>
        <w:bidi w:val="0"/>
        <w:spacing w:line="240" w:lineRule="atLeast"/>
        <w:ind w:firstLine="709"/>
        <w:jc w:val="both"/>
        <w:rPr>
          <w:rFonts w:ascii="Times New Roman" w:hAnsi="Times New Roman"/>
          <w:szCs w:val="24"/>
        </w:rPr>
      </w:pPr>
      <w:r w:rsidRPr="00546A07">
        <w:rPr>
          <w:rFonts w:ascii="Times New Roman" w:hAnsi="Times New Roman"/>
          <w:szCs w:val="24"/>
        </w:rPr>
        <w:t>Navrhuje sa doplniť z dôvodu právnej istoty použitie sadzby dane pre prípad, že v súvislosti s dodávkou tovaru alebo služby môže vzniknúť daňová povinnosť dva alebo viackrát, a to z dôvodu prijatia jednej alebo viacerých platieb pred samotnou dodávkou. Sadzba dane sa uplatní podľa toho, aká sadzba dane bola platná v čase, keď vznikla daňová povinnosť.</w:t>
      </w:r>
    </w:p>
    <w:p w:rsidR="00C90C27" w:rsidRPr="00546A07" w:rsidP="005B50FF">
      <w:pPr>
        <w:pStyle w:val="Zkladntext"/>
        <w:bidi w:val="0"/>
        <w:spacing w:line="240" w:lineRule="atLeast"/>
        <w:jc w:val="both"/>
        <w:rPr>
          <w:rFonts w:ascii="Times New Roman" w:hAnsi="Times New Roman"/>
          <w:szCs w:val="24"/>
        </w:rPr>
      </w:pPr>
    </w:p>
    <w:p w:rsidR="005B50FF" w:rsidRPr="00546A07" w:rsidP="005B50FF">
      <w:pPr>
        <w:bidi w:val="0"/>
        <w:jc w:val="both"/>
        <w:rPr>
          <w:rFonts w:ascii="Times New Roman" w:hAnsi="Times New Roman"/>
        </w:rPr>
      </w:pPr>
      <w:r w:rsidRPr="00546A07">
        <w:rPr>
          <w:rFonts w:ascii="Times New Roman" w:hAnsi="Times New Roman"/>
          <w:b/>
          <w:bCs/>
        </w:rPr>
        <w:t xml:space="preserve">K bodom </w:t>
      </w:r>
      <w:r w:rsidRPr="00546A07" w:rsidR="000707BB">
        <w:rPr>
          <w:rFonts w:ascii="Times New Roman" w:hAnsi="Times New Roman"/>
          <w:b/>
          <w:bCs/>
        </w:rPr>
        <w:t>1</w:t>
      </w:r>
      <w:r w:rsidRPr="00546A07" w:rsidR="005208A1">
        <w:rPr>
          <w:rFonts w:ascii="Times New Roman" w:hAnsi="Times New Roman"/>
          <w:b/>
          <w:bCs/>
        </w:rPr>
        <w:t>4</w:t>
      </w:r>
      <w:r w:rsidRPr="00546A07">
        <w:rPr>
          <w:rFonts w:ascii="Times New Roman" w:hAnsi="Times New Roman"/>
          <w:b/>
          <w:bCs/>
        </w:rPr>
        <w:t>, 1</w:t>
      </w:r>
      <w:r w:rsidRPr="00546A07" w:rsidR="005208A1">
        <w:rPr>
          <w:rFonts w:ascii="Times New Roman" w:hAnsi="Times New Roman"/>
          <w:b/>
          <w:bCs/>
        </w:rPr>
        <w:t>7</w:t>
      </w:r>
      <w:r w:rsidRPr="00546A07">
        <w:rPr>
          <w:rFonts w:ascii="Times New Roman" w:hAnsi="Times New Roman"/>
          <w:b/>
          <w:bCs/>
        </w:rPr>
        <w:t xml:space="preserve"> a </w:t>
      </w:r>
      <w:r w:rsidRPr="00546A07" w:rsidR="00085C8B">
        <w:rPr>
          <w:rFonts w:ascii="Times New Roman" w:hAnsi="Times New Roman"/>
          <w:b/>
          <w:bCs/>
        </w:rPr>
        <w:t>2</w:t>
      </w:r>
      <w:r w:rsidRPr="00546A07" w:rsidR="005208A1">
        <w:rPr>
          <w:rFonts w:ascii="Times New Roman" w:hAnsi="Times New Roman"/>
          <w:b/>
          <w:bCs/>
        </w:rPr>
        <w:t>9</w:t>
      </w:r>
      <w:r w:rsidRPr="00546A07">
        <w:rPr>
          <w:rFonts w:ascii="Times New Roman" w:hAnsi="Times New Roman"/>
          <w:b/>
          <w:bCs/>
        </w:rPr>
        <w:t xml:space="preserve"> (§ 43 ods. 6, § 48 ods. 5 a § 62a)</w:t>
      </w:r>
    </w:p>
    <w:p w:rsidR="005B50FF" w:rsidRPr="00546A07" w:rsidP="005B50FF">
      <w:pPr>
        <w:bidi w:val="0"/>
        <w:jc w:val="both"/>
        <w:rPr>
          <w:rFonts w:ascii="Times New Roman" w:hAnsi="Times New Roman"/>
        </w:rPr>
      </w:pPr>
      <w:r w:rsidRPr="00546A07">
        <w:rPr>
          <w:rFonts w:ascii="Times New Roman" w:hAnsi="Times New Roman"/>
        </w:rPr>
        <w:tab/>
      </w:r>
    </w:p>
    <w:p w:rsidR="005B50FF" w:rsidRPr="00546A07" w:rsidP="005B50FF">
      <w:pPr>
        <w:pStyle w:val="Zkladntext"/>
        <w:bidi w:val="0"/>
        <w:spacing w:line="240" w:lineRule="atLeast"/>
        <w:ind w:firstLine="709"/>
        <w:jc w:val="both"/>
        <w:rPr>
          <w:rFonts w:ascii="Times New Roman" w:hAnsi="Times New Roman"/>
          <w:color w:val="auto"/>
          <w:szCs w:val="24"/>
        </w:rPr>
      </w:pPr>
      <w:r w:rsidRPr="00546A07">
        <w:rPr>
          <w:rFonts w:ascii="Times New Roman" w:hAnsi="Times New Roman"/>
          <w:color w:val="auto"/>
          <w:szCs w:val="24"/>
        </w:rPr>
        <w:t>Oslobodenie od dane priame alebo realizované formou vrátenia dane, ktoré sa doteraz uskutočňovalo priamo na základe Protokolu z 8. apríla 1965 o výsadách a imunitách Európskych spoločenstiev a k nemu vykonávacej Dohody medzi vládou Slovenskej republiky a Komisiou Európskych spoločenstiev o vykonávaní Protokolu o výsadách a imunitách Európskych spoločenstiev, sa dopĺňa do príslušných ustanovení zákona v nadvä</w:t>
      </w:r>
      <w:r w:rsidRPr="00546A07" w:rsidR="00CF3084">
        <w:rPr>
          <w:rFonts w:ascii="Times New Roman" w:hAnsi="Times New Roman"/>
          <w:color w:val="auto"/>
          <w:szCs w:val="24"/>
        </w:rPr>
        <w:t>znosti na čl. 1 body 10 a 11</w:t>
      </w:r>
      <w:r w:rsidRPr="00546A07">
        <w:rPr>
          <w:rFonts w:ascii="Times New Roman" w:hAnsi="Times New Roman"/>
          <w:color w:val="auto"/>
          <w:szCs w:val="24"/>
        </w:rPr>
        <w:t xml:space="preserve"> smernice Rady 2009/162/EÚ. Nedochádza k vecnej zmene uplatňovania dane.</w:t>
      </w:r>
    </w:p>
    <w:p w:rsidR="005B50FF" w:rsidRPr="00546A07" w:rsidP="005B50FF">
      <w:pPr>
        <w:bidi w:val="0"/>
        <w:jc w:val="both"/>
        <w:rPr>
          <w:rFonts w:ascii="Times New Roman" w:hAnsi="Times New Roman"/>
        </w:rPr>
      </w:pPr>
    </w:p>
    <w:p w:rsidR="005B50FF" w:rsidRPr="00546A07" w:rsidP="005B50FF">
      <w:pPr>
        <w:bidi w:val="0"/>
        <w:jc w:val="both"/>
        <w:rPr>
          <w:rFonts w:ascii="Times New Roman" w:hAnsi="Times New Roman"/>
          <w:b/>
        </w:rPr>
      </w:pPr>
      <w:r w:rsidRPr="00546A07">
        <w:rPr>
          <w:rFonts w:ascii="Times New Roman" w:hAnsi="Times New Roman"/>
          <w:b/>
        </w:rPr>
        <w:t>K bodu 1</w:t>
      </w:r>
      <w:r w:rsidRPr="00546A07" w:rsidR="005208A1">
        <w:rPr>
          <w:rFonts w:ascii="Times New Roman" w:hAnsi="Times New Roman"/>
          <w:b/>
        </w:rPr>
        <w:t>5</w:t>
      </w:r>
      <w:r w:rsidRPr="00546A07">
        <w:rPr>
          <w:rFonts w:ascii="Times New Roman" w:hAnsi="Times New Roman"/>
          <w:b/>
        </w:rPr>
        <w:t xml:space="preserve"> (§ 44</w:t>
      </w:r>
      <w:r w:rsidRPr="00546A07" w:rsidR="005E27C4">
        <w:rPr>
          <w:rFonts w:ascii="Times New Roman" w:hAnsi="Times New Roman"/>
          <w:b/>
        </w:rPr>
        <w:t xml:space="preserve"> písm. b</w:t>
      </w:r>
      <w:r w:rsidRPr="00546A07">
        <w:rPr>
          <w:rFonts w:ascii="Times New Roman" w:hAnsi="Times New Roman"/>
          <w:b/>
        </w:rPr>
        <w:t>)</w:t>
      </w:r>
    </w:p>
    <w:p w:rsidR="005B50FF" w:rsidRPr="00546A07" w:rsidP="005B50FF">
      <w:pPr>
        <w:bidi w:val="0"/>
        <w:jc w:val="both"/>
        <w:rPr>
          <w:rFonts w:ascii="Times New Roman" w:hAnsi="Times New Roman"/>
        </w:rPr>
      </w:pPr>
    </w:p>
    <w:p w:rsidR="005B50FF" w:rsidRPr="00546A07" w:rsidP="005B50FF">
      <w:pPr>
        <w:bidi w:val="0"/>
        <w:jc w:val="both"/>
        <w:rPr>
          <w:rFonts w:ascii="Times New Roman" w:hAnsi="Times New Roman"/>
        </w:rPr>
      </w:pPr>
      <w:r w:rsidRPr="00546A07">
        <w:rPr>
          <w:rFonts w:ascii="Times New Roman" w:hAnsi="Times New Roman"/>
        </w:rPr>
        <w:tab/>
        <w:t>Ustanovenie sa zosúlaďuje s čl. 140 písm. b) smernic</w:t>
      </w:r>
      <w:r w:rsidRPr="00546A07" w:rsidR="00CF3084">
        <w:rPr>
          <w:rFonts w:ascii="Times New Roman" w:hAnsi="Times New Roman"/>
        </w:rPr>
        <w:t>e Rady 2006/112/ES (čl. 1 bod 2</w:t>
      </w:r>
      <w:r w:rsidRPr="00546A07">
        <w:rPr>
          <w:rFonts w:ascii="Times New Roman" w:hAnsi="Times New Roman"/>
        </w:rPr>
        <w:t xml:space="preserve"> smernice Rady 2009/69/ES).</w:t>
      </w:r>
    </w:p>
    <w:p w:rsidR="005B50FF" w:rsidRPr="00546A07" w:rsidP="005B50FF">
      <w:pPr>
        <w:bidi w:val="0"/>
        <w:jc w:val="both"/>
        <w:rPr>
          <w:rFonts w:ascii="Times New Roman" w:hAnsi="Times New Roman"/>
        </w:rPr>
      </w:pPr>
    </w:p>
    <w:p w:rsidR="005B50FF" w:rsidRPr="00546A07" w:rsidP="005B50FF">
      <w:pPr>
        <w:bidi w:val="0"/>
        <w:jc w:val="both"/>
        <w:rPr>
          <w:rFonts w:ascii="Times New Roman" w:hAnsi="Times New Roman"/>
          <w:b/>
          <w:bCs/>
        </w:rPr>
      </w:pPr>
      <w:r w:rsidRPr="00546A07">
        <w:rPr>
          <w:rFonts w:ascii="Times New Roman" w:hAnsi="Times New Roman"/>
          <w:b/>
          <w:bCs/>
        </w:rPr>
        <w:t>K bodu 1</w:t>
      </w:r>
      <w:r w:rsidRPr="00546A07" w:rsidR="005208A1">
        <w:rPr>
          <w:rFonts w:ascii="Times New Roman" w:hAnsi="Times New Roman"/>
          <w:b/>
          <w:bCs/>
        </w:rPr>
        <w:t>6</w:t>
      </w:r>
      <w:r w:rsidRPr="00546A07">
        <w:rPr>
          <w:rFonts w:ascii="Times New Roman" w:hAnsi="Times New Roman"/>
          <w:b/>
          <w:bCs/>
        </w:rPr>
        <w:t xml:space="preserve"> (§ 48 ods. 3)</w:t>
      </w:r>
    </w:p>
    <w:p w:rsidR="005B50FF" w:rsidRPr="00546A07" w:rsidP="005B50FF">
      <w:pPr>
        <w:bidi w:val="0"/>
        <w:jc w:val="both"/>
        <w:rPr>
          <w:rFonts w:ascii="Times New Roman" w:hAnsi="Times New Roman"/>
          <w:b/>
          <w:bCs/>
        </w:rPr>
      </w:pPr>
    </w:p>
    <w:p w:rsidR="005B50FF" w:rsidRPr="00546A07" w:rsidP="005B50FF">
      <w:pPr>
        <w:bidi w:val="0"/>
        <w:jc w:val="both"/>
        <w:rPr>
          <w:rFonts w:ascii="Times New Roman" w:hAnsi="Times New Roman"/>
          <w:bCs/>
        </w:rPr>
      </w:pPr>
      <w:r w:rsidRPr="00546A07">
        <w:rPr>
          <w:rFonts w:ascii="Times New Roman" w:hAnsi="Times New Roman"/>
          <w:bCs/>
        </w:rPr>
        <w:tab/>
        <w:t>Dovoz tovaru z tretích štátov je oslobodený od dane, ak po dovoze nasleduje dodanie alebo premiestnenie tovaru do iného členského štátu EÚ. Vzhľadom na prípady zneužívania tohto oslobodenia od dane sa špecifikujú podmienky, za ktorých sa môže uplatniť oslobodenie od dane pri dovoze tovaru z tretích štátov.</w:t>
      </w:r>
      <w:r w:rsidRPr="00546A07" w:rsidR="00CF3084">
        <w:rPr>
          <w:rFonts w:ascii="Times New Roman" w:hAnsi="Times New Roman"/>
          <w:bCs/>
        </w:rPr>
        <w:t xml:space="preserve"> Ide o transpozíciu čl. 1 bod 3</w:t>
      </w:r>
      <w:r w:rsidRPr="00546A07">
        <w:rPr>
          <w:rFonts w:ascii="Times New Roman" w:hAnsi="Times New Roman"/>
          <w:bCs/>
        </w:rPr>
        <w:t xml:space="preserve"> smernice Rady 2009/69/ES.</w:t>
      </w:r>
    </w:p>
    <w:p w:rsidR="005B50FF" w:rsidRPr="00546A07" w:rsidP="005B50FF">
      <w:pPr>
        <w:bidi w:val="0"/>
        <w:jc w:val="both"/>
        <w:rPr>
          <w:rFonts w:ascii="Times New Roman" w:hAnsi="Times New Roman"/>
          <w:b/>
          <w:bCs/>
        </w:rPr>
      </w:pPr>
    </w:p>
    <w:p w:rsidR="000612B8" w:rsidRPr="00546A07" w:rsidP="005B50FF">
      <w:pPr>
        <w:bidi w:val="0"/>
        <w:jc w:val="both"/>
        <w:rPr>
          <w:rFonts w:ascii="Times New Roman" w:hAnsi="Times New Roman"/>
          <w:b/>
          <w:bCs/>
        </w:rPr>
      </w:pPr>
      <w:r w:rsidRPr="00546A07">
        <w:rPr>
          <w:rFonts w:ascii="Times New Roman" w:hAnsi="Times New Roman"/>
          <w:b/>
          <w:bCs/>
        </w:rPr>
        <w:t>K bodu 1</w:t>
      </w:r>
      <w:r w:rsidRPr="00546A07" w:rsidR="005208A1">
        <w:rPr>
          <w:rFonts w:ascii="Times New Roman" w:hAnsi="Times New Roman"/>
          <w:b/>
          <w:bCs/>
        </w:rPr>
        <w:t>9</w:t>
      </w:r>
      <w:r w:rsidRPr="00546A07">
        <w:rPr>
          <w:rFonts w:ascii="Times New Roman" w:hAnsi="Times New Roman"/>
          <w:b/>
          <w:bCs/>
        </w:rPr>
        <w:t xml:space="preserve"> (§ 49 ods. 3)</w:t>
      </w:r>
    </w:p>
    <w:p w:rsidR="000612B8" w:rsidRPr="00546A07" w:rsidP="005B50FF">
      <w:pPr>
        <w:bidi w:val="0"/>
        <w:jc w:val="both"/>
        <w:rPr>
          <w:rFonts w:ascii="Times New Roman" w:hAnsi="Times New Roman"/>
          <w:b/>
          <w:bCs/>
        </w:rPr>
      </w:pPr>
    </w:p>
    <w:p w:rsidR="000612B8" w:rsidRPr="00546A07" w:rsidP="005B50FF">
      <w:pPr>
        <w:bidi w:val="0"/>
        <w:jc w:val="both"/>
        <w:rPr>
          <w:rFonts w:ascii="Times New Roman" w:hAnsi="Times New Roman"/>
          <w:bCs/>
        </w:rPr>
      </w:pPr>
      <w:r w:rsidRPr="00546A07">
        <w:rPr>
          <w:rFonts w:ascii="Times New Roman" w:hAnsi="Times New Roman"/>
          <w:b/>
          <w:bCs/>
        </w:rPr>
        <w:tab/>
      </w:r>
      <w:r w:rsidRPr="00546A07">
        <w:rPr>
          <w:rFonts w:ascii="Times New Roman" w:hAnsi="Times New Roman"/>
          <w:bCs/>
        </w:rPr>
        <w:t xml:space="preserve">Ustanovenie sa mení tak, aby sa zabezpečilo, že platiteľ dane nemôže odpočítať daň v prípade, ak prijme napr. službu na účel dodania tovaru </w:t>
      </w:r>
      <w:r w:rsidRPr="00546A07" w:rsidR="00FC589D">
        <w:rPr>
          <w:rFonts w:ascii="Times New Roman" w:hAnsi="Times New Roman"/>
          <w:bCs/>
        </w:rPr>
        <w:t>s</w:t>
      </w:r>
      <w:r w:rsidRPr="00546A07">
        <w:rPr>
          <w:rFonts w:ascii="Times New Roman" w:hAnsi="Times New Roman"/>
          <w:bCs/>
        </w:rPr>
        <w:t xml:space="preserve"> osloboden</w:t>
      </w:r>
      <w:r w:rsidRPr="00546A07" w:rsidR="00FC589D">
        <w:rPr>
          <w:rFonts w:ascii="Times New Roman" w:hAnsi="Times New Roman"/>
          <w:bCs/>
        </w:rPr>
        <w:t>ím</w:t>
      </w:r>
      <w:r w:rsidRPr="00546A07">
        <w:rPr>
          <w:rFonts w:ascii="Times New Roman" w:hAnsi="Times New Roman"/>
          <w:bCs/>
        </w:rPr>
        <w:t xml:space="preserve"> od dane podľa § 42 zákona</w:t>
      </w:r>
      <w:r w:rsidRPr="00546A07" w:rsidR="0003257E">
        <w:rPr>
          <w:rFonts w:ascii="Times New Roman" w:hAnsi="Times New Roman"/>
          <w:bCs/>
        </w:rPr>
        <w:t>. Navrhovaná zmena vyplýva zo</w:t>
      </w:r>
      <w:r w:rsidRPr="00546A07">
        <w:rPr>
          <w:rFonts w:ascii="Times New Roman" w:hAnsi="Times New Roman"/>
          <w:bCs/>
        </w:rPr>
        <w:t xml:space="preserve"> smernice 2006/112/ES</w:t>
      </w:r>
      <w:r w:rsidRPr="00546A07" w:rsidR="0003257E">
        <w:rPr>
          <w:rFonts w:ascii="Times New Roman" w:hAnsi="Times New Roman"/>
          <w:bCs/>
        </w:rPr>
        <w:t xml:space="preserve"> (čl. 169</w:t>
      </w:r>
      <w:r w:rsidRPr="00546A07">
        <w:rPr>
          <w:rFonts w:ascii="Times New Roman" w:hAnsi="Times New Roman"/>
          <w:bCs/>
        </w:rPr>
        <w:t>).</w:t>
      </w:r>
    </w:p>
    <w:p w:rsidR="000612B8" w:rsidRPr="00546A07" w:rsidP="005B50FF">
      <w:pPr>
        <w:bidi w:val="0"/>
        <w:jc w:val="both"/>
        <w:rPr>
          <w:rFonts w:ascii="Times New Roman" w:hAnsi="Times New Roman"/>
          <w:b/>
          <w:bCs/>
        </w:rPr>
      </w:pPr>
    </w:p>
    <w:p w:rsidR="005B50FF" w:rsidRPr="00546A07" w:rsidP="005B50FF">
      <w:pPr>
        <w:bidi w:val="0"/>
        <w:jc w:val="both"/>
        <w:rPr>
          <w:rFonts w:ascii="Times New Roman" w:hAnsi="Times New Roman"/>
          <w:b/>
          <w:bCs/>
        </w:rPr>
      </w:pPr>
      <w:r w:rsidRPr="00546A07">
        <w:rPr>
          <w:rFonts w:ascii="Times New Roman" w:hAnsi="Times New Roman"/>
          <w:b/>
          <w:bCs/>
        </w:rPr>
        <w:t xml:space="preserve">K bodom </w:t>
      </w:r>
      <w:r w:rsidRPr="00546A07" w:rsidR="005208A1">
        <w:rPr>
          <w:rFonts w:ascii="Times New Roman" w:hAnsi="Times New Roman"/>
          <w:b/>
          <w:bCs/>
        </w:rPr>
        <w:t>20</w:t>
      </w:r>
      <w:r w:rsidRPr="00546A07">
        <w:rPr>
          <w:rFonts w:ascii="Times New Roman" w:hAnsi="Times New Roman"/>
          <w:b/>
          <w:bCs/>
        </w:rPr>
        <w:t xml:space="preserve"> až </w:t>
      </w:r>
      <w:r w:rsidRPr="00546A07" w:rsidR="005E27C4">
        <w:rPr>
          <w:rFonts w:ascii="Times New Roman" w:hAnsi="Times New Roman"/>
          <w:b/>
          <w:bCs/>
        </w:rPr>
        <w:t>2</w:t>
      </w:r>
      <w:r w:rsidRPr="00546A07" w:rsidR="005208A1">
        <w:rPr>
          <w:rFonts w:ascii="Times New Roman" w:hAnsi="Times New Roman"/>
          <w:b/>
          <w:bCs/>
        </w:rPr>
        <w:t>2</w:t>
      </w:r>
      <w:r w:rsidRPr="00546A07">
        <w:rPr>
          <w:rFonts w:ascii="Times New Roman" w:hAnsi="Times New Roman"/>
          <w:b/>
          <w:bCs/>
        </w:rPr>
        <w:t xml:space="preserve"> (§ 49 ods. 5, § 49a a § 54a)</w:t>
      </w:r>
    </w:p>
    <w:p w:rsidR="005B50FF" w:rsidRPr="00546A07" w:rsidP="005B50FF">
      <w:pPr>
        <w:bidi w:val="0"/>
        <w:jc w:val="both"/>
        <w:rPr>
          <w:rFonts w:ascii="Times New Roman" w:hAnsi="Times New Roman"/>
          <w:b/>
          <w:bCs/>
        </w:rPr>
      </w:pPr>
    </w:p>
    <w:p w:rsidR="005B50FF" w:rsidRPr="00546A07" w:rsidP="005B50FF">
      <w:pPr>
        <w:bidi w:val="0"/>
        <w:jc w:val="both"/>
        <w:rPr>
          <w:rFonts w:ascii="Times New Roman" w:hAnsi="Times New Roman"/>
          <w:bCs/>
        </w:rPr>
      </w:pPr>
      <w:r w:rsidRPr="00546A07">
        <w:rPr>
          <w:rFonts w:ascii="Times New Roman" w:hAnsi="Times New Roman"/>
          <w:bCs/>
        </w:rPr>
        <w:tab/>
        <w:t>Ide o sprísnenie podmienok na odpočítanie dane pri nehnuteľnom majetku, ktorý je uvedený v § 54 ods. 2 písm. b) a c) zákona. S cieľom zabezpečiť, aby sa so zdaniteľnými osobami zaobchádzalo rovnakým spôsobom, keď sa nehnuteľný majetok, ktorý používajú v rámci svojej podnikateľskej činnosti, nepoužije výlučne na účely súvisiace s podnikaním, sa sprísňujú pravidlá na odpočítanie dane v tom smere, že platiteľ dane pri obstaraní nehnuteľnosti, ktorú použije na podnikanie ako aj na iné účely ako na podnikanie, musí rozdeliť vstupnú daň na časť, ktorú nemôže odpočítať z dôvodu použitia majetku na iný účel ako na podnikanie, a časť, ktorú môže odpočítať, pretože majetok použije na podnikanie. V týchto prípadoch platiteľ dane už nepoužije postup podľa § 9 ods. 2 zákona, ktorý bol doteraz povinný použiť v prípade, ak si oddanil celú nehnuteľnosť v zmysle doterajších pravidiel.</w:t>
      </w:r>
    </w:p>
    <w:p w:rsidR="005B50FF" w:rsidRPr="00546A07" w:rsidP="005B50FF">
      <w:pPr>
        <w:bidi w:val="0"/>
        <w:jc w:val="both"/>
        <w:rPr>
          <w:rFonts w:ascii="Times New Roman" w:hAnsi="Times New Roman"/>
          <w:bCs/>
        </w:rPr>
      </w:pPr>
      <w:r w:rsidRPr="00546A07">
        <w:rPr>
          <w:rFonts w:ascii="Times New Roman" w:hAnsi="Times New Roman"/>
          <w:bCs/>
        </w:rPr>
        <w:tab/>
        <w:t>Ak sa po zaradení nehnuteľného majetku do užívania zmení pôvodne stanovený rozsah použitia majetku na podnikanie a na iný účel ako na podnikanie, je platiteľ dane povinný vykonať úpravu odpočítanej dane v kalendárnom roku, v ktorom sa zmenil rozsah tohto použitia. Tieto ustanovenia sú povinnou transpozíciou čl. 1 bod 12 smernice Rady 2009/162/EÚ.</w:t>
      </w:r>
    </w:p>
    <w:p w:rsidR="005B50FF" w:rsidRPr="00546A07" w:rsidP="005B50FF">
      <w:pPr>
        <w:bidi w:val="0"/>
        <w:jc w:val="both"/>
        <w:rPr>
          <w:rFonts w:ascii="Times New Roman" w:hAnsi="Times New Roman"/>
          <w:b/>
          <w:bCs/>
        </w:rPr>
      </w:pPr>
    </w:p>
    <w:p w:rsidR="009B7D0F" w:rsidRPr="00546A07" w:rsidP="005B50FF">
      <w:pPr>
        <w:bidi w:val="0"/>
        <w:jc w:val="both"/>
        <w:rPr>
          <w:rFonts w:ascii="Times New Roman" w:hAnsi="Times New Roman"/>
          <w:b/>
        </w:rPr>
      </w:pPr>
      <w:r w:rsidRPr="00546A07">
        <w:rPr>
          <w:rFonts w:ascii="Times New Roman" w:hAnsi="Times New Roman"/>
          <w:b/>
        </w:rPr>
        <w:t>K bodu 2</w:t>
      </w:r>
      <w:r w:rsidRPr="00546A07" w:rsidR="005208A1">
        <w:rPr>
          <w:rFonts w:ascii="Times New Roman" w:hAnsi="Times New Roman"/>
          <w:b/>
        </w:rPr>
        <w:t>3</w:t>
      </w:r>
      <w:r w:rsidRPr="00546A07">
        <w:rPr>
          <w:rFonts w:ascii="Times New Roman" w:hAnsi="Times New Roman"/>
          <w:b/>
        </w:rPr>
        <w:t xml:space="preserve"> (§ 55a ods. 2 písm. c) </w:t>
      </w:r>
      <w:r w:rsidRPr="00546A07" w:rsidR="009D08FC">
        <w:rPr>
          <w:rFonts w:ascii="Times New Roman" w:hAnsi="Times New Roman"/>
          <w:b/>
        </w:rPr>
        <w:t xml:space="preserve">tretí </w:t>
      </w:r>
      <w:r w:rsidRPr="00546A07">
        <w:rPr>
          <w:rFonts w:ascii="Times New Roman" w:hAnsi="Times New Roman"/>
          <w:b/>
        </w:rPr>
        <w:t>bod)</w:t>
      </w:r>
    </w:p>
    <w:p w:rsidR="009B7D0F" w:rsidRPr="00546A07" w:rsidP="005B50FF">
      <w:pPr>
        <w:bidi w:val="0"/>
        <w:jc w:val="both"/>
        <w:rPr>
          <w:rFonts w:ascii="Times New Roman" w:hAnsi="Times New Roman"/>
          <w:b/>
        </w:rPr>
      </w:pPr>
    </w:p>
    <w:p w:rsidR="009B7D0F" w:rsidRPr="00546A07" w:rsidP="009B7D0F">
      <w:pPr>
        <w:bidi w:val="0"/>
        <w:rPr>
          <w:rFonts w:ascii="Times New Roman" w:hAnsi="Times New Roman"/>
          <w:bCs/>
        </w:rPr>
      </w:pPr>
      <w:r w:rsidRPr="00546A07">
        <w:rPr>
          <w:rFonts w:ascii="Times New Roman" w:hAnsi="Times New Roman"/>
          <w:b/>
        </w:rPr>
        <w:tab/>
      </w:r>
      <w:r w:rsidRPr="00546A07">
        <w:rPr>
          <w:rFonts w:ascii="Times New Roman" w:hAnsi="Times New Roman"/>
          <w:bCs/>
        </w:rPr>
        <w:t>Ustanovenie sa mení nadväzne na zmenu § 13 ods. 1 písm. e) a f) zákona.</w:t>
      </w:r>
    </w:p>
    <w:p w:rsidR="009B7D0F" w:rsidRPr="00546A07" w:rsidP="005B50FF">
      <w:pPr>
        <w:bidi w:val="0"/>
        <w:jc w:val="both"/>
        <w:rPr>
          <w:rFonts w:ascii="Times New Roman" w:hAnsi="Times New Roman"/>
          <w:b/>
        </w:rPr>
      </w:pPr>
    </w:p>
    <w:p w:rsidR="005B50FF" w:rsidRPr="00546A07" w:rsidP="005B50FF">
      <w:pPr>
        <w:bidi w:val="0"/>
        <w:jc w:val="both"/>
        <w:rPr>
          <w:rFonts w:ascii="Times New Roman" w:hAnsi="Times New Roman"/>
        </w:rPr>
      </w:pPr>
      <w:r w:rsidRPr="00546A07">
        <w:rPr>
          <w:rFonts w:ascii="Times New Roman" w:hAnsi="Times New Roman"/>
          <w:b/>
        </w:rPr>
        <w:t xml:space="preserve">K bodu </w:t>
      </w:r>
      <w:r w:rsidRPr="00546A07" w:rsidR="009B7D0F">
        <w:rPr>
          <w:rFonts w:ascii="Times New Roman" w:hAnsi="Times New Roman"/>
          <w:b/>
        </w:rPr>
        <w:t>2</w:t>
      </w:r>
      <w:r w:rsidRPr="00546A07" w:rsidR="005208A1">
        <w:rPr>
          <w:rFonts w:ascii="Times New Roman" w:hAnsi="Times New Roman"/>
          <w:b/>
        </w:rPr>
        <w:t>4</w:t>
      </w:r>
      <w:r w:rsidRPr="00546A07">
        <w:rPr>
          <w:rFonts w:ascii="Times New Roman" w:hAnsi="Times New Roman"/>
          <w:b/>
        </w:rPr>
        <w:t xml:space="preserve"> (§ 55b ods. 3 písm. h)</w:t>
      </w:r>
    </w:p>
    <w:p w:rsidR="005B50FF" w:rsidRPr="00546A07" w:rsidP="005B50FF">
      <w:pPr>
        <w:bidi w:val="0"/>
        <w:jc w:val="both"/>
        <w:rPr>
          <w:rFonts w:ascii="Times New Roman" w:hAnsi="Times New Roman"/>
        </w:rPr>
      </w:pPr>
    </w:p>
    <w:p w:rsidR="005B50FF" w:rsidRPr="00546A07" w:rsidP="005B50FF">
      <w:pPr>
        <w:bidi w:val="0"/>
        <w:jc w:val="both"/>
        <w:rPr>
          <w:rFonts w:ascii="Times New Roman" w:hAnsi="Times New Roman"/>
          <w:bCs/>
        </w:rPr>
      </w:pPr>
      <w:r w:rsidRPr="00546A07">
        <w:rPr>
          <w:rFonts w:ascii="Times New Roman" w:hAnsi="Times New Roman"/>
          <w:bCs/>
        </w:rPr>
        <w:tab/>
        <w:t>Nadväzne na čl. 9 ods. 2 smernice Rady 2008/9/ES sa do povinných údajov žiadosti o vrátenie dane, ktorú podáva zdaniteľná</w:t>
      </w:r>
      <w:r w:rsidRPr="00546A07">
        <w:rPr>
          <w:rFonts w:ascii="Times New Roman" w:hAnsi="Times New Roman"/>
          <w:b/>
          <w:bCs/>
        </w:rPr>
        <w:t xml:space="preserve"> </w:t>
      </w:r>
      <w:r w:rsidRPr="00546A07">
        <w:rPr>
          <w:rFonts w:ascii="Times New Roman" w:hAnsi="Times New Roman"/>
          <w:bCs/>
        </w:rPr>
        <w:t xml:space="preserve">osoba usadená v inom členskom štáte EÚ, dopĺňa údaj bližšie určujúci tovar a službu, pri ktorých žiada vrátenie dane, podľa </w:t>
      </w:r>
      <w:r w:rsidRPr="00546A07">
        <w:rPr>
          <w:rFonts w:ascii="Times New Roman" w:hAnsi="Times New Roman"/>
        </w:rPr>
        <w:t>nariadenia Komisie (ES) č. 1174/2009 z 30. novembra 2009, ktorým sa stanovujú pravidlá vykonávania čl. 34a a 37 nariadenia Rady (ES) č. 1798/2003, pokiaľ ide o daň z pridanej hodnoty podľa smernice Rady 2008/9/ES.</w:t>
      </w:r>
    </w:p>
    <w:p w:rsidR="007D4097" w:rsidRPr="00546A07" w:rsidP="005B50FF">
      <w:pPr>
        <w:bidi w:val="0"/>
        <w:jc w:val="both"/>
        <w:rPr>
          <w:rFonts w:ascii="Times New Roman" w:hAnsi="Times New Roman"/>
          <w:b/>
          <w:bCs/>
        </w:rPr>
      </w:pPr>
    </w:p>
    <w:p w:rsidR="005748D2" w:rsidRPr="00546A07" w:rsidP="005B50FF">
      <w:pPr>
        <w:bidi w:val="0"/>
        <w:jc w:val="both"/>
        <w:rPr>
          <w:rFonts w:ascii="Times New Roman" w:hAnsi="Times New Roman"/>
          <w:b/>
          <w:bCs/>
        </w:rPr>
      </w:pPr>
      <w:r w:rsidRPr="00546A07">
        <w:rPr>
          <w:rFonts w:ascii="Times New Roman" w:hAnsi="Times New Roman"/>
          <w:b/>
          <w:bCs/>
        </w:rPr>
        <w:t xml:space="preserve">K bodom </w:t>
      </w:r>
      <w:r w:rsidRPr="00546A07" w:rsidR="009B7D0F">
        <w:rPr>
          <w:rFonts w:ascii="Times New Roman" w:hAnsi="Times New Roman"/>
          <w:b/>
          <w:bCs/>
        </w:rPr>
        <w:t>2</w:t>
      </w:r>
      <w:r w:rsidRPr="00546A07" w:rsidR="005208A1">
        <w:rPr>
          <w:rFonts w:ascii="Times New Roman" w:hAnsi="Times New Roman"/>
          <w:b/>
          <w:bCs/>
        </w:rPr>
        <w:t>5</w:t>
      </w:r>
      <w:r w:rsidRPr="00546A07">
        <w:rPr>
          <w:rFonts w:ascii="Times New Roman" w:hAnsi="Times New Roman"/>
          <w:b/>
          <w:bCs/>
        </w:rPr>
        <w:t xml:space="preserve"> a 2</w:t>
      </w:r>
      <w:r w:rsidRPr="00546A07" w:rsidR="005208A1">
        <w:rPr>
          <w:rFonts w:ascii="Times New Roman" w:hAnsi="Times New Roman"/>
          <w:b/>
          <w:bCs/>
        </w:rPr>
        <w:t>8</w:t>
      </w:r>
      <w:r w:rsidRPr="00546A07">
        <w:rPr>
          <w:rFonts w:ascii="Times New Roman" w:hAnsi="Times New Roman"/>
          <w:b/>
          <w:bCs/>
        </w:rPr>
        <w:t xml:space="preserve"> (§ 55b ods. </w:t>
      </w:r>
      <w:r w:rsidRPr="00546A07" w:rsidR="009B7D0F">
        <w:rPr>
          <w:rFonts w:ascii="Times New Roman" w:hAnsi="Times New Roman"/>
          <w:b/>
          <w:bCs/>
        </w:rPr>
        <w:t>7</w:t>
      </w:r>
      <w:r w:rsidRPr="00546A07">
        <w:rPr>
          <w:rFonts w:ascii="Times New Roman" w:hAnsi="Times New Roman"/>
          <w:b/>
          <w:bCs/>
        </w:rPr>
        <w:t xml:space="preserve"> a § 58 ods. 2)</w:t>
      </w:r>
    </w:p>
    <w:p w:rsidR="005748D2" w:rsidRPr="00546A07" w:rsidP="005B50FF">
      <w:pPr>
        <w:bidi w:val="0"/>
        <w:jc w:val="both"/>
        <w:rPr>
          <w:rFonts w:ascii="Times New Roman" w:hAnsi="Times New Roman"/>
          <w:b/>
          <w:bCs/>
        </w:rPr>
      </w:pPr>
    </w:p>
    <w:p w:rsidR="005748D2" w:rsidRPr="00546A07" w:rsidP="005B50FF">
      <w:pPr>
        <w:bidi w:val="0"/>
        <w:jc w:val="both"/>
        <w:rPr>
          <w:rFonts w:ascii="Times New Roman" w:hAnsi="Times New Roman"/>
          <w:bCs/>
        </w:rPr>
      </w:pPr>
      <w:r w:rsidRPr="00546A07" w:rsidR="00F22ECA">
        <w:rPr>
          <w:rFonts w:ascii="Times New Roman" w:hAnsi="Times New Roman"/>
          <w:b/>
          <w:bCs/>
        </w:rPr>
        <w:tab/>
      </w:r>
      <w:r w:rsidRPr="00546A07" w:rsidR="00F22ECA">
        <w:rPr>
          <w:rFonts w:ascii="Times New Roman" w:hAnsi="Times New Roman"/>
          <w:bCs/>
        </w:rPr>
        <w:t>V súlade s požiadavkou Európskej komisie je potrebné umožniť jednému zástupcovi zastupovať aj viacero daňových subjektov pri vrátení dane zahraničnej osobe z iného členského štátu alebo z tretieho štátu, a preto sa v zákone vylučuje úprava podľa zákona o správe daní</w:t>
      </w:r>
      <w:r w:rsidRPr="00546A07" w:rsidR="009D08FC">
        <w:rPr>
          <w:rFonts w:ascii="Times New Roman" w:hAnsi="Times New Roman"/>
          <w:bCs/>
        </w:rPr>
        <w:t xml:space="preserve"> (zákon č. 511/1992 Zb. v znení neskorších predpisov)</w:t>
      </w:r>
      <w:r w:rsidRPr="00546A07" w:rsidR="00F22ECA">
        <w:rPr>
          <w:rFonts w:ascii="Times New Roman" w:hAnsi="Times New Roman"/>
          <w:bCs/>
        </w:rPr>
        <w:t>, ktorá umožňuje zastupovanie len jedného daňového subjektu.</w:t>
      </w:r>
    </w:p>
    <w:p w:rsidR="005748D2" w:rsidRPr="00546A07" w:rsidP="005B50FF">
      <w:pPr>
        <w:bidi w:val="0"/>
        <w:jc w:val="both"/>
        <w:rPr>
          <w:rFonts w:ascii="Times New Roman" w:hAnsi="Times New Roman"/>
          <w:b/>
          <w:bCs/>
        </w:rPr>
      </w:pPr>
    </w:p>
    <w:p w:rsidR="00F95A16" w:rsidRPr="00546A07" w:rsidP="005B50FF">
      <w:pPr>
        <w:bidi w:val="0"/>
        <w:jc w:val="both"/>
        <w:rPr>
          <w:rFonts w:ascii="Times New Roman" w:hAnsi="Times New Roman"/>
          <w:b/>
          <w:bCs/>
        </w:rPr>
      </w:pPr>
      <w:r w:rsidRPr="00546A07">
        <w:rPr>
          <w:rFonts w:ascii="Times New Roman" w:hAnsi="Times New Roman"/>
          <w:b/>
          <w:bCs/>
        </w:rPr>
        <w:t>K bodu 2</w:t>
      </w:r>
      <w:r w:rsidRPr="00546A07" w:rsidR="005208A1">
        <w:rPr>
          <w:rFonts w:ascii="Times New Roman" w:hAnsi="Times New Roman"/>
          <w:b/>
          <w:bCs/>
        </w:rPr>
        <w:t>6</w:t>
      </w:r>
      <w:r w:rsidRPr="00546A07">
        <w:rPr>
          <w:rFonts w:ascii="Times New Roman" w:hAnsi="Times New Roman"/>
          <w:b/>
          <w:bCs/>
        </w:rPr>
        <w:t xml:space="preserve"> (§ 55d ods. 2)</w:t>
      </w:r>
    </w:p>
    <w:p w:rsidR="00F95A16" w:rsidRPr="00546A07" w:rsidP="005B50FF">
      <w:pPr>
        <w:bidi w:val="0"/>
        <w:jc w:val="both"/>
        <w:rPr>
          <w:rFonts w:ascii="Times New Roman" w:hAnsi="Times New Roman"/>
          <w:bCs/>
        </w:rPr>
      </w:pPr>
    </w:p>
    <w:p w:rsidR="003E31D3" w:rsidRPr="00546A07" w:rsidP="005B50FF">
      <w:pPr>
        <w:bidi w:val="0"/>
        <w:jc w:val="both"/>
        <w:rPr>
          <w:rFonts w:ascii="Times New Roman" w:hAnsi="Times New Roman"/>
          <w:bCs/>
        </w:rPr>
      </w:pPr>
      <w:r w:rsidRPr="00546A07">
        <w:rPr>
          <w:rFonts w:ascii="Times New Roman" w:hAnsi="Times New Roman"/>
          <w:bCs/>
        </w:rPr>
        <w:tab/>
        <w:t>Upresňuje sa deň, ktorý sa považuje za doručenie dátovej správy na elektronickú adresu, ak daňový úrad žiada dodatočné informácie alebo ďalšie dodatočné informácie týkajúce sa žiadosti o vrátenie dane.</w:t>
      </w:r>
    </w:p>
    <w:p w:rsidR="003E31D3" w:rsidRPr="00546A07" w:rsidP="005B50FF">
      <w:pPr>
        <w:bidi w:val="0"/>
        <w:jc w:val="both"/>
        <w:rPr>
          <w:rFonts w:ascii="Times New Roman" w:hAnsi="Times New Roman"/>
          <w:b/>
          <w:bCs/>
        </w:rPr>
      </w:pPr>
    </w:p>
    <w:p w:rsidR="00F95A16" w:rsidRPr="00546A07" w:rsidP="005B50FF">
      <w:pPr>
        <w:bidi w:val="0"/>
        <w:jc w:val="both"/>
        <w:rPr>
          <w:rFonts w:ascii="Times New Roman" w:hAnsi="Times New Roman"/>
          <w:b/>
          <w:bCs/>
        </w:rPr>
      </w:pPr>
      <w:r w:rsidRPr="00546A07">
        <w:rPr>
          <w:rFonts w:ascii="Times New Roman" w:hAnsi="Times New Roman"/>
          <w:b/>
          <w:bCs/>
        </w:rPr>
        <w:t>K bodu 2</w:t>
      </w:r>
      <w:r w:rsidRPr="00546A07" w:rsidR="005208A1">
        <w:rPr>
          <w:rFonts w:ascii="Times New Roman" w:hAnsi="Times New Roman"/>
          <w:b/>
          <w:bCs/>
        </w:rPr>
        <w:t>7</w:t>
      </w:r>
      <w:r w:rsidRPr="00546A07">
        <w:rPr>
          <w:rFonts w:ascii="Times New Roman" w:hAnsi="Times New Roman"/>
          <w:b/>
          <w:bCs/>
        </w:rPr>
        <w:t xml:space="preserve"> (§ 56 ods. 2 písm. c) </w:t>
      </w:r>
      <w:r w:rsidRPr="00546A07" w:rsidR="009D08FC">
        <w:rPr>
          <w:rFonts w:ascii="Times New Roman" w:hAnsi="Times New Roman"/>
          <w:b/>
          <w:bCs/>
        </w:rPr>
        <w:t>tretí bod</w:t>
      </w:r>
      <w:r w:rsidRPr="00546A07">
        <w:rPr>
          <w:rFonts w:ascii="Times New Roman" w:hAnsi="Times New Roman"/>
          <w:b/>
          <w:bCs/>
        </w:rPr>
        <w:t>)</w:t>
      </w:r>
    </w:p>
    <w:p w:rsidR="00F95A16" w:rsidRPr="00546A07" w:rsidP="005B50FF">
      <w:pPr>
        <w:bidi w:val="0"/>
        <w:jc w:val="both"/>
        <w:rPr>
          <w:rFonts w:ascii="Times New Roman" w:hAnsi="Times New Roman"/>
          <w:b/>
          <w:bCs/>
        </w:rPr>
      </w:pPr>
    </w:p>
    <w:p w:rsidR="00F95A16" w:rsidRPr="00546A07" w:rsidP="00F95A16">
      <w:pPr>
        <w:bidi w:val="0"/>
        <w:rPr>
          <w:rFonts w:ascii="Times New Roman" w:hAnsi="Times New Roman"/>
          <w:bCs/>
        </w:rPr>
      </w:pPr>
      <w:r w:rsidRPr="00546A07">
        <w:rPr>
          <w:rFonts w:ascii="Times New Roman" w:hAnsi="Times New Roman"/>
          <w:b/>
          <w:bCs/>
        </w:rPr>
        <w:tab/>
      </w:r>
      <w:r w:rsidRPr="00546A07">
        <w:rPr>
          <w:rFonts w:ascii="Times New Roman" w:hAnsi="Times New Roman"/>
          <w:bCs/>
        </w:rPr>
        <w:t>Ustanovenie sa mení nadväzne na zmenu § 13 ods. 1 písm. e) a f) zákona.</w:t>
      </w:r>
    </w:p>
    <w:p w:rsidR="00F95A16" w:rsidRPr="00546A07" w:rsidP="005B50FF">
      <w:pPr>
        <w:bidi w:val="0"/>
        <w:jc w:val="both"/>
        <w:rPr>
          <w:rFonts w:ascii="Times New Roman" w:hAnsi="Times New Roman"/>
          <w:b/>
          <w:bCs/>
        </w:rPr>
      </w:pPr>
    </w:p>
    <w:p w:rsidR="00C350B9" w:rsidRPr="00546A07" w:rsidP="005B50FF">
      <w:pPr>
        <w:bidi w:val="0"/>
        <w:jc w:val="both"/>
        <w:rPr>
          <w:rFonts w:ascii="Times New Roman" w:hAnsi="Times New Roman"/>
          <w:b/>
          <w:bCs/>
        </w:rPr>
      </w:pPr>
      <w:r w:rsidRPr="00546A07">
        <w:rPr>
          <w:rFonts w:ascii="Times New Roman" w:hAnsi="Times New Roman"/>
          <w:b/>
          <w:bCs/>
        </w:rPr>
        <w:t xml:space="preserve">K bodom </w:t>
      </w:r>
      <w:r w:rsidRPr="00546A07" w:rsidR="005208A1">
        <w:rPr>
          <w:rFonts w:ascii="Times New Roman" w:hAnsi="Times New Roman"/>
          <w:b/>
          <w:bCs/>
        </w:rPr>
        <w:t>30</w:t>
      </w:r>
      <w:r w:rsidRPr="00546A07">
        <w:rPr>
          <w:rFonts w:ascii="Times New Roman" w:hAnsi="Times New Roman"/>
          <w:b/>
          <w:bCs/>
        </w:rPr>
        <w:t xml:space="preserve"> a </w:t>
      </w:r>
      <w:r w:rsidRPr="00546A07" w:rsidR="009229FE">
        <w:rPr>
          <w:rFonts w:ascii="Times New Roman" w:hAnsi="Times New Roman"/>
          <w:b/>
          <w:bCs/>
        </w:rPr>
        <w:t>3</w:t>
      </w:r>
      <w:r w:rsidRPr="00546A07" w:rsidR="005208A1">
        <w:rPr>
          <w:rFonts w:ascii="Times New Roman" w:hAnsi="Times New Roman"/>
          <w:b/>
          <w:bCs/>
        </w:rPr>
        <w:t>1</w:t>
      </w:r>
      <w:r w:rsidRPr="00546A07">
        <w:rPr>
          <w:rFonts w:ascii="Times New Roman" w:hAnsi="Times New Roman"/>
          <w:b/>
          <w:bCs/>
        </w:rPr>
        <w:t xml:space="preserve"> (§ 69 ods. 1 a 2)</w:t>
      </w:r>
    </w:p>
    <w:p w:rsidR="00C350B9" w:rsidRPr="00546A07" w:rsidP="005B50FF">
      <w:pPr>
        <w:bidi w:val="0"/>
        <w:jc w:val="both"/>
        <w:rPr>
          <w:rFonts w:ascii="Times New Roman" w:hAnsi="Times New Roman"/>
          <w:b/>
          <w:bCs/>
        </w:rPr>
      </w:pPr>
    </w:p>
    <w:p w:rsidR="00C350B9" w:rsidRPr="00546A07" w:rsidP="005B50FF">
      <w:pPr>
        <w:bidi w:val="0"/>
        <w:jc w:val="both"/>
        <w:rPr>
          <w:rFonts w:ascii="Times New Roman" w:hAnsi="Times New Roman"/>
          <w:bCs/>
        </w:rPr>
      </w:pPr>
      <w:r w:rsidRPr="00546A07">
        <w:rPr>
          <w:rFonts w:ascii="Times New Roman" w:hAnsi="Times New Roman"/>
          <w:b/>
          <w:bCs/>
        </w:rPr>
        <w:tab/>
      </w:r>
      <w:r w:rsidRPr="00546A07">
        <w:rPr>
          <w:rFonts w:ascii="Times New Roman" w:hAnsi="Times New Roman"/>
          <w:bCs/>
        </w:rPr>
        <w:t xml:space="preserve">Ustanovenie sa upravuje tak, aby osobou povinnou platiť daň bol príjemca </w:t>
      </w:r>
      <w:r w:rsidRPr="00546A07" w:rsidR="00596471">
        <w:rPr>
          <w:rFonts w:ascii="Times New Roman" w:hAnsi="Times New Roman"/>
          <w:bCs/>
        </w:rPr>
        <w:t xml:space="preserve">tovaru alebo </w:t>
      </w:r>
      <w:r w:rsidRPr="00546A07">
        <w:rPr>
          <w:rFonts w:ascii="Times New Roman" w:hAnsi="Times New Roman"/>
          <w:bCs/>
        </w:rPr>
        <w:t>služby aj v prípade, ak zahraničná osoba je registrovaná ako platiteľ dane,</w:t>
      </w:r>
      <w:r w:rsidRPr="00546A07" w:rsidR="00596471">
        <w:rPr>
          <w:rFonts w:ascii="Times New Roman" w:hAnsi="Times New Roman"/>
          <w:bCs/>
        </w:rPr>
        <w:t xml:space="preserve"> ktorý nemá v tuzemsku prevádzkareň </w:t>
      </w:r>
      <w:r w:rsidRPr="00546A07">
        <w:rPr>
          <w:rFonts w:ascii="Times New Roman" w:hAnsi="Times New Roman"/>
          <w:bCs/>
        </w:rPr>
        <w:t>zúčastňuj</w:t>
      </w:r>
      <w:r w:rsidRPr="00546A07" w:rsidR="00596471">
        <w:rPr>
          <w:rFonts w:ascii="Times New Roman" w:hAnsi="Times New Roman"/>
          <w:bCs/>
        </w:rPr>
        <w:t>úc</w:t>
      </w:r>
      <w:r w:rsidRPr="00546A07" w:rsidR="00671158">
        <w:rPr>
          <w:rFonts w:ascii="Times New Roman" w:hAnsi="Times New Roman"/>
          <w:bCs/>
        </w:rPr>
        <w:t>u</w:t>
      </w:r>
      <w:r w:rsidRPr="00546A07" w:rsidR="00596471">
        <w:rPr>
          <w:rFonts w:ascii="Times New Roman" w:hAnsi="Times New Roman"/>
          <w:bCs/>
        </w:rPr>
        <w:t xml:space="preserve"> sa na dodaní tovaru alebo služby</w:t>
      </w:r>
      <w:r w:rsidRPr="00546A07" w:rsidR="00FA6F08">
        <w:rPr>
          <w:rFonts w:ascii="Times New Roman" w:hAnsi="Times New Roman"/>
          <w:bCs/>
        </w:rPr>
        <w:t>, prípadne sa stala platiteľom dane len z dôvodu príležitostnej transakcie</w:t>
      </w:r>
      <w:r w:rsidRPr="00546A07" w:rsidR="00596471">
        <w:rPr>
          <w:rFonts w:ascii="Times New Roman" w:hAnsi="Times New Roman"/>
          <w:bCs/>
        </w:rPr>
        <w:t>.</w:t>
      </w:r>
    </w:p>
    <w:p w:rsidR="00540CB4" w:rsidRPr="00546A07" w:rsidP="005B50FF">
      <w:pPr>
        <w:bidi w:val="0"/>
        <w:jc w:val="both"/>
        <w:rPr>
          <w:rFonts w:ascii="Times New Roman" w:hAnsi="Times New Roman"/>
          <w:bCs/>
        </w:rPr>
      </w:pPr>
    </w:p>
    <w:p w:rsidR="00C350B9" w:rsidRPr="00546A07" w:rsidP="005B50FF">
      <w:pPr>
        <w:bidi w:val="0"/>
        <w:jc w:val="both"/>
        <w:rPr>
          <w:rFonts w:ascii="Times New Roman" w:hAnsi="Times New Roman"/>
          <w:b/>
          <w:bCs/>
        </w:rPr>
      </w:pPr>
      <w:r w:rsidRPr="00546A07">
        <w:rPr>
          <w:rFonts w:ascii="Times New Roman" w:hAnsi="Times New Roman"/>
          <w:b/>
          <w:bCs/>
        </w:rPr>
        <w:t xml:space="preserve">K bodu </w:t>
      </w:r>
      <w:r w:rsidRPr="00546A07" w:rsidR="0075698C">
        <w:rPr>
          <w:rFonts w:ascii="Times New Roman" w:hAnsi="Times New Roman"/>
          <w:b/>
          <w:bCs/>
        </w:rPr>
        <w:t>3</w:t>
      </w:r>
      <w:r w:rsidRPr="00546A07" w:rsidR="005208A1">
        <w:rPr>
          <w:rFonts w:ascii="Times New Roman" w:hAnsi="Times New Roman"/>
          <w:b/>
          <w:bCs/>
        </w:rPr>
        <w:t>2</w:t>
      </w:r>
      <w:r w:rsidRPr="00546A07">
        <w:rPr>
          <w:rFonts w:ascii="Times New Roman" w:hAnsi="Times New Roman"/>
          <w:b/>
          <w:bCs/>
        </w:rPr>
        <w:t xml:space="preserve"> (§ 72 ods. 2 písm. j)</w:t>
        <w:tab/>
      </w:r>
    </w:p>
    <w:p w:rsidR="00C350B9" w:rsidRPr="00546A07" w:rsidP="005B50FF">
      <w:pPr>
        <w:bidi w:val="0"/>
        <w:jc w:val="both"/>
        <w:rPr>
          <w:rFonts w:ascii="Times New Roman" w:hAnsi="Times New Roman"/>
          <w:b/>
          <w:bCs/>
        </w:rPr>
      </w:pPr>
    </w:p>
    <w:p w:rsidR="00FA6F08" w:rsidRPr="00546A07" w:rsidP="00FA6F08">
      <w:pPr>
        <w:bidi w:val="0"/>
        <w:rPr>
          <w:rFonts w:ascii="Times New Roman" w:hAnsi="Times New Roman"/>
          <w:bCs/>
        </w:rPr>
      </w:pPr>
      <w:r w:rsidRPr="00546A07">
        <w:rPr>
          <w:rFonts w:ascii="Times New Roman" w:hAnsi="Times New Roman"/>
          <w:b/>
          <w:bCs/>
        </w:rPr>
        <w:tab/>
      </w:r>
      <w:r w:rsidRPr="00546A07">
        <w:rPr>
          <w:rFonts w:ascii="Times New Roman" w:hAnsi="Times New Roman"/>
          <w:bCs/>
        </w:rPr>
        <w:t>Ustanovenie sa mení nadväzne na zmenu § 13 ods. 1 písm. e) a f) zákona.</w:t>
      </w:r>
    </w:p>
    <w:p w:rsidR="00FA6F08" w:rsidRPr="00546A07" w:rsidP="005B50FF">
      <w:pPr>
        <w:bidi w:val="0"/>
        <w:jc w:val="both"/>
        <w:rPr>
          <w:rFonts w:ascii="Times New Roman" w:hAnsi="Times New Roman"/>
          <w:b/>
          <w:bCs/>
        </w:rPr>
      </w:pPr>
    </w:p>
    <w:p w:rsidR="005B50FF" w:rsidRPr="00546A07" w:rsidP="005B50FF">
      <w:pPr>
        <w:bidi w:val="0"/>
        <w:jc w:val="both"/>
        <w:rPr>
          <w:rFonts w:ascii="Times New Roman" w:hAnsi="Times New Roman"/>
          <w:b/>
          <w:bCs/>
        </w:rPr>
      </w:pPr>
      <w:r w:rsidRPr="00546A07">
        <w:rPr>
          <w:rFonts w:ascii="Times New Roman" w:hAnsi="Times New Roman"/>
          <w:b/>
          <w:bCs/>
        </w:rPr>
        <w:t xml:space="preserve">K bodu </w:t>
      </w:r>
      <w:r w:rsidRPr="00546A07" w:rsidR="00FA6F08">
        <w:rPr>
          <w:rFonts w:ascii="Times New Roman" w:hAnsi="Times New Roman"/>
          <w:b/>
          <w:bCs/>
        </w:rPr>
        <w:t>3</w:t>
      </w:r>
      <w:r w:rsidRPr="00546A07" w:rsidR="005208A1">
        <w:rPr>
          <w:rFonts w:ascii="Times New Roman" w:hAnsi="Times New Roman"/>
          <w:b/>
          <w:bCs/>
        </w:rPr>
        <w:t>3</w:t>
      </w:r>
      <w:r w:rsidRPr="00546A07">
        <w:rPr>
          <w:rFonts w:ascii="Times New Roman" w:hAnsi="Times New Roman"/>
          <w:b/>
          <w:bCs/>
        </w:rPr>
        <w:t xml:space="preserve"> (§ 85j)</w:t>
      </w:r>
    </w:p>
    <w:p w:rsidR="005208A1" w:rsidRPr="00546A07" w:rsidP="001527E1">
      <w:pPr>
        <w:bidi w:val="0"/>
        <w:jc w:val="both"/>
        <w:rPr>
          <w:rFonts w:ascii="Times New Roman" w:hAnsi="Times New Roman"/>
        </w:rPr>
      </w:pPr>
    </w:p>
    <w:p w:rsidR="005208A1" w:rsidRPr="00546A07" w:rsidP="005208A1">
      <w:pPr>
        <w:bidi w:val="0"/>
        <w:ind w:firstLine="708"/>
        <w:jc w:val="both"/>
        <w:rPr>
          <w:rFonts w:ascii="Times New Roman" w:hAnsi="Times New Roman"/>
        </w:rPr>
      </w:pPr>
      <w:r w:rsidRPr="00546A07">
        <w:rPr>
          <w:rFonts w:ascii="Times New Roman" w:hAnsi="Times New Roman"/>
        </w:rPr>
        <w:t>V rámci opatrení na zníženie deficitu verejných financií sa s účinnosťou od 1. januára 2011 navrhuje dočasné zvýšenie základnej sadzby dane z 19 % na 20 %. Presný dátum skončenia obdobia uplatňovania základnej sadzby dane 20 % bude vyhlásený vo vyhláške, ktorú vydá Ministerstvo financií SR na základe splnenia podmienky zníženia deficitu verejnej správy.</w:t>
      </w:r>
    </w:p>
    <w:p w:rsidR="005B50FF" w:rsidRPr="00546A07" w:rsidP="001527E1">
      <w:pPr>
        <w:bidi w:val="0"/>
        <w:jc w:val="both"/>
        <w:rPr>
          <w:rFonts w:ascii="Times New Roman" w:hAnsi="Times New Roman"/>
        </w:rPr>
      </w:pPr>
      <w:r w:rsidRPr="00546A07">
        <w:rPr>
          <w:rFonts w:ascii="Times New Roman" w:hAnsi="Times New Roman"/>
        </w:rPr>
        <w:tab/>
      </w:r>
      <w:r w:rsidRPr="00546A07" w:rsidR="003120F7">
        <w:rPr>
          <w:rFonts w:ascii="Times New Roman" w:hAnsi="Times New Roman"/>
        </w:rPr>
        <w:t>I</w:t>
      </w:r>
      <w:r w:rsidRPr="00546A07">
        <w:rPr>
          <w:rFonts w:ascii="Times New Roman" w:hAnsi="Times New Roman"/>
        </w:rPr>
        <w:t>de o prechodné ustanovenie týkajúce sa nehnuteľného majetku, ktorý bol obstaraný do 31. decembra 2010 s uplatnením plného nároku na odpočítanie dane tak, ako doterajší predpis umožňoval v prípadoch obstarania nehnuteľnosti, ktorej časť bola určená aj na iné účely ako na podnikanie. V takomto prípade platiteľ dane je povinný odvádzať daň na výstupe podľa § 9 ods. 2 zákona.</w:t>
      </w:r>
    </w:p>
    <w:p w:rsidR="00B62CFA" w:rsidRPr="00546A07" w:rsidP="005B50FF">
      <w:pPr>
        <w:bidi w:val="0"/>
        <w:jc w:val="both"/>
        <w:rPr>
          <w:rFonts w:ascii="Times New Roman" w:hAnsi="Times New Roman"/>
          <w:b/>
          <w:bCs/>
        </w:rPr>
      </w:pPr>
    </w:p>
    <w:p w:rsidR="00D72F30" w:rsidRPr="00546A07" w:rsidP="005B50FF">
      <w:pPr>
        <w:bidi w:val="0"/>
        <w:jc w:val="both"/>
        <w:rPr>
          <w:rFonts w:ascii="Times New Roman" w:hAnsi="Times New Roman"/>
          <w:b/>
          <w:bCs/>
        </w:rPr>
      </w:pPr>
      <w:r w:rsidRPr="00546A07">
        <w:rPr>
          <w:rFonts w:ascii="Times New Roman" w:hAnsi="Times New Roman"/>
          <w:b/>
          <w:bCs/>
        </w:rPr>
        <w:t xml:space="preserve">K bodom </w:t>
      </w:r>
      <w:r w:rsidRPr="00546A07" w:rsidR="00FA6F08">
        <w:rPr>
          <w:rFonts w:ascii="Times New Roman" w:hAnsi="Times New Roman"/>
          <w:b/>
          <w:bCs/>
        </w:rPr>
        <w:t>3</w:t>
      </w:r>
      <w:r w:rsidRPr="00546A07" w:rsidR="005208A1">
        <w:rPr>
          <w:rFonts w:ascii="Times New Roman" w:hAnsi="Times New Roman"/>
          <w:b/>
          <w:bCs/>
        </w:rPr>
        <w:t>4</w:t>
      </w:r>
      <w:r w:rsidRPr="00546A07">
        <w:rPr>
          <w:rFonts w:ascii="Times New Roman" w:hAnsi="Times New Roman"/>
          <w:b/>
          <w:bCs/>
        </w:rPr>
        <w:t xml:space="preserve"> až </w:t>
      </w:r>
      <w:r w:rsidRPr="00546A07" w:rsidR="00FA6F08">
        <w:rPr>
          <w:rFonts w:ascii="Times New Roman" w:hAnsi="Times New Roman"/>
          <w:b/>
          <w:bCs/>
        </w:rPr>
        <w:t>3</w:t>
      </w:r>
      <w:r w:rsidRPr="00546A07" w:rsidR="005208A1">
        <w:rPr>
          <w:rFonts w:ascii="Times New Roman" w:hAnsi="Times New Roman"/>
          <w:b/>
          <w:bCs/>
        </w:rPr>
        <w:t>6</w:t>
      </w:r>
      <w:r w:rsidRPr="00546A07">
        <w:rPr>
          <w:rFonts w:ascii="Times New Roman" w:hAnsi="Times New Roman"/>
          <w:b/>
          <w:bCs/>
        </w:rPr>
        <w:t xml:space="preserve"> (§ 86 a príloh</w:t>
      </w:r>
      <w:r w:rsidRPr="00546A07" w:rsidR="00FA6F08">
        <w:rPr>
          <w:rFonts w:ascii="Times New Roman" w:hAnsi="Times New Roman"/>
          <w:b/>
          <w:bCs/>
        </w:rPr>
        <w:t>a</w:t>
      </w:r>
      <w:r w:rsidRPr="00546A07">
        <w:rPr>
          <w:rFonts w:ascii="Times New Roman" w:hAnsi="Times New Roman"/>
          <w:b/>
          <w:bCs/>
        </w:rPr>
        <w:t xml:space="preserve"> č. 6)</w:t>
      </w:r>
    </w:p>
    <w:p w:rsidR="00D72F30" w:rsidRPr="00546A07" w:rsidP="005B50FF">
      <w:pPr>
        <w:bidi w:val="0"/>
        <w:jc w:val="both"/>
        <w:rPr>
          <w:rFonts w:ascii="Times New Roman" w:hAnsi="Times New Roman"/>
          <w:b/>
          <w:bCs/>
        </w:rPr>
      </w:pPr>
    </w:p>
    <w:p w:rsidR="00D72F30" w:rsidRPr="00546A07" w:rsidP="005B50FF">
      <w:pPr>
        <w:bidi w:val="0"/>
        <w:jc w:val="both"/>
        <w:rPr>
          <w:rFonts w:ascii="Times New Roman" w:hAnsi="Times New Roman"/>
          <w:bCs/>
        </w:rPr>
      </w:pPr>
      <w:r w:rsidRPr="00546A07">
        <w:rPr>
          <w:rFonts w:ascii="Times New Roman" w:hAnsi="Times New Roman"/>
          <w:b/>
          <w:bCs/>
        </w:rPr>
        <w:tab/>
      </w:r>
      <w:r w:rsidRPr="00546A07">
        <w:rPr>
          <w:rFonts w:ascii="Times New Roman" w:hAnsi="Times New Roman"/>
          <w:bCs/>
        </w:rPr>
        <w:t>Ide o o zosúladenie s Lisabonskou zmluvou v tom smere, že slovné spojenie „Európske spoločenstvo“ sa nahrádza slovným spojením „Európska únia“.</w:t>
      </w:r>
    </w:p>
    <w:p w:rsidR="00D72F30" w:rsidRPr="00546A07" w:rsidP="005B50FF">
      <w:pPr>
        <w:bidi w:val="0"/>
        <w:jc w:val="both"/>
        <w:rPr>
          <w:rFonts w:ascii="Times New Roman" w:hAnsi="Times New Roman"/>
          <w:b/>
          <w:bCs/>
        </w:rPr>
      </w:pPr>
    </w:p>
    <w:p w:rsidR="005B50FF" w:rsidRPr="00546A07" w:rsidP="005B50FF">
      <w:pPr>
        <w:bidi w:val="0"/>
        <w:jc w:val="both"/>
        <w:rPr>
          <w:rFonts w:ascii="Times New Roman" w:hAnsi="Times New Roman"/>
          <w:b/>
          <w:bCs/>
        </w:rPr>
      </w:pPr>
      <w:r w:rsidRPr="00546A07">
        <w:rPr>
          <w:rFonts w:ascii="Times New Roman" w:hAnsi="Times New Roman"/>
          <w:b/>
          <w:bCs/>
        </w:rPr>
        <w:t xml:space="preserve">K bodu </w:t>
      </w:r>
      <w:r w:rsidRPr="00546A07" w:rsidR="00FA6F08">
        <w:rPr>
          <w:rFonts w:ascii="Times New Roman" w:hAnsi="Times New Roman"/>
          <w:b/>
          <w:bCs/>
        </w:rPr>
        <w:t>3</w:t>
      </w:r>
      <w:r w:rsidRPr="00546A07" w:rsidR="005208A1">
        <w:rPr>
          <w:rFonts w:ascii="Times New Roman" w:hAnsi="Times New Roman"/>
          <w:b/>
          <w:bCs/>
        </w:rPr>
        <w:t>7</w:t>
      </w:r>
      <w:r w:rsidRPr="00546A07">
        <w:rPr>
          <w:rFonts w:ascii="Times New Roman" w:hAnsi="Times New Roman"/>
          <w:b/>
          <w:bCs/>
        </w:rPr>
        <w:t xml:space="preserve"> (príloha č. 6)</w:t>
      </w:r>
    </w:p>
    <w:p w:rsidR="005B50FF" w:rsidRPr="00546A07" w:rsidP="005B50FF">
      <w:pPr>
        <w:bidi w:val="0"/>
        <w:jc w:val="both"/>
        <w:rPr>
          <w:rFonts w:ascii="Times New Roman" w:hAnsi="Times New Roman"/>
          <w:b/>
          <w:bCs/>
        </w:rPr>
      </w:pPr>
    </w:p>
    <w:p w:rsidR="005B50FF" w:rsidRPr="00546A07" w:rsidP="005B50FF">
      <w:pPr>
        <w:bidi w:val="0"/>
        <w:jc w:val="both"/>
        <w:rPr>
          <w:rFonts w:ascii="Times New Roman" w:hAnsi="Times New Roman"/>
        </w:rPr>
      </w:pPr>
      <w:r w:rsidRPr="00546A07">
        <w:rPr>
          <w:rFonts w:ascii="Times New Roman" w:hAnsi="Times New Roman"/>
        </w:rPr>
        <w:tab/>
        <w:t>Do transpozičnej prílohy sa dopĺňajú smernice, ktoré sa preberajú týmto zákonom do právnej úpravy dane z pridanej hodnoty.</w:t>
      </w:r>
    </w:p>
    <w:p w:rsidR="009D73D1" w:rsidRPr="00546A07" w:rsidP="005B50FF">
      <w:pPr>
        <w:bidi w:val="0"/>
        <w:jc w:val="both"/>
        <w:rPr>
          <w:rFonts w:ascii="Times New Roman" w:hAnsi="Times New Roman"/>
        </w:rPr>
      </w:pPr>
    </w:p>
    <w:p w:rsidR="009D73D1" w:rsidRPr="00546A07" w:rsidP="005B50FF">
      <w:pPr>
        <w:bidi w:val="0"/>
        <w:jc w:val="both"/>
        <w:rPr>
          <w:rFonts w:ascii="Times New Roman" w:hAnsi="Times New Roman"/>
          <w:b/>
        </w:rPr>
      </w:pPr>
      <w:r w:rsidRPr="00546A07">
        <w:rPr>
          <w:rFonts w:ascii="Times New Roman" w:hAnsi="Times New Roman"/>
          <w:b/>
        </w:rPr>
        <w:t>K bodu 3</w:t>
      </w:r>
      <w:r w:rsidRPr="00546A07" w:rsidR="005208A1">
        <w:rPr>
          <w:rFonts w:ascii="Times New Roman" w:hAnsi="Times New Roman"/>
          <w:b/>
        </w:rPr>
        <w:t>8</w:t>
      </w:r>
      <w:r w:rsidRPr="00546A07">
        <w:rPr>
          <w:rFonts w:ascii="Times New Roman" w:hAnsi="Times New Roman"/>
          <w:b/>
        </w:rPr>
        <w:t xml:space="preserve"> (príloha č. 7a)</w:t>
      </w:r>
    </w:p>
    <w:p w:rsidR="009D73D1" w:rsidRPr="00546A07" w:rsidP="005B50FF">
      <w:pPr>
        <w:bidi w:val="0"/>
        <w:jc w:val="both"/>
        <w:rPr>
          <w:rFonts w:ascii="Times New Roman" w:hAnsi="Times New Roman"/>
          <w:b/>
        </w:rPr>
      </w:pPr>
    </w:p>
    <w:p w:rsidR="009D73D1" w:rsidRPr="00546A07" w:rsidP="005B50FF">
      <w:pPr>
        <w:bidi w:val="0"/>
        <w:jc w:val="both"/>
        <w:rPr>
          <w:rFonts w:ascii="Times New Roman" w:hAnsi="Times New Roman"/>
        </w:rPr>
      </w:pPr>
      <w:r w:rsidRPr="00546A07">
        <w:rPr>
          <w:rFonts w:ascii="Times New Roman" w:hAnsi="Times New Roman"/>
          <w:b/>
        </w:rPr>
        <w:tab/>
      </w:r>
      <w:r w:rsidRPr="00546A07">
        <w:rPr>
          <w:rFonts w:ascii="Times New Roman" w:hAnsi="Times New Roman"/>
        </w:rPr>
        <w:t xml:space="preserve">Nadväzne na </w:t>
      </w:r>
      <w:r w:rsidRPr="00546A07" w:rsidR="009229FE">
        <w:rPr>
          <w:rFonts w:ascii="Times New Roman" w:hAnsi="Times New Roman"/>
        </w:rPr>
        <w:t xml:space="preserve">zrušenie zníženej sadzby dane 6 % </w:t>
      </w:r>
      <w:r w:rsidRPr="00546A07">
        <w:rPr>
          <w:rFonts w:ascii="Times New Roman" w:hAnsi="Times New Roman"/>
        </w:rPr>
        <w:t>sa vypúšťa príloh</w:t>
      </w:r>
      <w:r w:rsidRPr="00546A07" w:rsidR="009229FE">
        <w:rPr>
          <w:rFonts w:ascii="Times New Roman" w:hAnsi="Times New Roman"/>
        </w:rPr>
        <w:t xml:space="preserve">a </w:t>
      </w:r>
      <w:r w:rsidRPr="00546A07">
        <w:rPr>
          <w:rFonts w:ascii="Times New Roman" w:hAnsi="Times New Roman"/>
        </w:rPr>
        <w:t>č. 7a, ktor</w:t>
      </w:r>
      <w:r w:rsidRPr="00546A07" w:rsidR="009229FE">
        <w:rPr>
          <w:rFonts w:ascii="Times New Roman" w:hAnsi="Times New Roman"/>
        </w:rPr>
        <w:t>á</w:t>
      </w:r>
      <w:r w:rsidRPr="00546A07">
        <w:rPr>
          <w:rFonts w:ascii="Times New Roman" w:hAnsi="Times New Roman"/>
        </w:rPr>
        <w:t xml:space="preserve"> obsahuj</w:t>
      </w:r>
      <w:r w:rsidRPr="00546A07" w:rsidR="009229FE">
        <w:rPr>
          <w:rFonts w:ascii="Times New Roman" w:hAnsi="Times New Roman"/>
        </w:rPr>
        <w:t>e</w:t>
      </w:r>
      <w:r w:rsidRPr="00546A07">
        <w:rPr>
          <w:rFonts w:ascii="Times New Roman" w:hAnsi="Times New Roman"/>
        </w:rPr>
        <w:t xml:space="preserve"> zoznam tovarov podliehajúcich znížen</w:t>
      </w:r>
      <w:r w:rsidRPr="00546A07" w:rsidR="009229FE">
        <w:rPr>
          <w:rFonts w:ascii="Times New Roman" w:hAnsi="Times New Roman"/>
        </w:rPr>
        <w:t xml:space="preserve">ej </w:t>
      </w:r>
      <w:r w:rsidRPr="00546A07">
        <w:rPr>
          <w:rFonts w:ascii="Times New Roman" w:hAnsi="Times New Roman"/>
        </w:rPr>
        <w:t>sadzb</w:t>
      </w:r>
      <w:r w:rsidRPr="00546A07" w:rsidR="009229FE">
        <w:rPr>
          <w:rFonts w:ascii="Times New Roman" w:hAnsi="Times New Roman"/>
        </w:rPr>
        <w:t>e</w:t>
      </w:r>
      <w:r w:rsidRPr="00546A07">
        <w:rPr>
          <w:rFonts w:ascii="Times New Roman" w:hAnsi="Times New Roman"/>
        </w:rPr>
        <w:t xml:space="preserve"> dane</w:t>
      </w:r>
      <w:r w:rsidRPr="00546A07" w:rsidR="009229FE">
        <w:rPr>
          <w:rFonts w:ascii="Times New Roman" w:hAnsi="Times New Roman"/>
        </w:rPr>
        <w:t xml:space="preserve"> </w:t>
      </w:r>
      <w:r w:rsidRPr="00546A07">
        <w:rPr>
          <w:rFonts w:ascii="Times New Roman" w:hAnsi="Times New Roman"/>
        </w:rPr>
        <w:t>6 %.</w:t>
      </w:r>
    </w:p>
    <w:p w:rsidR="005B50FF" w:rsidRPr="00546A07" w:rsidP="005B50FF">
      <w:pPr>
        <w:bidi w:val="0"/>
        <w:jc w:val="both"/>
        <w:rPr>
          <w:rFonts w:ascii="Times New Roman" w:hAnsi="Times New Roman"/>
        </w:rPr>
      </w:pPr>
    </w:p>
    <w:p w:rsidR="005B50FF" w:rsidRPr="00546A07" w:rsidP="005B50FF">
      <w:pPr>
        <w:pStyle w:val="Heading2"/>
        <w:bidi w:val="0"/>
        <w:rPr>
          <w:rFonts w:ascii="Times New Roman" w:hAnsi="Times New Roman"/>
          <w:sz w:val="24"/>
        </w:rPr>
      </w:pPr>
      <w:r w:rsidRPr="00546A07">
        <w:rPr>
          <w:rFonts w:ascii="Times New Roman" w:hAnsi="Times New Roman"/>
          <w:sz w:val="24"/>
        </w:rPr>
        <w:t>K článku II</w:t>
      </w:r>
    </w:p>
    <w:p w:rsidR="005B50FF" w:rsidRPr="00546A07" w:rsidP="005B50FF">
      <w:pPr>
        <w:bidi w:val="0"/>
        <w:jc w:val="both"/>
        <w:rPr>
          <w:rFonts w:ascii="Times New Roman" w:hAnsi="Times New Roman"/>
          <w:b/>
          <w:bCs/>
        </w:rPr>
      </w:pPr>
    </w:p>
    <w:p w:rsidR="00111D7E" w:rsidP="002527C9">
      <w:pPr>
        <w:bidi w:val="0"/>
        <w:ind w:firstLine="709"/>
        <w:jc w:val="both"/>
        <w:rPr>
          <w:rFonts w:ascii="Times New Roman" w:hAnsi="Times New Roman"/>
        </w:rPr>
      </w:pPr>
      <w:r w:rsidRPr="00546A07" w:rsidR="005B50FF">
        <w:rPr>
          <w:rFonts w:ascii="Times New Roman" w:hAnsi="Times New Roman"/>
        </w:rPr>
        <w:t>Účinnosť zákona sa navrhuje od 1. januára 2011.</w:t>
      </w:r>
    </w:p>
    <w:p w:rsidR="00546A07" w:rsidP="002527C9">
      <w:pPr>
        <w:bidi w:val="0"/>
        <w:ind w:firstLine="709"/>
        <w:jc w:val="both"/>
        <w:rPr>
          <w:rFonts w:ascii="Times New Roman" w:hAnsi="Times New Roman"/>
        </w:rPr>
      </w:pPr>
    </w:p>
    <w:p w:rsidR="00546A07" w:rsidP="00546A07">
      <w:pPr>
        <w:bidi w:val="0"/>
        <w:ind w:firstLine="709"/>
        <w:jc w:val="both"/>
        <w:rPr>
          <w:rFonts w:ascii="Times New Roman" w:hAnsi="Times New Roman"/>
        </w:rPr>
      </w:pPr>
      <w:r>
        <w:rPr>
          <w:rFonts w:ascii="Times New Roman" w:hAnsi="Times New Roman"/>
        </w:rPr>
        <w:t>Schválené uznesením vlády Slovenskej republiky dňa 22. septembra 2010.</w:t>
      </w:r>
    </w:p>
    <w:p w:rsidR="00546A07" w:rsidP="00546A07">
      <w:pPr>
        <w:bidi w:val="0"/>
        <w:jc w:val="both"/>
        <w:rPr>
          <w:rFonts w:ascii="Times New Roman" w:hAnsi="Times New Roman"/>
        </w:rPr>
      </w:pPr>
    </w:p>
    <w:p w:rsidR="00546A07" w:rsidP="00546A07">
      <w:pPr>
        <w:bidi w:val="0"/>
        <w:jc w:val="both"/>
        <w:rPr>
          <w:rFonts w:ascii="Times New Roman" w:hAnsi="Times New Roman"/>
        </w:rPr>
      </w:pPr>
    </w:p>
    <w:p w:rsidR="00546A07" w:rsidP="00546A07">
      <w:pPr>
        <w:bidi w:val="0"/>
        <w:jc w:val="both"/>
        <w:rPr>
          <w:rFonts w:ascii="Times New Roman" w:hAnsi="Times New Roman"/>
        </w:rPr>
      </w:pPr>
    </w:p>
    <w:p w:rsidR="00546A07" w:rsidP="00546A07">
      <w:pPr>
        <w:bidi w:val="0"/>
        <w:jc w:val="both"/>
        <w:rPr>
          <w:rFonts w:ascii="Times New Roman" w:hAnsi="Times New Roman"/>
        </w:rPr>
      </w:pPr>
    </w:p>
    <w:p w:rsidR="00546A07" w:rsidP="00546A07">
      <w:pPr>
        <w:bidi w:val="0"/>
        <w:jc w:val="center"/>
        <w:rPr>
          <w:rFonts w:ascii="Times New Roman" w:hAnsi="Times New Roman"/>
        </w:rPr>
      </w:pPr>
      <w:r>
        <w:rPr>
          <w:rFonts w:ascii="Times New Roman" w:hAnsi="Times New Roman"/>
        </w:rPr>
        <w:t>Iveta  Radičová</w:t>
      </w:r>
      <w:r w:rsidR="00754DE6">
        <w:rPr>
          <w:rFonts w:ascii="Times New Roman" w:hAnsi="Times New Roman"/>
        </w:rPr>
        <w:t xml:space="preserve">  v. r.</w:t>
      </w:r>
    </w:p>
    <w:p w:rsidR="00546A07" w:rsidP="00546A07">
      <w:pPr>
        <w:bidi w:val="0"/>
        <w:jc w:val="center"/>
        <w:rPr>
          <w:rFonts w:ascii="Times New Roman" w:hAnsi="Times New Roman"/>
        </w:rPr>
      </w:pPr>
      <w:r>
        <w:rPr>
          <w:rFonts w:ascii="Times New Roman" w:hAnsi="Times New Roman"/>
        </w:rPr>
        <w:t>predsedníčka vlády Slovenskej republiky</w:t>
      </w:r>
    </w:p>
    <w:p w:rsidR="00546A07" w:rsidP="00546A07">
      <w:pPr>
        <w:bidi w:val="0"/>
        <w:jc w:val="center"/>
        <w:rPr>
          <w:rFonts w:ascii="Times New Roman" w:hAnsi="Times New Roman"/>
        </w:rPr>
      </w:pPr>
    </w:p>
    <w:p w:rsidR="00546A07" w:rsidP="00546A07">
      <w:pPr>
        <w:bidi w:val="0"/>
        <w:jc w:val="center"/>
        <w:rPr>
          <w:rFonts w:ascii="Times New Roman" w:hAnsi="Times New Roman"/>
        </w:rPr>
      </w:pPr>
    </w:p>
    <w:p w:rsidR="00546A07" w:rsidP="00546A07">
      <w:pPr>
        <w:bidi w:val="0"/>
        <w:jc w:val="center"/>
        <w:rPr>
          <w:rFonts w:ascii="Times New Roman" w:hAnsi="Times New Roman"/>
        </w:rPr>
      </w:pPr>
    </w:p>
    <w:p w:rsidR="00546A07" w:rsidP="00546A07">
      <w:pPr>
        <w:bidi w:val="0"/>
        <w:jc w:val="center"/>
        <w:rPr>
          <w:rFonts w:ascii="Times New Roman" w:hAnsi="Times New Roman"/>
        </w:rPr>
      </w:pPr>
      <w:r>
        <w:rPr>
          <w:rFonts w:ascii="Times New Roman" w:hAnsi="Times New Roman"/>
        </w:rPr>
        <w:t>Ivan  Mikloš</w:t>
      </w:r>
      <w:r w:rsidR="00754DE6">
        <w:rPr>
          <w:rFonts w:ascii="Times New Roman" w:hAnsi="Times New Roman"/>
        </w:rPr>
        <w:t xml:space="preserve">  v. r.</w:t>
      </w:r>
    </w:p>
    <w:p w:rsidR="00546A07" w:rsidRPr="00546A07" w:rsidP="00546A07">
      <w:pPr>
        <w:bidi w:val="0"/>
        <w:jc w:val="center"/>
        <w:rPr>
          <w:rFonts w:ascii="Times New Roman" w:hAnsi="Times New Roman"/>
        </w:rPr>
      </w:pPr>
      <w:r>
        <w:rPr>
          <w:rFonts w:ascii="Times New Roman" w:hAnsi="Times New Roman"/>
        </w:rPr>
        <w:t>podpredseda vlády a minister financií Slovenskej republiky</w:t>
      </w:r>
    </w:p>
    <w:sectPr w:rsidSect="003B534F">
      <w:pgSz w:w="11905" w:h="16837" w:code="9"/>
      <w:pgMar w:top="1418" w:right="1418" w:bottom="1418" w:left="1418" w:header="567"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FA" w:rsidP="00603B0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C05F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5FA" w:rsidP="00603B0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E1F1A">
      <w:rPr>
        <w:rStyle w:val="PageNumber"/>
        <w:rFonts w:ascii="Times New Roman" w:hAnsi="Times New Roman"/>
        <w:noProof/>
      </w:rPr>
      <w:t>12</w:t>
    </w:r>
    <w:r>
      <w:rPr>
        <w:rStyle w:val="PageNumber"/>
        <w:rFonts w:ascii="Times New Roman" w:hAnsi="Times New Roman"/>
      </w:rPr>
      <w:fldChar w:fldCharType="end"/>
    </w:r>
  </w:p>
  <w:p w:rsidR="008C05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967543F"/>
    <w:multiLevelType w:val="hybridMultilevel"/>
    <w:tmpl w:val="19D6689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5BF75E0B"/>
    <w:multiLevelType w:val="hybridMultilevel"/>
    <w:tmpl w:val="7A64B03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3"/>
  </w:num>
  <w:num w:numId="5">
    <w:abstractNumId w:val="0"/>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oNotTrackMoves/>
  <w:defaultTabStop w:val="708"/>
  <w:hyphenationZone w:val="425"/>
  <w:drawingGridHorizontalSpacing w:val="120"/>
  <w:displayHorizontalDrawingGridEvery w:val="0"/>
  <w:displayVerticalDrawingGridEvery w:val="2"/>
  <w:characterSpacingControl w:val="doNotCompress"/>
  <w:compat>
    <w:doNotUseIndentAsNumberingTabStop/>
    <w:allowSpaceOfSameStyleInTable/>
    <w:splitPgBreakAndParaMark/>
    <w:useAnsiKerningPairs/>
  </w:compat>
  <w:rsids>
    <w:rsidRoot w:val="00885BDB"/>
    <w:rsid w:val="00005654"/>
    <w:rsid w:val="00021693"/>
    <w:rsid w:val="000262B7"/>
    <w:rsid w:val="0003257E"/>
    <w:rsid w:val="00033E8D"/>
    <w:rsid w:val="00040396"/>
    <w:rsid w:val="00055C27"/>
    <w:rsid w:val="000612B8"/>
    <w:rsid w:val="000707BB"/>
    <w:rsid w:val="00085C8B"/>
    <w:rsid w:val="000933C6"/>
    <w:rsid w:val="000C313C"/>
    <w:rsid w:val="000C526B"/>
    <w:rsid w:val="000C530E"/>
    <w:rsid w:val="000C65A8"/>
    <w:rsid w:val="000C7914"/>
    <w:rsid w:val="000F0181"/>
    <w:rsid w:val="000F1584"/>
    <w:rsid w:val="000F267B"/>
    <w:rsid w:val="000F4F81"/>
    <w:rsid w:val="00111D7E"/>
    <w:rsid w:val="0011412E"/>
    <w:rsid w:val="00116DA3"/>
    <w:rsid w:val="00123D92"/>
    <w:rsid w:val="0012796C"/>
    <w:rsid w:val="00132202"/>
    <w:rsid w:val="001422CC"/>
    <w:rsid w:val="001527E1"/>
    <w:rsid w:val="00182246"/>
    <w:rsid w:val="00183585"/>
    <w:rsid w:val="001971C8"/>
    <w:rsid w:val="001C144D"/>
    <w:rsid w:val="001D769C"/>
    <w:rsid w:val="001E36A2"/>
    <w:rsid w:val="001F14DC"/>
    <w:rsid w:val="001F3290"/>
    <w:rsid w:val="002027A5"/>
    <w:rsid w:val="00225A01"/>
    <w:rsid w:val="002527C9"/>
    <w:rsid w:val="00256B65"/>
    <w:rsid w:val="002840DF"/>
    <w:rsid w:val="00286F0F"/>
    <w:rsid w:val="002A2469"/>
    <w:rsid w:val="002B007B"/>
    <w:rsid w:val="002C60CC"/>
    <w:rsid w:val="002D2D98"/>
    <w:rsid w:val="002D6714"/>
    <w:rsid w:val="002F0C54"/>
    <w:rsid w:val="003120F7"/>
    <w:rsid w:val="00315658"/>
    <w:rsid w:val="00321CB6"/>
    <w:rsid w:val="00352347"/>
    <w:rsid w:val="003561CB"/>
    <w:rsid w:val="00361686"/>
    <w:rsid w:val="00365324"/>
    <w:rsid w:val="0036664E"/>
    <w:rsid w:val="00383524"/>
    <w:rsid w:val="00394053"/>
    <w:rsid w:val="003A6643"/>
    <w:rsid w:val="003B534F"/>
    <w:rsid w:val="003C6BB6"/>
    <w:rsid w:val="003D4905"/>
    <w:rsid w:val="003E31D3"/>
    <w:rsid w:val="004342D1"/>
    <w:rsid w:val="004367C0"/>
    <w:rsid w:val="00442D9E"/>
    <w:rsid w:val="004466C1"/>
    <w:rsid w:val="004A0729"/>
    <w:rsid w:val="004B7086"/>
    <w:rsid w:val="004C4216"/>
    <w:rsid w:val="004D1A59"/>
    <w:rsid w:val="00503C39"/>
    <w:rsid w:val="00512966"/>
    <w:rsid w:val="005208A1"/>
    <w:rsid w:val="0052595E"/>
    <w:rsid w:val="00533E55"/>
    <w:rsid w:val="00534A8F"/>
    <w:rsid w:val="00540CB4"/>
    <w:rsid w:val="00546A07"/>
    <w:rsid w:val="005651A6"/>
    <w:rsid w:val="005706DF"/>
    <w:rsid w:val="005748D2"/>
    <w:rsid w:val="00575ADB"/>
    <w:rsid w:val="00577A9E"/>
    <w:rsid w:val="00583F43"/>
    <w:rsid w:val="00596471"/>
    <w:rsid w:val="005B50FF"/>
    <w:rsid w:val="005D0D77"/>
    <w:rsid w:val="005E27C4"/>
    <w:rsid w:val="00603B06"/>
    <w:rsid w:val="00604640"/>
    <w:rsid w:val="0061461E"/>
    <w:rsid w:val="00616005"/>
    <w:rsid w:val="00617E75"/>
    <w:rsid w:val="006404CE"/>
    <w:rsid w:val="006574C7"/>
    <w:rsid w:val="00662ED4"/>
    <w:rsid w:val="00663B7B"/>
    <w:rsid w:val="00671158"/>
    <w:rsid w:val="006752A3"/>
    <w:rsid w:val="006757AB"/>
    <w:rsid w:val="00691B9A"/>
    <w:rsid w:val="006A0FEA"/>
    <w:rsid w:val="006A3BF2"/>
    <w:rsid w:val="006B206F"/>
    <w:rsid w:val="006C043E"/>
    <w:rsid w:val="006C5FF3"/>
    <w:rsid w:val="006D6BCB"/>
    <w:rsid w:val="006E1F1A"/>
    <w:rsid w:val="006E7611"/>
    <w:rsid w:val="006F725C"/>
    <w:rsid w:val="00724D2B"/>
    <w:rsid w:val="00740D39"/>
    <w:rsid w:val="00745D34"/>
    <w:rsid w:val="007535F3"/>
    <w:rsid w:val="00754288"/>
    <w:rsid w:val="00754DE6"/>
    <w:rsid w:val="0075698C"/>
    <w:rsid w:val="00756AD6"/>
    <w:rsid w:val="00756B83"/>
    <w:rsid w:val="0076116D"/>
    <w:rsid w:val="00785B9E"/>
    <w:rsid w:val="007A614D"/>
    <w:rsid w:val="007D4097"/>
    <w:rsid w:val="007D551F"/>
    <w:rsid w:val="008274BA"/>
    <w:rsid w:val="00850075"/>
    <w:rsid w:val="008658C0"/>
    <w:rsid w:val="008843D2"/>
    <w:rsid w:val="008859C5"/>
    <w:rsid w:val="00885BDB"/>
    <w:rsid w:val="00891342"/>
    <w:rsid w:val="008A7B3A"/>
    <w:rsid w:val="008C05FA"/>
    <w:rsid w:val="008C79FF"/>
    <w:rsid w:val="008D75DE"/>
    <w:rsid w:val="008F63DC"/>
    <w:rsid w:val="008F677E"/>
    <w:rsid w:val="00921EA2"/>
    <w:rsid w:val="009229FE"/>
    <w:rsid w:val="009379FC"/>
    <w:rsid w:val="00943F3B"/>
    <w:rsid w:val="00955277"/>
    <w:rsid w:val="009617C1"/>
    <w:rsid w:val="00984D6F"/>
    <w:rsid w:val="009B3C2E"/>
    <w:rsid w:val="009B7D0F"/>
    <w:rsid w:val="009C3093"/>
    <w:rsid w:val="009D08FC"/>
    <w:rsid w:val="009D703D"/>
    <w:rsid w:val="009D7217"/>
    <w:rsid w:val="009D73D1"/>
    <w:rsid w:val="009E094C"/>
    <w:rsid w:val="00A04902"/>
    <w:rsid w:val="00A118E3"/>
    <w:rsid w:val="00A12086"/>
    <w:rsid w:val="00A40096"/>
    <w:rsid w:val="00A401F4"/>
    <w:rsid w:val="00A73628"/>
    <w:rsid w:val="00AA6A23"/>
    <w:rsid w:val="00AC05F6"/>
    <w:rsid w:val="00AC1D0C"/>
    <w:rsid w:val="00AC2A3D"/>
    <w:rsid w:val="00AE2F0D"/>
    <w:rsid w:val="00AF21A3"/>
    <w:rsid w:val="00B056DC"/>
    <w:rsid w:val="00B1156E"/>
    <w:rsid w:val="00B24B6B"/>
    <w:rsid w:val="00B62CFA"/>
    <w:rsid w:val="00BA2317"/>
    <w:rsid w:val="00BA5EDF"/>
    <w:rsid w:val="00BE7952"/>
    <w:rsid w:val="00BF46DE"/>
    <w:rsid w:val="00C03ABB"/>
    <w:rsid w:val="00C22708"/>
    <w:rsid w:val="00C264F4"/>
    <w:rsid w:val="00C350B9"/>
    <w:rsid w:val="00C5679C"/>
    <w:rsid w:val="00C90C27"/>
    <w:rsid w:val="00C93E81"/>
    <w:rsid w:val="00CA0005"/>
    <w:rsid w:val="00CA1907"/>
    <w:rsid w:val="00CD06A6"/>
    <w:rsid w:val="00CD334B"/>
    <w:rsid w:val="00CD712D"/>
    <w:rsid w:val="00CE75FB"/>
    <w:rsid w:val="00CF2198"/>
    <w:rsid w:val="00CF3084"/>
    <w:rsid w:val="00D03434"/>
    <w:rsid w:val="00D0717A"/>
    <w:rsid w:val="00D211D6"/>
    <w:rsid w:val="00D72F30"/>
    <w:rsid w:val="00D815E0"/>
    <w:rsid w:val="00D97437"/>
    <w:rsid w:val="00DB1A3F"/>
    <w:rsid w:val="00DD22F9"/>
    <w:rsid w:val="00DD2AAD"/>
    <w:rsid w:val="00DD4142"/>
    <w:rsid w:val="00DD63E5"/>
    <w:rsid w:val="00DE337E"/>
    <w:rsid w:val="00DF139A"/>
    <w:rsid w:val="00E43043"/>
    <w:rsid w:val="00E46AAC"/>
    <w:rsid w:val="00E50042"/>
    <w:rsid w:val="00E676EB"/>
    <w:rsid w:val="00E70C97"/>
    <w:rsid w:val="00E7631B"/>
    <w:rsid w:val="00E76615"/>
    <w:rsid w:val="00E84C08"/>
    <w:rsid w:val="00E97188"/>
    <w:rsid w:val="00EA3F74"/>
    <w:rsid w:val="00EA73C8"/>
    <w:rsid w:val="00EB19AB"/>
    <w:rsid w:val="00ED019B"/>
    <w:rsid w:val="00EF521E"/>
    <w:rsid w:val="00F11A5F"/>
    <w:rsid w:val="00F22ECA"/>
    <w:rsid w:val="00F27F82"/>
    <w:rsid w:val="00F62129"/>
    <w:rsid w:val="00F77855"/>
    <w:rsid w:val="00F827E6"/>
    <w:rsid w:val="00F93732"/>
    <w:rsid w:val="00F95A16"/>
    <w:rsid w:val="00FA191F"/>
    <w:rsid w:val="00FA5EE1"/>
    <w:rsid w:val="00FA6F08"/>
    <w:rsid w:val="00FB7B66"/>
    <w:rsid w:val="00FC589D"/>
    <w:rsid w:val="00FD5031"/>
    <w:rsid w:val="00FE2E9F"/>
    <w:rsid w:val="00FE4847"/>
    <w:rsid w:val="00FF13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5B50FF"/>
    <w:pPr>
      <w:keepNext/>
      <w:jc w:val="left"/>
      <w:outlineLvl w:val="0"/>
    </w:pPr>
    <w:rPr>
      <w:rFonts w:ascii="Arial Narrow" w:hAnsi="Arial Narrow"/>
      <w:b/>
      <w:bCs/>
      <w:sz w:val="22"/>
    </w:rPr>
  </w:style>
  <w:style w:type="paragraph" w:styleId="Heading2">
    <w:name w:val="heading 2"/>
    <w:basedOn w:val="Normal"/>
    <w:next w:val="Normal"/>
    <w:link w:val="Nadpis2Char"/>
    <w:uiPriority w:val="99"/>
    <w:qFormat/>
    <w:rsid w:val="005B50FF"/>
    <w:pPr>
      <w:keepNext/>
      <w:jc w:val="both"/>
      <w:outlineLvl w:val="1"/>
    </w:pPr>
    <w:rPr>
      <w:rFonts w:ascii="Arial Narrow" w:hAnsi="Arial Narrow"/>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rPr>
  </w:style>
  <w:style w:type="paragraph" w:styleId="BodyTextIndent">
    <w:name w:val="Body Text Indent"/>
    <w:basedOn w:val="Normal"/>
    <w:link w:val="ZarkazkladnhotextuChar"/>
    <w:uiPriority w:val="99"/>
    <w:semiHidden/>
    <w:rsid w:val="00885BDB"/>
    <w:pPr>
      <w:ind w:firstLine="709"/>
      <w:jc w:val="both"/>
    </w:pPr>
    <w:rPr>
      <w:szCs w:val="20"/>
    </w:rPr>
  </w:style>
  <w:style w:type="character" w:customStyle="1" w:styleId="ZarkazkladnhotextuChar">
    <w:name w:val="Zarážka základného textu Char"/>
    <w:basedOn w:val="DefaultParagraphFont"/>
    <w:link w:val="BodyTextIndent"/>
    <w:uiPriority w:val="99"/>
    <w:semiHidden/>
    <w:locked/>
    <w:rsid w:val="00885BDB"/>
    <w:rPr>
      <w:rFonts w:cs="Times New Roman"/>
      <w:sz w:val="24"/>
      <w:rtl w:val="0"/>
      <w:cs w:val="0"/>
      <w:lang w:val="sk-SK" w:eastAsia="sk-SK" w:bidi="ar-SA"/>
    </w:rPr>
  </w:style>
  <w:style w:type="paragraph" w:styleId="BodyTextIndent3">
    <w:name w:val="Body Text Indent 3"/>
    <w:basedOn w:val="Normal"/>
    <w:link w:val="Zarkazkladnhotextu3Char"/>
    <w:uiPriority w:val="99"/>
    <w:rsid w:val="005B50F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semiHidden/>
    <w:rsid w:val="00885BDB"/>
    <w:pPr>
      <w:jc w:val="both"/>
    </w:pPr>
    <w:rPr>
      <w:rFonts w:ascii="Arial Narrow" w:hAnsi="Arial Narrow"/>
      <w:sz w:val="22"/>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Zkladntext">
    <w:name w:val="Základní text"/>
    <w:uiPriority w:val="99"/>
    <w:rsid w:val="00885BDB"/>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odyText">
    <w:name w:val="Body Text"/>
    <w:basedOn w:val="Normal"/>
    <w:link w:val="ZkladntextChar"/>
    <w:uiPriority w:val="99"/>
    <w:rsid w:val="005B50FF"/>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Title">
    <w:name w:val="Title"/>
    <w:basedOn w:val="Normal"/>
    <w:link w:val="NzovChar"/>
    <w:uiPriority w:val="99"/>
    <w:qFormat/>
    <w:rsid w:val="005B50FF"/>
    <w:pPr>
      <w:jc w:val="center"/>
    </w:pPr>
    <w:rPr>
      <w:b/>
      <w:bCs/>
    </w:rPr>
  </w:style>
  <w:style w:type="character" w:customStyle="1" w:styleId="NzovChar">
    <w:name w:val="Názov Char"/>
    <w:basedOn w:val="DefaultParagraphFont"/>
    <w:link w:val="Title"/>
    <w:uiPriority w:val="99"/>
    <w:locked/>
    <w:rPr>
      <w:rFonts w:ascii="Cambria" w:hAnsi="Cambria" w:cs="Times New Roman"/>
      <w:b/>
      <w:bCs/>
      <w:kern w:val="28"/>
      <w:sz w:val="32"/>
      <w:szCs w:val="32"/>
      <w:rtl w:val="0"/>
      <w:cs w:val="0"/>
    </w:rPr>
  </w:style>
  <w:style w:type="character" w:styleId="Emphasis">
    <w:name w:val="Emphasis"/>
    <w:basedOn w:val="DefaultParagraphFont"/>
    <w:uiPriority w:val="99"/>
    <w:qFormat/>
    <w:rsid w:val="005B50FF"/>
    <w:rPr>
      <w:rFonts w:cs="Times New Roman"/>
      <w:i/>
      <w:iCs/>
      <w:rtl w:val="0"/>
      <w:cs w:val="0"/>
    </w:rPr>
  </w:style>
  <w:style w:type="paragraph" w:styleId="Footer">
    <w:name w:val="footer"/>
    <w:basedOn w:val="Normal"/>
    <w:link w:val="PtaChar"/>
    <w:uiPriority w:val="99"/>
    <w:rsid w:val="005B50FF"/>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5B50FF"/>
    <w:rPr>
      <w:rFonts w:cs="Times New Roman"/>
      <w:rtl w:val="0"/>
      <w:cs w:val="0"/>
    </w:rPr>
  </w:style>
  <w:style w:type="paragraph" w:customStyle="1" w:styleId="c02alineaalta">
    <w:name w:val="c02alineaalta"/>
    <w:basedOn w:val="Normal"/>
    <w:uiPriority w:val="99"/>
    <w:rsid w:val="00B24B6B"/>
    <w:pPr>
      <w:spacing w:after="240"/>
      <w:ind w:left="567"/>
      <w:jc w:val="both"/>
    </w:pPr>
    <w:rPr>
      <w:rFonts w:ascii="Arial" w:hAnsi="Arial" w:cs="Arial"/>
      <w:sz w:val="22"/>
      <w:szCs w:val="22"/>
    </w:rPr>
  </w:style>
  <w:style w:type="character" w:styleId="PlaceholderText">
    <w:name w:val="Placeholder Text"/>
    <w:basedOn w:val="DefaultParagraphFont"/>
    <w:uiPriority w:val="99"/>
    <w:semiHidden/>
    <w:rsid w:val="00754288"/>
    <w:rPr>
      <w:rFonts w:ascii="Times New Roman" w:hAnsi="Times New Roman" w:cs="Times New Roman"/>
      <w:color w:val="808080"/>
      <w:rtl w:val="0"/>
      <w:cs w:val="0"/>
    </w:rPr>
  </w:style>
  <w:style w:type="paragraph" w:customStyle="1" w:styleId="Default">
    <w:name w:val="Default"/>
    <w:rsid w:val="003B534F"/>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Header">
    <w:name w:val="header"/>
    <w:basedOn w:val="Normal"/>
    <w:link w:val="HlavikaChar"/>
    <w:uiPriority w:val="99"/>
    <w:semiHidden/>
    <w:unhideWhenUsed/>
    <w:rsid w:val="00546A07"/>
    <w:pPr>
      <w:tabs>
        <w:tab w:val="center" w:pos="4536"/>
        <w:tab w:val="right" w:pos="9072"/>
      </w:tabs>
      <w:jc w:val="left"/>
    </w:pPr>
  </w:style>
  <w:style w:type="character" w:customStyle="1" w:styleId="HlavikaChar">
    <w:name w:val="Hlavička Char"/>
    <w:basedOn w:val="DefaultParagraphFont"/>
    <w:link w:val="Header"/>
    <w:uiPriority w:val="99"/>
    <w:semiHidden/>
    <w:locked/>
    <w:rsid w:val="00546A07"/>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12</Pages>
  <Words>3861</Words>
  <Characters>20903</Characters>
  <Application>Microsoft Office Word</Application>
  <DocSecurity>0</DocSecurity>
  <Lines>0</Lines>
  <Paragraphs>0</Paragraphs>
  <ScaleCrop>false</ScaleCrop>
  <Company>mfsr</Company>
  <LinksUpToDate>false</LinksUpToDate>
  <CharactersWithSpaces>24715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Všeobecná časť</dc:title>
  <dc:creator>lrybansky</dc:creator>
  <cp:lastModifiedBy>lrybansky</cp:lastModifiedBy>
  <cp:revision>5</cp:revision>
  <cp:lastPrinted>2010-09-22T15:58:00Z</cp:lastPrinted>
  <dcterms:created xsi:type="dcterms:W3CDTF">2010-09-22T12:53:00Z</dcterms:created>
  <dcterms:modified xsi:type="dcterms:W3CDTF">2010-09-22T15:58:00Z</dcterms:modified>
</cp:coreProperties>
</file>