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0CDA" w:rsidP="000B0CDA">
      <w:pPr>
        <w:pStyle w:val="Title"/>
        <w:bidi w:val="0"/>
        <w:rPr>
          <w:rFonts w:ascii="Times New Roman" w:hAnsi="Times New Roman" w:cs="Times New Roman"/>
          <w:sz w:val="24"/>
          <w:szCs w:val="24"/>
        </w:rPr>
      </w:pPr>
      <w:r>
        <w:rPr>
          <w:rFonts w:ascii="Times New Roman" w:hAnsi="Times New Roman" w:cs="Times New Roman"/>
          <w:sz w:val="24"/>
          <w:szCs w:val="24"/>
        </w:rPr>
        <w:t>NÁRODNÁ RADA SLOVENSKEJ REPUBLIKY</w:t>
      </w:r>
    </w:p>
    <w:p w:rsidR="000B0CDA" w:rsidP="000B0CDA">
      <w:pPr>
        <w:pStyle w:val="Title"/>
        <w:bidi w:val="0"/>
        <w:spacing w:line="240" w:lineRule="atLeast"/>
        <w:rPr>
          <w:rFonts w:ascii="Times New Roman" w:hAnsi="Times New Roman" w:cs="Times New Roman"/>
          <w:b w:val="0"/>
          <w:sz w:val="24"/>
          <w:szCs w:val="24"/>
        </w:rPr>
      </w:pPr>
      <w:r>
        <w:rPr>
          <w:rFonts w:ascii="Times New Roman" w:hAnsi="Times New Roman" w:cs="Times New Roman"/>
          <w:b w:val="0"/>
          <w:sz w:val="24"/>
          <w:szCs w:val="24"/>
        </w:rPr>
        <w:t>VI. volebné obdobie</w:t>
      </w:r>
    </w:p>
    <w:p w:rsidR="000B0CDA" w:rsidP="000B0CDA">
      <w:pPr>
        <w:pStyle w:val="Title"/>
        <w:bidi w:val="0"/>
        <w:spacing w:line="240" w:lineRule="atLeast"/>
        <w:rPr>
          <w:rFonts w:ascii="Times New Roman" w:hAnsi="Times New Roman" w:cs="Times New Roman"/>
          <w:b w:val="0"/>
          <w:sz w:val="24"/>
          <w:szCs w:val="24"/>
        </w:rPr>
      </w:pPr>
      <w:r>
        <w:rPr>
          <w:rFonts w:ascii="Times New Roman" w:hAnsi="Times New Roman" w:cs="Times New Roman"/>
          <w:b w:val="0"/>
          <w:sz w:val="24"/>
          <w:szCs w:val="24"/>
        </w:rPr>
        <w:t>___________________________________________________________________________</w:t>
      </w:r>
    </w:p>
    <w:p w:rsidR="000B0CDA" w:rsidRPr="0068554E" w:rsidP="000B0CDA">
      <w:pPr>
        <w:pStyle w:val="Title"/>
        <w:bidi w:val="0"/>
        <w:rPr>
          <w:rFonts w:ascii="Times New Roman" w:hAnsi="Times New Roman" w:cs="Times New Roman"/>
          <w:sz w:val="12"/>
          <w:szCs w:val="12"/>
        </w:rPr>
      </w:pPr>
    </w:p>
    <w:p w:rsidR="000B0CDA" w:rsidP="000B0CDA">
      <w:pPr>
        <w:pStyle w:val="Title"/>
        <w:bidi w:val="0"/>
        <w:rPr>
          <w:rFonts w:ascii="Times New Roman" w:hAnsi="Times New Roman" w:cs="Times New Roman"/>
          <w:sz w:val="24"/>
          <w:szCs w:val="24"/>
        </w:rPr>
      </w:pPr>
    </w:p>
    <w:p w:rsidR="000B0CDA" w:rsidRPr="00B016DF" w:rsidP="000B0CDA">
      <w:pPr>
        <w:pStyle w:val="Title"/>
        <w:bidi w:val="0"/>
        <w:rPr>
          <w:rFonts w:ascii="Times New Roman" w:hAnsi="Times New Roman" w:cs="Times New Roman"/>
          <w:sz w:val="24"/>
          <w:szCs w:val="24"/>
        </w:rPr>
      </w:pPr>
      <w:r>
        <w:rPr>
          <w:rFonts w:ascii="Times New Roman" w:hAnsi="Times New Roman" w:cs="Times New Roman"/>
          <w:sz w:val="24"/>
          <w:szCs w:val="24"/>
        </w:rPr>
        <w:t>711</w:t>
      </w:r>
    </w:p>
    <w:p w:rsidR="000B0CDA" w:rsidP="000B0CDA">
      <w:pPr>
        <w:pStyle w:val="Title"/>
        <w:bidi w:val="0"/>
        <w:rPr>
          <w:rFonts w:ascii="Times New Roman" w:hAnsi="Times New Roman" w:cs="Times New Roman"/>
          <w:sz w:val="24"/>
          <w:szCs w:val="24"/>
        </w:rPr>
      </w:pPr>
    </w:p>
    <w:p w:rsidR="000B0CDA" w:rsidP="000B0CDA">
      <w:pPr>
        <w:bidi w:val="0"/>
        <w:jc w:val="center"/>
        <w:rPr>
          <w:rFonts w:ascii="Times New Roman" w:hAnsi="Times New Roman"/>
          <w:b/>
          <w:bCs/>
        </w:rPr>
      </w:pPr>
      <w:r>
        <w:rPr>
          <w:rFonts w:ascii="Times New Roman" w:hAnsi="Times New Roman"/>
          <w:b/>
          <w:bCs/>
        </w:rPr>
        <w:t>VLÁDNY NÁVRH</w:t>
      </w:r>
    </w:p>
    <w:p w:rsidR="000B0CDA" w:rsidP="000B0CDA">
      <w:pPr>
        <w:bidi w:val="0"/>
        <w:jc w:val="center"/>
        <w:rPr>
          <w:rFonts w:ascii="Times New Roman" w:hAnsi="Times New Roman"/>
          <w:b/>
          <w:bCs/>
        </w:rPr>
      </w:pPr>
    </w:p>
    <w:p w:rsidR="004F3657" w:rsidRPr="009B5A3A" w:rsidP="005275B0">
      <w:pPr>
        <w:tabs>
          <w:tab w:val="left" w:pos="426"/>
        </w:tabs>
        <w:bidi w:val="0"/>
        <w:spacing w:before="240"/>
        <w:contextualSpacing/>
        <w:jc w:val="center"/>
        <w:rPr>
          <w:rFonts w:ascii="Times New Roman" w:hAnsi="Times New Roman"/>
          <w:b/>
        </w:rPr>
      </w:pPr>
      <w:r w:rsidRPr="009B5A3A">
        <w:rPr>
          <w:rFonts w:ascii="Times New Roman" w:hAnsi="Times New Roman"/>
          <w:b/>
        </w:rPr>
        <w:t>N á v r h</w:t>
      </w:r>
    </w:p>
    <w:p w:rsidR="00C448DA" w:rsidRPr="009B5A3A" w:rsidP="005275B0">
      <w:pPr>
        <w:tabs>
          <w:tab w:val="left" w:pos="426"/>
        </w:tabs>
        <w:bidi w:val="0"/>
        <w:spacing w:before="240"/>
        <w:contextualSpacing/>
        <w:jc w:val="center"/>
        <w:rPr>
          <w:rFonts w:ascii="Times New Roman" w:hAnsi="Times New Roman"/>
          <w:b/>
        </w:rPr>
      </w:pPr>
    </w:p>
    <w:p w:rsidR="004F3657" w:rsidRPr="009B5A3A" w:rsidP="005275B0">
      <w:pPr>
        <w:tabs>
          <w:tab w:val="left" w:pos="426"/>
        </w:tabs>
        <w:bidi w:val="0"/>
        <w:spacing w:before="240"/>
        <w:contextualSpacing/>
        <w:jc w:val="center"/>
        <w:rPr>
          <w:rFonts w:ascii="Times New Roman" w:hAnsi="Times New Roman"/>
          <w:b/>
        </w:rPr>
      </w:pPr>
      <w:r w:rsidRPr="009B5A3A">
        <w:rPr>
          <w:rFonts w:ascii="Times New Roman" w:hAnsi="Times New Roman"/>
          <w:b/>
        </w:rPr>
        <w:t>Z</w:t>
      </w:r>
      <w:r w:rsidRPr="009B5A3A" w:rsidR="00D842E9">
        <w:rPr>
          <w:rFonts w:ascii="Times New Roman" w:hAnsi="Times New Roman"/>
          <w:b/>
        </w:rPr>
        <w:t> Á K O N</w:t>
      </w:r>
      <w:r w:rsidRPr="009B5A3A">
        <w:rPr>
          <w:rFonts w:ascii="Times New Roman" w:hAnsi="Times New Roman"/>
          <w:b/>
        </w:rPr>
        <w:t xml:space="preserve"> </w:t>
      </w:r>
    </w:p>
    <w:p w:rsidR="004F3657" w:rsidRPr="009B5A3A" w:rsidP="005275B0">
      <w:pPr>
        <w:tabs>
          <w:tab w:val="left" w:pos="426"/>
        </w:tabs>
        <w:bidi w:val="0"/>
        <w:spacing w:before="240"/>
        <w:contextualSpacing/>
        <w:jc w:val="center"/>
        <w:rPr>
          <w:rFonts w:ascii="Times New Roman" w:hAnsi="Times New Roman"/>
          <w:b/>
        </w:rPr>
      </w:pPr>
    </w:p>
    <w:p w:rsidR="004F3657" w:rsidRPr="009B5A3A" w:rsidP="005275B0">
      <w:pPr>
        <w:tabs>
          <w:tab w:val="left" w:pos="426"/>
        </w:tabs>
        <w:bidi w:val="0"/>
        <w:spacing w:before="240"/>
        <w:contextualSpacing/>
        <w:jc w:val="center"/>
        <w:rPr>
          <w:rFonts w:ascii="Times New Roman" w:hAnsi="Times New Roman"/>
          <w:b/>
        </w:rPr>
      </w:pPr>
      <w:r w:rsidRPr="009B5A3A" w:rsidR="003544ED">
        <w:rPr>
          <w:rFonts w:ascii="Times New Roman" w:hAnsi="Times New Roman"/>
          <w:b/>
        </w:rPr>
        <w:t>z ... 2013</w:t>
      </w:r>
      <w:r w:rsidRPr="009B5A3A">
        <w:rPr>
          <w:rFonts w:ascii="Times New Roman" w:hAnsi="Times New Roman"/>
          <w:b/>
        </w:rPr>
        <w:t xml:space="preserve">, </w:t>
      </w:r>
    </w:p>
    <w:p w:rsidR="004F3657" w:rsidRPr="009B5A3A" w:rsidP="005275B0">
      <w:pPr>
        <w:tabs>
          <w:tab w:val="left" w:pos="426"/>
        </w:tabs>
        <w:bidi w:val="0"/>
        <w:spacing w:before="240"/>
        <w:contextualSpacing/>
        <w:jc w:val="center"/>
        <w:rPr>
          <w:rFonts w:ascii="Times New Roman" w:hAnsi="Times New Roman"/>
          <w:b/>
        </w:rPr>
      </w:pPr>
    </w:p>
    <w:p w:rsidR="004F3657" w:rsidRPr="009B5A3A" w:rsidP="005275B0">
      <w:pPr>
        <w:tabs>
          <w:tab w:val="left" w:pos="426"/>
        </w:tabs>
        <w:bidi w:val="0"/>
        <w:spacing w:before="240"/>
        <w:contextualSpacing/>
        <w:jc w:val="center"/>
        <w:rPr>
          <w:rFonts w:ascii="Times New Roman" w:hAnsi="Times New Roman"/>
          <w:b/>
        </w:rPr>
      </w:pPr>
      <w:r w:rsidRPr="009B5A3A">
        <w:rPr>
          <w:rFonts w:ascii="Times New Roman" w:hAnsi="Times New Roman"/>
          <w:b/>
        </w:rPr>
        <w:t>ktorým sa mení a dopĺňa zákon č. 523/2004 Z. z. o rozpočtových pravidlách verejnej správy a o zmene a doplnení niektorých zákonov v znení neskorších predpisov</w:t>
      </w:r>
      <w:r w:rsidRPr="009B5A3A" w:rsidR="00E85AF3">
        <w:rPr>
          <w:rFonts w:ascii="Times New Roman" w:hAnsi="Times New Roman"/>
          <w:b/>
        </w:rPr>
        <w:t xml:space="preserve"> a ktorým sa dopĺňajú niektoré zákony</w:t>
      </w:r>
      <w:r w:rsidRPr="009B5A3A">
        <w:rPr>
          <w:rFonts w:ascii="Times New Roman" w:hAnsi="Times New Roman"/>
          <w:b/>
        </w:rPr>
        <w:t xml:space="preserve"> </w:t>
      </w:r>
    </w:p>
    <w:p w:rsidR="004F3657" w:rsidRPr="009B5A3A" w:rsidP="005275B0">
      <w:pPr>
        <w:tabs>
          <w:tab w:val="left" w:pos="426"/>
        </w:tabs>
        <w:bidi w:val="0"/>
        <w:spacing w:before="240"/>
        <w:contextualSpacing/>
        <w:rPr>
          <w:rFonts w:ascii="Times New Roman" w:hAnsi="Times New Roman"/>
          <w:b/>
        </w:rPr>
      </w:pPr>
    </w:p>
    <w:p w:rsidR="004F3657" w:rsidRPr="009B5A3A" w:rsidP="005275B0">
      <w:pPr>
        <w:tabs>
          <w:tab w:val="left" w:pos="426"/>
        </w:tabs>
        <w:bidi w:val="0"/>
        <w:spacing w:before="240"/>
        <w:contextualSpacing/>
        <w:rPr>
          <w:rFonts w:ascii="Times New Roman" w:hAnsi="Times New Roman"/>
        </w:rPr>
      </w:pPr>
      <w:r w:rsidRPr="009B5A3A">
        <w:rPr>
          <w:rFonts w:ascii="Times New Roman" w:hAnsi="Times New Roman"/>
        </w:rPr>
        <w:t>Národná rada Slovenskej republiky sa uzniesla na tomto zákone:</w:t>
      </w:r>
    </w:p>
    <w:p w:rsidR="004F3657" w:rsidRPr="009B5A3A" w:rsidP="005275B0">
      <w:pPr>
        <w:tabs>
          <w:tab w:val="left" w:pos="426"/>
        </w:tabs>
        <w:bidi w:val="0"/>
        <w:spacing w:before="240"/>
        <w:contextualSpacing/>
        <w:jc w:val="center"/>
        <w:rPr>
          <w:rFonts w:ascii="Times New Roman" w:hAnsi="Times New Roman"/>
          <w:b/>
        </w:rPr>
      </w:pPr>
    </w:p>
    <w:p w:rsidR="004F3657" w:rsidRPr="009B5A3A" w:rsidP="005275B0">
      <w:pPr>
        <w:tabs>
          <w:tab w:val="left" w:pos="426"/>
        </w:tabs>
        <w:bidi w:val="0"/>
        <w:spacing w:before="240"/>
        <w:contextualSpacing/>
        <w:jc w:val="center"/>
        <w:rPr>
          <w:rFonts w:ascii="Times New Roman" w:hAnsi="Times New Roman"/>
        </w:rPr>
      </w:pPr>
      <w:r w:rsidRPr="009B5A3A">
        <w:rPr>
          <w:rFonts w:ascii="Times New Roman" w:hAnsi="Times New Roman"/>
        </w:rPr>
        <w:t>Čl. I</w:t>
      </w:r>
    </w:p>
    <w:p w:rsidR="00570C37" w:rsidRPr="009B5A3A" w:rsidP="005275B0">
      <w:pPr>
        <w:tabs>
          <w:tab w:val="left" w:pos="426"/>
        </w:tabs>
        <w:bidi w:val="0"/>
        <w:spacing w:before="240"/>
        <w:contextualSpacing/>
        <w:jc w:val="center"/>
        <w:rPr>
          <w:rFonts w:ascii="Times New Roman" w:hAnsi="Times New Roman"/>
        </w:rPr>
      </w:pPr>
    </w:p>
    <w:p w:rsidR="00A37E58" w:rsidRPr="009B5A3A" w:rsidP="005275B0">
      <w:pPr>
        <w:tabs>
          <w:tab w:val="left" w:pos="0"/>
          <w:tab w:val="left" w:pos="426"/>
        </w:tabs>
        <w:bidi w:val="0"/>
        <w:spacing w:before="240"/>
        <w:contextualSpacing/>
        <w:jc w:val="both"/>
        <w:rPr>
          <w:rFonts w:ascii="Times New Roman" w:hAnsi="Times New Roman"/>
          <w:bCs/>
          <w:color w:val="000000"/>
        </w:rPr>
      </w:pPr>
      <w:r w:rsidRPr="009B5A3A" w:rsidR="00BF6D44">
        <w:rPr>
          <w:rFonts w:ascii="Times New Roman" w:hAnsi="Times New Roman"/>
          <w:bCs/>
        </w:rPr>
        <w:t xml:space="preserve">Zákon č. </w:t>
      </w:r>
      <w:r w:rsidRPr="009B5A3A" w:rsidR="004F3657">
        <w:rPr>
          <w:rFonts w:ascii="Times New Roman" w:hAnsi="Times New Roman"/>
          <w:bCs/>
        </w:rPr>
        <w:t>523/2004 Z. z. o rozpočtových pravidlách verejnej správy a o zmene a doplnení niektorých zákonov v znení  zákona č.</w:t>
      </w:r>
      <w:r w:rsidRPr="009B5A3A" w:rsidR="004F3657">
        <w:rPr>
          <w:rFonts w:ascii="Times New Roman" w:hAnsi="Times New Roman"/>
          <w:bCs/>
          <w:color w:val="000000"/>
        </w:rPr>
        <w:t xml:space="preserve">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w:t>
      </w:r>
      <w:r w:rsidRPr="009B5A3A" w:rsidR="00613364">
        <w:rPr>
          <w:rFonts w:ascii="Times New Roman" w:hAnsi="Times New Roman"/>
          <w:bCs/>
          <w:color w:val="000000"/>
        </w:rPr>
        <w:t xml:space="preserve">zákona </w:t>
      </w:r>
      <w:r w:rsidRPr="009B5A3A" w:rsidR="00613364">
        <w:rPr>
          <w:rFonts w:ascii="Times New Roman" w:hAnsi="Times New Roman"/>
          <w:bCs/>
        </w:rPr>
        <w:t xml:space="preserve">č. 69/2012 Z. z., zákona č. 223/2012 Z. z., zákona č. 287/2012 Z. z. a zákona č. </w:t>
      </w:r>
      <w:r w:rsidRPr="009B5A3A" w:rsidR="007D4923">
        <w:rPr>
          <w:rFonts w:ascii="Times New Roman" w:hAnsi="Times New Roman"/>
          <w:bCs/>
        </w:rPr>
        <w:t>345/2012 Z. z.</w:t>
      </w:r>
      <w:r w:rsidRPr="009B5A3A" w:rsidR="006F3BD5">
        <w:rPr>
          <w:rFonts w:ascii="Times New Roman" w:hAnsi="Times New Roman"/>
          <w:bCs/>
        </w:rPr>
        <w:t xml:space="preserve"> </w:t>
      </w:r>
      <w:r w:rsidRPr="009B5A3A" w:rsidR="00613364">
        <w:rPr>
          <w:rFonts w:ascii="Times New Roman" w:hAnsi="Times New Roman"/>
          <w:bCs/>
        </w:rPr>
        <w:t>sa</w:t>
      </w:r>
      <w:r w:rsidRPr="009B5A3A" w:rsidR="00613364">
        <w:rPr>
          <w:rFonts w:ascii="Times New Roman" w:hAnsi="Times New Roman"/>
          <w:bCs/>
          <w:color w:val="000000"/>
        </w:rPr>
        <w:t xml:space="preserve"> mení a dopĺňa takto:    </w:t>
      </w:r>
    </w:p>
    <w:p w:rsidR="004F3657" w:rsidRPr="009B5A3A" w:rsidP="005275B0">
      <w:pPr>
        <w:tabs>
          <w:tab w:val="left" w:pos="426"/>
        </w:tabs>
        <w:bidi w:val="0"/>
        <w:jc w:val="both"/>
        <w:rPr>
          <w:rFonts w:ascii="Times New Roman" w:hAnsi="Times New Roman"/>
        </w:rPr>
      </w:pPr>
    </w:p>
    <w:p w:rsidR="00A12936" w:rsidRPr="009B5A3A" w:rsidP="005275B0">
      <w:pPr>
        <w:numPr>
          <w:numId w:val="7"/>
        </w:numPr>
        <w:tabs>
          <w:tab w:val="left" w:pos="0"/>
          <w:tab w:val="left" w:pos="284"/>
          <w:tab w:val="left" w:pos="426"/>
        </w:tabs>
        <w:bidi w:val="0"/>
        <w:ind w:left="0" w:right="22" w:firstLine="0"/>
        <w:contextualSpacing/>
        <w:jc w:val="both"/>
        <w:rPr>
          <w:rFonts w:ascii="Times New Roman" w:hAnsi="Times New Roman"/>
        </w:rPr>
      </w:pPr>
      <w:bookmarkStart w:id="0" w:name="OLE_LINK1"/>
      <w:bookmarkStart w:id="1" w:name="OLE_LINK2"/>
      <w:r w:rsidRPr="009B5A3A">
        <w:rPr>
          <w:rFonts w:ascii="Times New Roman" w:hAnsi="Times New Roman"/>
        </w:rPr>
        <w:t>V § 8 ods. 4 piata veta zn</w:t>
      </w:r>
      <w:r w:rsidRPr="009B5A3A" w:rsidR="0059478E">
        <w:rPr>
          <w:rFonts w:ascii="Times New Roman" w:hAnsi="Times New Roman"/>
        </w:rPr>
        <w:t>ie</w:t>
      </w:r>
      <w:r w:rsidRPr="009B5A3A">
        <w:rPr>
          <w:rFonts w:ascii="Times New Roman" w:hAnsi="Times New Roman"/>
        </w:rPr>
        <w:t>: „Bežné výdavky na úhradu dane z pridanej hodnoty podľa osobitného zákona,</w:t>
      </w:r>
      <w:r w:rsidRPr="009B5A3A">
        <w:rPr>
          <w:rFonts w:ascii="Times New Roman" w:hAnsi="Times New Roman"/>
          <w:vertAlign w:val="superscript"/>
        </w:rPr>
        <w:t>24a)</w:t>
      </w:r>
      <w:r w:rsidRPr="009B5A3A">
        <w:rPr>
          <w:rFonts w:ascii="Times New Roman" w:hAnsi="Times New Roman"/>
        </w:rPr>
        <w:t xml:space="preserve"> bežné výdavky na trvanlivé tovary a vybavenie na vojenské účely, na výstavbu vojenského charakteru a vojenských budov a bežné výdavky na program oficiálnej rozvojovej pomoci možno použiť na určený účel aj v nasledujúcich dvoch rozpočtových rokoch po rozpočtovom roku, na ktorý boli rozpočtované.“</w:t>
      </w:r>
      <w:r w:rsidRPr="009B5A3A" w:rsidR="00A33344">
        <w:rPr>
          <w:rFonts w:ascii="Times New Roman" w:hAnsi="Times New Roman"/>
        </w:rPr>
        <w:t xml:space="preserve"> a vypúšťa sa šiesta veta</w:t>
      </w:r>
      <w:r w:rsidRPr="009B5A3A">
        <w:rPr>
          <w:rFonts w:ascii="Times New Roman" w:hAnsi="Times New Roman"/>
        </w:rPr>
        <w:t>. </w:t>
      </w:r>
    </w:p>
    <w:p w:rsidR="00701A62" w:rsidRPr="009B5A3A" w:rsidP="005275B0">
      <w:pPr>
        <w:tabs>
          <w:tab w:val="left" w:pos="0"/>
          <w:tab w:val="left" w:pos="284"/>
          <w:tab w:val="left" w:pos="426"/>
        </w:tabs>
        <w:bidi w:val="0"/>
        <w:ind w:right="22"/>
        <w:contextualSpacing/>
        <w:jc w:val="both"/>
        <w:rPr>
          <w:rFonts w:ascii="Times New Roman" w:hAnsi="Times New Roman"/>
        </w:rPr>
      </w:pPr>
    </w:p>
    <w:p w:rsidR="00891153" w:rsidRPr="009B5A3A" w:rsidP="005275B0">
      <w:pPr>
        <w:numPr>
          <w:numId w:val="7"/>
        </w:numPr>
        <w:tabs>
          <w:tab w:val="left" w:pos="0"/>
          <w:tab w:val="left" w:pos="284"/>
          <w:tab w:val="left" w:pos="426"/>
        </w:tabs>
        <w:bidi w:val="0"/>
        <w:ind w:left="0" w:right="22" w:firstLine="0"/>
        <w:contextualSpacing/>
        <w:jc w:val="both"/>
        <w:rPr>
          <w:rFonts w:ascii="Times New Roman" w:hAnsi="Times New Roman"/>
        </w:rPr>
      </w:pPr>
      <w:r w:rsidRPr="009B5A3A" w:rsidR="00D006B0">
        <w:rPr>
          <w:rFonts w:ascii="Times New Roman" w:hAnsi="Times New Roman"/>
        </w:rPr>
        <w:t>V § 8 odsek</w:t>
      </w:r>
      <w:r w:rsidRPr="009B5A3A" w:rsidR="00255FA2">
        <w:rPr>
          <w:rFonts w:ascii="Times New Roman" w:hAnsi="Times New Roman"/>
        </w:rPr>
        <w:t xml:space="preserve"> 5 </w:t>
      </w:r>
      <w:r w:rsidRPr="009B5A3A" w:rsidR="006A45A2">
        <w:rPr>
          <w:rFonts w:ascii="Times New Roman" w:hAnsi="Times New Roman"/>
        </w:rPr>
        <w:t xml:space="preserve">znie: </w:t>
      </w:r>
    </w:p>
    <w:p w:rsidR="00701A62" w:rsidP="005275B0">
      <w:pPr>
        <w:tabs>
          <w:tab w:val="left" w:pos="0"/>
          <w:tab w:val="left" w:pos="284"/>
          <w:tab w:val="left" w:pos="426"/>
        </w:tabs>
        <w:bidi w:val="0"/>
        <w:ind w:right="22"/>
        <w:contextualSpacing/>
        <w:jc w:val="both"/>
        <w:rPr>
          <w:rFonts w:ascii="Times New Roman" w:hAnsi="Times New Roman"/>
        </w:rPr>
      </w:pPr>
      <w:r w:rsidRPr="009B5A3A" w:rsidR="006A45A2">
        <w:rPr>
          <w:rFonts w:ascii="Times New Roman" w:hAnsi="Times New Roman"/>
        </w:rPr>
        <w:t>„</w:t>
      </w:r>
      <w:r w:rsidRPr="009B5A3A" w:rsidR="00891153">
        <w:rPr>
          <w:rFonts w:ascii="Times New Roman" w:hAnsi="Times New Roman"/>
        </w:rPr>
        <w:t xml:space="preserve">(5) </w:t>
      </w:r>
      <w:r w:rsidRPr="009B5A3A" w:rsidR="006A45A2">
        <w:rPr>
          <w:rFonts w:ascii="Times New Roman" w:hAnsi="Times New Roman"/>
        </w:rPr>
        <w:t>Bežné výdavky s výnimkou miezd, platov, služobných príjmov a ostatn</w:t>
      </w:r>
      <w:r w:rsidRPr="009B5A3A" w:rsidR="009B5A3A">
        <w:rPr>
          <w:rFonts w:ascii="Times New Roman" w:hAnsi="Times New Roman"/>
        </w:rPr>
        <w:t xml:space="preserve">ých osobných vyrovnaní a odmien </w:t>
      </w:r>
      <w:r w:rsidRPr="009B5A3A" w:rsidR="006A45A2">
        <w:rPr>
          <w:rFonts w:ascii="Times New Roman" w:hAnsi="Times New Roman"/>
        </w:rPr>
        <w:t>vyplácaných na základe dohôd o prácach vykonávaný</w:t>
      </w:r>
      <w:r w:rsidRPr="009B5A3A" w:rsidR="009B5A3A">
        <w:rPr>
          <w:rFonts w:ascii="Times New Roman" w:hAnsi="Times New Roman"/>
        </w:rPr>
        <w:t>ch mimo pracovného pomeru,</w:t>
      </w:r>
      <w:r w:rsidRPr="009B5A3A" w:rsidR="006A45A2">
        <w:rPr>
          <w:rFonts w:ascii="Times New Roman" w:hAnsi="Times New Roman"/>
        </w:rPr>
        <w:t xml:space="preserve"> ktoré boli poskytnuté  právnickej osobe alebo fyzickej osobe príslušným správcom kapitoly ako bežný transfer po 1. októbri rozpočtového roka a ktoré nebolo možné použiť do konca príslušného rozpočtového roka, možno použiť do 31. marca nasledujúceho rozpočtového roka;  ak boli z týchto prostriedkov poskytnuté preddavky podľa § 19 ods. 8, musia byť finančne vysporiadané rovnako v tomto termíne.“.</w:t>
      </w:r>
    </w:p>
    <w:p w:rsidR="000B0CDA" w:rsidRPr="009B5A3A" w:rsidP="005275B0">
      <w:pPr>
        <w:tabs>
          <w:tab w:val="left" w:pos="0"/>
          <w:tab w:val="left" w:pos="284"/>
          <w:tab w:val="left" w:pos="426"/>
        </w:tabs>
        <w:bidi w:val="0"/>
        <w:ind w:right="22"/>
        <w:contextualSpacing/>
        <w:jc w:val="both"/>
        <w:rPr>
          <w:rFonts w:ascii="Times New Roman" w:hAnsi="Times New Roman"/>
        </w:rPr>
      </w:pPr>
    </w:p>
    <w:p w:rsidR="00A12936" w:rsidRPr="009B5A3A" w:rsidP="005275B0">
      <w:pPr>
        <w:numPr>
          <w:numId w:val="7"/>
        </w:numPr>
        <w:tabs>
          <w:tab w:val="left" w:pos="0"/>
          <w:tab w:val="left" w:pos="284"/>
          <w:tab w:val="left" w:pos="426"/>
        </w:tabs>
        <w:bidi w:val="0"/>
        <w:ind w:left="0" w:right="22" w:firstLine="0"/>
        <w:contextualSpacing/>
        <w:jc w:val="both"/>
        <w:rPr>
          <w:rFonts w:ascii="Times New Roman" w:hAnsi="Times New Roman"/>
        </w:rPr>
      </w:pPr>
      <w:r w:rsidRPr="009B5A3A">
        <w:rPr>
          <w:rFonts w:ascii="Times New Roman" w:hAnsi="Times New Roman"/>
        </w:rPr>
        <w:t>V poznámke pod čiarou k odkazu 14a sa vypúšťajú citácie „zákon č. 619/2003 Z. z. o Slovenskom rozhlase v znení neskorších predpisov, zákon č. 16/2004 Z. z. o Slovenskej televízii v znení neskorších predpisov</w:t>
      </w:r>
      <w:r w:rsidRPr="009B5A3A" w:rsidR="00CE0B36">
        <w:rPr>
          <w:rFonts w:ascii="Times New Roman" w:hAnsi="Times New Roman"/>
        </w:rPr>
        <w:t>,</w:t>
      </w:r>
      <w:r w:rsidRPr="009B5A3A">
        <w:rPr>
          <w:rFonts w:ascii="Times New Roman" w:hAnsi="Times New Roman"/>
        </w:rPr>
        <w:t>“.</w:t>
      </w:r>
    </w:p>
    <w:p w:rsidR="00A12936" w:rsidRPr="009B5A3A" w:rsidP="005275B0">
      <w:pPr>
        <w:tabs>
          <w:tab w:val="left" w:pos="0"/>
          <w:tab w:val="left" w:pos="284"/>
          <w:tab w:val="left" w:pos="426"/>
        </w:tabs>
        <w:bidi w:val="0"/>
        <w:ind w:right="22"/>
        <w:contextualSpacing/>
        <w:jc w:val="both"/>
        <w:rPr>
          <w:rFonts w:ascii="Times New Roman" w:hAnsi="Times New Roman"/>
        </w:rPr>
      </w:pPr>
    </w:p>
    <w:p w:rsidR="00A12936" w:rsidRPr="009B5A3A" w:rsidP="005275B0">
      <w:pPr>
        <w:numPr>
          <w:numId w:val="7"/>
        </w:numPr>
        <w:tabs>
          <w:tab w:val="left" w:pos="0"/>
          <w:tab w:val="left" w:pos="284"/>
          <w:tab w:val="left" w:pos="426"/>
        </w:tabs>
        <w:bidi w:val="0"/>
        <w:ind w:left="0" w:right="22" w:firstLine="0"/>
        <w:contextualSpacing/>
        <w:jc w:val="both"/>
        <w:rPr>
          <w:rFonts w:ascii="Times New Roman" w:hAnsi="Times New Roman"/>
        </w:rPr>
      </w:pPr>
      <w:bookmarkEnd w:id="0"/>
      <w:bookmarkEnd w:id="1"/>
      <w:r w:rsidRPr="009B5A3A" w:rsidR="005027A5">
        <w:rPr>
          <w:rFonts w:ascii="Times New Roman" w:hAnsi="Times New Roman"/>
        </w:rPr>
        <w:t xml:space="preserve">V </w:t>
      </w:r>
      <w:r w:rsidRPr="009B5A3A">
        <w:rPr>
          <w:rFonts w:ascii="Times New Roman" w:hAnsi="Times New Roman"/>
        </w:rPr>
        <w:t>§ 10 ods. 3</w:t>
      </w:r>
      <w:r w:rsidRPr="009B5A3A" w:rsidR="00DD27BB">
        <w:rPr>
          <w:rFonts w:ascii="Times New Roman" w:hAnsi="Times New Roman"/>
        </w:rPr>
        <w:t xml:space="preserve"> štvrtej vete</w:t>
      </w:r>
      <w:r w:rsidRPr="009B5A3A">
        <w:rPr>
          <w:rFonts w:ascii="Times New Roman" w:hAnsi="Times New Roman"/>
        </w:rPr>
        <w:t xml:space="preserve"> sa na konci pripájajú tieto slová: „Slovenskej republiky (ďalej len „minister financií“)“.</w:t>
      </w:r>
    </w:p>
    <w:p w:rsidR="001C786E" w:rsidRPr="009B5A3A" w:rsidP="005275B0">
      <w:pPr>
        <w:pStyle w:val="ListParagraph"/>
        <w:tabs>
          <w:tab w:val="left" w:pos="426"/>
        </w:tabs>
        <w:bidi w:val="0"/>
        <w:rPr>
          <w:rFonts w:ascii="Times New Roman" w:hAnsi="Times New Roman"/>
          <w:sz w:val="24"/>
          <w:szCs w:val="24"/>
        </w:rPr>
      </w:pPr>
    </w:p>
    <w:p w:rsidR="001C786E" w:rsidRPr="009B5A3A" w:rsidP="005275B0">
      <w:pPr>
        <w:pStyle w:val="ListParagraph"/>
        <w:numPr>
          <w:numId w:val="7"/>
        </w:numPr>
        <w:tabs>
          <w:tab w:val="left" w:pos="426"/>
        </w:tabs>
        <w:bidi w:val="0"/>
        <w:ind w:left="284" w:hanging="284"/>
        <w:rPr>
          <w:rFonts w:ascii="Times New Roman" w:hAnsi="Times New Roman"/>
          <w:sz w:val="24"/>
          <w:szCs w:val="24"/>
        </w:rPr>
      </w:pPr>
      <w:r w:rsidRPr="009B5A3A">
        <w:rPr>
          <w:rFonts w:ascii="Times New Roman" w:hAnsi="Times New Roman"/>
          <w:sz w:val="24"/>
          <w:szCs w:val="24"/>
        </w:rPr>
        <w:t>V § 14 ods. 6 sa na konci bodka nahrádza bodkočia</w:t>
      </w:r>
      <w:r w:rsidRPr="009B5A3A" w:rsidR="006964C9">
        <w:rPr>
          <w:rFonts w:ascii="Times New Roman" w:hAnsi="Times New Roman"/>
          <w:sz w:val="24"/>
          <w:szCs w:val="24"/>
        </w:rPr>
        <w:t>rkou a pripájajú sa tieto slová: „</w:t>
      </w:r>
      <w:r w:rsidRPr="009B5A3A">
        <w:rPr>
          <w:rFonts w:ascii="Times New Roman" w:hAnsi="Times New Roman"/>
          <w:sz w:val="24"/>
          <w:szCs w:val="24"/>
        </w:rPr>
        <w:t>tieto údaje zahŕňajú aj osobné údaje o fyzických osobách a údaje v neanonymizovane</w:t>
      </w:r>
      <w:r w:rsidRPr="009B5A3A" w:rsidR="006964C9">
        <w:rPr>
          <w:rFonts w:ascii="Times New Roman" w:hAnsi="Times New Roman"/>
          <w:sz w:val="24"/>
          <w:szCs w:val="24"/>
        </w:rPr>
        <w:t>j podobe o právnických osobách.“</w:t>
      </w:r>
      <w:r w:rsidRPr="009B5A3A">
        <w:rPr>
          <w:rFonts w:ascii="Times New Roman" w:hAnsi="Times New Roman"/>
          <w:sz w:val="24"/>
          <w:szCs w:val="24"/>
        </w:rPr>
        <w:t>.</w:t>
      </w:r>
    </w:p>
    <w:p w:rsidR="00631F4A" w:rsidRPr="009B5A3A" w:rsidP="005275B0">
      <w:pPr>
        <w:numPr>
          <w:numId w:val="7"/>
        </w:numPr>
        <w:tabs>
          <w:tab w:val="left" w:pos="284"/>
          <w:tab w:val="left" w:pos="426"/>
        </w:tabs>
        <w:bidi w:val="0"/>
        <w:ind w:left="0" w:right="22" w:firstLine="0"/>
        <w:contextualSpacing/>
        <w:jc w:val="both"/>
        <w:rPr>
          <w:rFonts w:ascii="Times New Roman" w:hAnsi="Times New Roman"/>
        </w:rPr>
      </w:pPr>
      <w:r w:rsidRPr="009B5A3A" w:rsidR="007B7DF1">
        <w:rPr>
          <w:rFonts w:ascii="Times New Roman" w:hAnsi="Times New Roman"/>
        </w:rPr>
        <w:t xml:space="preserve">V </w:t>
      </w:r>
      <w:r w:rsidRPr="009B5A3A">
        <w:rPr>
          <w:rFonts w:ascii="Times New Roman" w:hAnsi="Times New Roman"/>
        </w:rPr>
        <w:t>§</w:t>
      </w:r>
      <w:r w:rsidRPr="009B5A3A" w:rsidR="007405C2">
        <w:rPr>
          <w:rFonts w:ascii="Times New Roman" w:hAnsi="Times New Roman"/>
        </w:rPr>
        <w:t xml:space="preserve"> 19 ods. 15 sa suma „4 845 000 eur“ nahrádza </w:t>
      </w:r>
      <w:r w:rsidRPr="009B5A3A" w:rsidR="008E1DF1">
        <w:rPr>
          <w:rFonts w:ascii="Times New Roman" w:hAnsi="Times New Roman"/>
        </w:rPr>
        <w:t>slovami „hodnota ustanovená osobitným pr</w:t>
      </w:r>
      <w:r w:rsidRPr="009B5A3A" w:rsidR="00D3632E">
        <w:rPr>
          <w:rFonts w:ascii="Times New Roman" w:hAnsi="Times New Roman"/>
        </w:rPr>
        <w:t>e</w:t>
      </w:r>
      <w:r w:rsidRPr="009B5A3A" w:rsidR="008E1DF1">
        <w:rPr>
          <w:rFonts w:ascii="Times New Roman" w:hAnsi="Times New Roman"/>
        </w:rPr>
        <w:t>dpisom</w:t>
      </w:r>
      <w:r w:rsidRPr="009B5A3A" w:rsidR="008E1DF1">
        <w:rPr>
          <w:rFonts w:ascii="Times New Roman" w:hAnsi="Times New Roman"/>
          <w:vertAlign w:val="superscript"/>
        </w:rPr>
        <w:t>24ac</w:t>
      </w:r>
      <w:r w:rsidRPr="009B5A3A" w:rsidR="00A33344">
        <w:rPr>
          <w:rFonts w:ascii="Times New Roman" w:hAnsi="Times New Roman"/>
          <w:vertAlign w:val="superscript"/>
        </w:rPr>
        <w:t>)</w:t>
      </w:r>
      <w:r w:rsidRPr="009B5A3A" w:rsidR="00D2506F">
        <w:rPr>
          <w:rFonts w:ascii="Times New Roman" w:hAnsi="Times New Roman"/>
        </w:rPr>
        <w:t>“.</w:t>
      </w:r>
    </w:p>
    <w:p w:rsidR="00A12936" w:rsidRPr="009B5A3A" w:rsidP="005275B0">
      <w:pPr>
        <w:tabs>
          <w:tab w:val="left" w:pos="284"/>
          <w:tab w:val="left" w:pos="426"/>
        </w:tabs>
        <w:bidi w:val="0"/>
        <w:ind w:right="22"/>
        <w:contextualSpacing/>
        <w:jc w:val="both"/>
        <w:rPr>
          <w:rFonts w:ascii="Times New Roman" w:hAnsi="Times New Roman"/>
        </w:rPr>
      </w:pPr>
      <w:r w:rsidRPr="009B5A3A" w:rsidR="008E1DF1">
        <w:rPr>
          <w:rFonts w:ascii="Times New Roman" w:hAnsi="Times New Roman"/>
        </w:rPr>
        <w:t xml:space="preserve">      </w:t>
      </w:r>
    </w:p>
    <w:p w:rsidR="008E1DF1" w:rsidRPr="009B5A3A" w:rsidP="005275B0">
      <w:pPr>
        <w:tabs>
          <w:tab w:val="left" w:pos="284"/>
          <w:tab w:val="left" w:pos="426"/>
        </w:tabs>
        <w:bidi w:val="0"/>
        <w:ind w:right="22"/>
        <w:contextualSpacing/>
        <w:jc w:val="both"/>
        <w:rPr>
          <w:rFonts w:ascii="Times New Roman" w:hAnsi="Times New Roman"/>
        </w:rPr>
      </w:pPr>
      <w:r w:rsidRPr="009B5A3A">
        <w:rPr>
          <w:rFonts w:ascii="Times New Roman" w:hAnsi="Times New Roman"/>
        </w:rPr>
        <w:tab/>
        <w:t>Poznámka pod čiarou</w:t>
      </w:r>
      <w:r w:rsidRPr="009B5A3A" w:rsidR="001C786E">
        <w:rPr>
          <w:rFonts w:ascii="Times New Roman" w:hAnsi="Times New Roman"/>
        </w:rPr>
        <w:t xml:space="preserve"> k odkazu 24ac</w:t>
      </w:r>
      <w:r w:rsidRPr="009B5A3A">
        <w:rPr>
          <w:rFonts w:ascii="Times New Roman" w:hAnsi="Times New Roman"/>
        </w:rPr>
        <w:t xml:space="preserve"> znie:</w:t>
      </w:r>
    </w:p>
    <w:p w:rsidR="008E1DF1" w:rsidRPr="009B5A3A" w:rsidP="005275B0">
      <w:pPr>
        <w:tabs>
          <w:tab w:val="left" w:pos="284"/>
          <w:tab w:val="left" w:pos="426"/>
        </w:tabs>
        <w:bidi w:val="0"/>
        <w:ind w:right="22"/>
        <w:contextualSpacing/>
        <w:jc w:val="both"/>
        <w:rPr>
          <w:rFonts w:ascii="Times New Roman" w:hAnsi="Times New Roman"/>
        </w:rPr>
      </w:pPr>
      <w:r w:rsidRPr="009B5A3A">
        <w:rPr>
          <w:rFonts w:ascii="Times New Roman" w:hAnsi="Times New Roman"/>
        </w:rPr>
        <w:tab/>
      </w:r>
      <w:r w:rsidRPr="009B5A3A" w:rsidR="001112C1">
        <w:rPr>
          <w:rFonts w:ascii="Times New Roman" w:hAnsi="Times New Roman"/>
        </w:rPr>
        <w:t>„</w:t>
      </w:r>
      <w:r w:rsidRPr="009B5A3A">
        <w:rPr>
          <w:rFonts w:ascii="Times New Roman" w:hAnsi="Times New Roman"/>
        </w:rPr>
        <w:t xml:space="preserve">24ac) </w:t>
      </w:r>
      <w:r w:rsidRPr="009B5A3A" w:rsidR="001112C1">
        <w:rPr>
          <w:rFonts w:ascii="Times New Roman" w:hAnsi="Times New Roman"/>
        </w:rPr>
        <w:t>§ 66 zákona č. 25/2006 Z. z. v znení neskorších predpisov.“</w:t>
      </w:r>
      <w:r w:rsidRPr="009B5A3A" w:rsidR="00A33344">
        <w:rPr>
          <w:rFonts w:ascii="Times New Roman" w:hAnsi="Times New Roman"/>
        </w:rPr>
        <w:t>.</w:t>
      </w:r>
    </w:p>
    <w:p w:rsidR="006F3BD5" w:rsidRPr="009B5A3A" w:rsidP="005275B0">
      <w:pPr>
        <w:pStyle w:val="ListParagraph"/>
        <w:numPr>
          <w:numId w:val="7"/>
        </w:numPr>
        <w:tabs>
          <w:tab w:val="left" w:pos="142"/>
          <w:tab w:val="left" w:pos="426"/>
        </w:tabs>
        <w:bidi w:val="0"/>
        <w:spacing w:before="240" w:line="240" w:lineRule="auto"/>
        <w:ind w:left="284" w:right="23" w:hanging="284"/>
        <w:jc w:val="both"/>
        <w:rPr>
          <w:rFonts w:ascii="Times New Roman" w:hAnsi="Times New Roman"/>
          <w:bCs/>
          <w:sz w:val="24"/>
          <w:szCs w:val="24"/>
        </w:rPr>
      </w:pPr>
      <w:r w:rsidRPr="009B5A3A" w:rsidR="00AA0AD7">
        <w:rPr>
          <w:rFonts w:ascii="Times New Roman" w:hAnsi="Times New Roman"/>
          <w:sz w:val="24"/>
          <w:szCs w:val="24"/>
        </w:rPr>
        <w:t xml:space="preserve"> V § 21 ods. 13 sa za slovo „dňom“ vkladajú slová „bezprostredne nasledujúcom po dni“.</w:t>
      </w:r>
    </w:p>
    <w:p w:rsidR="00AA0AD7" w:rsidRPr="009B5A3A" w:rsidP="005275B0">
      <w:pPr>
        <w:pStyle w:val="ListParagraph"/>
        <w:tabs>
          <w:tab w:val="left" w:pos="142"/>
          <w:tab w:val="left" w:pos="426"/>
        </w:tabs>
        <w:bidi w:val="0"/>
        <w:spacing w:before="240" w:line="240" w:lineRule="auto"/>
        <w:ind w:left="284" w:right="23"/>
        <w:jc w:val="both"/>
        <w:rPr>
          <w:rFonts w:ascii="Times New Roman" w:hAnsi="Times New Roman"/>
          <w:bCs/>
          <w:sz w:val="24"/>
          <w:szCs w:val="24"/>
        </w:rPr>
      </w:pPr>
    </w:p>
    <w:p w:rsidR="00AA0AD7" w:rsidRPr="009B5A3A" w:rsidP="005275B0">
      <w:pPr>
        <w:pStyle w:val="ListParagraph"/>
        <w:numPr>
          <w:numId w:val="7"/>
        </w:numPr>
        <w:tabs>
          <w:tab w:val="left" w:pos="284"/>
          <w:tab w:val="left" w:pos="426"/>
        </w:tabs>
        <w:bidi w:val="0"/>
        <w:spacing w:before="240" w:line="240" w:lineRule="auto"/>
        <w:ind w:left="284" w:right="23" w:hanging="284"/>
        <w:jc w:val="both"/>
        <w:rPr>
          <w:rFonts w:ascii="Times New Roman" w:hAnsi="Times New Roman"/>
          <w:bCs/>
          <w:sz w:val="24"/>
          <w:szCs w:val="24"/>
        </w:rPr>
      </w:pPr>
      <w:r w:rsidRPr="009B5A3A">
        <w:rPr>
          <w:rFonts w:ascii="Times New Roman" w:hAnsi="Times New Roman"/>
          <w:sz w:val="24"/>
          <w:szCs w:val="24"/>
        </w:rPr>
        <w:t>V § 21 ods. 15 sa na konci pripája táto veta: „Ustanovenie odseku 2 vo vzťahu k pokrytiu výrobných nákladov tržb</w:t>
      </w:r>
      <w:r w:rsidR="0068797D">
        <w:rPr>
          <w:rFonts w:ascii="Times New Roman" w:hAnsi="Times New Roman"/>
          <w:sz w:val="24"/>
          <w:szCs w:val="24"/>
        </w:rPr>
        <w:t xml:space="preserve">ami sa nevzťahuje na </w:t>
      </w:r>
      <w:r w:rsidRPr="00B64374" w:rsidR="0068797D">
        <w:rPr>
          <w:rFonts w:ascii="Times New Roman" w:hAnsi="Times New Roman"/>
          <w:sz w:val="24"/>
          <w:szCs w:val="24"/>
        </w:rPr>
        <w:t>príspevkovú organizáciu, ktorá je</w:t>
      </w:r>
      <w:r w:rsidRPr="009B5A3A">
        <w:rPr>
          <w:rFonts w:ascii="Times New Roman" w:hAnsi="Times New Roman"/>
          <w:sz w:val="24"/>
          <w:szCs w:val="24"/>
        </w:rPr>
        <w:t xml:space="preserve"> zdravotníckym zariadením poskytujúcim zdravotnú starostlivosť podľa osobitného predpisu.“.</w:t>
      </w:r>
    </w:p>
    <w:p w:rsidR="00C503F2" w:rsidRPr="009B5A3A" w:rsidP="005275B0">
      <w:pPr>
        <w:numPr>
          <w:numId w:val="7"/>
        </w:numPr>
        <w:tabs>
          <w:tab w:val="left" w:pos="284"/>
          <w:tab w:val="left" w:pos="426"/>
        </w:tabs>
        <w:bidi w:val="0"/>
        <w:ind w:left="0" w:right="23" w:firstLine="0"/>
        <w:contextualSpacing/>
        <w:jc w:val="both"/>
        <w:rPr>
          <w:rFonts w:ascii="Times New Roman" w:hAnsi="Times New Roman"/>
        </w:rPr>
      </w:pPr>
      <w:r w:rsidRPr="009B5A3A">
        <w:rPr>
          <w:rFonts w:ascii="Times New Roman" w:hAnsi="Times New Roman"/>
          <w:bCs/>
        </w:rPr>
        <w:t>Poznámky pod čiarou k odkazom 31</w:t>
      </w:r>
      <w:r w:rsidRPr="009B5A3A" w:rsidR="00A01533">
        <w:rPr>
          <w:rFonts w:ascii="Times New Roman" w:hAnsi="Times New Roman"/>
          <w:bCs/>
        </w:rPr>
        <w:t xml:space="preserve">, 32 </w:t>
      </w:r>
      <w:r w:rsidRPr="009B5A3A">
        <w:rPr>
          <w:rFonts w:ascii="Times New Roman" w:hAnsi="Times New Roman"/>
          <w:bCs/>
        </w:rPr>
        <w:t>a 35 znejú:</w:t>
      </w:r>
    </w:p>
    <w:p w:rsidR="00C503F2" w:rsidRPr="009B5A3A" w:rsidP="005275B0">
      <w:pPr>
        <w:tabs>
          <w:tab w:val="left" w:pos="284"/>
          <w:tab w:val="left" w:pos="426"/>
        </w:tabs>
        <w:bidi w:val="0"/>
        <w:ind w:left="426" w:right="23" w:hanging="426"/>
        <w:contextualSpacing/>
        <w:jc w:val="both"/>
        <w:rPr>
          <w:rFonts w:ascii="Times New Roman" w:hAnsi="Times New Roman"/>
        </w:rPr>
      </w:pPr>
      <w:r w:rsidRPr="009B5A3A" w:rsidR="001A3564">
        <w:rPr>
          <w:rFonts w:ascii="Times New Roman" w:hAnsi="Times New Roman"/>
          <w:bCs/>
        </w:rPr>
        <w:t xml:space="preserve">„31) </w:t>
      </w:r>
      <w:r w:rsidRPr="009B5A3A">
        <w:rPr>
          <w:rFonts w:ascii="Times New Roman" w:hAnsi="Times New Roman"/>
          <w:bCs/>
        </w:rPr>
        <w:t xml:space="preserve">Napríklad § 152 Zákonníka práce v znení neskorších predpisov, </w:t>
      </w:r>
      <w:r w:rsidRPr="009B5A3A" w:rsidR="00E313E2">
        <w:rPr>
          <w:rFonts w:ascii="Times New Roman" w:hAnsi="Times New Roman"/>
          <w:bCs/>
        </w:rPr>
        <w:t xml:space="preserve">§ 70 ods. 2 </w:t>
      </w:r>
      <w:r w:rsidRPr="009B5A3A">
        <w:rPr>
          <w:rFonts w:ascii="Times New Roman" w:hAnsi="Times New Roman"/>
        </w:rPr>
        <w:t>zákon</w:t>
      </w:r>
      <w:r w:rsidRPr="009B5A3A" w:rsidR="00E313E2">
        <w:rPr>
          <w:rFonts w:ascii="Times New Roman" w:hAnsi="Times New Roman"/>
        </w:rPr>
        <w:t>a</w:t>
      </w:r>
      <w:r w:rsidRPr="009B5A3A">
        <w:rPr>
          <w:rFonts w:ascii="Times New Roman" w:hAnsi="Times New Roman"/>
        </w:rPr>
        <w:t xml:space="preserve"> č. 400/2009 Z. z. o štátnej službe a o zmene a doplnení niektorých zákonov v znení neskorších predpisov.</w:t>
      </w:r>
    </w:p>
    <w:p w:rsidR="00A01533" w:rsidRPr="009B5A3A" w:rsidP="005275B0">
      <w:pPr>
        <w:pStyle w:val="FootnoteText"/>
        <w:tabs>
          <w:tab w:val="left" w:pos="426"/>
        </w:tabs>
        <w:bidi w:val="0"/>
        <w:rPr>
          <w:rFonts w:ascii="Times New Roman" w:hAnsi="Times New Roman"/>
          <w:sz w:val="24"/>
          <w:szCs w:val="24"/>
        </w:rPr>
      </w:pPr>
      <w:r w:rsidRPr="009B5A3A" w:rsidR="001A3564">
        <w:rPr>
          <w:rFonts w:ascii="Times New Roman" w:hAnsi="Times New Roman"/>
          <w:sz w:val="24"/>
          <w:szCs w:val="24"/>
        </w:rPr>
        <w:t xml:space="preserve"> </w:t>
      </w:r>
      <w:r w:rsidRPr="009B5A3A">
        <w:rPr>
          <w:rFonts w:ascii="Times New Roman" w:hAnsi="Times New Roman"/>
          <w:sz w:val="24"/>
          <w:szCs w:val="24"/>
        </w:rPr>
        <w:t>32) § 92 zákona č. 131/2002 Z. z. v znení neskorších predpisov.</w:t>
      </w:r>
    </w:p>
    <w:p w:rsidR="00A01533" w:rsidRPr="009B5A3A" w:rsidP="005B6056">
      <w:pPr>
        <w:pStyle w:val="FootnoteText"/>
        <w:tabs>
          <w:tab w:val="left" w:pos="426"/>
        </w:tabs>
        <w:bidi w:val="0"/>
        <w:ind w:left="426"/>
        <w:rPr>
          <w:rFonts w:ascii="Times New Roman" w:hAnsi="Times New Roman"/>
          <w:sz w:val="24"/>
          <w:szCs w:val="24"/>
        </w:rPr>
      </w:pPr>
      <w:r w:rsidRPr="009B5A3A">
        <w:rPr>
          <w:rFonts w:ascii="Times New Roman" w:hAnsi="Times New Roman"/>
          <w:sz w:val="24"/>
          <w:szCs w:val="24"/>
        </w:rPr>
        <w:t xml:space="preserve">§ 2 ods. 1 písm. c) zákona č. 597/2003 Z. z. o financovaní základných škôl, stredných škôl </w:t>
      </w:r>
      <w:r w:rsidRPr="009B5A3A" w:rsidR="005B6056">
        <w:rPr>
          <w:rFonts w:ascii="Times New Roman" w:hAnsi="Times New Roman"/>
          <w:sz w:val="24"/>
          <w:szCs w:val="24"/>
        </w:rPr>
        <w:t xml:space="preserve">  </w:t>
      </w:r>
      <w:r w:rsidRPr="009B5A3A">
        <w:rPr>
          <w:rFonts w:ascii="Times New Roman" w:hAnsi="Times New Roman"/>
          <w:sz w:val="24"/>
          <w:szCs w:val="24"/>
        </w:rPr>
        <w:t>a školských  zariadení v znení zákona č. 564/2004 Z. z.</w:t>
      </w:r>
    </w:p>
    <w:p w:rsidR="00C503F2" w:rsidRPr="009B5A3A" w:rsidP="005275B0">
      <w:pPr>
        <w:tabs>
          <w:tab w:val="left" w:pos="284"/>
          <w:tab w:val="left" w:pos="426"/>
        </w:tabs>
        <w:bidi w:val="0"/>
        <w:ind w:left="284" w:right="22" w:hanging="284"/>
        <w:contextualSpacing/>
        <w:jc w:val="both"/>
        <w:rPr>
          <w:rFonts w:ascii="Times New Roman" w:hAnsi="Times New Roman"/>
          <w:bCs/>
        </w:rPr>
      </w:pPr>
      <w:r w:rsidRPr="009B5A3A">
        <w:rPr>
          <w:rFonts w:ascii="Times New Roman" w:hAnsi="Times New Roman"/>
          <w:bCs/>
        </w:rPr>
        <w:t>35) Napríklad § 35 zákona č. 596/2003 Z. z. o štátnej správe v školstve a školskej samospráve a o zmene a doplnení niektorých zákonov.“.</w:t>
      </w:r>
    </w:p>
    <w:p w:rsidR="006F3BD5" w:rsidRPr="009B5A3A" w:rsidP="005275B0">
      <w:pPr>
        <w:pStyle w:val="ListParagraph"/>
        <w:numPr>
          <w:numId w:val="7"/>
        </w:numPr>
        <w:tabs>
          <w:tab w:val="left" w:pos="284"/>
          <w:tab w:val="left" w:pos="426"/>
        </w:tabs>
        <w:bidi w:val="0"/>
        <w:spacing w:before="240" w:line="240" w:lineRule="auto"/>
        <w:jc w:val="both"/>
        <w:rPr>
          <w:rFonts w:ascii="Times New Roman" w:hAnsi="Times New Roman"/>
          <w:sz w:val="24"/>
          <w:szCs w:val="24"/>
        </w:rPr>
      </w:pPr>
      <w:r w:rsidRPr="009B5A3A" w:rsidR="005275B0">
        <w:rPr>
          <w:rFonts w:ascii="Times New Roman" w:hAnsi="Times New Roman"/>
          <w:sz w:val="24"/>
          <w:szCs w:val="24"/>
        </w:rPr>
        <w:t xml:space="preserve">V § </w:t>
      </w:r>
      <w:r w:rsidRPr="009B5A3A">
        <w:rPr>
          <w:rFonts w:ascii="Times New Roman" w:hAnsi="Times New Roman"/>
          <w:sz w:val="24"/>
          <w:szCs w:val="24"/>
        </w:rPr>
        <w:t>24 ods</w:t>
      </w:r>
      <w:r w:rsidRPr="009B5A3A" w:rsidR="009B40E6">
        <w:rPr>
          <w:rFonts w:ascii="Times New Roman" w:hAnsi="Times New Roman"/>
          <w:sz w:val="24"/>
          <w:szCs w:val="24"/>
        </w:rPr>
        <w:t>.</w:t>
      </w:r>
      <w:r w:rsidRPr="009B5A3A" w:rsidR="0098662B">
        <w:rPr>
          <w:rFonts w:ascii="Times New Roman" w:hAnsi="Times New Roman"/>
          <w:sz w:val="24"/>
          <w:szCs w:val="24"/>
        </w:rPr>
        <w:t xml:space="preserve"> 1 sa </w:t>
      </w:r>
      <w:r w:rsidRPr="009B5A3A" w:rsidR="00485313">
        <w:rPr>
          <w:rFonts w:ascii="Times New Roman" w:hAnsi="Times New Roman"/>
          <w:sz w:val="24"/>
          <w:szCs w:val="24"/>
        </w:rPr>
        <w:t>slová za bodkočiarkou</w:t>
      </w:r>
      <w:r w:rsidRPr="009B5A3A" w:rsidR="00F541CA">
        <w:rPr>
          <w:rFonts w:ascii="Times New Roman" w:hAnsi="Times New Roman"/>
          <w:sz w:val="24"/>
          <w:szCs w:val="24"/>
        </w:rPr>
        <w:t xml:space="preserve"> „uvedené neplatí, ak je príspevková organizácia zdravotníckym zariadením v pôsobnosti Ministerstva zdravotníctva Slovenskej republiky, ktorému patrí úhrada za poskytnutú zdravotnú starostl</w:t>
      </w:r>
      <w:r w:rsidRPr="009B5A3A" w:rsidR="00407830">
        <w:rPr>
          <w:rFonts w:ascii="Times New Roman" w:hAnsi="Times New Roman"/>
          <w:sz w:val="24"/>
          <w:szCs w:val="24"/>
        </w:rPr>
        <w:t>ivosť podľa osobitného predpisu</w:t>
      </w:r>
      <w:r w:rsidRPr="009B5A3A" w:rsidR="004D0E5D">
        <w:rPr>
          <w:rFonts w:ascii="Times New Roman" w:hAnsi="Times New Roman"/>
          <w:sz w:val="24"/>
          <w:szCs w:val="24"/>
          <w:vertAlign w:val="superscript"/>
        </w:rPr>
        <w:t>35a)</w:t>
      </w:r>
      <w:r w:rsidRPr="009B5A3A" w:rsidR="00F541CA">
        <w:rPr>
          <w:rFonts w:ascii="Times New Roman" w:hAnsi="Times New Roman"/>
          <w:sz w:val="24"/>
          <w:szCs w:val="24"/>
        </w:rPr>
        <w:t>“</w:t>
      </w:r>
      <w:r w:rsidRPr="009B5A3A" w:rsidR="00485313">
        <w:rPr>
          <w:rFonts w:ascii="Times New Roman" w:hAnsi="Times New Roman"/>
          <w:sz w:val="24"/>
          <w:szCs w:val="24"/>
          <w:vertAlign w:val="superscript"/>
        </w:rPr>
        <w:t xml:space="preserve"> </w:t>
      </w:r>
      <w:r w:rsidRPr="009B5A3A" w:rsidR="00485313">
        <w:rPr>
          <w:rFonts w:ascii="Times New Roman" w:hAnsi="Times New Roman"/>
          <w:sz w:val="24"/>
          <w:szCs w:val="24"/>
        </w:rPr>
        <w:t>nahrádzajú slovami „uvedené neplatí, ak je štátna príspevková organizácia zdravotníckym zariadením, ktorému patrí úhrada za poskytnutú zdravotnú starostlivosť podľa osobitného predpisu</w:t>
      </w:r>
      <w:r w:rsidRPr="009B5A3A" w:rsidR="004D0E5D">
        <w:rPr>
          <w:rFonts w:ascii="Times New Roman" w:hAnsi="Times New Roman"/>
          <w:sz w:val="24"/>
          <w:szCs w:val="24"/>
          <w:vertAlign w:val="superscript"/>
        </w:rPr>
        <w:t>35a)</w:t>
      </w:r>
      <w:r w:rsidRPr="009B5A3A" w:rsidR="00485313">
        <w:rPr>
          <w:rFonts w:ascii="Times New Roman" w:hAnsi="Times New Roman"/>
          <w:sz w:val="24"/>
          <w:szCs w:val="24"/>
        </w:rPr>
        <w:t>“.</w:t>
      </w:r>
    </w:p>
    <w:p w:rsidR="00735330" w:rsidRPr="009B5A3A" w:rsidP="005275B0">
      <w:pPr>
        <w:pStyle w:val="ListParagraph"/>
        <w:tabs>
          <w:tab w:val="left" w:pos="284"/>
          <w:tab w:val="left" w:pos="426"/>
        </w:tabs>
        <w:bidi w:val="0"/>
        <w:spacing w:before="240" w:line="240" w:lineRule="auto"/>
        <w:ind w:left="360"/>
        <w:jc w:val="both"/>
        <w:rPr>
          <w:rFonts w:ascii="Times New Roman" w:hAnsi="Times New Roman"/>
          <w:sz w:val="24"/>
          <w:szCs w:val="24"/>
        </w:rPr>
      </w:pPr>
    </w:p>
    <w:p w:rsidR="006C1D7E" w:rsidRPr="009B5A3A" w:rsidP="005275B0">
      <w:pPr>
        <w:pStyle w:val="ListParagraph"/>
        <w:numPr>
          <w:numId w:val="7"/>
        </w:numPr>
        <w:tabs>
          <w:tab w:val="left" w:pos="284"/>
          <w:tab w:val="left" w:pos="426"/>
        </w:tabs>
        <w:bidi w:val="0"/>
        <w:spacing w:before="240" w:line="240" w:lineRule="auto"/>
        <w:ind w:left="0" w:firstLine="0"/>
        <w:jc w:val="both"/>
        <w:rPr>
          <w:rFonts w:ascii="Times New Roman" w:hAnsi="Times New Roman"/>
          <w:sz w:val="24"/>
          <w:szCs w:val="24"/>
        </w:rPr>
      </w:pPr>
      <w:r w:rsidRPr="009B5A3A">
        <w:rPr>
          <w:rFonts w:ascii="Times New Roman" w:hAnsi="Times New Roman"/>
          <w:sz w:val="24"/>
          <w:szCs w:val="24"/>
        </w:rPr>
        <w:t>V § 24 ods. 7 sa slovo „náklady“ nahrádza slovom „výdavky“.</w:t>
      </w:r>
    </w:p>
    <w:p w:rsidR="006C1D7E" w:rsidRPr="009B5A3A" w:rsidP="005275B0">
      <w:pPr>
        <w:pStyle w:val="ListParagraph"/>
        <w:tabs>
          <w:tab w:val="left" w:pos="284"/>
          <w:tab w:val="left" w:pos="426"/>
        </w:tabs>
        <w:bidi w:val="0"/>
        <w:spacing w:before="240" w:line="240" w:lineRule="auto"/>
        <w:ind w:left="0"/>
        <w:jc w:val="both"/>
        <w:rPr>
          <w:rFonts w:ascii="Times New Roman" w:hAnsi="Times New Roman"/>
          <w:sz w:val="24"/>
          <w:szCs w:val="24"/>
        </w:rPr>
      </w:pPr>
    </w:p>
    <w:p w:rsidR="00D2506F" w:rsidRPr="009B5A3A" w:rsidP="005275B0">
      <w:pPr>
        <w:pStyle w:val="ListParagraph"/>
        <w:numPr>
          <w:numId w:val="7"/>
        </w:numPr>
        <w:tabs>
          <w:tab w:val="left" w:pos="284"/>
          <w:tab w:val="left" w:pos="426"/>
        </w:tabs>
        <w:bidi w:val="0"/>
        <w:spacing w:before="240" w:line="240" w:lineRule="auto"/>
        <w:ind w:left="0" w:firstLine="0"/>
        <w:jc w:val="both"/>
        <w:rPr>
          <w:rFonts w:ascii="Times New Roman" w:hAnsi="Times New Roman"/>
          <w:sz w:val="24"/>
          <w:szCs w:val="24"/>
        </w:rPr>
      </w:pPr>
      <w:r w:rsidRPr="009B5A3A">
        <w:rPr>
          <w:rFonts w:ascii="Times New Roman" w:hAnsi="Times New Roman"/>
          <w:sz w:val="24"/>
          <w:szCs w:val="24"/>
        </w:rPr>
        <w:t xml:space="preserve">V § 25 sa slovo „straty“ nahrádza slovami „záporného výsledku hospodárenia“. </w:t>
      </w:r>
    </w:p>
    <w:p w:rsidR="00B52143" w:rsidRPr="009B5A3A" w:rsidP="005275B0">
      <w:pPr>
        <w:pStyle w:val="ListParagraph"/>
        <w:tabs>
          <w:tab w:val="left" w:pos="426"/>
        </w:tabs>
        <w:bidi w:val="0"/>
        <w:spacing w:before="240" w:line="240" w:lineRule="auto"/>
        <w:ind w:left="0"/>
        <w:jc w:val="both"/>
        <w:rPr>
          <w:rFonts w:ascii="Times New Roman" w:hAnsi="Times New Roman"/>
          <w:sz w:val="24"/>
          <w:szCs w:val="24"/>
        </w:rPr>
      </w:pPr>
    </w:p>
    <w:p w:rsidR="00A12936" w:rsidRPr="009B5A3A" w:rsidP="005B6056">
      <w:pPr>
        <w:pStyle w:val="ListParagraph"/>
        <w:numPr>
          <w:numId w:val="7"/>
        </w:numPr>
        <w:tabs>
          <w:tab w:val="left" w:pos="284"/>
          <w:tab w:val="left" w:pos="426"/>
        </w:tabs>
        <w:bidi w:val="0"/>
        <w:spacing w:before="240" w:line="240" w:lineRule="auto"/>
        <w:ind w:left="0" w:firstLine="0"/>
        <w:jc w:val="both"/>
        <w:rPr>
          <w:rFonts w:ascii="Times New Roman" w:hAnsi="Times New Roman"/>
          <w:sz w:val="24"/>
          <w:szCs w:val="24"/>
        </w:rPr>
      </w:pPr>
      <w:r w:rsidRPr="009B5A3A">
        <w:rPr>
          <w:rFonts w:ascii="Times New Roman" w:hAnsi="Times New Roman"/>
          <w:sz w:val="24"/>
          <w:szCs w:val="24"/>
        </w:rPr>
        <w:t xml:space="preserve">V § 28 ods. 1 sa slovo „Rozdiel“ nahrádza slovami „Prostriedky získané z rozdielu“, slovo „zostáva“ sa nahrádza slovom „zostávajú“  a slová „Výnosy a náklady“ sa  nahrádzajú slovami „Príjmy a výdavky“. </w:t>
      </w:r>
    </w:p>
    <w:p w:rsidR="00A33344" w:rsidRPr="009B5A3A" w:rsidP="005275B0">
      <w:pPr>
        <w:pStyle w:val="ListParagraph"/>
        <w:tabs>
          <w:tab w:val="left" w:pos="426"/>
        </w:tabs>
        <w:bidi w:val="0"/>
        <w:rPr>
          <w:rFonts w:ascii="Times New Roman" w:hAnsi="Times New Roman"/>
          <w:sz w:val="24"/>
          <w:szCs w:val="24"/>
        </w:rPr>
      </w:pPr>
    </w:p>
    <w:p w:rsidR="00A33344" w:rsidRPr="009B5A3A" w:rsidP="005275B0">
      <w:pPr>
        <w:pStyle w:val="ListParagraph"/>
        <w:numPr>
          <w:numId w:val="7"/>
        </w:numPr>
        <w:tabs>
          <w:tab w:val="left" w:pos="284"/>
          <w:tab w:val="left" w:pos="426"/>
        </w:tabs>
        <w:bidi w:val="0"/>
        <w:spacing w:before="240" w:line="240" w:lineRule="auto"/>
        <w:ind w:left="0" w:firstLine="0"/>
        <w:jc w:val="both"/>
        <w:rPr>
          <w:rFonts w:ascii="Times New Roman" w:hAnsi="Times New Roman"/>
          <w:sz w:val="24"/>
          <w:szCs w:val="24"/>
        </w:rPr>
      </w:pPr>
      <w:r w:rsidRPr="009B5A3A">
        <w:rPr>
          <w:rFonts w:ascii="Times New Roman" w:hAnsi="Times New Roman"/>
          <w:sz w:val="24"/>
          <w:szCs w:val="24"/>
        </w:rPr>
        <w:t>Poznámka</w:t>
      </w:r>
      <w:r w:rsidRPr="009B5A3A" w:rsidR="00BF6D44">
        <w:rPr>
          <w:rFonts w:ascii="Times New Roman" w:hAnsi="Times New Roman"/>
          <w:sz w:val="24"/>
          <w:szCs w:val="24"/>
        </w:rPr>
        <w:t xml:space="preserve"> pod čiarou k odkazu 41 znie: „</w:t>
      </w:r>
      <w:r w:rsidRPr="009B5A3A" w:rsidR="006964C9">
        <w:rPr>
          <w:rFonts w:ascii="Times New Roman" w:hAnsi="Times New Roman"/>
          <w:sz w:val="24"/>
          <w:szCs w:val="24"/>
        </w:rPr>
        <w:t>41)</w:t>
      </w:r>
      <w:r w:rsidRPr="009B5A3A">
        <w:rPr>
          <w:rFonts w:ascii="Times New Roman" w:hAnsi="Times New Roman"/>
          <w:sz w:val="24"/>
          <w:szCs w:val="24"/>
        </w:rPr>
        <w:t>Napríklad § 43 zákona č. 475/2005 Z. z. o výkone trestu odňatia slobody a o zmene a doplnení niektorých zákonov v znení neskorších predpisov.“.</w:t>
      </w:r>
    </w:p>
    <w:p w:rsidR="00A12936" w:rsidRPr="009B5A3A" w:rsidP="005275B0">
      <w:pPr>
        <w:pStyle w:val="ListParagraph"/>
        <w:tabs>
          <w:tab w:val="left" w:pos="426"/>
        </w:tabs>
        <w:bidi w:val="0"/>
        <w:rPr>
          <w:rFonts w:ascii="Times New Roman" w:hAnsi="Times New Roman"/>
          <w:sz w:val="24"/>
          <w:szCs w:val="24"/>
        </w:rPr>
      </w:pPr>
    </w:p>
    <w:p w:rsidR="00A12936" w:rsidP="005275B0">
      <w:pPr>
        <w:pStyle w:val="ListParagraph"/>
        <w:numPr>
          <w:numId w:val="7"/>
        </w:numPr>
        <w:tabs>
          <w:tab w:val="left" w:pos="284"/>
          <w:tab w:val="left" w:pos="426"/>
        </w:tabs>
        <w:bidi w:val="0"/>
        <w:spacing w:before="240" w:line="240" w:lineRule="auto"/>
        <w:ind w:left="0" w:firstLine="0"/>
        <w:jc w:val="both"/>
        <w:rPr>
          <w:rFonts w:ascii="Times New Roman" w:hAnsi="Times New Roman"/>
          <w:sz w:val="24"/>
          <w:szCs w:val="24"/>
        </w:rPr>
      </w:pPr>
      <w:r w:rsidRPr="009B5A3A">
        <w:rPr>
          <w:rFonts w:ascii="Times New Roman" w:hAnsi="Times New Roman"/>
          <w:sz w:val="24"/>
          <w:szCs w:val="24"/>
        </w:rPr>
        <w:t>V § 28 ods. 2 sa slová „Výnosy a náklady“ nahrádzajú slovami „Príjmy a výdavky“.</w:t>
      </w:r>
    </w:p>
    <w:p w:rsidR="00A44127" w:rsidRPr="00A44127" w:rsidP="00A44127">
      <w:pPr>
        <w:pStyle w:val="ListParagraph"/>
        <w:bidi w:val="0"/>
        <w:rPr>
          <w:rFonts w:ascii="Times New Roman" w:hAnsi="Times New Roman"/>
          <w:sz w:val="24"/>
          <w:szCs w:val="24"/>
        </w:rPr>
      </w:pPr>
    </w:p>
    <w:p w:rsidR="00A44127" w:rsidP="00A44127">
      <w:pPr>
        <w:tabs>
          <w:tab w:val="left" w:pos="284"/>
          <w:tab w:val="left" w:pos="426"/>
        </w:tabs>
        <w:bidi w:val="0"/>
        <w:spacing w:before="240"/>
        <w:jc w:val="both"/>
        <w:rPr>
          <w:rFonts w:ascii="Times New Roman" w:hAnsi="Times New Roman"/>
        </w:rPr>
      </w:pPr>
    </w:p>
    <w:p w:rsidR="00A44127" w:rsidRPr="00A44127" w:rsidP="00A44127">
      <w:pPr>
        <w:tabs>
          <w:tab w:val="left" w:pos="284"/>
          <w:tab w:val="left" w:pos="426"/>
        </w:tabs>
        <w:bidi w:val="0"/>
        <w:spacing w:before="240"/>
        <w:jc w:val="both"/>
        <w:rPr>
          <w:rFonts w:ascii="Times New Roman" w:hAnsi="Times New Roman"/>
        </w:rPr>
      </w:pPr>
    </w:p>
    <w:p w:rsidR="00A448A1" w:rsidRPr="009B5A3A" w:rsidP="005275B0">
      <w:pPr>
        <w:numPr>
          <w:numId w:val="7"/>
        </w:numPr>
        <w:tabs>
          <w:tab w:val="left" w:pos="0"/>
          <w:tab w:val="left" w:pos="284"/>
          <w:tab w:val="left" w:pos="426"/>
        </w:tabs>
        <w:bidi w:val="0"/>
        <w:ind w:left="284" w:right="22" w:hanging="284"/>
        <w:contextualSpacing/>
        <w:jc w:val="both"/>
        <w:rPr>
          <w:rFonts w:ascii="Times New Roman" w:hAnsi="Times New Roman"/>
        </w:rPr>
      </w:pPr>
      <w:r w:rsidRPr="009B5A3A" w:rsidR="0019328B">
        <w:rPr>
          <w:rFonts w:ascii="Times New Roman" w:hAnsi="Times New Roman"/>
        </w:rPr>
        <w:t>Za § 30 sa vklad</w:t>
      </w:r>
      <w:r w:rsidRPr="009B5A3A" w:rsidR="003F2583">
        <w:rPr>
          <w:rFonts w:ascii="Times New Roman" w:hAnsi="Times New Roman"/>
        </w:rPr>
        <w:t>á</w:t>
      </w:r>
      <w:r w:rsidRPr="009B5A3A">
        <w:rPr>
          <w:rFonts w:ascii="Times New Roman" w:hAnsi="Times New Roman"/>
        </w:rPr>
        <w:t xml:space="preserve"> § 30a</w:t>
      </w:r>
      <w:r w:rsidRPr="009B5A3A" w:rsidR="003F2583">
        <w:rPr>
          <w:rFonts w:ascii="Times New Roman" w:hAnsi="Times New Roman"/>
        </w:rPr>
        <w:t>, ktorý</w:t>
      </w:r>
      <w:r w:rsidRPr="009B5A3A" w:rsidR="006964C9">
        <w:rPr>
          <w:rFonts w:ascii="Times New Roman" w:hAnsi="Times New Roman"/>
        </w:rPr>
        <w:t xml:space="preserve"> v</w:t>
      </w:r>
      <w:r w:rsidRPr="009B5A3A" w:rsidR="00015337">
        <w:rPr>
          <w:rFonts w:ascii="Times New Roman" w:hAnsi="Times New Roman"/>
        </w:rPr>
        <w:t>rátane nadpisu</w:t>
      </w:r>
      <w:r w:rsidRPr="009B5A3A" w:rsidR="005C32C8">
        <w:rPr>
          <w:rFonts w:ascii="Times New Roman" w:hAnsi="Times New Roman"/>
        </w:rPr>
        <w:t xml:space="preserve"> zn</w:t>
      </w:r>
      <w:r w:rsidRPr="009B5A3A" w:rsidR="003F2583">
        <w:rPr>
          <w:rFonts w:ascii="Times New Roman" w:hAnsi="Times New Roman"/>
        </w:rPr>
        <w:t>ie</w:t>
      </w:r>
      <w:r w:rsidRPr="009B5A3A">
        <w:rPr>
          <w:rFonts w:ascii="Times New Roman" w:hAnsi="Times New Roman"/>
        </w:rPr>
        <w:t>:</w:t>
      </w:r>
    </w:p>
    <w:p w:rsidR="005C32C8" w:rsidRPr="009B5A3A" w:rsidP="005275B0">
      <w:pPr>
        <w:tabs>
          <w:tab w:val="left" w:pos="0"/>
          <w:tab w:val="left" w:pos="284"/>
          <w:tab w:val="left" w:pos="426"/>
        </w:tabs>
        <w:bidi w:val="0"/>
        <w:ind w:left="284" w:right="22"/>
        <w:contextualSpacing/>
        <w:jc w:val="both"/>
        <w:rPr>
          <w:rFonts w:ascii="Times New Roman" w:hAnsi="Times New Roman"/>
        </w:rPr>
      </w:pPr>
    </w:p>
    <w:p w:rsidR="004132B6" w:rsidRPr="009B5A3A" w:rsidP="005275B0">
      <w:pPr>
        <w:pStyle w:val="Default"/>
        <w:tabs>
          <w:tab w:val="left" w:pos="426"/>
        </w:tabs>
        <w:bidi w:val="0"/>
        <w:jc w:val="center"/>
        <w:rPr>
          <w:rFonts w:ascii="Times New Roman" w:hAnsi="Times New Roman" w:cs="Times New Roman"/>
          <w:b/>
        </w:rPr>
      </w:pPr>
      <w:r w:rsidRPr="009B5A3A">
        <w:rPr>
          <w:rFonts w:ascii="Times New Roman" w:hAnsi="Times New Roman" w:cs="Times New Roman"/>
          <w:b/>
        </w:rPr>
        <w:t>„§ 30a</w:t>
      </w:r>
    </w:p>
    <w:p w:rsidR="004132B6" w:rsidRPr="009B5A3A" w:rsidP="005275B0">
      <w:pPr>
        <w:tabs>
          <w:tab w:val="left" w:pos="426"/>
        </w:tabs>
        <w:bidi w:val="0"/>
        <w:jc w:val="center"/>
        <w:rPr>
          <w:rFonts w:ascii="Times New Roman" w:hAnsi="Times New Roman"/>
          <w:b/>
        </w:rPr>
      </w:pPr>
      <w:r w:rsidRPr="009B5A3A">
        <w:rPr>
          <w:rFonts w:ascii="Times New Roman" w:hAnsi="Times New Roman"/>
          <w:b/>
        </w:rPr>
        <w:t>Osobitné ustanovenia</w:t>
      </w:r>
    </w:p>
    <w:p w:rsidR="004132B6" w:rsidRPr="009B5A3A" w:rsidP="005275B0">
      <w:pPr>
        <w:tabs>
          <w:tab w:val="left" w:pos="426"/>
        </w:tabs>
        <w:bidi w:val="0"/>
        <w:jc w:val="center"/>
        <w:rPr>
          <w:rFonts w:ascii="Times New Roman" w:hAnsi="Times New Roman"/>
          <w:b/>
          <w:color w:val="000000"/>
        </w:rPr>
      </w:pPr>
      <w:r w:rsidRPr="009B5A3A">
        <w:rPr>
          <w:rFonts w:ascii="Times New Roman" w:hAnsi="Times New Roman"/>
          <w:b/>
          <w:color w:val="000000"/>
        </w:rPr>
        <w:t>o vyrovnanom rozpočte verejnej správy</w:t>
      </w:r>
    </w:p>
    <w:p w:rsidR="004132B6" w:rsidRPr="009B5A3A" w:rsidP="005275B0">
      <w:pPr>
        <w:tabs>
          <w:tab w:val="left" w:pos="426"/>
        </w:tabs>
        <w:bidi w:val="0"/>
        <w:ind w:left="720"/>
        <w:contextualSpacing/>
        <w:jc w:val="both"/>
        <w:rPr>
          <w:rFonts w:ascii="Times New Roman" w:hAnsi="Times New Roman"/>
        </w:rPr>
      </w:pPr>
    </w:p>
    <w:p w:rsidR="004132B6" w:rsidRPr="009B5A3A" w:rsidP="005275B0">
      <w:pPr>
        <w:numPr>
          <w:numId w:val="12"/>
        </w:numPr>
        <w:tabs>
          <w:tab w:val="left" w:pos="426"/>
        </w:tabs>
        <w:bidi w:val="0"/>
        <w:spacing w:after="200"/>
        <w:contextualSpacing/>
        <w:jc w:val="both"/>
        <w:rPr>
          <w:rFonts w:ascii="Times New Roman" w:hAnsi="Times New Roman"/>
        </w:rPr>
      </w:pPr>
      <w:r w:rsidRPr="009B5A3A">
        <w:rPr>
          <w:rFonts w:ascii="Times New Roman" w:hAnsi="Times New Roman"/>
        </w:rPr>
        <w:t>Rozpočet verejnej správy sa považ</w:t>
      </w:r>
      <w:r w:rsidRPr="009B5A3A" w:rsidR="005C7EBC">
        <w:rPr>
          <w:rFonts w:ascii="Times New Roman" w:hAnsi="Times New Roman"/>
        </w:rPr>
        <w:t>uje za vyrovnaný</w:t>
      </w:r>
      <w:r w:rsidRPr="009B5A3A">
        <w:rPr>
          <w:rFonts w:ascii="Times New Roman" w:hAnsi="Times New Roman"/>
        </w:rPr>
        <w:t xml:space="preserve"> aj</w:t>
      </w:r>
      <w:r w:rsidRPr="009B5A3A" w:rsidR="00B135FB">
        <w:rPr>
          <w:rFonts w:ascii="Times New Roman" w:hAnsi="Times New Roman"/>
        </w:rPr>
        <w:t xml:space="preserve"> vtedy</w:t>
      </w:r>
      <w:r w:rsidRPr="009B5A3A" w:rsidR="005C7EBC">
        <w:rPr>
          <w:rFonts w:ascii="Times New Roman" w:hAnsi="Times New Roman"/>
        </w:rPr>
        <w:t>,</w:t>
      </w:r>
      <w:r w:rsidRPr="009B5A3A">
        <w:rPr>
          <w:rFonts w:ascii="Times New Roman" w:hAnsi="Times New Roman"/>
        </w:rPr>
        <w:t xml:space="preserve"> ak je schodok rozpočtu verejnej správy upravený o vplyv hospodárskeho cyklu a jednorazové vplyvy (ďalej len „štrukturálny schodok“) rovný alebo nižší ako 0,5% podielu na hrubom domácom produkte; jednorazovým vplyvom sa rozum</w:t>
      </w:r>
      <w:r w:rsidRPr="009B5A3A" w:rsidR="00570C37">
        <w:rPr>
          <w:rFonts w:ascii="Times New Roman" w:hAnsi="Times New Roman"/>
        </w:rPr>
        <w:t>ie príjem alebo výdavok, ktorý</w:t>
      </w:r>
      <w:r w:rsidRPr="009B5A3A">
        <w:rPr>
          <w:rFonts w:ascii="Times New Roman" w:hAnsi="Times New Roman"/>
        </w:rPr>
        <w:t xml:space="preserve"> nemá trvalý alebo opakujúci sa charakter a má časovo obmedzený vplyv na saldo rozpočtu verejnej správy.  Ak je výška dlhu verejnej správy</w:t>
      </w:r>
      <w:r w:rsidRPr="009B5A3A">
        <w:rPr>
          <w:rFonts w:ascii="Times New Roman" w:hAnsi="Times New Roman"/>
          <w:vertAlign w:val="superscript"/>
        </w:rPr>
        <w:t>42ab)</w:t>
      </w:r>
      <w:r w:rsidRPr="009B5A3A">
        <w:rPr>
          <w:rFonts w:ascii="Times New Roman" w:hAnsi="Times New Roman"/>
        </w:rPr>
        <w:t xml:space="preserve"> výrazne nižšia ako 60% podielu na hrubom domácom produkte a v súvislosti s dlhodobou udržateľnosťou</w:t>
      </w:r>
      <w:r w:rsidRPr="009B5A3A">
        <w:rPr>
          <w:rFonts w:ascii="Times New Roman" w:hAnsi="Times New Roman"/>
          <w:vertAlign w:val="superscript"/>
        </w:rPr>
        <w:t>42ac)</w:t>
      </w:r>
      <w:r w:rsidRPr="009B5A3A">
        <w:rPr>
          <w:rFonts w:ascii="Times New Roman" w:hAnsi="Times New Roman"/>
        </w:rPr>
        <w:t xml:space="preserve"> existujú minimálne riziká, štrukturálny schodok môže byť rovný alebo nižší ako 1% podielu na hrubom domácom produkte. Dosiahnutie vyrovnaného alebo prebytkového rozpočtu verejnej správy vrátane postupu vedúcemu k strednodobému cieľu</w:t>
      </w:r>
      <w:r w:rsidR="00750322">
        <w:rPr>
          <w:rFonts w:ascii="Times New Roman" w:hAnsi="Times New Roman"/>
        </w:rPr>
        <w:t xml:space="preserve"> sa zabezpečuje podľa </w:t>
      </w:r>
      <w:r w:rsidRPr="00B64374" w:rsidR="00750322">
        <w:rPr>
          <w:rFonts w:ascii="Times New Roman" w:hAnsi="Times New Roman"/>
        </w:rPr>
        <w:t>osobitných predpisov</w:t>
      </w:r>
      <w:r w:rsidRPr="00B64374">
        <w:rPr>
          <w:rFonts w:ascii="Times New Roman" w:hAnsi="Times New Roman"/>
          <w:vertAlign w:val="superscript"/>
        </w:rPr>
        <w:t>42ad</w:t>
      </w:r>
      <w:r w:rsidRPr="009B5A3A">
        <w:rPr>
          <w:rFonts w:ascii="Times New Roman" w:hAnsi="Times New Roman"/>
          <w:vertAlign w:val="superscript"/>
        </w:rPr>
        <w:t>)</w:t>
      </w:r>
      <w:r w:rsidRPr="009B5A3A">
        <w:rPr>
          <w:rFonts w:ascii="Times New Roman" w:hAnsi="Times New Roman"/>
        </w:rPr>
        <w:t>.</w:t>
      </w:r>
      <w:r w:rsidRPr="009B5A3A">
        <w:rPr>
          <w:rFonts w:ascii="Times New Roman" w:hAnsi="Times New Roman"/>
          <w:b/>
        </w:rPr>
        <w:t xml:space="preserve"> </w:t>
      </w:r>
    </w:p>
    <w:p w:rsidR="004132B6" w:rsidRPr="009B5A3A" w:rsidP="005275B0">
      <w:pPr>
        <w:tabs>
          <w:tab w:val="left" w:pos="426"/>
        </w:tabs>
        <w:bidi w:val="0"/>
        <w:spacing w:after="200"/>
        <w:ind w:left="720"/>
        <w:contextualSpacing/>
        <w:jc w:val="both"/>
        <w:rPr>
          <w:rFonts w:ascii="Times New Roman" w:hAnsi="Times New Roman"/>
        </w:rPr>
      </w:pPr>
    </w:p>
    <w:p w:rsidR="004132B6" w:rsidRPr="009B5A3A" w:rsidP="005275B0">
      <w:pPr>
        <w:numPr>
          <w:numId w:val="12"/>
        </w:numPr>
        <w:tabs>
          <w:tab w:val="left" w:pos="426"/>
          <w:tab w:val="left" w:pos="567"/>
        </w:tabs>
        <w:bidi w:val="0"/>
        <w:spacing w:after="200"/>
        <w:contextualSpacing/>
        <w:jc w:val="both"/>
        <w:rPr>
          <w:rFonts w:ascii="Times New Roman" w:hAnsi="Times New Roman"/>
        </w:rPr>
      </w:pPr>
      <w:r w:rsidRPr="009B5A3A">
        <w:rPr>
          <w:rFonts w:ascii="Times New Roman" w:hAnsi="Times New Roman"/>
        </w:rPr>
        <w:t>Pri výraznom  odchýlení sa</w:t>
      </w:r>
      <w:r w:rsidR="009B5A3A">
        <w:rPr>
          <w:rFonts w:ascii="Times New Roman" w:hAnsi="Times New Roman"/>
          <w:vertAlign w:val="superscript"/>
        </w:rPr>
        <w:t xml:space="preserve">42ae) </w:t>
      </w:r>
      <w:r w:rsidRPr="009B5A3A">
        <w:rPr>
          <w:rFonts w:ascii="Times New Roman" w:hAnsi="Times New Roman"/>
        </w:rPr>
        <w:t>od strednodobého cieľa alebo postupu vedúcemu k tomuto cieľu podľa odseku 1  sa uplatní  korekčný mechanizmus; ministerstvo financií</w:t>
      </w:r>
      <w:r w:rsidRPr="009B5A3A" w:rsidR="000723E5">
        <w:rPr>
          <w:rFonts w:ascii="Times New Roman" w:hAnsi="Times New Roman"/>
        </w:rPr>
        <w:t xml:space="preserve"> podľa vopred zverejneného postupu výpočtu</w:t>
      </w:r>
      <w:r w:rsidRPr="009B5A3A">
        <w:rPr>
          <w:rFonts w:ascii="Times New Roman" w:hAnsi="Times New Roman"/>
        </w:rPr>
        <w:t xml:space="preserve"> posudzuje a zverejňuje, či došlo k výraznému odchýleniu, a to dvakrát ročne do 30. júna bežného rozpočtového roka a do 30. novembra bežného rozpočtového roka. Ak ministerstvo financií posúdi, že došlo k výraznému odchýleniu, navrhne vláde limit verejných výdavkov na obdobie korekcie výrazného odchýlenia</w:t>
      </w:r>
      <w:r w:rsidRPr="009B5A3A" w:rsidR="00B135FB">
        <w:rPr>
          <w:rFonts w:ascii="Times New Roman" w:hAnsi="Times New Roman"/>
        </w:rPr>
        <w:t>, rešpektujúc každoročné znižovanie podielu schodku rozpočtu verejnej správy na hrubom domácom produkte v súlade s osobitným predpisom</w:t>
      </w:r>
      <w:r w:rsidRPr="009B5A3A" w:rsidR="0036353B">
        <w:rPr>
          <w:rFonts w:ascii="Times New Roman" w:hAnsi="Times New Roman"/>
          <w:vertAlign w:val="superscript"/>
        </w:rPr>
        <w:t>42af</w:t>
      </w:r>
      <w:r w:rsidRPr="009B5A3A" w:rsidR="00B135FB">
        <w:rPr>
          <w:rFonts w:ascii="Times New Roman" w:hAnsi="Times New Roman"/>
          <w:vertAlign w:val="superscript"/>
        </w:rPr>
        <w:t>)</w:t>
      </w:r>
      <w:r w:rsidRPr="009B5A3A" w:rsidR="002B74C1">
        <w:rPr>
          <w:rFonts w:ascii="Times New Roman" w:hAnsi="Times New Roman"/>
        </w:rPr>
        <w:t>; limitom verejných výdavkov sa rozumie maximálna výška celkových časovo rozlíšených konsolidovaných výdavkov verejnej správy.</w:t>
      </w:r>
      <w:r w:rsidRPr="009B5A3A">
        <w:rPr>
          <w:rFonts w:ascii="Times New Roman" w:hAnsi="Times New Roman"/>
        </w:rPr>
        <w:t xml:space="preserve"> </w:t>
      </w:r>
      <w:r w:rsidRPr="009B5A3A" w:rsidR="005C7EBC">
        <w:rPr>
          <w:rFonts w:ascii="Times New Roman" w:hAnsi="Times New Roman"/>
        </w:rPr>
        <w:t xml:space="preserve">Návrh opatrení s vplyvom na územnú samosprávu </w:t>
      </w:r>
      <w:r w:rsidRPr="009B5A3A" w:rsidR="00B135FB">
        <w:rPr>
          <w:rFonts w:ascii="Times New Roman" w:hAnsi="Times New Roman"/>
        </w:rPr>
        <w:t>ministerstvo financií</w:t>
      </w:r>
      <w:r w:rsidRPr="009B5A3A" w:rsidR="005C7EBC">
        <w:rPr>
          <w:rFonts w:ascii="Times New Roman" w:hAnsi="Times New Roman"/>
        </w:rPr>
        <w:t xml:space="preserve"> vopred prerokuje s republikovými združeniami obcí a so zástupcami vyšších územných celkov.</w:t>
      </w:r>
      <w:r w:rsidRPr="009B5A3A">
        <w:rPr>
          <w:rFonts w:ascii="Times New Roman" w:hAnsi="Times New Roman"/>
        </w:rPr>
        <w:t xml:space="preserve"> Vláda rozhodne o korekčnom mechanizme, v rámci ktorého rozhodne o návrhu na limit verejných výdavkov a schváli opatrenia, ktoré sa budú v rámci korekčného mechanizmu realizovať. Ak vláda rozhodne, že sa korekčný mechanizmus neuplatní, zašle národnej rade písomné zdôvodnenie rozhodnutia o neu</w:t>
      </w:r>
      <w:r w:rsidRPr="009B5A3A" w:rsidR="00B135FB">
        <w:rPr>
          <w:rFonts w:ascii="Times New Roman" w:hAnsi="Times New Roman"/>
        </w:rPr>
        <w:t>platnení korekčného mechanizmu</w:t>
      </w:r>
      <w:r w:rsidRPr="009B5A3A" w:rsidR="005C7EBC">
        <w:rPr>
          <w:rFonts w:ascii="Times New Roman" w:hAnsi="Times New Roman"/>
        </w:rPr>
        <w:t>.</w:t>
      </w:r>
      <w:r w:rsidRPr="009B5A3A">
        <w:rPr>
          <w:rFonts w:ascii="Times New Roman" w:hAnsi="Times New Roman"/>
        </w:rPr>
        <w:t xml:space="preserve">  </w:t>
      </w:r>
    </w:p>
    <w:p w:rsidR="004132B6" w:rsidRPr="009B5A3A" w:rsidP="005275B0">
      <w:pPr>
        <w:pStyle w:val="ListParagraph1"/>
        <w:numPr>
          <w:numId w:val="12"/>
        </w:numPr>
        <w:tabs>
          <w:tab w:val="left" w:pos="142"/>
          <w:tab w:val="left" w:pos="426"/>
        </w:tabs>
        <w:bidi w:val="0"/>
        <w:spacing w:before="240" w:after="0" w:line="240" w:lineRule="auto"/>
        <w:contextualSpacing/>
        <w:jc w:val="both"/>
        <w:rPr>
          <w:rFonts w:ascii="Times New Roman" w:hAnsi="Times New Roman"/>
          <w:sz w:val="24"/>
          <w:szCs w:val="24"/>
          <w:lang w:eastAsia="sk-SK"/>
        </w:rPr>
      </w:pPr>
      <w:r w:rsidRPr="009B5A3A">
        <w:rPr>
          <w:rFonts w:ascii="Times New Roman" w:hAnsi="Times New Roman"/>
          <w:sz w:val="24"/>
          <w:szCs w:val="24"/>
          <w:lang w:eastAsia="sk-SK"/>
        </w:rPr>
        <w:t>Povinnosť uplatňovať korekčný mechanizmus sa nevzťahuje na obdobie trvania  výnimočných okolností</w:t>
      </w:r>
      <w:r w:rsidRPr="009B5A3A" w:rsidR="0036353B">
        <w:rPr>
          <w:rFonts w:ascii="Times New Roman" w:hAnsi="Times New Roman"/>
          <w:sz w:val="24"/>
          <w:szCs w:val="24"/>
          <w:vertAlign w:val="superscript"/>
          <w:lang w:eastAsia="sk-SK"/>
        </w:rPr>
        <w:t>42ag</w:t>
      </w:r>
      <w:r w:rsidRPr="009B5A3A">
        <w:rPr>
          <w:rFonts w:ascii="Times New Roman" w:hAnsi="Times New Roman"/>
          <w:sz w:val="24"/>
          <w:szCs w:val="24"/>
          <w:vertAlign w:val="superscript"/>
          <w:lang w:eastAsia="sk-SK"/>
        </w:rPr>
        <w:t>)</w:t>
      </w:r>
      <w:r w:rsidRPr="009B5A3A">
        <w:rPr>
          <w:rFonts w:ascii="Times New Roman" w:hAnsi="Times New Roman"/>
          <w:sz w:val="24"/>
          <w:szCs w:val="24"/>
          <w:lang w:eastAsia="sk-SK"/>
        </w:rPr>
        <w:t xml:space="preserve">; </w:t>
      </w:r>
      <w:r w:rsidRPr="009B5A3A" w:rsidR="00BB0FBF">
        <w:rPr>
          <w:rFonts w:ascii="Times New Roman" w:hAnsi="Times New Roman"/>
          <w:sz w:val="24"/>
          <w:szCs w:val="24"/>
          <w:lang w:eastAsia="sk-SK"/>
        </w:rPr>
        <w:t>začiatok a ukončenie trvania výnimočných okolností vyhlasuje vláda</w:t>
      </w:r>
      <w:r w:rsidRPr="009B5A3A">
        <w:rPr>
          <w:rFonts w:ascii="Times New Roman" w:hAnsi="Times New Roman"/>
          <w:sz w:val="24"/>
          <w:szCs w:val="24"/>
          <w:lang w:eastAsia="sk-SK"/>
        </w:rPr>
        <w:t xml:space="preserve"> na návrh ministerstva financií.</w:t>
      </w:r>
    </w:p>
    <w:p w:rsidR="004132B6" w:rsidRPr="009B5A3A" w:rsidP="005275B0">
      <w:pPr>
        <w:pStyle w:val="ListParagraph1"/>
        <w:tabs>
          <w:tab w:val="left" w:pos="142"/>
          <w:tab w:val="left" w:pos="426"/>
        </w:tabs>
        <w:bidi w:val="0"/>
        <w:spacing w:before="240" w:after="0" w:line="240" w:lineRule="auto"/>
        <w:contextualSpacing/>
        <w:jc w:val="both"/>
        <w:rPr>
          <w:rFonts w:ascii="Times New Roman" w:hAnsi="Times New Roman"/>
          <w:sz w:val="24"/>
          <w:szCs w:val="24"/>
          <w:lang w:eastAsia="sk-SK"/>
        </w:rPr>
      </w:pPr>
    </w:p>
    <w:p w:rsidR="004132B6" w:rsidRPr="009B5A3A" w:rsidP="005275B0">
      <w:pPr>
        <w:pStyle w:val="ListParagraph1"/>
        <w:numPr>
          <w:numId w:val="12"/>
        </w:numPr>
        <w:tabs>
          <w:tab w:val="left" w:pos="142"/>
          <w:tab w:val="left" w:pos="426"/>
        </w:tabs>
        <w:bidi w:val="0"/>
        <w:spacing w:before="240" w:after="0" w:line="240" w:lineRule="auto"/>
        <w:contextualSpacing/>
        <w:jc w:val="both"/>
        <w:rPr>
          <w:rFonts w:ascii="Times New Roman" w:hAnsi="Times New Roman"/>
          <w:sz w:val="24"/>
          <w:szCs w:val="24"/>
          <w:lang w:eastAsia="sk-SK"/>
        </w:rPr>
      </w:pPr>
      <w:r w:rsidRPr="009B5A3A">
        <w:rPr>
          <w:rFonts w:ascii="Times New Roman" w:hAnsi="Times New Roman"/>
          <w:sz w:val="24"/>
          <w:szCs w:val="24"/>
          <w:lang w:eastAsia="sk-SK"/>
        </w:rPr>
        <w:t>Rada pre rozpočtovú zodpovednosť</w:t>
      </w:r>
      <w:r w:rsidRPr="009B5A3A">
        <w:rPr>
          <w:rFonts w:ascii="Times New Roman" w:hAnsi="Times New Roman"/>
          <w:sz w:val="24"/>
          <w:szCs w:val="24"/>
          <w:vertAlign w:val="superscript"/>
          <w:lang w:eastAsia="sk-SK"/>
        </w:rPr>
        <w:t>4</w:t>
      </w:r>
      <w:r w:rsidRPr="009B5A3A" w:rsidR="0036353B">
        <w:rPr>
          <w:rFonts w:ascii="Times New Roman" w:hAnsi="Times New Roman"/>
          <w:sz w:val="24"/>
          <w:szCs w:val="24"/>
          <w:vertAlign w:val="superscript"/>
          <w:lang w:eastAsia="sk-SK"/>
        </w:rPr>
        <w:t>2ah</w:t>
      </w:r>
      <w:r w:rsidRPr="009B5A3A" w:rsidR="000D2C63">
        <w:rPr>
          <w:rFonts w:ascii="Times New Roman" w:hAnsi="Times New Roman"/>
          <w:sz w:val="24"/>
          <w:szCs w:val="24"/>
          <w:vertAlign w:val="superscript"/>
          <w:lang w:eastAsia="sk-SK"/>
        </w:rPr>
        <w:t>)</w:t>
      </w:r>
      <w:r w:rsidRPr="009B5A3A">
        <w:rPr>
          <w:rFonts w:ascii="Times New Roman" w:hAnsi="Times New Roman"/>
          <w:sz w:val="24"/>
          <w:szCs w:val="24"/>
          <w:vertAlign w:val="superscript"/>
          <w:lang w:eastAsia="sk-SK"/>
        </w:rPr>
        <w:t> </w:t>
      </w:r>
      <w:r w:rsidRPr="009B5A3A">
        <w:rPr>
          <w:rFonts w:ascii="Times New Roman" w:hAnsi="Times New Roman"/>
          <w:sz w:val="24"/>
          <w:szCs w:val="24"/>
          <w:lang w:eastAsia="sk-SK"/>
        </w:rPr>
        <w:t>posudzuje a zverejňuje vyhodnotenie uplatňovania</w:t>
      </w:r>
      <w:r w:rsidRPr="009B5A3A" w:rsidR="00BB0FBF">
        <w:rPr>
          <w:rFonts w:ascii="Times New Roman" w:hAnsi="Times New Roman"/>
          <w:sz w:val="24"/>
          <w:szCs w:val="24"/>
          <w:lang w:eastAsia="sk-SK"/>
        </w:rPr>
        <w:t xml:space="preserve"> alebo neuplatňovania</w:t>
      </w:r>
      <w:r w:rsidRPr="009B5A3A">
        <w:rPr>
          <w:rFonts w:ascii="Times New Roman" w:hAnsi="Times New Roman"/>
          <w:sz w:val="24"/>
          <w:szCs w:val="24"/>
          <w:lang w:eastAsia="sk-SK"/>
        </w:rPr>
        <w:t xml:space="preserve"> korekčného mechanizmu podľa odseku 2 a</w:t>
      </w:r>
      <w:r w:rsidRPr="009B5A3A" w:rsidR="00BB0FBF">
        <w:rPr>
          <w:rFonts w:ascii="Times New Roman" w:hAnsi="Times New Roman"/>
          <w:sz w:val="24"/>
          <w:szCs w:val="24"/>
          <w:lang w:eastAsia="sk-SK"/>
        </w:rPr>
        <w:t> začiatok a ukončenie trvania výnimočných okolností</w:t>
      </w:r>
      <w:r w:rsidRPr="009B5A3A">
        <w:rPr>
          <w:rFonts w:ascii="Times New Roman" w:hAnsi="Times New Roman"/>
          <w:sz w:val="24"/>
          <w:szCs w:val="24"/>
          <w:lang w:eastAsia="sk-SK"/>
        </w:rPr>
        <w:t xml:space="preserve"> podľa odseku 3</w:t>
      </w:r>
      <w:r w:rsidRPr="009B5A3A" w:rsidR="00FA4EAE">
        <w:rPr>
          <w:rFonts w:ascii="Times New Roman" w:hAnsi="Times New Roman"/>
          <w:sz w:val="24"/>
          <w:szCs w:val="24"/>
          <w:lang w:eastAsia="sk-SK"/>
        </w:rPr>
        <w:t>; ministerstvo financií zverejňuje stanoviská k týmto hodnoteniam</w:t>
      </w:r>
      <w:r w:rsidRPr="009B5A3A">
        <w:rPr>
          <w:rFonts w:ascii="Times New Roman" w:hAnsi="Times New Roman"/>
          <w:sz w:val="24"/>
          <w:szCs w:val="24"/>
          <w:lang w:eastAsia="sk-SK"/>
        </w:rPr>
        <w:t>.</w:t>
      </w:r>
      <w:r w:rsidRPr="009B5A3A" w:rsidR="00FA4EAE">
        <w:rPr>
          <w:rFonts w:ascii="Times New Roman" w:hAnsi="Times New Roman"/>
          <w:sz w:val="24"/>
          <w:szCs w:val="24"/>
          <w:lang w:eastAsia="sk-SK"/>
        </w:rPr>
        <w:t>“</w:t>
      </w:r>
      <w:r w:rsidRPr="009B5A3A" w:rsidR="006964C9">
        <w:rPr>
          <w:rFonts w:ascii="Times New Roman" w:hAnsi="Times New Roman"/>
          <w:sz w:val="24"/>
          <w:szCs w:val="24"/>
          <w:lang w:eastAsia="sk-SK"/>
        </w:rPr>
        <w:t>.</w:t>
      </w:r>
    </w:p>
    <w:p w:rsidR="004132B6" w:rsidRPr="009B5A3A" w:rsidP="005275B0">
      <w:pPr>
        <w:pStyle w:val="ListParagraph1"/>
        <w:tabs>
          <w:tab w:val="left" w:pos="426"/>
          <w:tab w:val="left" w:pos="709"/>
        </w:tabs>
        <w:bidi w:val="0"/>
        <w:spacing w:before="240" w:after="0" w:line="240" w:lineRule="auto"/>
        <w:contextualSpacing/>
        <w:jc w:val="both"/>
        <w:rPr>
          <w:rFonts w:ascii="Times New Roman" w:hAnsi="Times New Roman"/>
          <w:sz w:val="24"/>
          <w:szCs w:val="24"/>
          <w:lang w:eastAsia="sk-SK"/>
        </w:rPr>
      </w:pPr>
      <w:r w:rsidRPr="009B5A3A">
        <w:rPr>
          <w:rFonts w:ascii="Times New Roman" w:hAnsi="Times New Roman"/>
          <w:sz w:val="24"/>
          <w:szCs w:val="24"/>
          <w:lang w:eastAsia="sk-SK"/>
        </w:rPr>
        <w:t xml:space="preserve"> </w:t>
      </w:r>
    </w:p>
    <w:p w:rsidR="004132B6" w:rsidRPr="009B5A3A" w:rsidP="005275B0">
      <w:pPr>
        <w:tabs>
          <w:tab w:val="left" w:pos="426"/>
        </w:tabs>
        <w:bidi w:val="0"/>
        <w:contextualSpacing/>
        <w:jc w:val="both"/>
        <w:rPr>
          <w:rFonts w:ascii="Times New Roman" w:hAnsi="Times New Roman"/>
        </w:rPr>
      </w:pPr>
      <w:r w:rsidRPr="009B5A3A">
        <w:rPr>
          <w:rFonts w:ascii="Times New Roman" w:hAnsi="Times New Roman"/>
        </w:rPr>
        <w:t>Poznámky p</w:t>
      </w:r>
      <w:r w:rsidRPr="009B5A3A" w:rsidR="0036353B">
        <w:rPr>
          <w:rFonts w:ascii="Times New Roman" w:hAnsi="Times New Roman"/>
        </w:rPr>
        <w:t>od čiarou k odkazom 42ab až 42ah</w:t>
      </w:r>
      <w:r w:rsidRPr="009B5A3A">
        <w:rPr>
          <w:rFonts w:ascii="Times New Roman" w:hAnsi="Times New Roman"/>
        </w:rPr>
        <w:t xml:space="preserve">  znejú:</w:t>
      </w:r>
    </w:p>
    <w:p w:rsidR="004132B6" w:rsidRPr="009B5A3A" w:rsidP="005275B0">
      <w:pPr>
        <w:tabs>
          <w:tab w:val="left" w:pos="426"/>
        </w:tabs>
        <w:bidi w:val="0"/>
        <w:contextualSpacing/>
        <w:jc w:val="both"/>
        <w:rPr>
          <w:rFonts w:ascii="Times New Roman" w:hAnsi="Times New Roman"/>
        </w:rPr>
      </w:pPr>
    </w:p>
    <w:p w:rsidR="004132B6" w:rsidRPr="009B5A3A" w:rsidP="005275B0">
      <w:pPr>
        <w:tabs>
          <w:tab w:val="left" w:pos="426"/>
        </w:tabs>
        <w:bidi w:val="0"/>
        <w:contextualSpacing/>
        <w:jc w:val="both"/>
        <w:rPr>
          <w:rFonts w:ascii="Times New Roman" w:hAnsi="Times New Roman"/>
        </w:rPr>
      </w:pPr>
      <w:r w:rsidRPr="009B5A3A">
        <w:rPr>
          <w:rFonts w:ascii="Times New Roman" w:hAnsi="Times New Roman"/>
        </w:rPr>
        <w:t>„42ab) Čl. 5 ods. 2 ústavného zákona č. 493/2011 Z. z.</w:t>
      </w:r>
    </w:p>
    <w:p w:rsidR="004132B6" w:rsidRPr="009B5A3A" w:rsidP="005275B0">
      <w:pPr>
        <w:tabs>
          <w:tab w:val="left" w:pos="426"/>
        </w:tabs>
        <w:bidi w:val="0"/>
        <w:ind w:left="567" w:hanging="567"/>
        <w:contextualSpacing/>
        <w:jc w:val="both"/>
        <w:rPr>
          <w:rFonts w:ascii="Times New Roman" w:hAnsi="Times New Roman"/>
        </w:rPr>
      </w:pPr>
      <w:r w:rsidRPr="009B5A3A">
        <w:rPr>
          <w:rFonts w:ascii="Times New Roman" w:hAnsi="Times New Roman"/>
        </w:rPr>
        <w:t>42ac)  Čl. 2 písm. a) ústavného zákona č. 493/2011 Z. z.</w:t>
      </w:r>
    </w:p>
    <w:p w:rsidR="00BB0FBF" w:rsidRPr="009B5A3A" w:rsidP="005275B0">
      <w:pPr>
        <w:tabs>
          <w:tab w:val="left" w:pos="426"/>
        </w:tabs>
        <w:bidi w:val="0"/>
        <w:contextualSpacing/>
        <w:jc w:val="both"/>
        <w:rPr>
          <w:rFonts w:ascii="Times New Roman" w:hAnsi="Times New Roman"/>
        </w:rPr>
      </w:pPr>
      <w:r w:rsidRPr="009B5A3A" w:rsidR="004132B6">
        <w:rPr>
          <w:rFonts w:ascii="Times New Roman" w:hAnsi="Times New Roman"/>
        </w:rPr>
        <w:t>42ad) Čl. 3 ods. 1 písm. b) Zmluvy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o stabilite, koordinácii a správe v hospodárskej a menovej únii  (oznámenie Ministerstva zahraničných vecí Slovens</w:t>
      </w:r>
      <w:r w:rsidRPr="009B5A3A" w:rsidR="001C786E">
        <w:rPr>
          <w:rFonts w:ascii="Times New Roman" w:hAnsi="Times New Roman"/>
        </w:rPr>
        <w:t>kej republiky č. 18/2013 Z. z.).</w:t>
      </w:r>
    </w:p>
    <w:p w:rsidR="004132B6" w:rsidRPr="009B5A3A" w:rsidP="005275B0">
      <w:pPr>
        <w:tabs>
          <w:tab w:val="left" w:pos="426"/>
        </w:tabs>
        <w:bidi w:val="0"/>
        <w:contextualSpacing/>
        <w:jc w:val="both"/>
        <w:rPr>
          <w:rFonts w:ascii="Times New Roman" w:hAnsi="Times New Roman"/>
        </w:rPr>
      </w:pPr>
      <w:r w:rsidRPr="009B5A3A">
        <w:rPr>
          <w:rFonts w:ascii="Times New Roman" w:hAnsi="Times New Roman"/>
        </w:rPr>
        <w:t>Nariadenie Rady (ES) č. 1466/97 zo 7. júla 1997 o posilnení dohľadu nad stavmi rozpočtov a o dohľade nad hospodárskymi politikami a ich koordinácii (Mimoriadne vydanie Ú. v. EÚ, kap.10/zv.1)  v platnom  znení.</w:t>
      </w:r>
    </w:p>
    <w:p w:rsidR="004132B6" w:rsidRPr="009B5A3A" w:rsidP="005275B0">
      <w:pPr>
        <w:tabs>
          <w:tab w:val="left" w:pos="426"/>
        </w:tabs>
        <w:bidi w:val="0"/>
        <w:contextualSpacing/>
        <w:jc w:val="both"/>
        <w:rPr>
          <w:rFonts w:ascii="Times New Roman" w:hAnsi="Times New Roman"/>
        </w:rPr>
      </w:pPr>
      <w:r w:rsidRPr="009B5A3A">
        <w:rPr>
          <w:rFonts w:ascii="Times New Roman" w:hAnsi="Times New Roman"/>
        </w:rPr>
        <w:t xml:space="preserve"> Nariadenie Rady (ES) č. 1467/97 zo 7. júla 1997 o urýchľovaní a objasňovaní vykonania postupu pri nadmernom schodku (Mimoriadne vydanie Ú. v. EÚ, kap.10/zv.1)  v platnom znení.</w:t>
      </w:r>
    </w:p>
    <w:p w:rsidR="004132B6" w:rsidRPr="009B5A3A" w:rsidP="005275B0">
      <w:pPr>
        <w:tabs>
          <w:tab w:val="left" w:pos="426"/>
        </w:tabs>
        <w:bidi w:val="0"/>
        <w:ind w:left="567" w:hanging="567"/>
        <w:contextualSpacing/>
        <w:jc w:val="both"/>
        <w:rPr>
          <w:rFonts w:ascii="Times New Roman" w:hAnsi="Times New Roman"/>
        </w:rPr>
      </w:pPr>
      <w:r w:rsidRPr="009B5A3A">
        <w:rPr>
          <w:rFonts w:ascii="Times New Roman" w:hAnsi="Times New Roman"/>
        </w:rPr>
        <w:t xml:space="preserve">42ae) </w:t>
      </w:r>
      <w:r w:rsidRPr="009B5A3A" w:rsidR="00BB0FBF">
        <w:rPr>
          <w:rFonts w:ascii="Times New Roman" w:hAnsi="Times New Roman"/>
        </w:rPr>
        <w:t>Čl. 6 n</w:t>
      </w:r>
      <w:r w:rsidRPr="009B5A3A" w:rsidR="006964C9">
        <w:rPr>
          <w:rFonts w:ascii="Times New Roman" w:hAnsi="Times New Roman"/>
        </w:rPr>
        <w:t>ariadenia R</w:t>
      </w:r>
      <w:r w:rsidRPr="009B5A3A">
        <w:rPr>
          <w:rFonts w:ascii="Times New Roman" w:hAnsi="Times New Roman"/>
        </w:rPr>
        <w:t>ady (ES) č. 1466/97</w:t>
      </w:r>
      <w:r w:rsidRPr="009B5A3A" w:rsidR="006964C9">
        <w:rPr>
          <w:rFonts w:ascii="Times New Roman" w:hAnsi="Times New Roman"/>
        </w:rPr>
        <w:t xml:space="preserve"> zo 7. júla 1997</w:t>
      </w:r>
      <w:r w:rsidRPr="009B5A3A">
        <w:rPr>
          <w:rFonts w:ascii="Times New Roman" w:hAnsi="Times New Roman"/>
        </w:rPr>
        <w:t>.</w:t>
      </w:r>
    </w:p>
    <w:p w:rsidR="000C35F7" w:rsidRPr="009B5A3A" w:rsidP="000C35F7">
      <w:pPr>
        <w:tabs>
          <w:tab w:val="left" w:pos="426"/>
        </w:tabs>
        <w:bidi w:val="0"/>
        <w:ind w:left="567" w:hanging="567"/>
        <w:contextualSpacing/>
        <w:jc w:val="both"/>
        <w:rPr>
          <w:rFonts w:ascii="Times New Roman" w:hAnsi="Times New Roman"/>
        </w:rPr>
      </w:pPr>
      <w:r w:rsidRPr="009B5A3A" w:rsidR="0036353B">
        <w:rPr>
          <w:rFonts w:ascii="Times New Roman" w:hAnsi="Times New Roman"/>
        </w:rPr>
        <w:t xml:space="preserve">42af) </w:t>
      </w:r>
      <w:r w:rsidRPr="009B5A3A">
        <w:rPr>
          <w:rFonts w:ascii="Times New Roman" w:hAnsi="Times New Roman"/>
        </w:rPr>
        <w:t>Čl. 5 a čl. 6 nariadenia Rady (ES) č. 1466/97 zo 7. júla 1997.</w:t>
      </w:r>
    </w:p>
    <w:p w:rsidR="0036353B" w:rsidRPr="009B5A3A" w:rsidP="005275B0">
      <w:pPr>
        <w:tabs>
          <w:tab w:val="left" w:pos="426"/>
        </w:tabs>
        <w:bidi w:val="0"/>
        <w:ind w:left="567" w:hanging="567"/>
        <w:contextualSpacing/>
        <w:jc w:val="both"/>
        <w:rPr>
          <w:rFonts w:ascii="Times New Roman" w:hAnsi="Times New Roman"/>
        </w:rPr>
      </w:pPr>
      <w:r w:rsidRPr="009B5A3A" w:rsidR="000D2C63">
        <w:rPr>
          <w:rFonts w:ascii="Times New Roman" w:hAnsi="Times New Roman"/>
        </w:rPr>
        <w:t xml:space="preserve"> </w:t>
      </w:r>
      <w:r w:rsidRPr="009B5A3A" w:rsidR="006F188E">
        <w:rPr>
          <w:rFonts w:ascii="Times New Roman" w:hAnsi="Times New Roman"/>
        </w:rPr>
        <w:t>Čl.</w:t>
      </w:r>
      <w:r w:rsidRPr="009B5A3A" w:rsidR="002D37AC">
        <w:rPr>
          <w:rFonts w:ascii="Times New Roman" w:hAnsi="Times New Roman"/>
        </w:rPr>
        <w:t>3 ods. 4 nariadenia</w:t>
      </w:r>
      <w:r w:rsidRPr="009B5A3A">
        <w:rPr>
          <w:rFonts w:ascii="Times New Roman" w:hAnsi="Times New Roman"/>
        </w:rPr>
        <w:t xml:space="preserve"> Rady (ES) č. 1467/97 zo 7. júla 1997</w:t>
      </w:r>
      <w:r w:rsidRPr="009B5A3A" w:rsidR="006964C9">
        <w:rPr>
          <w:rFonts w:ascii="Times New Roman" w:hAnsi="Times New Roman"/>
        </w:rPr>
        <w:t>.</w:t>
      </w:r>
    </w:p>
    <w:p w:rsidR="004132B6" w:rsidRPr="009B5A3A" w:rsidP="005275B0">
      <w:pPr>
        <w:tabs>
          <w:tab w:val="left" w:pos="426"/>
        </w:tabs>
        <w:bidi w:val="0"/>
        <w:contextualSpacing/>
        <w:jc w:val="both"/>
        <w:rPr>
          <w:rFonts w:ascii="Times New Roman" w:hAnsi="Times New Roman"/>
        </w:rPr>
      </w:pPr>
      <w:r w:rsidRPr="009B5A3A">
        <w:rPr>
          <w:rFonts w:ascii="Times New Roman" w:hAnsi="Times New Roman"/>
        </w:rPr>
        <w:t>42a</w:t>
      </w:r>
      <w:r w:rsidRPr="009B5A3A" w:rsidR="0036353B">
        <w:rPr>
          <w:rFonts w:ascii="Times New Roman" w:hAnsi="Times New Roman"/>
        </w:rPr>
        <w:t>g</w:t>
      </w:r>
      <w:r w:rsidRPr="009B5A3A">
        <w:rPr>
          <w:rFonts w:ascii="Times New Roman" w:hAnsi="Times New Roman"/>
        </w:rPr>
        <w:t>) Čl. 3 ods. 3 písm. b) Zmluvy o stabilite, koordinácii a správe v hospodárskej a menovej únii  (oznámenie Ministerstva zahraničných vecí Slovenskej republiky č. 18/2013 Z. z.).</w:t>
      </w:r>
    </w:p>
    <w:p w:rsidR="004132B6" w:rsidRPr="009B5A3A" w:rsidP="005275B0">
      <w:pPr>
        <w:tabs>
          <w:tab w:val="left" w:pos="426"/>
        </w:tabs>
        <w:bidi w:val="0"/>
        <w:ind w:left="567" w:hanging="567"/>
        <w:contextualSpacing/>
        <w:jc w:val="both"/>
        <w:rPr>
          <w:rFonts w:ascii="Times New Roman" w:hAnsi="Times New Roman"/>
        </w:rPr>
      </w:pPr>
      <w:r w:rsidRPr="009B5A3A" w:rsidR="0036353B">
        <w:rPr>
          <w:rFonts w:ascii="Times New Roman" w:hAnsi="Times New Roman"/>
        </w:rPr>
        <w:t>42ah</w:t>
      </w:r>
      <w:r w:rsidRPr="009B5A3A">
        <w:rPr>
          <w:rFonts w:ascii="Times New Roman" w:hAnsi="Times New Roman"/>
        </w:rPr>
        <w:t>)  Čl. 3 ústavného zákona č. 493/2011 Z. z.“.</w:t>
      </w:r>
    </w:p>
    <w:p w:rsidR="00A448A1" w:rsidRPr="009B5A3A" w:rsidP="005275B0">
      <w:pPr>
        <w:pStyle w:val="Default"/>
        <w:tabs>
          <w:tab w:val="left" w:pos="426"/>
        </w:tabs>
        <w:bidi w:val="0"/>
        <w:ind w:left="644"/>
        <w:contextualSpacing/>
        <w:rPr>
          <w:rFonts w:ascii="Times New Roman" w:hAnsi="Times New Roman" w:cs="Times New Roman"/>
          <w:color w:val="auto"/>
          <w:lang w:eastAsia="sk-SK"/>
        </w:rPr>
      </w:pPr>
    </w:p>
    <w:p w:rsidR="00A448A1" w:rsidRPr="009B5A3A" w:rsidP="005275B0">
      <w:pPr>
        <w:numPr>
          <w:numId w:val="7"/>
        </w:numPr>
        <w:tabs>
          <w:tab w:val="left" w:pos="284"/>
          <w:tab w:val="left" w:pos="426"/>
        </w:tabs>
        <w:bidi w:val="0"/>
        <w:ind w:left="0" w:right="22" w:firstLine="0"/>
        <w:contextualSpacing/>
        <w:jc w:val="both"/>
        <w:rPr>
          <w:rFonts w:ascii="Times New Roman" w:hAnsi="Times New Roman"/>
        </w:rPr>
      </w:pPr>
      <w:r w:rsidRPr="009B5A3A">
        <w:rPr>
          <w:rFonts w:ascii="Times New Roman" w:hAnsi="Times New Roman"/>
        </w:rPr>
        <w:t xml:space="preserve"> V poznámke pod čiarou k odkazu 43 sa citácia „zákon č. 312/2001 Z. z. v znení neskorších predpisov“ nahrádza citáciou „zákon č. 400/2009 Z. z. v znení neskorších predpisov“.</w:t>
      </w:r>
    </w:p>
    <w:p w:rsidR="00F66A55" w:rsidRPr="009B5A3A" w:rsidP="005275B0">
      <w:pPr>
        <w:tabs>
          <w:tab w:val="left" w:pos="284"/>
          <w:tab w:val="left" w:pos="426"/>
        </w:tabs>
        <w:bidi w:val="0"/>
        <w:ind w:right="22"/>
        <w:contextualSpacing/>
        <w:jc w:val="both"/>
        <w:rPr>
          <w:rFonts w:ascii="Times New Roman" w:hAnsi="Times New Roman"/>
        </w:rPr>
      </w:pPr>
    </w:p>
    <w:p w:rsidR="00F66A55" w:rsidRPr="009B5A3A" w:rsidP="005275B0">
      <w:pPr>
        <w:numPr>
          <w:numId w:val="7"/>
        </w:numPr>
        <w:tabs>
          <w:tab w:val="left" w:pos="284"/>
          <w:tab w:val="left" w:pos="426"/>
        </w:tabs>
        <w:bidi w:val="0"/>
        <w:ind w:left="0" w:right="22" w:firstLine="0"/>
        <w:contextualSpacing/>
        <w:jc w:val="both"/>
        <w:rPr>
          <w:rFonts w:ascii="Times New Roman" w:hAnsi="Times New Roman"/>
        </w:rPr>
      </w:pPr>
      <w:r w:rsidRPr="009B5A3A">
        <w:rPr>
          <w:rFonts w:ascii="Times New Roman" w:hAnsi="Times New Roman"/>
        </w:rPr>
        <w:t>V § 31 ods. 3 sa slová „z poskytnutej sumy“ nahrádzajú slovami „zo sumy, v ktorej došlo k porušeniu finančnej disciplíny“.</w:t>
      </w:r>
    </w:p>
    <w:p w:rsidR="00735330" w:rsidRPr="009B5A3A" w:rsidP="005275B0">
      <w:pPr>
        <w:tabs>
          <w:tab w:val="left" w:pos="284"/>
          <w:tab w:val="left" w:pos="426"/>
        </w:tabs>
        <w:bidi w:val="0"/>
        <w:ind w:right="22"/>
        <w:contextualSpacing/>
        <w:jc w:val="both"/>
        <w:rPr>
          <w:rFonts w:ascii="Times New Roman" w:hAnsi="Times New Roman"/>
        </w:rPr>
      </w:pPr>
    </w:p>
    <w:p w:rsidR="008D199F" w:rsidRPr="009B5A3A" w:rsidP="005275B0">
      <w:pPr>
        <w:numPr>
          <w:numId w:val="7"/>
        </w:numPr>
        <w:tabs>
          <w:tab w:val="left" w:pos="284"/>
          <w:tab w:val="left" w:pos="426"/>
        </w:tabs>
        <w:bidi w:val="0"/>
        <w:ind w:left="0" w:right="22" w:firstLine="0"/>
        <w:contextualSpacing/>
        <w:jc w:val="both"/>
        <w:rPr>
          <w:rFonts w:ascii="Times New Roman" w:hAnsi="Times New Roman"/>
        </w:rPr>
      </w:pPr>
      <w:r w:rsidRPr="009B5A3A" w:rsidR="00735330">
        <w:rPr>
          <w:rFonts w:ascii="Times New Roman" w:hAnsi="Times New Roman"/>
        </w:rPr>
        <w:t xml:space="preserve">V § 37 </w:t>
      </w:r>
      <w:r w:rsidRPr="009B5A3A" w:rsidR="00063502">
        <w:rPr>
          <w:rFonts w:ascii="Times New Roman" w:hAnsi="Times New Roman"/>
        </w:rPr>
        <w:t>ods.</w:t>
      </w:r>
      <w:r w:rsidRPr="009B5A3A" w:rsidR="00735330">
        <w:rPr>
          <w:rFonts w:ascii="Times New Roman" w:hAnsi="Times New Roman"/>
        </w:rPr>
        <w:t xml:space="preserve"> 6 sa</w:t>
      </w:r>
      <w:r w:rsidRPr="009B5A3A" w:rsidR="005E65AF">
        <w:rPr>
          <w:rFonts w:ascii="Times New Roman" w:hAnsi="Times New Roman"/>
        </w:rPr>
        <w:t xml:space="preserve"> </w:t>
      </w:r>
      <w:r w:rsidRPr="009B5A3A" w:rsidR="009357DC">
        <w:rPr>
          <w:rFonts w:ascii="Times New Roman" w:hAnsi="Times New Roman"/>
        </w:rPr>
        <w:t xml:space="preserve"> za číslom „2006“ vypúšť</w:t>
      </w:r>
      <w:r w:rsidRPr="009B5A3A" w:rsidR="00A52AE9">
        <w:rPr>
          <w:rFonts w:ascii="Times New Roman" w:hAnsi="Times New Roman"/>
        </w:rPr>
        <w:t>a</w:t>
      </w:r>
      <w:r w:rsidRPr="009B5A3A" w:rsidR="0098662B">
        <w:rPr>
          <w:rFonts w:ascii="Times New Roman" w:hAnsi="Times New Roman"/>
        </w:rPr>
        <w:t xml:space="preserve"> bodkočiarka a</w:t>
      </w:r>
      <w:r w:rsidRPr="009B5A3A" w:rsidR="00735330">
        <w:rPr>
          <w:rFonts w:ascii="Times New Roman" w:hAnsi="Times New Roman"/>
        </w:rPr>
        <w:t xml:space="preserve"> slová </w:t>
      </w:r>
      <w:r w:rsidRPr="009B5A3A">
        <w:rPr>
          <w:rFonts w:ascii="Times New Roman" w:hAnsi="Times New Roman"/>
        </w:rPr>
        <w:t>„ak ide o právne pomery štátnej príspevkovej organizácie, ktorá je zdravotníckym zariadením poskytujúcim zdravotnú starostlivosť podľa osobitného predpisu, je zriaďovateľ povinný ich zosúladiť s tý</w:t>
      </w:r>
      <w:r w:rsidRPr="009B5A3A" w:rsidR="005E65AF">
        <w:rPr>
          <w:rFonts w:ascii="Times New Roman" w:hAnsi="Times New Roman"/>
        </w:rPr>
        <w:t>mto zákonom do 31. decembra 2014</w:t>
      </w:r>
      <w:r w:rsidRPr="009B5A3A">
        <w:rPr>
          <w:rFonts w:ascii="Times New Roman" w:hAnsi="Times New Roman"/>
        </w:rPr>
        <w:t xml:space="preserve">“. </w:t>
      </w:r>
    </w:p>
    <w:p w:rsidR="003260F2" w:rsidRPr="009B5A3A" w:rsidP="005275B0">
      <w:pPr>
        <w:pStyle w:val="ListParagraph"/>
        <w:tabs>
          <w:tab w:val="left" w:pos="426"/>
        </w:tabs>
        <w:bidi w:val="0"/>
        <w:spacing w:after="0"/>
        <w:rPr>
          <w:rFonts w:ascii="Times New Roman" w:hAnsi="Times New Roman"/>
          <w:sz w:val="24"/>
          <w:szCs w:val="24"/>
        </w:rPr>
      </w:pPr>
    </w:p>
    <w:p w:rsidR="008D199F" w:rsidRPr="009B5A3A" w:rsidP="005275B0">
      <w:pPr>
        <w:numPr>
          <w:numId w:val="7"/>
        </w:numPr>
        <w:tabs>
          <w:tab w:val="left" w:pos="284"/>
          <w:tab w:val="left" w:pos="426"/>
        </w:tabs>
        <w:bidi w:val="0"/>
        <w:ind w:left="0" w:right="22" w:firstLine="0"/>
        <w:contextualSpacing/>
        <w:jc w:val="both"/>
        <w:rPr>
          <w:rFonts w:ascii="Times New Roman" w:hAnsi="Times New Roman"/>
        </w:rPr>
      </w:pPr>
      <w:r w:rsidRPr="009B5A3A">
        <w:rPr>
          <w:rFonts w:ascii="Times New Roman" w:hAnsi="Times New Roman"/>
        </w:rPr>
        <w:t xml:space="preserve">V § 37 sa vypúšťa odsek 10. </w:t>
      </w:r>
    </w:p>
    <w:p w:rsidR="008D199F" w:rsidRPr="009B5A3A" w:rsidP="005275B0">
      <w:pPr>
        <w:tabs>
          <w:tab w:val="left" w:pos="284"/>
          <w:tab w:val="left" w:pos="426"/>
        </w:tabs>
        <w:bidi w:val="0"/>
        <w:ind w:right="22"/>
        <w:contextualSpacing/>
        <w:jc w:val="both"/>
        <w:rPr>
          <w:rFonts w:ascii="Times New Roman" w:hAnsi="Times New Roman"/>
        </w:rPr>
      </w:pPr>
      <w:r w:rsidRPr="009B5A3A">
        <w:rPr>
          <w:rFonts w:ascii="Times New Roman" w:hAnsi="Times New Roman"/>
        </w:rPr>
        <w:t>Doterajší odsek 11 sa označuje ako odsek 10.</w:t>
      </w:r>
    </w:p>
    <w:p w:rsidR="00E85AF3" w:rsidRPr="009B5A3A" w:rsidP="005275B0">
      <w:pPr>
        <w:tabs>
          <w:tab w:val="left" w:pos="284"/>
          <w:tab w:val="left" w:pos="426"/>
        </w:tabs>
        <w:bidi w:val="0"/>
        <w:ind w:right="22"/>
        <w:contextualSpacing/>
        <w:jc w:val="both"/>
        <w:rPr>
          <w:rFonts w:ascii="Times New Roman" w:hAnsi="Times New Roman"/>
        </w:rPr>
      </w:pPr>
    </w:p>
    <w:p w:rsidR="00E85AF3" w:rsidRPr="009B5A3A" w:rsidP="005275B0">
      <w:pPr>
        <w:tabs>
          <w:tab w:val="left" w:pos="284"/>
          <w:tab w:val="left" w:pos="426"/>
        </w:tabs>
        <w:bidi w:val="0"/>
        <w:ind w:right="22"/>
        <w:contextualSpacing/>
        <w:jc w:val="both"/>
        <w:rPr>
          <w:rFonts w:ascii="Times New Roman" w:hAnsi="Times New Roman"/>
        </w:rPr>
      </w:pPr>
    </w:p>
    <w:p w:rsidR="00E85AF3" w:rsidRPr="009B5A3A" w:rsidP="005275B0">
      <w:pPr>
        <w:tabs>
          <w:tab w:val="left" w:pos="426"/>
        </w:tabs>
        <w:bidi w:val="0"/>
        <w:contextualSpacing/>
        <w:jc w:val="center"/>
        <w:rPr>
          <w:rFonts w:ascii="Times New Roman" w:hAnsi="Times New Roman"/>
        </w:rPr>
      </w:pPr>
      <w:r w:rsidRPr="009B5A3A">
        <w:rPr>
          <w:rFonts w:ascii="Times New Roman" w:hAnsi="Times New Roman"/>
        </w:rPr>
        <w:t>Čl. II</w:t>
      </w:r>
    </w:p>
    <w:p w:rsidR="00613364" w:rsidRPr="009B5A3A" w:rsidP="005275B0">
      <w:pPr>
        <w:pStyle w:val="Default"/>
        <w:tabs>
          <w:tab w:val="left" w:pos="426"/>
        </w:tabs>
        <w:bidi w:val="0"/>
        <w:contextualSpacing/>
        <w:jc w:val="both"/>
        <w:rPr>
          <w:rFonts w:ascii="Times New Roman" w:hAnsi="Times New Roman" w:cs="Times New Roman"/>
          <w:color w:val="auto"/>
        </w:rPr>
      </w:pPr>
    </w:p>
    <w:p w:rsidR="00E85AF3" w:rsidRPr="009B5A3A" w:rsidP="005275B0">
      <w:pPr>
        <w:tabs>
          <w:tab w:val="left" w:pos="426"/>
        </w:tabs>
        <w:bidi w:val="0"/>
        <w:contextualSpacing/>
        <w:jc w:val="both"/>
        <w:rPr>
          <w:rFonts w:ascii="Times New Roman" w:hAnsi="Times New Roman"/>
        </w:rPr>
      </w:pPr>
      <w:r w:rsidRPr="009B5A3A">
        <w:rPr>
          <w:rFonts w:ascii="Times New Roman" w:hAnsi="Times New Roman"/>
        </w:rPr>
        <w:t>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w:t>
      </w:r>
      <w:r w:rsidRPr="009B5A3A" w:rsidR="006964C9">
        <w:rPr>
          <w:rFonts w:ascii="Times New Roman" w:hAnsi="Times New Roman"/>
        </w:rPr>
        <w:t xml:space="preserve"> </w:t>
      </w:r>
      <w:r w:rsidRPr="009B5A3A">
        <w:rPr>
          <w:rFonts w:ascii="Times New Roman" w:hAnsi="Times New Roman"/>
        </w:rPr>
        <w:t>z., zákona č. 6/2011 Z. z., zákona č. 125/2011 Z. z., zákona č. 250/2011 Z. z., zákona č. 390/2011 Z. z. , zákona č. 57/2012 Z. z. a zákona č. 455/2012 Z. z. sa dopĺňa takto:</w:t>
      </w:r>
    </w:p>
    <w:p w:rsidR="00E85AF3" w:rsidRPr="009B5A3A" w:rsidP="005275B0">
      <w:pPr>
        <w:tabs>
          <w:tab w:val="left" w:pos="426"/>
        </w:tabs>
        <w:bidi w:val="0"/>
        <w:contextualSpacing/>
        <w:jc w:val="both"/>
        <w:rPr>
          <w:rFonts w:ascii="Times New Roman" w:hAnsi="Times New Roman"/>
        </w:rPr>
      </w:pPr>
    </w:p>
    <w:p w:rsidR="00E85AF3" w:rsidRPr="009B5A3A" w:rsidP="005275B0">
      <w:pPr>
        <w:tabs>
          <w:tab w:val="left" w:pos="426"/>
        </w:tabs>
        <w:bidi w:val="0"/>
        <w:contextualSpacing/>
        <w:jc w:val="both"/>
        <w:rPr>
          <w:rFonts w:ascii="Times New Roman" w:hAnsi="Times New Roman"/>
        </w:rPr>
      </w:pPr>
      <w:r w:rsidRPr="009B5A3A">
        <w:rPr>
          <w:rFonts w:ascii="Times New Roman" w:hAnsi="Times New Roman"/>
        </w:rPr>
        <w:t>V § 73a ods. 10 sa na</w:t>
      </w:r>
      <w:r w:rsidRPr="009B5A3A" w:rsidR="009B5A3A">
        <w:rPr>
          <w:rFonts w:ascii="Times New Roman" w:hAnsi="Times New Roman"/>
        </w:rPr>
        <w:t xml:space="preserve"> konci pripájajú tieto slová: „</w:t>
      </w:r>
      <w:r w:rsidRPr="009B5A3A">
        <w:rPr>
          <w:rFonts w:ascii="Times New Roman" w:hAnsi="Times New Roman"/>
        </w:rPr>
        <w:t>a Ministerstvo financií Slovenskej republiky môže využívať tieto údaje v plnom rozsahu na účely zostavenia, vyhodnocovania a prognózovania rozpočtu verejnej správy“.</w:t>
      </w:r>
    </w:p>
    <w:p w:rsidR="009B5A3A" w:rsidRPr="009B5A3A" w:rsidP="005275B0">
      <w:pPr>
        <w:tabs>
          <w:tab w:val="left" w:pos="426"/>
        </w:tabs>
        <w:bidi w:val="0"/>
        <w:contextualSpacing/>
        <w:jc w:val="both"/>
        <w:rPr>
          <w:rFonts w:ascii="Times New Roman" w:hAnsi="Times New Roman"/>
        </w:rPr>
      </w:pPr>
    </w:p>
    <w:p w:rsidR="009B5A3A" w:rsidRPr="009B5A3A" w:rsidP="005275B0">
      <w:pPr>
        <w:tabs>
          <w:tab w:val="left" w:pos="426"/>
        </w:tabs>
        <w:bidi w:val="0"/>
        <w:contextualSpacing/>
        <w:jc w:val="both"/>
        <w:rPr>
          <w:rFonts w:ascii="Times New Roman" w:hAnsi="Times New Roman"/>
        </w:rPr>
      </w:pPr>
    </w:p>
    <w:p w:rsidR="00E85AF3" w:rsidRPr="009B5A3A" w:rsidP="005275B0">
      <w:pPr>
        <w:tabs>
          <w:tab w:val="left" w:pos="426"/>
        </w:tabs>
        <w:bidi w:val="0"/>
        <w:contextualSpacing/>
        <w:jc w:val="both"/>
        <w:rPr>
          <w:rFonts w:ascii="Times New Roman" w:hAnsi="Times New Roman"/>
        </w:rPr>
      </w:pPr>
    </w:p>
    <w:p w:rsidR="00E85AF3" w:rsidRPr="009B5A3A" w:rsidP="005275B0">
      <w:pPr>
        <w:tabs>
          <w:tab w:val="left" w:pos="426"/>
        </w:tabs>
        <w:bidi w:val="0"/>
        <w:contextualSpacing/>
        <w:jc w:val="both"/>
        <w:rPr>
          <w:rFonts w:ascii="Times New Roman" w:hAnsi="Times New Roman"/>
        </w:rPr>
      </w:pPr>
    </w:p>
    <w:p w:rsidR="00E85AF3" w:rsidRPr="009B5A3A" w:rsidP="005275B0">
      <w:pPr>
        <w:tabs>
          <w:tab w:val="left" w:pos="426"/>
        </w:tabs>
        <w:bidi w:val="0"/>
        <w:contextualSpacing/>
        <w:jc w:val="center"/>
        <w:rPr>
          <w:rFonts w:ascii="Times New Roman" w:hAnsi="Times New Roman"/>
        </w:rPr>
      </w:pPr>
      <w:r w:rsidRPr="009B5A3A">
        <w:rPr>
          <w:rFonts w:ascii="Times New Roman" w:hAnsi="Times New Roman"/>
        </w:rPr>
        <w:t>Čl. III</w:t>
      </w:r>
    </w:p>
    <w:p w:rsidR="00E85AF3" w:rsidRPr="009B5A3A" w:rsidP="005275B0">
      <w:pPr>
        <w:tabs>
          <w:tab w:val="left" w:pos="426"/>
        </w:tabs>
        <w:bidi w:val="0"/>
        <w:contextualSpacing/>
        <w:jc w:val="both"/>
        <w:rPr>
          <w:rFonts w:ascii="Times New Roman" w:hAnsi="Times New Roman"/>
        </w:rPr>
      </w:pPr>
      <w:r w:rsidRPr="009B5A3A">
        <w:rPr>
          <w:rFonts w:ascii="Times New Roman" w:hAnsi="Times New Roman"/>
        </w:rPr>
        <w:t xml:space="preserve"> </w:t>
      </w:r>
    </w:p>
    <w:p w:rsidR="00E85AF3" w:rsidRPr="009B5A3A" w:rsidP="005275B0">
      <w:pPr>
        <w:tabs>
          <w:tab w:val="left" w:pos="426"/>
        </w:tabs>
        <w:bidi w:val="0"/>
        <w:contextualSpacing/>
        <w:jc w:val="both"/>
        <w:rPr>
          <w:rFonts w:ascii="Times New Roman" w:hAnsi="Times New Roman"/>
        </w:rPr>
      </w:pPr>
      <w:r w:rsidRPr="009B5A3A">
        <w:rPr>
          <w:rFonts w:ascii="Times New Roman" w:hAnsi="Times New Roman"/>
        </w:rPr>
        <w:tab/>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 zákona č. 324/2012 Z. z.  a zákona č. 96/2013 Z. z. sa dopĺňa takto:</w:t>
      </w:r>
    </w:p>
    <w:p w:rsidR="00E85AF3" w:rsidRPr="009B5A3A" w:rsidP="005275B0">
      <w:pPr>
        <w:tabs>
          <w:tab w:val="left" w:pos="426"/>
        </w:tabs>
        <w:bidi w:val="0"/>
        <w:contextualSpacing/>
        <w:jc w:val="both"/>
        <w:rPr>
          <w:rFonts w:ascii="Times New Roman" w:hAnsi="Times New Roman"/>
        </w:rPr>
      </w:pPr>
    </w:p>
    <w:p w:rsidR="00E85AF3" w:rsidRPr="009B5A3A" w:rsidP="005275B0">
      <w:pPr>
        <w:tabs>
          <w:tab w:val="left" w:pos="426"/>
        </w:tabs>
        <w:bidi w:val="0"/>
        <w:contextualSpacing/>
        <w:jc w:val="both"/>
        <w:rPr>
          <w:rFonts w:ascii="Times New Roman" w:hAnsi="Times New Roman"/>
        </w:rPr>
      </w:pPr>
      <w:r w:rsidRPr="009B5A3A">
        <w:rPr>
          <w:rFonts w:ascii="Times New Roman" w:hAnsi="Times New Roman"/>
        </w:rPr>
        <w:t>V § 67 ods. 10 prvej vete sa za slovo „úradu“ vkladajú slová „Ministerstvo financií Slovenskej republiky získava údaje  o uchádzačoch o zamestnanie na účely  zostavenia, vyhodnocovania a prognózovania rozpočtu verejnej správy a“.</w:t>
      </w:r>
    </w:p>
    <w:p w:rsidR="00D40B39" w:rsidRPr="009B5A3A" w:rsidP="005275B0">
      <w:pPr>
        <w:tabs>
          <w:tab w:val="left" w:pos="426"/>
        </w:tabs>
        <w:bidi w:val="0"/>
        <w:contextualSpacing/>
        <w:jc w:val="both"/>
        <w:rPr>
          <w:rFonts w:ascii="Times New Roman" w:hAnsi="Times New Roman"/>
        </w:rPr>
      </w:pPr>
    </w:p>
    <w:p w:rsidR="00613364" w:rsidRPr="009B5A3A" w:rsidP="005275B0">
      <w:pPr>
        <w:tabs>
          <w:tab w:val="left" w:pos="426"/>
        </w:tabs>
        <w:bidi w:val="0"/>
        <w:contextualSpacing/>
        <w:jc w:val="center"/>
        <w:rPr>
          <w:rFonts w:ascii="Times New Roman" w:hAnsi="Times New Roman"/>
        </w:rPr>
      </w:pPr>
      <w:r w:rsidRPr="009B5A3A" w:rsidR="00E85AF3">
        <w:rPr>
          <w:rFonts w:ascii="Times New Roman" w:hAnsi="Times New Roman"/>
        </w:rPr>
        <w:t>Čl. IV</w:t>
      </w:r>
    </w:p>
    <w:p w:rsidR="00613364" w:rsidRPr="009B5A3A" w:rsidP="005275B0">
      <w:pPr>
        <w:tabs>
          <w:tab w:val="left" w:pos="426"/>
        </w:tabs>
        <w:bidi w:val="0"/>
        <w:contextualSpacing/>
        <w:jc w:val="both"/>
        <w:rPr>
          <w:rFonts w:ascii="Times New Roman" w:hAnsi="Times New Roman"/>
        </w:rPr>
      </w:pPr>
    </w:p>
    <w:p w:rsidR="00613364" w:rsidRPr="009B5A3A" w:rsidP="005275B0">
      <w:pPr>
        <w:pStyle w:val="Default"/>
        <w:tabs>
          <w:tab w:val="left" w:pos="426"/>
        </w:tabs>
        <w:bidi w:val="0"/>
        <w:ind w:left="360"/>
        <w:contextualSpacing/>
        <w:jc w:val="both"/>
        <w:rPr>
          <w:rFonts w:ascii="Times New Roman" w:hAnsi="Times New Roman" w:cs="Times New Roman"/>
          <w:color w:val="auto"/>
        </w:rPr>
      </w:pPr>
      <w:r w:rsidRPr="009B5A3A">
        <w:rPr>
          <w:rFonts w:ascii="Times New Roman" w:hAnsi="Times New Roman" w:cs="Times New Roman"/>
          <w:color w:val="auto"/>
        </w:rPr>
        <w:t>Tento zákon nadobúda účinnosť 1. januára 2014.</w:t>
      </w:r>
    </w:p>
    <w:sectPr w:rsidSect="000B0CDA">
      <w:footerReference w:type="default" r:id="rId5"/>
      <w:pgSz w:w="11906" w:h="16838"/>
      <w:pgMar w:top="1134" w:right="1418" w:bottom="1134"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ahom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A0">
    <w:pPr>
      <w:pStyle w:val="Footer"/>
      <w:bidi w:val="0"/>
      <w:jc w:val="right"/>
      <w:rPr>
        <w:rFonts w:ascii="Times New Roman" w:hAnsi="Times New Roman"/>
      </w:rPr>
    </w:pPr>
    <w:r w:rsidR="00C66BB9">
      <w:rPr>
        <w:rFonts w:ascii="Times New Roman" w:hAnsi="Times New Roman"/>
      </w:rPr>
      <w:fldChar w:fldCharType="begin"/>
    </w:r>
    <w:r w:rsidR="00C66BB9">
      <w:rPr>
        <w:rFonts w:ascii="Times New Roman" w:hAnsi="Times New Roman"/>
      </w:rPr>
      <w:instrText>PAGE   \* MERGEFORMAT</w:instrText>
    </w:r>
    <w:r w:rsidR="00C66BB9">
      <w:rPr>
        <w:rFonts w:ascii="Times New Roman" w:hAnsi="Times New Roman"/>
      </w:rPr>
      <w:fldChar w:fldCharType="separate"/>
    </w:r>
    <w:r w:rsidR="000B0CDA">
      <w:rPr>
        <w:rFonts w:ascii="Times New Roman" w:hAnsi="Times New Roman"/>
        <w:noProof/>
      </w:rPr>
      <w:t>2</w:t>
    </w:r>
    <w:r w:rsidR="00C66BB9">
      <w:rPr>
        <w:rFonts w:ascii="Times New Roman" w:hAnsi="Times New Roman"/>
      </w:rPr>
      <w:fldChar w:fldCharType="end"/>
    </w:r>
  </w:p>
  <w:p w:rsidR="008109A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6B7"/>
    <w:multiLevelType w:val="hybridMultilevel"/>
    <w:tmpl w:val="DC3CA2F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
    <w:nsid w:val="320B108D"/>
    <w:multiLevelType w:val="hybridMultilevel"/>
    <w:tmpl w:val="174C08CC"/>
    <w:lvl w:ilvl="0">
      <w:start w:val="1"/>
      <w:numFmt w:val="decimal"/>
      <w:lvlText w:val="%1."/>
      <w:lvlJc w:val="left"/>
      <w:pPr>
        <w:ind w:left="720" w:hanging="360"/>
      </w:pPr>
      <w:rPr>
        <w:rFonts w:ascii="Arial Narrow" w:eastAsia="Times New Roman" w:hAnsi="Arial Narrow" w:cs="Arial"/>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34D3DEB"/>
    <w:multiLevelType w:val="hybridMultilevel"/>
    <w:tmpl w:val="F04ACF54"/>
    <w:lvl w:ilvl="0">
      <w:start w:val="1"/>
      <w:numFmt w:val="decimal"/>
      <w:lvlText w:val="(%1)"/>
      <w:lvlJc w:val="left"/>
      <w:pPr>
        <w:ind w:left="465" w:hanging="360"/>
      </w:pPr>
      <w:rPr>
        <w:rFonts w:cs="Times New Roman" w:hint="default"/>
        <w:rtl w:val="0"/>
        <w:cs w:val="0"/>
      </w:rPr>
    </w:lvl>
    <w:lvl w:ilvl="1">
      <w:start w:val="1"/>
      <w:numFmt w:val="lowerLetter"/>
      <w:lvlText w:val="%2."/>
      <w:lvlJc w:val="left"/>
      <w:pPr>
        <w:ind w:left="1185" w:hanging="360"/>
      </w:pPr>
      <w:rPr>
        <w:rFonts w:cs="Times New Roman"/>
        <w:rtl w:val="0"/>
        <w:cs w:val="0"/>
      </w:rPr>
    </w:lvl>
    <w:lvl w:ilvl="2">
      <w:start w:val="1"/>
      <w:numFmt w:val="lowerRoman"/>
      <w:lvlText w:val="%3."/>
      <w:lvlJc w:val="right"/>
      <w:pPr>
        <w:ind w:left="1905" w:hanging="180"/>
      </w:pPr>
      <w:rPr>
        <w:rFonts w:cs="Times New Roman"/>
        <w:rtl w:val="0"/>
        <w:cs w:val="0"/>
      </w:rPr>
    </w:lvl>
    <w:lvl w:ilvl="3">
      <w:start w:val="1"/>
      <w:numFmt w:val="decimal"/>
      <w:lvlText w:val="%4."/>
      <w:lvlJc w:val="left"/>
      <w:pPr>
        <w:ind w:left="2625" w:hanging="360"/>
      </w:pPr>
      <w:rPr>
        <w:rFonts w:cs="Times New Roman"/>
        <w:rtl w:val="0"/>
        <w:cs w:val="0"/>
      </w:rPr>
    </w:lvl>
    <w:lvl w:ilvl="4">
      <w:start w:val="1"/>
      <w:numFmt w:val="lowerLetter"/>
      <w:lvlText w:val="%5."/>
      <w:lvlJc w:val="left"/>
      <w:pPr>
        <w:ind w:left="3345" w:hanging="360"/>
      </w:pPr>
      <w:rPr>
        <w:rFonts w:cs="Times New Roman"/>
        <w:rtl w:val="0"/>
        <w:cs w:val="0"/>
      </w:rPr>
    </w:lvl>
    <w:lvl w:ilvl="5">
      <w:start w:val="1"/>
      <w:numFmt w:val="lowerRoman"/>
      <w:lvlText w:val="%6."/>
      <w:lvlJc w:val="right"/>
      <w:pPr>
        <w:ind w:left="4065" w:hanging="180"/>
      </w:pPr>
      <w:rPr>
        <w:rFonts w:cs="Times New Roman"/>
        <w:rtl w:val="0"/>
        <w:cs w:val="0"/>
      </w:rPr>
    </w:lvl>
    <w:lvl w:ilvl="6">
      <w:start w:val="1"/>
      <w:numFmt w:val="decimal"/>
      <w:lvlText w:val="%7."/>
      <w:lvlJc w:val="left"/>
      <w:pPr>
        <w:ind w:left="4785" w:hanging="360"/>
      </w:pPr>
      <w:rPr>
        <w:rFonts w:cs="Times New Roman"/>
        <w:rtl w:val="0"/>
        <w:cs w:val="0"/>
      </w:rPr>
    </w:lvl>
    <w:lvl w:ilvl="7">
      <w:start w:val="1"/>
      <w:numFmt w:val="lowerLetter"/>
      <w:lvlText w:val="%8."/>
      <w:lvlJc w:val="left"/>
      <w:pPr>
        <w:ind w:left="5505" w:hanging="360"/>
      </w:pPr>
      <w:rPr>
        <w:rFonts w:cs="Times New Roman"/>
        <w:rtl w:val="0"/>
        <w:cs w:val="0"/>
      </w:rPr>
    </w:lvl>
    <w:lvl w:ilvl="8">
      <w:start w:val="1"/>
      <w:numFmt w:val="lowerRoman"/>
      <w:lvlText w:val="%9."/>
      <w:lvlJc w:val="right"/>
      <w:pPr>
        <w:ind w:left="6225" w:hanging="180"/>
      </w:pPr>
      <w:rPr>
        <w:rFonts w:cs="Times New Roman"/>
        <w:rtl w:val="0"/>
        <w:cs w:val="0"/>
      </w:rPr>
    </w:lvl>
  </w:abstractNum>
  <w:abstractNum w:abstractNumId="3">
    <w:nsid w:val="48DC625C"/>
    <w:multiLevelType w:val="hybridMultilevel"/>
    <w:tmpl w:val="A85EAE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9E77637"/>
    <w:multiLevelType w:val="hybridMultilevel"/>
    <w:tmpl w:val="C3B226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FE34897"/>
    <w:multiLevelType w:val="hybridMultilevel"/>
    <w:tmpl w:val="2EE2E3F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7880A80"/>
    <w:multiLevelType w:val="hybridMultilevel"/>
    <w:tmpl w:val="542A259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67E46941"/>
    <w:multiLevelType w:val="hybridMultilevel"/>
    <w:tmpl w:val="C3B226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D674BE0"/>
    <w:multiLevelType w:val="hybridMultilevel"/>
    <w:tmpl w:val="5A7239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0EF4A04"/>
    <w:multiLevelType w:val="hybridMultilevel"/>
    <w:tmpl w:val="8C3682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3A54005"/>
    <w:multiLevelType w:val="hybridMultilevel"/>
    <w:tmpl w:val="82A6AE7C"/>
    <w:lvl w:ilvl="0">
      <w:start w:val="15"/>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8"/>
  </w:num>
  <w:num w:numId="3">
    <w:abstractNumId w:val="2"/>
  </w:num>
  <w:num w:numId="4">
    <w:abstractNumId w:val="3"/>
  </w:num>
  <w:num w:numId="5">
    <w:abstractNumId w:val="0"/>
  </w:num>
  <w:num w:numId="6">
    <w:abstractNumId w:val="9"/>
  </w:num>
  <w:num w:numId="7">
    <w:abstractNumId w:val="5"/>
  </w:num>
  <w:num w:numId="8">
    <w:abstractNumId w:val="6"/>
  </w:num>
  <w:num w:numId="9">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TrackMoves/>
  <w:defaultTabStop w:val="708"/>
  <w:hyphenationZone w:val="425"/>
  <w:drawingGridHorizontalSpacing w:val="110"/>
  <w:displayHorizontalDrawingGridEvery w:val="2"/>
  <w:displayVerticalDrawingGridEvery w:val="2"/>
  <w:characterSpacingControl w:val="doNotCompress"/>
  <w:compat/>
  <w:rsids>
    <w:rsidRoot w:val="00D55DFC"/>
    <w:rsid w:val="00002E96"/>
    <w:rsid w:val="0000610E"/>
    <w:rsid w:val="0001033C"/>
    <w:rsid w:val="00015337"/>
    <w:rsid w:val="0001751A"/>
    <w:rsid w:val="000245F0"/>
    <w:rsid w:val="00037063"/>
    <w:rsid w:val="00063502"/>
    <w:rsid w:val="000723E5"/>
    <w:rsid w:val="00076802"/>
    <w:rsid w:val="000B0CDA"/>
    <w:rsid w:val="000C01B2"/>
    <w:rsid w:val="000C35F7"/>
    <w:rsid w:val="000D2C63"/>
    <w:rsid w:val="000D388D"/>
    <w:rsid w:val="000E2227"/>
    <w:rsid w:val="000E2294"/>
    <w:rsid w:val="000E583C"/>
    <w:rsid w:val="00110866"/>
    <w:rsid w:val="001112C1"/>
    <w:rsid w:val="001130C2"/>
    <w:rsid w:val="00123728"/>
    <w:rsid w:val="00131C90"/>
    <w:rsid w:val="001329FC"/>
    <w:rsid w:val="00142A80"/>
    <w:rsid w:val="001468CD"/>
    <w:rsid w:val="00167C1C"/>
    <w:rsid w:val="001824D9"/>
    <w:rsid w:val="00186AE6"/>
    <w:rsid w:val="001905A8"/>
    <w:rsid w:val="001919DB"/>
    <w:rsid w:val="0019328B"/>
    <w:rsid w:val="00196F18"/>
    <w:rsid w:val="001A19C2"/>
    <w:rsid w:val="001A3564"/>
    <w:rsid w:val="001A6DF9"/>
    <w:rsid w:val="001B2600"/>
    <w:rsid w:val="001B2C53"/>
    <w:rsid w:val="001C786E"/>
    <w:rsid w:val="001D5409"/>
    <w:rsid w:val="001F3841"/>
    <w:rsid w:val="001F62A6"/>
    <w:rsid w:val="00205B34"/>
    <w:rsid w:val="00213D41"/>
    <w:rsid w:val="00227A5A"/>
    <w:rsid w:val="002508C7"/>
    <w:rsid w:val="00255FA2"/>
    <w:rsid w:val="00285637"/>
    <w:rsid w:val="002857B2"/>
    <w:rsid w:val="002956E1"/>
    <w:rsid w:val="0029693E"/>
    <w:rsid w:val="002A07AC"/>
    <w:rsid w:val="002B6DCB"/>
    <w:rsid w:val="002B74C1"/>
    <w:rsid w:val="002D0921"/>
    <w:rsid w:val="002D37AC"/>
    <w:rsid w:val="002E2EB5"/>
    <w:rsid w:val="002F3F39"/>
    <w:rsid w:val="003031D9"/>
    <w:rsid w:val="003129C5"/>
    <w:rsid w:val="00321D7A"/>
    <w:rsid w:val="003260F2"/>
    <w:rsid w:val="00330052"/>
    <w:rsid w:val="00331825"/>
    <w:rsid w:val="003332A5"/>
    <w:rsid w:val="00337BEF"/>
    <w:rsid w:val="00351CB0"/>
    <w:rsid w:val="003544ED"/>
    <w:rsid w:val="003607EA"/>
    <w:rsid w:val="0036353B"/>
    <w:rsid w:val="0037003D"/>
    <w:rsid w:val="00373A43"/>
    <w:rsid w:val="0039496B"/>
    <w:rsid w:val="00395C35"/>
    <w:rsid w:val="003B045A"/>
    <w:rsid w:val="003B628B"/>
    <w:rsid w:val="003C2FED"/>
    <w:rsid w:val="003C4D7F"/>
    <w:rsid w:val="003F2583"/>
    <w:rsid w:val="00401F83"/>
    <w:rsid w:val="00407830"/>
    <w:rsid w:val="004132B6"/>
    <w:rsid w:val="00413708"/>
    <w:rsid w:val="0041428B"/>
    <w:rsid w:val="00416E94"/>
    <w:rsid w:val="00427F03"/>
    <w:rsid w:val="00437D7D"/>
    <w:rsid w:val="004461E1"/>
    <w:rsid w:val="004575A7"/>
    <w:rsid w:val="00480CBB"/>
    <w:rsid w:val="00485313"/>
    <w:rsid w:val="0048660B"/>
    <w:rsid w:val="00492425"/>
    <w:rsid w:val="004B075E"/>
    <w:rsid w:val="004C11DD"/>
    <w:rsid w:val="004D0E5D"/>
    <w:rsid w:val="004D78D3"/>
    <w:rsid w:val="004F3657"/>
    <w:rsid w:val="00501F7D"/>
    <w:rsid w:val="005027A5"/>
    <w:rsid w:val="00503C19"/>
    <w:rsid w:val="0052378B"/>
    <w:rsid w:val="005275B0"/>
    <w:rsid w:val="00536E41"/>
    <w:rsid w:val="00550DEA"/>
    <w:rsid w:val="005551D0"/>
    <w:rsid w:val="005568C7"/>
    <w:rsid w:val="005631E0"/>
    <w:rsid w:val="00570C37"/>
    <w:rsid w:val="005729A6"/>
    <w:rsid w:val="00585C89"/>
    <w:rsid w:val="00592B62"/>
    <w:rsid w:val="00594648"/>
    <w:rsid w:val="0059478E"/>
    <w:rsid w:val="005B6056"/>
    <w:rsid w:val="005C32C8"/>
    <w:rsid w:val="005C7EBC"/>
    <w:rsid w:val="005E25EF"/>
    <w:rsid w:val="005E65AF"/>
    <w:rsid w:val="00602476"/>
    <w:rsid w:val="00604FE8"/>
    <w:rsid w:val="00605FA2"/>
    <w:rsid w:val="00606D0E"/>
    <w:rsid w:val="00613364"/>
    <w:rsid w:val="0061394E"/>
    <w:rsid w:val="00631F4A"/>
    <w:rsid w:val="00641A79"/>
    <w:rsid w:val="0064562F"/>
    <w:rsid w:val="00662087"/>
    <w:rsid w:val="00663406"/>
    <w:rsid w:val="00666084"/>
    <w:rsid w:val="00674E86"/>
    <w:rsid w:val="00675F83"/>
    <w:rsid w:val="00681714"/>
    <w:rsid w:val="0068554E"/>
    <w:rsid w:val="0068797D"/>
    <w:rsid w:val="00694949"/>
    <w:rsid w:val="006964C9"/>
    <w:rsid w:val="006A45A2"/>
    <w:rsid w:val="006B3845"/>
    <w:rsid w:val="006B5B1F"/>
    <w:rsid w:val="006B6CAE"/>
    <w:rsid w:val="006C1D06"/>
    <w:rsid w:val="006C1D7E"/>
    <w:rsid w:val="006C405F"/>
    <w:rsid w:val="006D35BD"/>
    <w:rsid w:val="006E1F99"/>
    <w:rsid w:val="006E3777"/>
    <w:rsid w:val="006E7CE3"/>
    <w:rsid w:val="006F188E"/>
    <w:rsid w:val="006F3BD5"/>
    <w:rsid w:val="00701A62"/>
    <w:rsid w:val="00723FA8"/>
    <w:rsid w:val="00725921"/>
    <w:rsid w:val="00731388"/>
    <w:rsid w:val="00735330"/>
    <w:rsid w:val="007405C2"/>
    <w:rsid w:val="007448AD"/>
    <w:rsid w:val="00750322"/>
    <w:rsid w:val="00756584"/>
    <w:rsid w:val="00772865"/>
    <w:rsid w:val="0077329A"/>
    <w:rsid w:val="00776D79"/>
    <w:rsid w:val="0078681F"/>
    <w:rsid w:val="00786F14"/>
    <w:rsid w:val="007B3D65"/>
    <w:rsid w:val="007B54F8"/>
    <w:rsid w:val="007B7DF1"/>
    <w:rsid w:val="007C1981"/>
    <w:rsid w:val="007C3925"/>
    <w:rsid w:val="007C732F"/>
    <w:rsid w:val="007D25CC"/>
    <w:rsid w:val="007D4923"/>
    <w:rsid w:val="007D63FD"/>
    <w:rsid w:val="00800B4E"/>
    <w:rsid w:val="00803D48"/>
    <w:rsid w:val="008109A0"/>
    <w:rsid w:val="00813568"/>
    <w:rsid w:val="008220B9"/>
    <w:rsid w:val="00826602"/>
    <w:rsid w:val="008275BD"/>
    <w:rsid w:val="00834819"/>
    <w:rsid w:val="00850898"/>
    <w:rsid w:val="00864FFB"/>
    <w:rsid w:val="00876D0C"/>
    <w:rsid w:val="008808DD"/>
    <w:rsid w:val="00891153"/>
    <w:rsid w:val="008A6552"/>
    <w:rsid w:val="008D0495"/>
    <w:rsid w:val="008D199F"/>
    <w:rsid w:val="008D3672"/>
    <w:rsid w:val="008D3876"/>
    <w:rsid w:val="008D56A1"/>
    <w:rsid w:val="008E1DF1"/>
    <w:rsid w:val="008F0C19"/>
    <w:rsid w:val="008F10CE"/>
    <w:rsid w:val="009213C4"/>
    <w:rsid w:val="009357DC"/>
    <w:rsid w:val="00944DF6"/>
    <w:rsid w:val="00960A4C"/>
    <w:rsid w:val="009667F6"/>
    <w:rsid w:val="00975AEE"/>
    <w:rsid w:val="0098662B"/>
    <w:rsid w:val="009B40E6"/>
    <w:rsid w:val="009B5A3A"/>
    <w:rsid w:val="009C14D5"/>
    <w:rsid w:val="009E11FC"/>
    <w:rsid w:val="00A01533"/>
    <w:rsid w:val="00A12936"/>
    <w:rsid w:val="00A1788E"/>
    <w:rsid w:val="00A33344"/>
    <w:rsid w:val="00A354D4"/>
    <w:rsid w:val="00A37E58"/>
    <w:rsid w:val="00A44127"/>
    <w:rsid w:val="00A448A1"/>
    <w:rsid w:val="00A52AE9"/>
    <w:rsid w:val="00A8025E"/>
    <w:rsid w:val="00A81865"/>
    <w:rsid w:val="00A966D6"/>
    <w:rsid w:val="00A96E27"/>
    <w:rsid w:val="00AA0AD7"/>
    <w:rsid w:val="00AB607D"/>
    <w:rsid w:val="00AC4B7A"/>
    <w:rsid w:val="00AD4A5A"/>
    <w:rsid w:val="00AE731A"/>
    <w:rsid w:val="00AF2EDB"/>
    <w:rsid w:val="00AF6F81"/>
    <w:rsid w:val="00B016DF"/>
    <w:rsid w:val="00B10D20"/>
    <w:rsid w:val="00B135FB"/>
    <w:rsid w:val="00B13B09"/>
    <w:rsid w:val="00B330D1"/>
    <w:rsid w:val="00B35B59"/>
    <w:rsid w:val="00B471F2"/>
    <w:rsid w:val="00B51324"/>
    <w:rsid w:val="00B513DE"/>
    <w:rsid w:val="00B52143"/>
    <w:rsid w:val="00B53BBB"/>
    <w:rsid w:val="00B61A7D"/>
    <w:rsid w:val="00B64374"/>
    <w:rsid w:val="00B6536B"/>
    <w:rsid w:val="00B74EC7"/>
    <w:rsid w:val="00B836B6"/>
    <w:rsid w:val="00B86410"/>
    <w:rsid w:val="00B94417"/>
    <w:rsid w:val="00BB0FBF"/>
    <w:rsid w:val="00BC2D77"/>
    <w:rsid w:val="00BE075D"/>
    <w:rsid w:val="00BE1632"/>
    <w:rsid w:val="00BF6D44"/>
    <w:rsid w:val="00C11CED"/>
    <w:rsid w:val="00C26E5F"/>
    <w:rsid w:val="00C444C9"/>
    <w:rsid w:val="00C4477B"/>
    <w:rsid w:val="00C448DA"/>
    <w:rsid w:val="00C503F2"/>
    <w:rsid w:val="00C50ADA"/>
    <w:rsid w:val="00C634BC"/>
    <w:rsid w:val="00C66BB9"/>
    <w:rsid w:val="00C72EBC"/>
    <w:rsid w:val="00C9686A"/>
    <w:rsid w:val="00CA5FFA"/>
    <w:rsid w:val="00CB07AC"/>
    <w:rsid w:val="00CB3B6A"/>
    <w:rsid w:val="00CC5396"/>
    <w:rsid w:val="00CE0B36"/>
    <w:rsid w:val="00CE27F8"/>
    <w:rsid w:val="00CF546E"/>
    <w:rsid w:val="00D006B0"/>
    <w:rsid w:val="00D1577B"/>
    <w:rsid w:val="00D17A74"/>
    <w:rsid w:val="00D23778"/>
    <w:rsid w:val="00D2506F"/>
    <w:rsid w:val="00D3362A"/>
    <w:rsid w:val="00D3632E"/>
    <w:rsid w:val="00D374E6"/>
    <w:rsid w:val="00D40B39"/>
    <w:rsid w:val="00D44A72"/>
    <w:rsid w:val="00D466F4"/>
    <w:rsid w:val="00D51181"/>
    <w:rsid w:val="00D55DFC"/>
    <w:rsid w:val="00D600C7"/>
    <w:rsid w:val="00D77F8E"/>
    <w:rsid w:val="00D842E9"/>
    <w:rsid w:val="00DA1826"/>
    <w:rsid w:val="00DA69C0"/>
    <w:rsid w:val="00DA7AAE"/>
    <w:rsid w:val="00DD27BB"/>
    <w:rsid w:val="00DE0AC0"/>
    <w:rsid w:val="00DF4BFC"/>
    <w:rsid w:val="00DF4F4A"/>
    <w:rsid w:val="00E03B07"/>
    <w:rsid w:val="00E054B2"/>
    <w:rsid w:val="00E12231"/>
    <w:rsid w:val="00E12536"/>
    <w:rsid w:val="00E313E2"/>
    <w:rsid w:val="00E351A5"/>
    <w:rsid w:val="00E6009F"/>
    <w:rsid w:val="00E67C8D"/>
    <w:rsid w:val="00E85AF3"/>
    <w:rsid w:val="00E86B98"/>
    <w:rsid w:val="00E911D0"/>
    <w:rsid w:val="00E92C86"/>
    <w:rsid w:val="00EA7C71"/>
    <w:rsid w:val="00EE10DE"/>
    <w:rsid w:val="00EF24F9"/>
    <w:rsid w:val="00F060D8"/>
    <w:rsid w:val="00F1210E"/>
    <w:rsid w:val="00F3240A"/>
    <w:rsid w:val="00F509C9"/>
    <w:rsid w:val="00F541CA"/>
    <w:rsid w:val="00F56C2C"/>
    <w:rsid w:val="00F577EA"/>
    <w:rsid w:val="00F63F33"/>
    <w:rsid w:val="00F66A55"/>
    <w:rsid w:val="00F70C4B"/>
    <w:rsid w:val="00F71F90"/>
    <w:rsid w:val="00F76728"/>
    <w:rsid w:val="00F80AFC"/>
    <w:rsid w:val="00F9485B"/>
    <w:rsid w:val="00F9750F"/>
    <w:rsid w:val="00FA357F"/>
    <w:rsid w:val="00FA4EAE"/>
    <w:rsid w:val="00FE0451"/>
    <w:rsid w:val="00FF5BD6"/>
    <w:rsid w:val="00FF6BF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DF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55DFC"/>
    <w:pPr>
      <w:keepNext/>
      <w:autoSpaceDE w:val="0"/>
      <w:autoSpaceDN w:val="0"/>
      <w:jc w:val="cente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55DFC"/>
    <w:rPr>
      <w:rFonts w:ascii="Arial" w:hAnsi="Arial" w:cs="Arial"/>
      <w:sz w:val="24"/>
      <w:szCs w:val="24"/>
      <w:rtl w:val="0"/>
      <w:cs w:val="0"/>
      <w:lang w:val="x-none" w:eastAsia="sk-SK"/>
    </w:rPr>
  </w:style>
  <w:style w:type="paragraph" w:styleId="BodyText">
    <w:name w:val="Body Text"/>
    <w:basedOn w:val="Normal"/>
    <w:link w:val="ZkladntextChar"/>
    <w:uiPriority w:val="99"/>
    <w:rsid w:val="00D55DFC"/>
    <w:pPr>
      <w:jc w:val="both"/>
    </w:pPr>
    <w:rPr>
      <w:szCs w:val="20"/>
      <w:lang w:eastAsia="cs-CZ"/>
    </w:rPr>
  </w:style>
  <w:style w:type="character" w:customStyle="1" w:styleId="ZkladntextChar">
    <w:name w:val="Základný text Char"/>
    <w:basedOn w:val="DefaultParagraphFont"/>
    <w:link w:val="BodyText"/>
    <w:uiPriority w:val="99"/>
    <w:locked/>
    <w:rsid w:val="00D55DFC"/>
    <w:rPr>
      <w:rFonts w:ascii="Times New Roman" w:hAnsi="Times New Roman" w:cs="Times New Roman"/>
      <w:sz w:val="20"/>
      <w:szCs w:val="20"/>
      <w:rtl w:val="0"/>
      <w:cs w:val="0"/>
      <w:lang w:val="x-none" w:eastAsia="cs-CZ"/>
    </w:rPr>
  </w:style>
  <w:style w:type="paragraph" w:customStyle="1" w:styleId="Default">
    <w:name w:val="Default"/>
    <w:rsid w:val="00550DEA"/>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styleId="ListParagraph">
    <w:name w:val="List Paragraph"/>
    <w:basedOn w:val="Normal"/>
    <w:uiPriority w:val="34"/>
    <w:qFormat/>
    <w:rsid w:val="00550DEA"/>
    <w:pPr>
      <w:spacing w:after="200" w:line="276" w:lineRule="auto"/>
      <w:ind w:left="720"/>
      <w:contextualSpacing/>
      <w:jc w:val="left"/>
    </w:pPr>
    <w:rPr>
      <w:rFonts w:ascii="Arial Narrow" w:hAnsi="Arial Narrow"/>
      <w:sz w:val="22"/>
      <w:szCs w:val="36"/>
      <w:lang w:eastAsia="en-US"/>
    </w:rPr>
  </w:style>
  <w:style w:type="paragraph" w:styleId="FootnoteText">
    <w:name w:val="footnote text"/>
    <w:basedOn w:val="Normal"/>
    <w:link w:val="TextpoznmkypodiarouChar"/>
    <w:uiPriority w:val="99"/>
    <w:semiHidden/>
    <w:unhideWhenUsed/>
    <w:rsid w:val="001329FC"/>
    <w:pPr>
      <w:jc w:val="left"/>
    </w:pPr>
    <w:rPr>
      <w:rFonts w:asciiTheme="minorHAnsi" w:hAnsiTheme="minorHAnsi"/>
      <w:sz w:val="20"/>
      <w:szCs w:val="20"/>
      <w:lang w:eastAsia="en-US"/>
    </w:rPr>
  </w:style>
  <w:style w:type="character" w:customStyle="1" w:styleId="TextpoznmkypodiarouChar">
    <w:name w:val="Text poznámky pod čiarou Char"/>
    <w:basedOn w:val="DefaultParagraphFont"/>
    <w:link w:val="FootnoteText"/>
    <w:uiPriority w:val="99"/>
    <w:semiHidden/>
    <w:locked/>
    <w:rsid w:val="001329FC"/>
    <w:rPr>
      <w:rFonts w:asciiTheme="minorHAnsi" w:hAnsiTheme="minorHAnsi" w:cs="Times New Roman"/>
      <w:sz w:val="20"/>
      <w:szCs w:val="20"/>
      <w:rtl w:val="0"/>
      <w:cs w:val="0"/>
    </w:rPr>
  </w:style>
  <w:style w:type="paragraph" w:styleId="BalloonText">
    <w:name w:val="Balloon Text"/>
    <w:basedOn w:val="Normal"/>
    <w:link w:val="TextbublinyChar"/>
    <w:uiPriority w:val="99"/>
    <w:semiHidden/>
    <w:unhideWhenUsed/>
    <w:rsid w:val="007D25C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D25CC"/>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B52143"/>
    <w:pPr>
      <w:tabs>
        <w:tab w:val="center" w:pos="4536"/>
        <w:tab w:val="right" w:pos="9072"/>
      </w:tabs>
      <w:jc w:val="left"/>
    </w:pPr>
  </w:style>
  <w:style w:type="character" w:customStyle="1" w:styleId="HlavikaChar">
    <w:name w:val="Hlavička Char"/>
    <w:basedOn w:val="DefaultParagraphFont"/>
    <w:link w:val="Header"/>
    <w:uiPriority w:val="99"/>
    <w:locked/>
    <w:rsid w:val="00B52143"/>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B52143"/>
    <w:pPr>
      <w:tabs>
        <w:tab w:val="center" w:pos="4536"/>
        <w:tab w:val="right" w:pos="9072"/>
      </w:tabs>
      <w:jc w:val="left"/>
    </w:pPr>
  </w:style>
  <w:style w:type="character" w:customStyle="1" w:styleId="PtaChar">
    <w:name w:val="Päta Char"/>
    <w:basedOn w:val="DefaultParagraphFont"/>
    <w:link w:val="Footer"/>
    <w:uiPriority w:val="99"/>
    <w:locked/>
    <w:rsid w:val="00B52143"/>
    <w:rPr>
      <w:rFonts w:ascii="Times New Roman" w:hAnsi="Times New Roman" w:cs="Times New Roman"/>
      <w:sz w:val="24"/>
      <w:szCs w:val="24"/>
      <w:rtl w:val="0"/>
      <w:cs w:val="0"/>
      <w:lang w:val="x-none" w:eastAsia="sk-SK"/>
    </w:rPr>
  </w:style>
  <w:style w:type="character" w:customStyle="1" w:styleId="new">
    <w:name w:val="new"/>
    <w:basedOn w:val="DefaultParagraphFont"/>
    <w:rsid w:val="00B52143"/>
    <w:rPr>
      <w:rFonts w:cs="Times New Roman"/>
      <w:rtl w:val="0"/>
      <w:cs w:val="0"/>
    </w:rPr>
  </w:style>
  <w:style w:type="character" w:styleId="FootnoteReference">
    <w:name w:val="footnote reference"/>
    <w:basedOn w:val="DefaultParagraphFont"/>
    <w:uiPriority w:val="99"/>
    <w:semiHidden/>
    <w:unhideWhenUsed/>
    <w:rsid w:val="00D2506F"/>
    <w:rPr>
      <w:rFonts w:cs="Times New Roman"/>
      <w:vertAlign w:val="superscript"/>
      <w:rtl w:val="0"/>
      <w:cs w:val="0"/>
    </w:rPr>
  </w:style>
  <w:style w:type="paragraph" w:customStyle="1" w:styleId="ListParagraph1">
    <w:name w:val="List Paragraph1"/>
    <w:basedOn w:val="Normal"/>
    <w:rsid w:val="005C32C8"/>
    <w:pPr>
      <w:spacing w:after="200" w:line="276" w:lineRule="auto"/>
      <w:ind w:left="720"/>
      <w:jc w:val="left"/>
    </w:pPr>
    <w:rPr>
      <w:rFonts w:ascii="Calibri" w:hAnsi="Calibri"/>
      <w:sz w:val="22"/>
      <w:szCs w:val="22"/>
      <w:lang w:eastAsia="en-US"/>
    </w:rPr>
  </w:style>
  <w:style w:type="paragraph" w:styleId="BodyText2">
    <w:name w:val="Body Text 2"/>
    <w:basedOn w:val="Normal"/>
    <w:link w:val="Zkladntext2Char"/>
    <w:uiPriority w:val="99"/>
    <w:semiHidden/>
    <w:unhideWhenUsed/>
    <w:rsid w:val="003F2583"/>
    <w:pPr>
      <w:spacing w:after="120" w:line="480" w:lineRule="auto"/>
      <w:jc w:val="left"/>
    </w:pPr>
  </w:style>
  <w:style w:type="character" w:customStyle="1" w:styleId="Zkladntext2Char">
    <w:name w:val="Základný text 2 Char"/>
    <w:basedOn w:val="DefaultParagraphFont"/>
    <w:link w:val="BodyText2"/>
    <w:uiPriority w:val="99"/>
    <w:semiHidden/>
    <w:locked/>
    <w:rsid w:val="003F2583"/>
    <w:rPr>
      <w:rFonts w:ascii="Times New Roman" w:hAnsi="Times New Roman" w:cs="Times New Roman"/>
      <w:sz w:val="24"/>
      <w:szCs w:val="24"/>
      <w:rtl w:val="0"/>
      <w:cs w:val="0"/>
      <w:lang w:val="x-none" w:eastAsia="sk-SK"/>
    </w:rPr>
  </w:style>
  <w:style w:type="paragraph" w:styleId="Title">
    <w:name w:val="Title"/>
    <w:basedOn w:val="Normal"/>
    <w:link w:val="NzovChar"/>
    <w:uiPriority w:val="10"/>
    <w:qFormat/>
    <w:rsid w:val="000B0CDA"/>
    <w:pPr>
      <w:jc w:val="center"/>
    </w:pPr>
    <w:rPr>
      <w:rFonts w:ascii="Arial Narrow" w:hAnsi="Arial Narrow" w:cs="Arial Narrow"/>
      <w:b/>
      <w:bCs/>
      <w:sz w:val="20"/>
      <w:szCs w:val="20"/>
    </w:rPr>
  </w:style>
  <w:style w:type="character" w:customStyle="1" w:styleId="NzovChar">
    <w:name w:val="Názov Char"/>
    <w:basedOn w:val="DefaultParagraphFont"/>
    <w:link w:val="Title"/>
    <w:uiPriority w:val="10"/>
    <w:locked/>
    <w:rsid w:val="000B0CDA"/>
    <w:rPr>
      <w:rFonts w:cs="Times New Roman"/>
      <w:b/>
      <w:bCs/>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9B9A-5CF5-4B98-952B-74E5265D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18</TotalTime>
  <Pages>5</Pages>
  <Words>1859</Words>
  <Characters>10600</Characters>
  <Application>Microsoft Office Word</Application>
  <DocSecurity>0</DocSecurity>
  <Lines>0</Lines>
  <Paragraphs>0</Paragraphs>
  <ScaleCrop>false</ScaleCrop>
  <Company>Ministerstvo financií</Company>
  <LinksUpToDate>false</LinksUpToDate>
  <CharactersWithSpaces>12435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kvenczelova</dc:creator>
  <cp:lastModifiedBy>Mitosinkova Anna</cp:lastModifiedBy>
  <cp:revision>8</cp:revision>
  <cp:lastPrinted>2013-09-26T11:03:00Z</cp:lastPrinted>
  <dcterms:created xsi:type="dcterms:W3CDTF">2013-09-24T15:01:00Z</dcterms:created>
  <dcterms:modified xsi:type="dcterms:W3CDTF">2013-09-26T11:09:00Z</dcterms:modified>
</cp:coreProperties>
</file>