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F31D27">
        <w:t>4</w:t>
      </w:r>
      <w:r w:rsidR="005D24E9">
        <w:t>0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Pr="005D24E9" w:rsidR="005D24E9">
        <w:t>17</w:t>
      </w:r>
      <w:r w:rsidR="00F31D27">
        <w:t>92</w:t>
      </w:r>
      <w:r w:rsidRPr="00053FB9" w:rsidR="003371B9">
        <w:t>/</w:t>
      </w:r>
      <w:r w:rsidR="00053FB9">
        <w:t>201</w:t>
      </w:r>
      <w:r w:rsidR="00F31D27">
        <w:t>7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096D" w:rsidP="00067F0B">
      <w:pPr>
        <w:ind w:left="3540" w:firstLine="708"/>
        <w:rPr>
          <w:b/>
        </w:rPr>
      </w:pPr>
    </w:p>
    <w:p w:rsidR="00F3096D" w:rsidP="00067F0B">
      <w:pPr>
        <w:ind w:left="3540" w:firstLine="708"/>
        <w:rPr>
          <w:b/>
        </w:rPr>
      </w:pP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</w:p>
    <w:p w:rsidR="00A92570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 w:rsidR="009D03B2">
        <w:rPr>
          <w:b/>
        </w:rPr>
        <w:t xml:space="preserve">        225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F31D27">
        <w:rPr>
          <w:b/>
        </w:rPr>
        <w:t>20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F31D27">
        <w:rPr>
          <w:b/>
        </w:rPr>
        <w:t>7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0D1BD1">
      <w:pPr>
        <w:pStyle w:val="BodyText"/>
        <w:spacing w:after="0"/>
        <w:ind w:firstLine="36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="00F31D27">
        <w:t xml:space="preserve">vládny návrh zákona, ktorým sa mení a dopĺňa zákon č. 151/2010 Z. z. o zahraničnej službe a o zmene a doplnení niektorých zákonov v znení neskorších predpisov (tlač 693)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F31D27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F92F1D">
      <w:pPr>
        <w:pStyle w:val="BodyText"/>
        <w:spacing w:after="0"/>
        <w:ind w:firstLine="360"/>
        <w:jc w:val="both"/>
        <w:rPr>
          <w:color w:val="000000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 w:rsidR="00F31D27">
        <w:t>vládnym návrhom zákona, ktorým sa mení a dopĺňa zákon č. 151/2010 Z. z. o zahraničnej službe a o zmene a doplnení niektorých zákonov v znení neskorších predpisov (tlač 693)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A9257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</w:t>
      </w:r>
      <w:r w:rsidRPr="00F92F1D">
        <w:rPr>
          <w:lang w:val="sk-SK"/>
        </w:rPr>
        <w:t>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F31D27" w:rsidR="00F31D27">
        <w:rPr>
          <w:b w:val="0"/>
        </w:rPr>
        <w:t>vládny návrh zákona, ktorým sa mení a dopĺňa zákon č. 151/2010 Z. z. o zahraničnej službe a o zmene a doplnení niektorých zákonov v znení neskorších predpisov (tlač 693)</w:t>
      </w:r>
      <w:r w:rsidR="00F31D27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>sú uveden</w:t>
      </w:r>
      <w:r w:rsidR="00F33022">
        <w:t xml:space="preserve">é </w:t>
      </w:r>
      <w:r w:rsidRPr="00E20A99" w:rsidR="00F33022">
        <w:t>v prílohe tohto uznesenia</w:t>
      </w:r>
      <w:r w:rsidR="00F92F1D"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>
        <w:rPr>
          <w:lang w:val="sk-SK"/>
        </w:rPr>
        <w:t>podať predsed</w:t>
      </w:r>
      <w:r w:rsidR="00A92570">
        <w:rPr>
          <w:lang w:val="sk-SK"/>
        </w:rPr>
        <w:t xml:space="preserve">ovi </w:t>
      </w:r>
      <w:r w:rsidR="00F31D27">
        <w:rPr>
          <w:lang w:val="sk-SK"/>
        </w:rPr>
        <w:t>Zahraničného 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F31D27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632B62" w:rsidP="00D96ABB">
      <w:pPr>
        <w:ind w:left="5664" w:firstLine="708"/>
      </w:pPr>
    </w:p>
    <w:p w:rsidR="00F31D27" w:rsidP="00D96ABB">
      <w:pPr>
        <w:ind w:left="5664" w:firstLine="708"/>
      </w:pPr>
    </w:p>
    <w:p w:rsidR="00F31D27" w:rsidP="00D96ABB">
      <w:pPr>
        <w:ind w:left="5664" w:firstLine="708"/>
      </w:pPr>
    </w:p>
    <w:p w:rsidR="009D03B2" w:rsidP="00D96ABB">
      <w:pPr>
        <w:ind w:left="5664" w:firstLine="708"/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9D03B2">
        <w:rPr>
          <w:b/>
        </w:rPr>
        <w:t>225</w:t>
      </w:r>
    </w:p>
    <w:p w:rsidR="000D14F9" w:rsidRPr="003371B9" w:rsidP="000D14F9">
      <w:pPr>
        <w:jc w:val="right"/>
      </w:pPr>
      <w:r w:rsidR="00F31D27">
        <w:rPr>
          <w:bCs w:val="0"/>
        </w:rPr>
        <w:t>40</w:t>
      </w:r>
      <w:r w:rsidRPr="003371B9">
        <w:rPr>
          <w:bCs w:val="0"/>
        </w:rPr>
        <w:t xml:space="preserve">. </w:t>
      </w:r>
      <w:r w:rsidRPr="003371B9">
        <w:t>schôdza</w:t>
      </w:r>
    </w:p>
    <w:p w:rsidR="00F31D27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3371B9" w:rsidP="00016EEA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F31D27">
        <w:t>vládnemu návrhu zákona, ktorým sa mení a dopĺňa zákon č. 151/2010 Z. z. o zahraničnej službe a o zmene a doplnení niektorých zákonov v znení neskorších predpisov (tlač 693)</w:t>
      </w:r>
    </w:p>
    <w:p w:rsidR="000D14F9" w:rsidP="000D14F9">
      <w:pPr>
        <w:rPr>
          <w:b/>
          <w:bCs w:val="0"/>
        </w:rPr>
      </w:pPr>
      <w:r>
        <w:rPr>
          <w:b/>
          <w:bCs w:val="0"/>
        </w:rPr>
        <w:t>–––––––––––––––––––––––––––––––––––––––––––––––––</w:t>
      </w:r>
      <w:r>
        <w:rPr>
          <w:b/>
          <w:bCs w:val="0"/>
        </w:rPr>
        <w:t xml:space="preserve">–––––––––––––––––––––––––––––  </w:t>
      </w:r>
    </w:p>
    <w:p w:rsidR="0003619F" w:rsidRPr="0003619F" w:rsidP="0003619F">
      <w:pPr>
        <w:numPr>
          <w:ilvl w:val="0"/>
          <w:numId w:val="50"/>
        </w:numPr>
        <w:jc w:val="both"/>
        <w:rPr>
          <w:bCs w:val="0"/>
        </w:rPr>
      </w:pPr>
      <w:r w:rsidRPr="0003619F">
        <w:rPr>
          <w:b/>
          <w:bCs w:val="0"/>
        </w:rPr>
        <w:t>K čl. I, bod 5 [§ 4 ods. 3 písm. a)]:</w:t>
      </w:r>
    </w:p>
    <w:p w:rsidR="0003619F" w:rsidRPr="0003619F" w:rsidP="0003619F">
      <w:pPr>
        <w:tabs>
          <w:tab w:val="left" w:pos="426"/>
        </w:tabs>
        <w:ind w:left="708"/>
        <w:jc w:val="both"/>
        <w:rPr>
          <w:bCs w:val="0"/>
        </w:rPr>
      </w:pPr>
      <w:r w:rsidRPr="0003619F">
        <w:rPr>
          <w:bCs w:val="0"/>
        </w:rPr>
        <w:t>V čl. I bode 5 v § 4 ods. 3 písm. a) sa za slovo „zamestnávateľ,“ vkladajú slová „ktorým je ministerstvo,“.</w:t>
      </w:r>
    </w:p>
    <w:p w:rsidR="0003619F" w:rsidRPr="0003619F" w:rsidP="0003619F">
      <w:pPr>
        <w:tabs>
          <w:tab w:val="left" w:pos="3969"/>
        </w:tabs>
        <w:overflowPunct w:val="0"/>
        <w:autoSpaceDE w:val="0"/>
        <w:autoSpaceDN w:val="0"/>
        <w:adjustRightInd w:val="0"/>
        <w:contextualSpacing/>
        <w:jc w:val="both"/>
        <w:rPr>
          <w:bCs w:val="0"/>
        </w:rPr>
      </w:pPr>
      <w:r w:rsidRPr="0003619F">
        <w:rPr>
          <w:bCs w:val="0"/>
        </w:rPr>
        <w:t xml:space="preserve">                                               </w:t>
        <w:tab/>
      </w:r>
    </w:p>
    <w:p w:rsidR="0003619F" w:rsidRPr="0003619F" w:rsidP="0003619F">
      <w:pPr>
        <w:tabs>
          <w:tab w:val="left" w:pos="2410"/>
        </w:tabs>
        <w:overflowPunct w:val="0"/>
        <w:autoSpaceDE w:val="0"/>
        <w:autoSpaceDN w:val="0"/>
        <w:adjustRightInd w:val="0"/>
        <w:ind w:left="3969"/>
        <w:contextualSpacing/>
        <w:jc w:val="both"/>
        <w:rPr>
          <w:bCs w:val="0"/>
        </w:rPr>
      </w:pPr>
      <w:r w:rsidRPr="0003619F">
        <w:rPr>
          <w:bCs w:val="0"/>
        </w:rPr>
        <w:t>Ide o legislatívno-technickú úpravu; spresnenie definície pojmu „zamestnávateľ“ pre potreby služobného úradu, ktorým je Ministerstvo zahraničných vecí a európskych záležitostí Slovenskej republiky na účely zákona č. 151/2010 Z. z. o zahraničnej službe a o zmene a doplnení niektorých z</w:t>
      </w:r>
      <w:r w:rsidRPr="0003619F">
        <w:rPr>
          <w:bCs w:val="0"/>
        </w:rPr>
        <w:t>ákonov v znení neskorších predpisov.</w:t>
      </w:r>
    </w:p>
    <w:p w:rsidR="0003619F" w:rsidRPr="0003619F" w:rsidP="0003619F">
      <w:pPr>
        <w:jc w:val="both"/>
        <w:rPr>
          <w:bCs w:val="0"/>
        </w:rPr>
      </w:pPr>
    </w:p>
    <w:p w:rsidR="0003619F" w:rsidRPr="0003619F" w:rsidP="0003619F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I, bod 5 [§ 4 ods. 3 písm. c)]:</w:t>
      </w:r>
    </w:p>
    <w:p w:rsidR="0003619F" w:rsidRPr="0003619F" w:rsidP="0003619F">
      <w:pPr>
        <w:tabs>
          <w:tab w:val="left" w:pos="426"/>
        </w:tabs>
        <w:ind w:left="708"/>
        <w:jc w:val="both"/>
        <w:rPr>
          <w:b/>
          <w:bCs w:val="0"/>
        </w:rPr>
      </w:pPr>
      <w:r w:rsidRPr="0003619F">
        <w:rPr>
          <w:bCs w:val="0"/>
        </w:rPr>
        <w:t>V čl. I bode 5 v § 4 ods. 3 písm. c) sa na konci pripájajú tieto slová: „okrem Slovenskej republiky“.</w:t>
      </w:r>
    </w:p>
    <w:p w:rsidR="0003619F" w:rsidRPr="0003619F" w:rsidP="0003619F">
      <w:pPr>
        <w:overflowPunct w:val="0"/>
        <w:autoSpaceDE w:val="0"/>
        <w:autoSpaceDN w:val="0"/>
        <w:adjustRightInd w:val="0"/>
        <w:ind w:left="3969"/>
        <w:contextualSpacing/>
        <w:jc w:val="both"/>
        <w:rPr>
          <w:bCs w:val="0"/>
          <w:u w:val="single"/>
        </w:rPr>
      </w:pPr>
      <w:r w:rsidRPr="0003619F">
        <w:rPr>
          <w:bCs w:val="0"/>
        </w:rPr>
        <w:t xml:space="preserve">                                                                  </w:t>
      </w:r>
    </w:p>
    <w:p w:rsidR="0003619F" w:rsidRPr="0003619F" w:rsidP="0003619F">
      <w:pPr>
        <w:ind w:left="3969" w:hanging="3969"/>
        <w:jc w:val="both"/>
        <w:rPr>
          <w:bCs w:val="0"/>
        </w:rPr>
      </w:pPr>
      <w:r w:rsidRPr="0003619F">
        <w:rPr>
          <w:bCs w:val="0"/>
        </w:rPr>
        <w:t xml:space="preserve">                                                            </w:t>
        <w:tab/>
        <w:t>Ide o legislatívno-technickú úpravu; spresnenie definície pojmu „členský štát“.</w:t>
      </w:r>
    </w:p>
    <w:p w:rsidR="00053D48" w:rsidP="0003619F">
      <w:pPr>
        <w:jc w:val="both"/>
        <w:rPr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I, bod 5 [§ 4 ods. 3 písm. e)]:</w:t>
      </w:r>
    </w:p>
    <w:p w:rsidR="0003619F" w:rsidRPr="0003619F" w:rsidP="0003619F">
      <w:pPr>
        <w:tabs>
          <w:tab w:val="left" w:pos="426"/>
        </w:tabs>
        <w:jc w:val="both"/>
        <w:rPr>
          <w:bCs w:val="0"/>
        </w:rPr>
      </w:pPr>
      <w:r w:rsidR="00053D48">
        <w:rPr>
          <w:bCs w:val="0"/>
        </w:rPr>
        <w:tab/>
        <w:tab/>
      </w:r>
      <w:r w:rsidRPr="0003619F">
        <w:rPr>
          <w:bCs w:val="0"/>
        </w:rPr>
        <w:t>V čl. I bode 5 v § 4 ods. 3 písm. e) sa vypúšťajú slová „okrem Slovenskej republiky“.</w:t>
      </w:r>
      <w:r w:rsidRPr="0003619F">
        <w:rPr>
          <w:bCs w:val="0"/>
        </w:rPr>
        <w:t xml:space="preserve"> </w:t>
      </w:r>
    </w:p>
    <w:p w:rsidR="0003619F" w:rsidRPr="0003619F" w:rsidP="0003619F">
      <w:pPr>
        <w:overflowPunct w:val="0"/>
        <w:autoSpaceDE w:val="0"/>
        <w:autoSpaceDN w:val="0"/>
        <w:adjustRightInd w:val="0"/>
        <w:ind w:left="3969" w:firstLine="567"/>
        <w:contextualSpacing/>
        <w:jc w:val="both"/>
        <w:rPr>
          <w:bCs w:val="0"/>
          <w:u w:val="single"/>
        </w:rPr>
      </w:pPr>
      <w:r w:rsidRPr="0003619F">
        <w:rPr>
          <w:bCs w:val="0"/>
        </w:rPr>
        <w:t xml:space="preserve">                                                               </w:t>
      </w:r>
    </w:p>
    <w:p w:rsidR="0003619F" w:rsidRPr="0003619F" w:rsidP="0003619F">
      <w:pPr>
        <w:ind w:left="3969" w:hanging="3969"/>
        <w:jc w:val="both"/>
        <w:rPr>
          <w:bCs w:val="0"/>
        </w:rPr>
      </w:pPr>
      <w:r w:rsidRPr="0003619F">
        <w:rPr>
          <w:bCs w:val="0"/>
        </w:rPr>
        <w:t xml:space="preserve">                                                              </w:t>
        <w:tab/>
        <w:t>Ide o legislatívno-technickú úpravu; spresnenie definície pojmu „cudzí štát“.</w:t>
      </w:r>
    </w:p>
    <w:p w:rsidR="0003619F" w:rsidRPr="0003619F" w:rsidP="0003619F">
      <w:pPr>
        <w:jc w:val="both"/>
        <w:rPr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I, bod 5 [§ 4 ods. 3 písm. g)]:</w:t>
      </w:r>
    </w:p>
    <w:p w:rsidR="0003619F" w:rsidRPr="0003619F" w:rsidP="0003619F">
      <w:pPr>
        <w:tabs>
          <w:tab w:val="left" w:pos="426"/>
        </w:tabs>
        <w:jc w:val="both"/>
        <w:rPr>
          <w:bCs w:val="0"/>
        </w:rPr>
      </w:pPr>
      <w:r w:rsidR="00053D48">
        <w:rPr>
          <w:bCs w:val="0"/>
        </w:rPr>
        <w:tab/>
        <w:tab/>
      </w:r>
      <w:r w:rsidRPr="0003619F">
        <w:rPr>
          <w:bCs w:val="0"/>
        </w:rPr>
        <w:t>V čl. I </w:t>
      </w:r>
      <w:r w:rsidRPr="0003619F">
        <w:rPr>
          <w:bCs w:val="0"/>
        </w:rPr>
        <w:t>bode 5 v § 4 ods. 3 písmeno g) znie:</w:t>
      </w:r>
    </w:p>
    <w:p w:rsidR="0003619F" w:rsidRPr="0003619F" w:rsidP="00053D48">
      <w:pPr>
        <w:ind w:left="708"/>
        <w:jc w:val="both"/>
        <w:rPr>
          <w:bCs w:val="0"/>
        </w:rPr>
      </w:pPr>
      <w:r w:rsidRPr="0003619F">
        <w:rPr>
          <w:bCs w:val="0"/>
        </w:rPr>
        <w:t>„g) nezastúpeným občanom štátny občan členského štátu, ktorý nemá na území tretieho štátu,   na území ktorého sa nachádza, diplomatické zastúpenie alebo konzulárne zastúpenie, ktoré je schopné poskytnúť v konkrétnom prí</w:t>
      </w:r>
      <w:r w:rsidRPr="0003619F">
        <w:rPr>
          <w:bCs w:val="0"/>
        </w:rPr>
        <w:t>pade konzulárnu ochranu,“.</w:t>
      </w:r>
    </w:p>
    <w:p w:rsidR="0003619F" w:rsidRPr="0003619F" w:rsidP="0003619F">
      <w:pPr>
        <w:tabs>
          <w:tab w:val="left" w:pos="3293"/>
        </w:tabs>
        <w:jc w:val="both"/>
        <w:rPr>
          <w:bCs w:val="0"/>
        </w:rPr>
      </w:pPr>
      <w:r w:rsidRPr="0003619F">
        <w:rPr>
          <w:bCs w:val="0"/>
        </w:rPr>
        <w:t xml:space="preserve">         </w:t>
        <w:tab/>
      </w:r>
    </w:p>
    <w:p w:rsidR="0003619F" w:rsidRPr="0003619F" w:rsidP="0003619F">
      <w:pPr>
        <w:ind w:left="3969" w:hanging="3969"/>
        <w:jc w:val="both"/>
        <w:rPr>
          <w:bCs w:val="0"/>
        </w:rPr>
      </w:pPr>
      <w:r w:rsidRPr="0003619F">
        <w:rPr>
          <w:bCs w:val="0"/>
        </w:rPr>
        <w:t xml:space="preserve">                                                             </w:t>
        <w:tab/>
        <w:t>Ide o legislatívno-technickú úpravu a formulačnú úpravu; spresnenie definície pojmu „nezastúpený občan“.</w:t>
      </w:r>
    </w:p>
    <w:p w:rsidR="00053D48" w:rsidP="0003619F">
      <w:pPr>
        <w:jc w:val="both"/>
        <w:rPr>
          <w:b/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Cs w:val="0"/>
        </w:rPr>
      </w:pPr>
      <w:r w:rsidRPr="0003619F">
        <w:rPr>
          <w:b/>
          <w:bCs w:val="0"/>
        </w:rPr>
        <w:t>K čl. I, bod 5 [§ 4 ods. 3 písm. h)]:</w:t>
      </w:r>
    </w:p>
    <w:p w:rsidR="0003619F" w:rsidRPr="0003619F" w:rsidP="00053D48">
      <w:pPr>
        <w:tabs>
          <w:tab w:val="left" w:pos="426"/>
        </w:tabs>
        <w:autoSpaceDE w:val="0"/>
        <w:autoSpaceDN w:val="0"/>
        <w:adjustRightInd w:val="0"/>
        <w:ind w:left="708"/>
        <w:jc w:val="both"/>
        <w:rPr>
          <w:bCs w:val="0"/>
        </w:rPr>
      </w:pPr>
      <w:r w:rsidRPr="0003619F">
        <w:rPr>
          <w:bCs w:val="0"/>
        </w:rPr>
        <w:t xml:space="preserve">V čl. I bode 5 v § 4  ods. 3 písm. h) sa za slová „právneho poriadku Slovenskej republiky alebo“ vkladajú slová „k ohrozeniu“ a slová „domovského štátu“ sa nahrádzajú slovami „štátu, ktorého je štátnym občanom“.         </w:t>
        <w:tab/>
      </w:r>
    </w:p>
    <w:p w:rsidR="0003619F" w:rsidRPr="0003619F" w:rsidP="0003619F">
      <w:pPr>
        <w:tabs>
          <w:tab w:val="left" w:pos="426"/>
        </w:tabs>
        <w:autoSpaceDE w:val="0"/>
        <w:autoSpaceDN w:val="0"/>
        <w:adjustRightInd w:val="0"/>
        <w:jc w:val="both"/>
        <w:rPr>
          <w:bCs w:val="0"/>
        </w:rPr>
      </w:pPr>
    </w:p>
    <w:p w:rsidR="0003619F" w:rsidRPr="0003619F" w:rsidP="0003619F">
      <w:pPr>
        <w:ind w:left="3969" w:hanging="3969"/>
        <w:jc w:val="both"/>
        <w:rPr>
          <w:bCs w:val="0"/>
        </w:rPr>
      </w:pPr>
      <w:r w:rsidRPr="0003619F">
        <w:rPr>
          <w:bCs w:val="0"/>
        </w:rPr>
        <w:t xml:space="preserve">                                                            </w:t>
        <w:tab/>
        <w:t>Ide o legislatívno-technickú úpravu; spresnenie terminológie súvisiacej s možnosťou návratu občana alebo nezastúpeného občana v stave núdze.</w:t>
      </w:r>
    </w:p>
    <w:p w:rsidR="009D03B2" w:rsidP="000D14F9">
      <w:pPr>
        <w:rPr>
          <w:b/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12 (§ 7 ods. 3):</w:t>
      </w:r>
    </w:p>
    <w:p w:rsidR="009D03B2" w:rsidRPr="009D03B2" w:rsidP="00053D48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12 sa za slová „tretej časti“ vkladá slovo „tohto“.</w:t>
      </w:r>
    </w:p>
    <w:p w:rsid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</w:t>
      </w:r>
      <w:r w:rsidRPr="009D03B2">
        <w:rPr>
          <w:bCs w:val="0"/>
        </w:rPr>
        <w:t>e o legislatívno-technickú úpravu; spresnenie vnútorného odkazu v navrhovanom ustanovení.</w:t>
      </w:r>
    </w:p>
    <w:p w:rsidR="0003619F" w:rsidP="009D03B2">
      <w:pPr>
        <w:ind w:left="3686"/>
        <w:jc w:val="both"/>
        <w:rPr>
          <w:rFonts w:eastAsia="Calibri"/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I:</w:t>
      </w:r>
    </w:p>
    <w:p w:rsidR="0003619F" w:rsidRPr="0003619F" w:rsidP="00053D48">
      <w:pPr>
        <w:ind w:firstLine="708"/>
        <w:jc w:val="both"/>
        <w:rPr>
          <w:bCs w:val="0"/>
        </w:rPr>
      </w:pPr>
      <w:r w:rsidRPr="0003619F">
        <w:rPr>
          <w:bCs w:val="0"/>
        </w:rPr>
        <w:t>V čl. I sa za doterajší 12. bod vkladá nový 13. bod, ktorý znie:</w:t>
      </w:r>
    </w:p>
    <w:p w:rsidR="0003619F" w:rsidRPr="0003619F" w:rsidP="00053D48">
      <w:pPr>
        <w:ind w:left="708"/>
        <w:jc w:val="both"/>
        <w:rPr>
          <w:bCs w:val="0"/>
        </w:rPr>
      </w:pPr>
      <w:r w:rsidRPr="0003619F">
        <w:rPr>
          <w:bCs w:val="0"/>
        </w:rPr>
        <w:t>„13. V § 7 ods. 5 písm. f) sa slová „členských štátov“ nahrádzajú slovom „štátov“ a slová „členské štáty“ sa nahrádzajú slovom „štáty“.“.</w:t>
      </w:r>
    </w:p>
    <w:p w:rsidR="0003619F" w:rsidRPr="0003619F" w:rsidP="0003619F">
      <w:pPr>
        <w:jc w:val="both"/>
        <w:rPr>
          <w:bCs w:val="0"/>
        </w:rPr>
      </w:pPr>
    </w:p>
    <w:p w:rsidR="0003619F" w:rsidRPr="0003619F" w:rsidP="00053D48">
      <w:pPr>
        <w:ind w:firstLine="708"/>
        <w:jc w:val="both"/>
        <w:rPr>
          <w:bCs w:val="0"/>
        </w:rPr>
      </w:pPr>
      <w:r w:rsidRPr="0003619F">
        <w:rPr>
          <w:bCs w:val="0"/>
        </w:rPr>
        <w:t>Nasledujúce novelizačné body sa primerane prečíslujú.</w:t>
      </w:r>
    </w:p>
    <w:p w:rsidR="0003619F" w:rsidRPr="0003619F" w:rsidP="0003619F">
      <w:pPr>
        <w:jc w:val="both"/>
        <w:rPr>
          <w:bCs w:val="0"/>
        </w:rPr>
      </w:pPr>
    </w:p>
    <w:p w:rsidR="0003619F" w:rsidRPr="0003619F" w:rsidP="0003619F">
      <w:pPr>
        <w:ind w:left="3969" w:hanging="3969"/>
        <w:jc w:val="both"/>
        <w:rPr>
          <w:bCs w:val="0"/>
        </w:rPr>
      </w:pPr>
      <w:r w:rsidRPr="0003619F">
        <w:rPr>
          <w:bCs w:val="0"/>
        </w:rPr>
        <w:t xml:space="preserve">                                                               </w:t>
        <w:tab/>
        <w:t>V nadväznosti na definíciu pojmu „členský štát“ v navrhovanom § 4 ods. 3 (bod 5 návrhu zákona) je potrebné primerane upraviť terminológiu v súčasne platnom a účinnom znení zákona.</w:t>
      </w:r>
    </w:p>
    <w:p w:rsidR="0003619F" w:rsidP="009D03B2">
      <w:pPr>
        <w:ind w:left="3686"/>
        <w:jc w:val="both"/>
        <w:rPr>
          <w:rFonts w:eastAsia="Calibri"/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I:</w:t>
      </w:r>
    </w:p>
    <w:p w:rsidR="0003619F" w:rsidRPr="0003619F" w:rsidP="00053D48">
      <w:pPr>
        <w:ind w:firstLine="708"/>
        <w:jc w:val="both"/>
        <w:rPr>
          <w:bCs w:val="0"/>
        </w:rPr>
      </w:pPr>
      <w:r w:rsidRPr="0003619F">
        <w:rPr>
          <w:bCs w:val="0"/>
        </w:rPr>
        <w:t>V čl. I sa za doterajší 13. bod vkladá nový 14. bod, ktorý znie:</w:t>
      </w:r>
    </w:p>
    <w:p w:rsidR="0003619F" w:rsidRPr="0003619F" w:rsidP="00053D48">
      <w:pPr>
        <w:ind w:firstLine="708"/>
        <w:jc w:val="both"/>
        <w:rPr>
          <w:bCs w:val="0"/>
        </w:rPr>
      </w:pPr>
      <w:r w:rsidRPr="0003619F">
        <w:rPr>
          <w:bCs w:val="0"/>
        </w:rPr>
        <w:t>„14. V § 8 ods. 6 sa vypúšťajú slová „Európskej únie“.“.</w:t>
      </w:r>
    </w:p>
    <w:p w:rsidR="0003619F" w:rsidRPr="0003619F" w:rsidP="0003619F">
      <w:pPr>
        <w:jc w:val="both"/>
        <w:rPr>
          <w:bCs w:val="0"/>
        </w:rPr>
      </w:pPr>
    </w:p>
    <w:p w:rsidR="0003619F" w:rsidRPr="0003619F" w:rsidP="00053D48">
      <w:pPr>
        <w:ind w:firstLine="708"/>
        <w:jc w:val="both"/>
        <w:rPr>
          <w:bCs w:val="0"/>
        </w:rPr>
      </w:pPr>
      <w:r w:rsidRPr="0003619F">
        <w:rPr>
          <w:bCs w:val="0"/>
        </w:rPr>
        <w:t>Nasledujúce novelizačné body sa primerane prečíslujú.</w:t>
      </w:r>
    </w:p>
    <w:p w:rsidR="0003619F" w:rsidRPr="0003619F" w:rsidP="0003619F">
      <w:pPr>
        <w:jc w:val="both"/>
        <w:rPr>
          <w:bCs w:val="0"/>
        </w:rPr>
      </w:pPr>
    </w:p>
    <w:p w:rsidR="0003619F" w:rsidRPr="0003619F" w:rsidP="0003619F">
      <w:pPr>
        <w:ind w:left="3969" w:hanging="3969"/>
        <w:jc w:val="both"/>
        <w:rPr>
          <w:bCs w:val="0"/>
        </w:rPr>
      </w:pPr>
      <w:r w:rsidRPr="0003619F">
        <w:rPr>
          <w:bCs w:val="0"/>
        </w:rPr>
        <w:t xml:space="preserve">                                                               </w:t>
        <w:tab/>
        <w:t>V nadväznosti na definíciu pojmu „členský štát“ v navrhovanom § 4 ods. 3 (bod 5 návrhu zákona) je potrebné primerane upraviť terminológiu v súčasne platnom a účinnom zne</w:t>
      </w:r>
      <w:r w:rsidRPr="0003619F">
        <w:rPr>
          <w:bCs w:val="0"/>
        </w:rPr>
        <w:t>ní zákona.</w:t>
      </w:r>
    </w:p>
    <w:p w:rsidR="0003619F" w:rsidP="009D03B2">
      <w:pPr>
        <w:ind w:left="3686"/>
        <w:jc w:val="both"/>
        <w:rPr>
          <w:rFonts w:eastAsia="Calibri"/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14 (§ 9 ods. 1):</w:t>
      </w:r>
    </w:p>
    <w:p w:rsidR="009D03B2" w:rsidRPr="009D03B2" w:rsidP="00053D48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14 sa za slová „tretej časti“ vkladá slovo „tohto“.</w:t>
      </w:r>
    </w:p>
    <w:p w:rsid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úpravu; spresnenie vnútorného odkazu v navrhovanom ustanovení.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16 (§ 10 ods. 5):</w:t>
      </w:r>
    </w:p>
    <w:p w:rsidR="009D03B2" w:rsidRPr="009D03B2" w:rsidP="00053D48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16 sa bodka na konci prvej vety nahrádza bodkočiarkou a pripájajú sa tieto slová: „súhlas na zriadenie udeľuje minister podľa osobitného predpisu.</w:t>
      </w:r>
      <w:r w:rsidRPr="009D03B2">
        <w:rPr>
          <w:rFonts w:eastAsia="Calibri"/>
          <w:bCs w:val="0"/>
          <w:vertAlign w:val="superscript"/>
          <w:lang w:eastAsia="en-US"/>
        </w:rPr>
        <w:t>9</w:t>
      </w:r>
      <w:r w:rsidRPr="009D03B2">
        <w:rPr>
          <w:rFonts w:eastAsia="Calibri"/>
          <w:bCs w:val="0"/>
          <w:lang w:eastAsia="en-US"/>
        </w:rPr>
        <w:t>)“ a druhá veta sa vypúšťa.</w:t>
      </w:r>
    </w:p>
    <w:p w:rsid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úpravu; precizovanie znenia navrhnutého ustanovenia.</w:t>
      </w:r>
    </w:p>
    <w:p w:rsidR="009D03B2" w:rsidRPr="009D03B2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</w:t>
      </w:r>
      <w:r w:rsidRPr="009D03B2">
        <w:rPr>
          <w:rFonts w:eastAsia="Calibri"/>
          <w:b/>
          <w:bCs w:val="0"/>
          <w:lang w:eastAsia="en-US"/>
        </w:rPr>
        <w:t xml:space="preserve"> bod 21:</w:t>
      </w:r>
    </w:p>
    <w:p w:rsidR="009D03B2" w:rsidRPr="009D03B2" w:rsidP="00053D48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v úvodnej vete bodu 21 sa slová „§ 14“ nahrádzajú slovami „druhú časť“.</w:t>
      </w:r>
    </w:p>
    <w:p w:rsidR="00053D48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úpravu úvodnej vety novelizačného bodu.</w:t>
      </w:r>
    </w:p>
    <w:p w:rsidR="009D03B2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I, bod 21  [§ 14c písm. e)]:</w:t>
      </w:r>
    </w:p>
    <w:p w:rsidR="0003619F" w:rsidRPr="0003619F" w:rsidP="00053D48">
      <w:pPr>
        <w:autoSpaceDE w:val="0"/>
        <w:autoSpaceDN w:val="0"/>
        <w:adjustRightInd w:val="0"/>
        <w:ind w:firstLine="708"/>
        <w:jc w:val="both"/>
        <w:rPr>
          <w:bCs w:val="0"/>
        </w:rPr>
      </w:pPr>
      <w:r w:rsidRPr="0003619F">
        <w:rPr>
          <w:bCs w:val="0"/>
        </w:rPr>
        <w:t>V čl. I bode 21 v § 14c písmeno e) znie:</w:t>
      </w:r>
    </w:p>
    <w:p w:rsidR="0003619F" w:rsidRPr="0003619F" w:rsidP="00053D48">
      <w:pPr>
        <w:autoSpaceDE w:val="0"/>
        <w:autoSpaceDN w:val="0"/>
        <w:adjustRightInd w:val="0"/>
        <w:ind w:left="708"/>
        <w:jc w:val="both"/>
        <w:rPr>
          <w:bCs w:val="0"/>
        </w:rPr>
      </w:pPr>
      <w:r w:rsidRPr="0003619F">
        <w:rPr>
          <w:bCs w:val="0"/>
        </w:rPr>
        <w:t>„e) prijíma žiadosti</w:t>
      </w:r>
      <w:r w:rsidRPr="0003619F">
        <w:rPr>
          <w:bCs w:val="0"/>
        </w:rPr>
        <w:t xml:space="preserve"> o výpis z registra trestov</w:t>
      </w:r>
      <w:r w:rsidRPr="0003619F">
        <w:rPr>
          <w:bCs w:val="0"/>
          <w:vertAlign w:val="superscript"/>
        </w:rPr>
        <w:t>12g)</w:t>
      </w:r>
      <w:r w:rsidRPr="0003619F">
        <w:rPr>
          <w:bCs w:val="0"/>
        </w:rPr>
        <w:t xml:space="preserve"> a zabezpečuje jeho písomné vyhotovenie,“. </w:t>
      </w:r>
    </w:p>
    <w:p w:rsidR="0003619F" w:rsidRPr="0003619F" w:rsidP="0003619F">
      <w:pPr>
        <w:overflowPunct w:val="0"/>
        <w:autoSpaceDE w:val="0"/>
        <w:autoSpaceDN w:val="0"/>
        <w:adjustRightInd w:val="0"/>
        <w:ind w:left="3969" w:firstLine="567"/>
        <w:contextualSpacing/>
        <w:jc w:val="both"/>
        <w:rPr>
          <w:bCs w:val="0"/>
          <w:u w:val="single"/>
        </w:rPr>
      </w:pPr>
    </w:p>
    <w:p w:rsidR="0003619F" w:rsidRPr="0003619F" w:rsidP="0003619F">
      <w:pPr>
        <w:ind w:left="3969"/>
        <w:jc w:val="both"/>
        <w:rPr>
          <w:bCs w:val="0"/>
        </w:rPr>
      </w:pPr>
      <w:r w:rsidRPr="0003619F">
        <w:rPr>
          <w:bCs w:val="0"/>
        </w:rPr>
        <w:t>Ide o štylistickú a formulačnú úpravu a precizovanie navrhovaného ustanovenia; spresnenie terminológie súvisiacej s konzulárnou funkciou sa navrhuje v súlade so zákonom č. 330/2007</w:t>
      </w:r>
      <w:r w:rsidRPr="0003619F">
        <w:rPr>
          <w:bCs w:val="0"/>
        </w:rPr>
        <w:t xml:space="preserve"> Z. z. o registri trestov a o zmene a doplnení niektorých zákonov v znení neskorších predpisov.                                                     </w:t>
      </w:r>
    </w:p>
    <w:p w:rsidR="0003619F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14e ods. 2):</w:t>
      </w:r>
    </w:p>
    <w:p w:rsidR="009D03B2" w:rsidRPr="009D03B2" w:rsidP="00053D48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14e odsek 2 znie:</w:t>
      </w:r>
    </w:p>
    <w:p w:rsidR="009D03B2" w:rsidRPr="009D03B2" w:rsidP="00053D48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 xml:space="preserve">„(2) Osvedčenie podľa odseku 1 vykoná zamestnanec diplomatickej misie alebo zamestnanec konzulárneho úradu tak, že k poslednej strane listiny alebo na samostatný list pripojený za poslednú stranu listiny pripojí osvedčovaciu doložku v štátnom jazyku. Osvedčovacia doložka musí byť opatrená odtlačkom okrúhlej úradnej pečiatky diplomatickej misie alebo konzulárneho úradu so štátnym znakom, ktorá má priemer 36 mm a podpisom povereného zamestnanca diplomatickej misie alebo povereného zamestnanca konzulárneho úradu. Ak osvedčovanú listinu tvoria dva listy alebo viac listov, tieto sú spojené šnúrou, ktorej voľné konce sa prekryjú nálepkou a opatria odtlačkom úradnej pečiatky diplomatickej misie alebo konzulárneho úradu.“. </w:t>
      </w:r>
    </w:p>
    <w:p w:rsidR="00053D48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štylistickú a formulačnú úpravu a precizovanie navrhovaného ustanovenia</w:t>
      </w:r>
      <w:r w:rsidRPr="009D03B2">
        <w:rPr>
          <w:bCs w:val="0"/>
        </w:rPr>
        <w:t>.</w:t>
      </w:r>
    </w:p>
    <w:p w:rsidR="009D03B2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I, bod 21 [§ 14f ods. 1 písm. b)]:</w:t>
      </w:r>
    </w:p>
    <w:p w:rsidR="0003619F" w:rsidRPr="0003619F" w:rsidP="00053D48">
      <w:pPr>
        <w:autoSpaceDE w:val="0"/>
        <w:autoSpaceDN w:val="0"/>
        <w:adjustRightInd w:val="0"/>
        <w:ind w:firstLine="708"/>
        <w:jc w:val="both"/>
        <w:rPr>
          <w:bCs w:val="0"/>
        </w:rPr>
      </w:pPr>
      <w:r w:rsidRPr="0003619F">
        <w:rPr>
          <w:bCs w:val="0"/>
        </w:rPr>
        <w:t>V čl. I bode 21 v § 14f ods. 1 písmeno b) znie:</w:t>
      </w:r>
    </w:p>
    <w:p w:rsidR="0003619F" w:rsidRPr="0003619F" w:rsidP="00053D48">
      <w:pPr>
        <w:autoSpaceDE w:val="0"/>
        <w:autoSpaceDN w:val="0"/>
        <w:adjustRightInd w:val="0"/>
        <w:ind w:left="708"/>
        <w:jc w:val="both"/>
        <w:rPr>
          <w:bCs w:val="0"/>
        </w:rPr>
      </w:pPr>
      <w:r w:rsidRPr="0003619F">
        <w:rPr>
          <w:bCs w:val="0"/>
        </w:rPr>
        <w:t>„b) vyššie overuje písomné vyhotovenie výpisu z registra trestov,</w:t>
      </w:r>
      <w:r w:rsidRPr="0003619F">
        <w:rPr>
          <w:bCs w:val="0"/>
          <w:vertAlign w:val="superscript"/>
        </w:rPr>
        <w:t>12g)</w:t>
      </w:r>
      <w:r w:rsidRPr="0003619F">
        <w:rPr>
          <w:bCs w:val="0"/>
        </w:rPr>
        <w:t xml:space="preserve">“. </w:t>
        <w:tab/>
      </w:r>
    </w:p>
    <w:p w:rsidR="0003619F" w:rsidRPr="0003619F" w:rsidP="0003619F">
      <w:pPr>
        <w:autoSpaceDE w:val="0"/>
        <w:autoSpaceDN w:val="0"/>
        <w:adjustRightInd w:val="0"/>
        <w:jc w:val="both"/>
        <w:rPr>
          <w:bCs w:val="0"/>
        </w:rPr>
      </w:pPr>
    </w:p>
    <w:p w:rsidR="0003619F" w:rsidRPr="0003619F" w:rsidP="0003619F">
      <w:pPr>
        <w:ind w:left="3969"/>
        <w:jc w:val="both"/>
        <w:rPr>
          <w:bCs w:val="0"/>
        </w:rPr>
      </w:pPr>
      <w:r w:rsidRPr="0003619F">
        <w:rPr>
          <w:bCs w:val="0"/>
        </w:rPr>
        <w:t xml:space="preserve">Ide o štylistickú a formulačnú úpravu a precizovanie navrhovaného ustanovenia; spresnenie terminológie súvisiacej s konzulárnou funkciou sa navrhuje v súlade so zákonom č. 330/2007 Z. z. o registri trestov a o zmene a doplnení niektorých zákonov v znení neskorších predpisov.                                                     </w:t>
      </w:r>
    </w:p>
    <w:p w:rsidR="0003619F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</w:t>
      </w:r>
      <w:r w:rsidRPr="009D03B2">
        <w:rPr>
          <w:rFonts w:eastAsia="Calibri"/>
          <w:b/>
          <w:bCs w:val="0"/>
          <w:lang w:eastAsia="en-US"/>
        </w:rPr>
        <w:t xml:space="preserve"> [§ 14f ods. 1 písm. c) druhý bod]:</w:t>
      </w:r>
    </w:p>
    <w:p w:rsidR="009D03B2" w:rsidRPr="009D03B2" w:rsidP="00053D48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14f ods. 1 písm. c) druhom bode sa nad slovo „listín,“ umiestňuje odkaz 12n.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úpravu; vloženie odkazu na poznámku pod čiarou obdobne, ako je to v § 14f ods. 1 písm. c) prv</w:t>
      </w:r>
      <w:r w:rsidRPr="009D03B2">
        <w:rPr>
          <w:bCs w:val="0"/>
        </w:rPr>
        <w:t>om bode.</w:t>
      </w:r>
    </w:p>
    <w:p w:rsidR="009D03B2" w:rsidRPr="009D03B2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14f ods. 2):</w:t>
      </w:r>
    </w:p>
    <w:p w:rsidR="009D03B2" w:rsidRPr="009D03B2" w:rsidP="00053D48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14f odsek 2 znie:</w:t>
      </w:r>
    </w:p>
    <w:p w:rsidR="009D03B2" w:rsidRPr="009D03B2" w:rsidP="00053D48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 xml:space="preserve">„(2) Osvedčenie podľa odseku 1 písm. c) a písm. d) vykoná zamestnanec príslušného útvaru ministerstva tak, že k poslednej strane listiny alebo na samostatný list pripojený za poslednú stranu listiny pripojí osvedčovaciu doložku v štátnom jazyku. Osvedčovacia doložka musí byť opatrená odtlačkom okrúhlej úradnej pečiatky ministerstva so štátnym znakom, ktorá má priemer 36 mm a podpisom povereného zamestnanca ministerstva. Ak osvedčovanú listinu tvoria dva listy alebo viac listov, tieto sú spojené šnúrou, ktorej voľné konce sa prekryjú nálepkou a opatria odtlačkom úradnej pečiatky ministerstva.“. 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štylistickú a formulačnú úpravu a precizovanie navrhovaného ustanovenia.</w:t>
      </w:r>
    </w:p>
    <w:p w:rsidR="009D03B2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03619F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I, bod 21 (§ 14g ods. 2):</w:t>
      </w:r>
    </w:p>
    <w:p w:rsidR="0003619F" w:rsidRPr="0003619F" w:rsidP="00053D48">
      <w:pPr>
        <w:autoSpaceDE w:val="0"/>
        <w:autoSpaceDN w:val="0"/>
        <w:adjustRightInd w:val="0"/>
        <w:ind w:firstLine="708"/>
        <w:jc w:val="both"/>
        <w:rPr>
          <w:bCs w:val="0"/>
        </w:rPr>
      </w:pPr>
      <w:r w:rsidRPr="0003619F">
        <w:rPr>
          <w:bCs w:val="0"/>
        </w:rPr>
        <w:t>V čl. I bode 21 v § 14g odsek 2 znie:</w:t>
      </w:r>
    </w:p>
    <w:p w:rsidR="0003619F" w:rsidRPr="0003619F" w:rsidP="00053D48">
      <w:pPr>
        <w:ind w:left="708"/>
        <w:jc w:val="both"/>
        <w:rPr>
          <w:bCs w:val="0"/>
        </w:rPr>
      </w:pPr>
      <w:r w:rsidRPr="0003619F">
        <w:rPr>
          <w:bCs w:val="0"/>
        </w:rPr>
        <w:t>„(2) Diplomatická misia a konzulárny úrad poskytnú konzulárnu ochranu nezastúpenému občanovi a jeho rodinnému príslušníkovi, ktorý nie je občanom Európskej únie a sprevádza nezastúpeného občana v treťom štáte v rovnakom rozsahu a za tých istých podmienok, za ktorých poskytuje konzulárnu ochranu občanovi a jeho rodinnému príslušníkovi, ktorý nie je občanom Európskej únie a sprevádza občana v treťom štáte. Diplomatická misia a konzulárny úrad poskytnú konzulárnu ochranu právnickej osobe so sídlom na území Slovenskej republiky, zriadenej podľa právneho poriadku Slovenskej republiky primerane.“.</w:t>
      </w:r>
    </w:p>
    <w:p w:rsidR="0003619F" w:rsidRPr="0003619F" w:rsidP="0003619F">
      <w:pPr>
        <w:autoSpaceDE w:val="0"/>
        <w:autoSpaceDN w:val="0"/>
        <w:adjustRightInd w:val="0"/>
        <w:jc w:val="both"/>
        <w:rPr>
          <w:bCs w:val="0"/>
        </w:rPr>
      </w:pPr>
      <w:r w:rsidRPr="0003619F">
        <w:rPr>
          <w:b/>
          <w:bCs w:val="0"/>
        </w:rPr>
        <w:tab/>
      </w:r>
    </w:p>
    <w:p w:rsidR="0003619F" w:rsidRPr="0003619F" w:rsidP="0003619F">
      <w:pPr>
        <w:ind w:left="3969" w:hanging="3969"/>
        <w:jc w:val="both"/>
        <w:rPr>
          <w:bCs w:val="0"/>
        </w:rPr>
      </w:pPr>
      <w:r w:rsidRPr="0003619F">
        <w:rPr>
          <w:bCs w:val="0"/>
        </w:rPr>
        <w:t xml:space="preserve">                                                                  Ide o štylistickú a formulačnú úpravu a precizovanie navrhovaného ustanovenia; spresňuje sa znenie v záujme vyjadrenia práva na požiadanie o konzulárnu ochranu podľa čl. 7 ods. 1 smernice Rady (EÚ) 2015/637 o opatreniach koordinácie a spolupráce na uľahčenie konzulárnej ochrany nezastúpených občanov Únie v tretích krajinách a o zrušení rozhodnutia 95/553/ES (ďalej len „smernica“), ako aj v záujme jednoznačnosti rozsahu a podmienok poskytovania konzulárnej ochrany aj pre vymedzených rodinných príslušníkov podľa čl. 5 smernice. </w:t>
      </w:r>
    </w:p>
    <w:p w:rsidR="0003619F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Cs w:val="0"/>
        </w:rPr>
      </w:pPr>
      <w:r w:rsidRPr="0003619F">
        <w:rPr>
          <w:b/>
          <w:bCs w:val="0"/>
        </w:rPr>
        <w:t xml:space="preserve">K čl. I, bod </w:t>
      </w:r>
      <w:r w:rsidRPr="0003619F">
        <w:rPr>
          <w:b/>
          <w:bCs w:val="0"/>
        </w:rPr>
        <w:t>21 [§ 14g ods. 4 písm. b)]:</w:t>
      </w:r>
    </w:p>
    <w:p w:rsidR="0003619F" w:rsidRPr="0003619F" w:rsidP="00053D48">
      <w:pPr>
        <w:autoSpaceDE w:val="0"/>
        <w:autoSpaceDN w:val="0"/>
        <w:adjustRightInd w:val="0"/>
        <w:ind w:left="708"/>
        <w:jc w:val="both"/>
        <w:rPr>
          <w:bCs w:val="0"/>
        </w:rPr>
      </w:pPr>
      <w:r w:rsidRPr="0003619F">
        <w:rPr>
          <w:bCs w:val="0"/>
        </w:rPr>
        <w:t xml:space="preserve">V čl. I bode 21 v § 14g ods. 4 písm. b) sa slová „poškodený trestným činom“ nahrádzajú slovami „obeťou trestného činu“. </w:t>
      </w:r>
    </w:p>
    <w:p w:rsidR="0003619F" w:rsidRPr="0003619F" w:rsidP="0003619F">
      <w:pPr>
        <w:overflowPunct w:val="0"/>
        <w:autoSpaceDE w:val="0"/>
        <w:autoSpaceDN w:val="0"/>
        <w:adjustRightInd w:val="0"/>
        <w:ind w:left="3969"/>
        <w:contextualSpacing/>
        <w:jc w:val="both"/>
        <w:rPr>
          <w:bCs w:val="0"/>
          <w:u w:val="single"/>
        </w:rPr>
      </w:pPr>
    </w:p>
    <w:p w:rsidR="0003619F" w:rsidRPr="0003619F" w:rsidP="0003619F">
      <w:pPr>
        <w:ind w:left="3969"/>
        <w:jc w:val="both"/>
        <w:rPr>
          <w:bCs w:val="0"/>
        </w:rPr>
      </w:pPr>
      <w:r w:rsidRPr="0003619F">
        <w:rPr>
          <w:bCs w:val="0"/>
        </w:rPr>
        <w:t>Ide o legislatívno-technickú úpravu;</w:t>
      </w:r>
      <w:r w:rsidRPr="0003619F">
        <w:rPr>
          <w:bCs w:val="0"/>
        </w:rPr>
        <w:t xml:space="preserve"> zosúladenie pojmu v zmysle  čl. 4 ods. 2 Legislatívnych pravidiel tvorby zákonov č. 19/1997 Z. z.  </w:t>
      </w:r>
    </w:p>
    <w:p w:rsidR="0003619F" w:rsidP="009D03B2">
      <w:pPr>
        <w:autoSpaceDE w:val="0"/>
        <w:autoSpaceDN w:val="0"/>
        <w:jc w:val="both"/>
        <w:rPr>
          <w:rFonts w:eastAsia="Calibri"/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[§ 14g ods. 4 písm. f)]:</w:t>
      </w:r>
    </w:p>
    <w:p w:rsidR="009D03B2" w:rsidRPr="009D03B2" w:rsidP="00053D48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poznámka pod čiarou k odkazu 12o znie:</w:t>
      </w:r>
    </w:p>
    <w:p w:rsidR="009D03B2" w:rsidRPr="009D03B2" w:rsidP="00053D48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„</w:t>
      </w:r>
      <w:r w:rsidRPr="009D03B2">
        <w:rPr>
          <w:rFonts w:eastAsia="Calibri"/>
          <w:bCs w:val="0"/>
          <w:vertAlign w:val="superscript"/>
          <w:lang w:eastAsia="en-US"/>
        </w:rPr>
        <w:t>12o</w:t>
      </w:r>
      <w:r w:rsidRPr="009D03B2">
        <w:rPr>
          <w:rFonts w:eastAsia="Calibri"/>
          <w:bCs w:val="0"/>
          <w:lang w:eastAsia="en-US"/>
        </w:rPr>
        <w:t>) Rozhodnutie zástupcov vlád členských štátov, ktorí sa zišli na zasadnutí Rady z 25. júna 1996 o zavedení náhradného cestovného dokladu (96/409/SZBP) (Mimoriadne vydanie Ú. v. EÚ, kap. 18/zv. 1; Ú. v. ES L 168, 6. 7. 1996) v platnom znení.“.</w:t>
      </w:r>
    </w:p>
    <w:p w:rsidR="00053D48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 legislatívno-technickú úpravu poznámky pod čiarou spočívajúcu v uvedení oficiálneho uverejneného názvu právne záväzného aktu EÚ a zohľadnení jeho aktualizácie (oprava v slovenskom znení).</w:t>
      </w: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14g ods. 5):</w:t>
      </w:r>
    </w:p>
    <w:p w:rsidR="009D03B2" w:rsidRPr="009D03B2" w:rsidP="00053D48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14g ods. 5 sa za slovo „nepredloží“ vkladá slovo „platný“ a slovo „predovšetkým“ sa nahrádza slovami „najmä jej“.</w:t>
      </w:r>
    </w:p>
    <w:p w:rsidR="00053D48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 štylistickú úpravu navrhovaného ustanovenia a jeho precizovanie v zmysle čl. 8 ods. 2 smernice 2015/637.</w:t>
      </w:r>
    </w:p>
    <w:p w:rsidR="0003619F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03619F" w:rsidRPr="0003619F" w:rsidP="00053D48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b/>
          <w:bCs w:val="0"/>
        </w:rPr>
      </w:pPr>
      <w:r w:rsidRPr="0003619F">
        <w:rPr>
          <w:b/>
          <w:bCs w:val="0"/>
        </w:rPr>
        <w:t>K čl. I, bod 21 (§ 14h ods. 1):</w:t>
      </w:r>
    </w:p>
    <w:p w:rsidR="0003619F" w:rsidRPr="0003619F" w:rsidP="00053D48">
      <w:pPr>
        <w:ind w:firstLine="708"/>
        <w:jc w:val="both"/>
        <w:rPr>
          <w:bCs w:val="0"/>
        </w:rPr>
      </w:pPr>
      <w:r w:rsidRPr="0003619F">
        <w:rPr>
          <w:bCs w:val="0"/>
        </w:rPr>
        <w:t xml:space="preserve">V čl. I bode 21 v § 14h ods. 1 sa vypúšťa slovo „iným”. </w:t>
      </w:r>
    </w:p>
    <w:p w:rsidR="0003619F" w:rsidRPr="0003619F" w:rsidP="0003619F">
      <w:pPr>
        <w:jc w:val="both"/>
        <w:rPr>
          <w:b/>
          <w:bCs w:val="0"/>
        </w:rPr>
      </w:pPr>
    </w:p>
    <w:p w:rsidR="0003619F" w:rsidRPr="0003619F" w:rsidP="0003619F">
      <w:pPr>
        <w:ind w:left="3969"/>
        <w:jc w:val="both"/>
        <w:rPr>
          <w:bCs w:val="0"/>
        </w:rPr>
      </w:pPr>
      <w:r w:rsidRPr="0003619F">
        <w:rPr>
          <w:bCs w:val="0"/>
        </w:rPr>
        <w:t xml:space="preserve">Ide o štylistickú a formulačnú úpravu a precizovanie navrhovaného ustanovenia. </w:t>
      </w:r>
    </w:p>
    <w:p w:rsidR="009D03B2" w:rsidRPr="009D03B2" w:rsidP="00053D48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14h ods. 3):</w:t>
      </w:r>
    </w:p>
    <w:p w:rsidR="009D03B2" w:rsidRPr="009D03B2" w:rsidP="00053D48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14h ods. 3 sa za slová „touto dohodou alebo“ vkladá slovo „týmto“ a druhá veta znie: „Diplomatická misia alebo konzulárny úrad postúpi žiadosť nezastúpeného občana o konzulárnu ochranu, na vybavenie ktorej nie je príslušný, na príslušný zastupiteľský úrad, ak tým nie je ohrozené poskytnutie konzulárnej ochrany.“.</w:t>
      </w:r>
    </w:p>
    <w:p w:rsidR="00053D48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štylistickú úpravu a precizovanie navrhovaného ustanovenia.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</w:rPr>
      </w:pPr>
    </w:p>
    <w:p w:rsidR="0003619F" w:rsidRPr="0003619F" w:rsidP="00053D48">
      <w:pPr>
        <w:numPr>
          <w:ilvl w:val="0"/>
          <w:numId w:val="50"/>
        </w:numPr>
        <w:jc w:val="both"/>
        <w:rPr>
          <w:bCs w:val="0"/>
        </w:rPr>
      </w:pPr>
      <w:r w:rsidRPr="0003619F">
        <w:rPr>
          <w:b/>
          <w:bCs w:val="0"/>
        </w:rPr>
        <w:t>K čl. I, bod 21 (§ 14h ods. 5):</w:t>
      </w:r>
    </w:p>
    <w:p w:rsidR="0003619F" w:rsidRPr="0003619F" w:rsidP="00053D48">
      <w:pPr>
        <w:ind w:firstLine="708"/>
        <w:jc w:val="both"/>
        <w:rPr>
          <w:bCs w:val="0"/>
        </w:rPr>
      </w:pPr>
      <w:r w:rsidRPr="0003619F">
        <w:rPr>
          <w:bCs w:val="0"/>
        </w:rPr>
        <w:t>V čl. I bode 21 v § 14h odsek 5 znie:</w:t>
      </w:r>
    </w:p>
    <w:p w:rsidR="0003619F" w:rsidRPr="0003619F" w:rsidP="00053D48">
      <w:pPr>
        <w:ind w:left="708"/>
        <w:jc w:val="both"/>
        <w:rPr>
          <w:bCs w:val="0"/>
          <w:lang w:eastAsia="en-US"/>
        </w:rPr>
      </w:pPr>
      <w:r w:rsidRPr="0003619F">
        <w:rPr>
          <w:bCs w:val="0"/>
        </w:rPr>
        <w:t xml:space="preserve">„(5) </w:t>
      </w:r>
      <w:r w:rsidRPr="0003619F">
        <w:rPr>
          <w:bCs w:val="0"/>
          <w:lang w:eastAsia="en-US"/>
        </w:rPr>
        <w:t>Diplomatická misia a konzulárny úrad neposkytnú konzulárnu ochranu alebo ju prestanú poskytovať, ak členský štát požiadal o postúpenie žiadosti o konzulárnu ochranu, ktorú podal jeho štátny občan a členský štát potvrdil, že konzulárnu ochranu poskytne; to platí aj vtedy, ak členský štát už začal konzulárnu ochranu poskytovať.“.</w:t>
      </w:r>
    </w:p>
    <w:p w:rsidR="0003619F" w:rsidRPr="0003619F" w:rsidP="0003619F">
      <w:pPr>
        <w:jc w:val="both"/>
        <w:rPr>
          <w:bCs w:val="0"/>
        </w:rPr>
      </w:pPr>
    </w:p>
    <w:p w:rsidR="0003619F" w:rsidRPr="0003619F" w:rsidP="0003619F">
      <w:pPr>
        <w:ind w:left="3969"/>
        <w:jc w:val="both"/>
        <w:rPr>
          <w:bCs w:val="0"/>
        </w:rPr>
      </w:pPr>
      <w:r w:rsidRPr="0003619F">
        <w:rPr>
          <w:bCs w:val="0"/>
        </w:rPr>
        <w:t xml:space="preserve">Ide o štylistickú a formulačnú úpravu ako aj precizovanie navrhovaného ustanovenia v súlade s čl. 3 smernice. </w:t>
      </w:r>
    </w:p>
    <w:p w:rsidR="0003619F" w:rsidP="009D03B2">
      <w:pPr>
        <w:autoSpaceDE w:val="0"/>
        <w:autoSpaceDN w:val="0"/>
        <w:adjustRightInd w:val="0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14h ods. 8):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14h ods. 8 sa slová „je podľa svojho tvrdenia“ nahrádzajú slovami „tvrdí, že je“, slová „o ktorom táto osoba uvádza“ sa v celom texte nahrádzajú slovami „o ktorom táto osoba tvrdí“ a slová „všetky príslušné informácie“ sa nahrádzajú slovami „relevantné informácie“.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 xml:space="preserve">Ide o štylistickú úpravu a precizovanie navrhovaného ustanovenia. Slovo „príslušné“ sa vypúšťa z dôvodu nadbytočnosti, nakoľko podľa čl. 10 ods. 2 smernice 2015/637 sa majú členskému štátu alebo zastupiteľskému úradu poskytnúť všetky relevantné informácie, ktoré má členský štát k dispozícii. Vypustenie slova „príslušné“ teda nezúži rozsah informácií, ktoré je potrebné poskytnúť, nakoľko tento rozsah je viazaný na ich dispozícii. </w:t>
      </w:r>
    </w:p>
    <w:p w:rsidR="009D03B2" w:rsidP="009D03B2">
      <w:pPr>
        <w:autoSpaceDE w:val="0"/>
        <w:autoSpaceDN w:val="0"/>
        <w:adjustRightInd w:val="0"/>
        <w:jc w:val="both"/>
        <w:rPr>
          <w:bCs w:val="0"/>
        </w:rPr>
      </w:pPr>
    </w:p>
    <w:p w:rsidR="0003619F" w:rsidRPr="0003619F" w:rsidP="007C1B10">
      <w:pPr>
        <w:numPr>
          <w:ilvl w:val="0"/>
          <w:numId w:val="50"/>
        </w:numPr>
        <w:jc w:val="both"/>
        <w:rPr>
          <w:bCs w:val="0"/>
        </w:rPr>
      </w:pPr>
      <w:r w:rsidRPr="0003619F">
        <w:rPr>
          <w:b/>
          <w:bCs w:val="0"/>
        </w:rPr>
        <w:t>K čl. I, bod 21 (§ 14h ods. 9):</w:t>
      </w:r>
    </w:p>
    <w:p w:rsidR="0003619F" w:rsidRPr="0003619F" w:rsidP="007C1B10">
      <w:pPr>
        <w:ind w:firstLine="708"/>
        <w:jc w:val="both"/>
        <w:rPr>
          <w:bCs w:val="0"/>
        </w:rPr>
      </w:pPr>
      <w:r w:rsidRPr="0003619F">
        <w:rPr>
          <w:bCs w:val="0"/>
        </w:rPr>
        <w:t>V čl. I bode 21 v § 14h odsek 9 znie:</w:t>
      </w:r>
    </w:p>
    <w:p w:rsidR="0003619F" w:rsidRPr="0003619F" w:rsidP="007C1B10">
      <w:pPr>
        <w:ind w:left="708"/>
        <w:jc w:val="both"/>
        <w:rPr>
          <w:bCs w:val="0"/>
        </w:rPr>
      </w:pPr>
      <w:r w:rsidRPr="0003619F">
        <w:rPr>
          <w:bCs w:val="0"/>
        </w:rPr>
        <w:t xml:space="preserve">„(9) Pri postupe podľa odseku 8 diplomatická misia a konzulárny úrad kontakt s rodinnými príslušníkmi alebo s inými relevantnými osobami alebo orgánmi nezabezpečujú.“. </w:t>
      </w:r>
    </w:p>
    <w:p w:rsidR="0003619F" w:rsidRPr="0003619F" w:rsidP="0003619F">
      <w:pPr>
        <w:rPr>
          <w:b/>
          <w:bCs w:val="0"/>
        </w:rPr>
      </w:pPr>
    </w:p>
    <w:p w:rsidR="0003619F" w:rsidRPr="0003619F" w:rsidP="0003619F">
      <w:pPr>
        <w:ind w:left="3969"/>
        <w:jc w:val="both"/>
        <w:rPr>
          <w:bCs w:val="0"/>
        </w:rPr>
      </w:pPr>
      <w:r w:rsidRPr="0003619F">
        <w:rPr>
          <w:bCs w:val="0"/>
        </w:rPr>
        <w:t xml:space="preserve">Ide o štylistickú a formulačnú úpravu a precizovanie navrhovaného ustanovenia. </w:t>
      </w:r>
    </w:p>
    <w:p w:rsidR="0003619F" w:rsidP="009D03B2">
      <w:pPr>
        <w:autoSpaceDE w:val="0"/>
        <w:autoSpaceDN w:val="0"/>
        <w:adjustRightInd w:val="0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14h ods. 10):</w:t>
      </w:r>
    </w:p>
    <w:p w:rsidR="009D03B2" w:rsidRPr="009D03B2" w:rsidP="007C1B10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14h ods. 10 sa slová „v ktorej“ nahrádzajú slovami „v ktorom“.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gramatickú opravu.</w:t>
      </w:r>
    </w:p>
    <w:p w:rsidR="0003619F" w:rsidP="009D03B2">
      <w:pPr>
        <w:autoSpaceDE w:val="0"/>
        <w:autoSpaceDN w:val="0"/>
        <w:adjustRightInd w:val="0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14h ods. 11):</w:t>
      </w:r>
    </w:p>
    <w:p w:rsidR="009D03B2" w:rsidRPr="009D03B2" w:rsidP="007C1B10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14h ods. 11 sa slová „v ktorej“ nahrádzajú slovami „v ktorom“.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gramatickú opravu.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14h ods. 15):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14h ods. 15 sa slovo „záväzok“ nahrádza slovami „prísľub vo forme záväzku“, slová „náklady za“ sa nahrádzajú slovami „náklady na“ a slová „Vzor záväzku“ sa nahrádzajú slovami „Vzor prísľubu vo forme záväzku“.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precizovanie navrhovaného znenia ustanovenia.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14h ods. 17):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14h ods. 17 sa slová „uplatní úhradu“ nahrádzajú slovami „uplatní náhradu“.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 xml:space="preserve">Legislatívno-technickou úpravou sa zjednocuje terminológia s predchádzajúcimi odsekmi a spresňuje sa výraz (keďže sa jedná o preplatenie už uhradených nákladov). </w:t>
      </w:r>
    </w:p>
    <w:p w:rsid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292192" w:rsidRPr="0003619F" w:rsidP="00292192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I, bod 21 (§ 14h ods. 18):</w:t>
      </w:r>
    </w:p>
    <w:p w:rsidR="00292192" w:rsidRPr="0003619F" w:rsidP="00292192">
      <w:pPr>
        <w:ind w:firstLine="708"/>
        <w:jc w:val="both"/>
        <w:rPr>
          <w:bCs w:val="0"/>
        </w:rPr>
      </w:pPr>
      <w:r w:rsidRPr="0003619F">
        <w:rPr>
          <w:bCs w:val="0"/>
        </w:rPr>
        <w:t xml:space="preserve">V čl. I bode 21 v § 14h ods. 18 sa vypúšťa slovo „ostatnými“. </w:t>
      </w:r>
    </w:p>
    <w:p w:rsidR="00292192" w:rsidRPr="0003619F" w:rsidP="00292192">
      <w:pPr>
        <w:jc w:val="both"/>
        <w:rPr>
          <w:b/>
          <w:bCs w:val="0"/>
        </w:rPr>
      </w:pPr>
    </w:p>
    <w:p w:rsidR="00292192" w:rsidRPr="0003619F" w:rsidP="00292192">
      <w:pPr>
        <w:ind w:left="3969"/>
        <w:jc w:val="both"/>
        <w:rPr>
          <w:bCs w:val="0"/>
        </w:rPr>
      </w:pPr>
      <w:r w:rsidRPr="0003619F">
        <w:rPr>
          <w:bCs w:val="0"/>
        </w:rPr>
        <w:t xml:space="preserve">Ide o štylistickú a formulačnú úpravu a precizovanie navrhovaného ustanovenia. </w:t>
      </w:r>
    </w:p>
    <w:p w:rsidR="0029219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21 (§ 14h ods. 20):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21 v § 14h ods. 20 sa slová „o uhradenie nákladov na“ nahrádzajú slovami „o úhradu nákladov na“.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štylistickú úpravu použitej formulácie v záujme zjednotenia s terminológiou použitou v iných odsekoch toho istého paragrafu.</w:t>
      </w:r>
    </w:p>
    <w:p w:rsid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03619F" w:rsidRPr="0003619F" w:rsidP="007C1B10">
      <w:pPr>
        <w:numPr>
          <w:ilvl w:val="0"/>
          <w:numId w:val="50"/>
        </w:numPr>
        <w:jc w:val="both"/>
        <w:rPr>
          <w:b/>
          <w:bCs w:val="0"/>
        </w:rPr>
      </w:pPr>
      <w:r w:rsidRPr="0003619F">
        <w:rPr>
          <w:b/>
          <w:bCs w:val="0"/>
        </w:rPr>
        <w:t>K čl. I, bod 21 (§ 14i):</w:t>
      </w:r>
    </w:p>
    <w:p w:rsidR="0003619F" w:rsidRPr="0003619F" w:rsidP="007C1B10">
      <w:pPr>
        <w:ind w:left="708"/>
        <w:jc w:val="both"/>
        <w:rPr>
          <w:bCs w:val="0"/>
        </w:rPr>
      </w:pPr>
      <w:r w:rsidRPr="0003619F">
        <w:rPr>
          <w:bCs w:val="0"/>
        </w:rPr>
        <w:t>V čl. I bode 21 v § 14i sa slová „Na účely vykonávania činností ministerstva podľa tohto zákona“ nahrádzajú slovami „Na účely poskytovania konzulárnej ochrany ministerstvom podľa tretej časti tohto zákona“.</w:t>
      </w:r>
    </w:p>
    <w:p w:rsidR="0003619F" w:rsidRPr="0003619F" w:rsidP="0003619F">
      <w:pPr>
        <w:overflowPunct w:val="0"/>
        <w:autoSpaceDE w:val="0"/>
        <w:autoSpaceDN w:val="0"/>
        <w:adjustRightInd w:val="0"/>
        <w:ind w:left="3969"/>
        <w:contextualSpacing/>
        <w:jc w:val="both"/>
        <w:rPr>
          <w:bCs w:val="0"/>
          <w:u w:val="single"/>
        </w:rPr>
      </w:pPr>
      <w:r w:rsidRPr="0003619F">
        <w:rPr>
          <w:bCs w:val="0"/>
        </w:rPr>
        <w:t xml:space="preserve">                                                               </w:t>
      </w:r>
    </w:p>
    <w:p w:rsidR="0003619F" w:rsidP="0003619F">
      <w:pPr>
        <w:ind w:left="3969"/>
        <w:jc w:val="both"/>
        <w:rPr>
          <w:bCs w:val="0"/>
        </w:rPr>
      </w:pPr>
      <w:r w:rsidRPr="0003619F">
        <w:rPr>
          <w:bCs w:val="0"/>
        </w:rPr>
        <w:t xml:space="preserve">Ide o štylistickú a formulačnú úpravu a precizovanie navrhovaného ustanovenia. </w:t>
      </w:r>
    </w:p>
    <w:p w:rsidR="00292192" w:rsidRPr="0003619F" w:rsidP="0003619F">
      <w:pPr>
        <w:ind w:left="3969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28 (§ 21 ods. 3):</w:t>
      </w:r>
    </w:p>
    <w:p w:rsidR="009D03B2" w:rsidRPr="009D03B2" w:rsidP="007C1B10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28 sa slová „po ukončení“ nahrádzajú slovami „od ukončenia“.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pripomienku; precizovanie navrhnutého znenia ustanovenia.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29:</w:t>
      </w:r>
    </w:p>
    <w:p w:rsidR="009D03B2" w:rsidRPr="009D03B2" w:rsidP="007C1B10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29  sa vypúšťajú slová „celom texte“.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pripomienku.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35 [§ 23 písm. d)]:</w:t>
      </w:r>
    </w:p>
    <w:p w:rsidR="009D03B2" w:rsidRPr="009D03B2" w:rsidP="007C1B10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35 sa slová „zmena na základe poverenia“ nahrádzajú slovom „poverenie“.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štylistickú úpravu navrhovaného znenia vzhľadom na znenie úvodnej vety § 23.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40: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40 v úvodnej vete sa slová „Doterajšie znenie“ nahrádzajú slovami „Doterajší text“.</w:t>
      </w: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úpravu úvodnej vety novelizačného bodu.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[príloha č. 3, časť I., B. písm. e)]: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3 v časti I., B. písm. e) sa slová „osvedčovacieho úkonu“ nahrádzajú slovom „osvedčenia“.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úpravu v záujme zjednotenia používanej terminológie.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[príloha č. 3, časť II., B.]: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3 v časti II., B. sa v písmene b) slovo „súhlasí“ nahrádza slovami „sa zhoduje“, v písmene c) sa slová „kópia obsahuje a údaj či ide o úplný alebo čiastočný odpis alebo kópiu“ nahrádzajú slovami „kópia listiny obsahuje a údaj o tom, či ide o úplný odpis listiny alebo čiastočný odpis listiny alebo o kópiu listiny“ a v písmene d) sa za slová „miesto a dátum“ vkladá slovo „vykonania“.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a štylistickú úpravu v záujme zjednotenia používanej terminológie.</w:t>
      </w: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[príloha č. 3, časť III., A.]: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3 v časti III. vo vete za označením „A.“ sa na konci pripájajú slová „pre vykonanie vyššieho overenia listiny“.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a štylistickú úpravu v záujme zjednotenia používanej terminológie.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[príloha č. 3, časť III., B.]: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3 v časti III. vo vete za označením „B.“ sa na konci pripájajú slová „pre vykonanie vyššieho overenia listiny“, v písmene a) sa za slová „vyššie overenie“ vkladá slovo „listiny“, v písmene e) sa slová „vyššieho overenia“ nahrádzajú slovami „vykonania vyššieho overenia listiny“ a v písmene g) sa za slová „vyššie overenie“ vkladá slovo „listiny“.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a štylistickú úpravu v záujme zjednotenia používanej terminológie.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  <w:color w:val="00206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(príloha č. 3, časť IV., A.):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3 v časti IV. vo vete za označením „A.“ sa na konci pripájajú slová „pre osvedčenie prekladu listiny“.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a štylistickú úpravu v záujme zjednotenia používanej terminológie.</w:t>
      </w: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(príloha č. 3, časť IV. B.):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3 v časti IV. vo vete za označením „B.“ sa na konci pripájajú slová „pre osvedčenie prekladu listiny“, v písmene a) sa slová „preklad alebo osvedčenie“ nahrádzajú slovami „preklad listiny alebo osvedčenie prekladu listiny“, v písmene b) sa za slovo „prekladu“ vkladá slovo „listiny“, v písmene c) sa za slovo „preklad“ vkladá slovo „listiny“ a za slovo „prekladu“ sa vkladá slovo „listiny“, v písmene d) sa slová „či ide o úplný“ nahrádzajú slovami „údaj o tom, či ide o úplný preklad“, v písmene e) sa za slovo „vyhotovenia“ vkladajú slová „prekladu listiny“ a za slová „osvedčenia prekladu“ sa vkladá slovo „listiny“ a v písmene g) sa za slovo „preklad“ vkladá slovo „listiny“.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a štylistickú úpravu v záujme zjednotenia používanej terminológie.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(príloha č. 4, časť A.):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4 vo vete za označením „A.“ sa slová „§ 14f ods. 1 písm. d) druhého bodu a písm. e)“ nahrádzajú slovami „§ 14f ods. 1 písm. c) druhého bodu a písm. d) pre vyššie overenie verejnej listiny alebo vyššie overenie listiny“.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a štylistickú úpravu v záujme zjednotenia používanej terminológie a o opravu vnútorných odkazov.</w:t>
      </w:r>
    </w:p>
    <w:p w:rsidR="009D03B2" w:rsidRPr="009D03B2" w:rsidP="009D03B2">
      <w:pPr>
        <w:jc w:val="both"/>
        <w:rPr>
          <w:rFonts w:eastAsia="Calibri"/>
          <w:bCs w:val="0"/>
          <w:lang w:eastAsia="en-US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(príloha č. 4, časť B.):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4 vo vete za označením „B.“ sa slová „§ 14f ods. 1 písm. d) druhého bodu a písm. e)“ nahrádzajú slovami „§ 14f ods. 1 písm. c) druhého bodu a písm. d) pre vyššie overenie verejnej listiny alebo vyššie overenie listiny“.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legislatívno-technickú a štylistickú úpravu v záujme zjednotenia používanej terminológie a o oprava vnútorných odkazov.</w:t>
      </w:r>
    </w:p>
    <w:p w:rsidR="009D03B2" w:rsidRPr="009D03B2" w:rsidP="009D03B2">
      <w:pPr>
        <w:autoSpaceDE w:val="0"/>
        <w:autoSpaceDN w:val="0"/>
        <w:adjustRightInd w:val="0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(príloha č. 5):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5 sa slová „Vzor záväzku podľa § 14h“ nahrádzajú slovami „Vzor prísľubu vo forme záväzku podľa § 14h ods. 15“ a v časti A. sa slová „Prísľub splatenia finančných nákladov na konzulárnu ochranu“ nahrádzajú slovami „Prísľub splatenia nákladov na konzulárnu ochranu v prípade finančnej pomoci“.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precizovanie nadpisov vzhľadom na terminológiu navrhovanú v § 14h ods. 15 a prílohu č. 1 smernice 2015/367 a spresnenie vnútorného odkazu.</w:t>
      </w: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I, bod 47 (príloha č. 6):</w:t>
      </w:r>
    </w:p>
    <w:p w:rsidR="009D03B2" w:rsidRPr="009D03B2" w:rsidP="007C1B10">
      <w:pPr>
        <w:ind w:firstLine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 bode 47 v prílohe č. 6 sa slová „§ 14h“ nahrádzajú slovami „§ 14h ods. 16“.</w:t>
      </w:r>
    </w:p>
    <w:p w:rsidR="007C1B10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Ide o spresnenie vnútorného odkazu.</w:t>
      </w: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7C1B10">
      <w:pPr>
        <w:numPr>
          <w:ilvl w:val="0"/>
          <w:numId w:val="50"/>
        </w:numPr>
        <w:jc w:val="both"/>
        <w:rPr>
          <w:rFonts w:eastAsia="Calibri"/>
          <w:b/>
          <w:bCs w:val="0"/>
          <w:lang w:eastAsia="en-US"/>
        </w:rPr>
      </w:pPr>
      <w:r w:rsidRPr="009D03B2">
        <w:rPr>
          <w:rFonts w:eastAsia="Calibri"/>
          <w:b/>
          <w:bCs w:val="0"/>
          <w:lang w:eastAsia="en-US"/>
        </w:rPr>
        <w:t>K čl. II:</w:t>
      </w:r>
    </w:p>
    <w:p w:rsidR="009D03B2" w:rsidRPr="009D03B2" w:rsidP="007C1B10">
      <w:pPr>
        <w:ind w:left="708"/>
        <w:jc w:val="both"/>
        <w:rPr>
          <w:rFonts w:eastAsia="Calibri"/>
          <w:bCs w:val="0"/>
          <w:lang w:eastAsia="en-US"/>
        </w:rPr>
      </w:pPr>
      <w:r w:rsidRPr="009D03B2">
        <w:rPr>
          <w:rFonts w:eastAsia="Calibri"/>
          <w:bCs w:val="0"/>
          <w:lang w:eastAsia="en-US"/>
        </w:rPr>
        <w:t>V čl. II  v ustanovení o účinnosti sa dátum „1. januára 2018“ nahrádza dátumom „1. februára 2018“.</w:t>
      </w:r>
    </w:p>
    <w:p w:rsidR="0029219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</w:p>
    <w:p w:rsidR="009D03B2" w:rsidRPr="009D03B2" w:rsidP="009D03B2">
      <w:pPr>
        <w:autoSpaceDE w:val="0"/>
        <w:autoSpaceDN w:val="0"/>
        <w:adjustRightInd w:val="0"/>
        <w:ind w:left="3969"/>
        <w:jc w:val="both"/>
        <w:rPr>
          <w:bCs w:val="0"/>
        </w:rPr>
      </w:pPr>
      <w:r w:rsidRPr="009D03B2">
        <w:rPr>
          <w:bCs w:val="0"/>
        </w:rPr>
        <w:t>Zmena účinnosti návrhu zákona sa navrhuje z dôvodu priebehu legislatívneho procesu a potreby zachovania zákonných a ústavných lehôt.</w:t>
      </w:r>
    </w:p>
    <w:p w:rsidR="009D03B2" w:rsidRPr="009D03B2" w:rsidP="009D03B2">
      <w:pPr>
        <w:autoSpaceDE w:val="0"/>
        <w:autoSpaceDN w:val="0"/>
        <w:spacing w:line="276" w:lineRule="auto"/>
        <w:jc w:val="both"/>
        <w:rPr>
          <w:rFonts w:eastAsia="Calibri"/>
          <w:bCs w:val="0"/>
        </w:rPr>
      </w:pPr>
    </w:p>
    <w:p w:rsidR="009D03B2" w:rsidP="000D14F9">
      <w:pPr>
        <w:rPr>
          <w:b/>
          <w:bCs w:val="0"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2192">
      <w:rPr>
        <w:rStyle w:val="PageNumber"/>
        <w:noProof/>
      </w:rPr>
      <w:t>9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552F5"/>
    <w:multiLevelType w:val="hybridMultilevel"/>
    <w:tmpl w:val="EE247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3D6D78"/>
    <w:multiLevelType w:val="hybridMultilevel"/>
    <w:tmpl w:val="FA96FE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75993"/>
    <w:multiLevelType w:val="hybridMultilevel"/>
    <w:tmpl w:val="97DE9A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7"/>
  </w:num>
  <w:num w:numId="5">
    <w:abstractNumId w:val="36"/>
  </w:num>
  <w:num w:numId="6">
    <w:abstractNumId w:val="9"/>
  </w:num>
  <w:num w:numId="7">
    <w:abstractNumId w:val="21"/>
  </w:num>
  <w:num w:numId="8">
    <w:abstractNumId w:val="42"/>
  </w:num>
  <w:num w:numId="9">
    <w:abstractNumId w:val="43"/>
  </w:num>
  <w:num w:numId="10">
    <w:abstractNumId w:val="2"/>
  </w:num>
  <w:num w:numId="11">
    <w:abstractNumId w:val="27"/>
  </w:num>
  <w:num w:numId="12">
    <w:abstractNumId w:val="11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5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2"/>
  </w:num>
  <w:num w:numId="19">
    <w:abstractNumId w:val="13"/>
  </w:num>
  <w:num w:numId="20">
    <w:abstractNumId w:val="35"/>
  </w:num>
  <w:num w:numId="21">
    <w:abstractNumId w:val="10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30"/>
  </w:num>
  <w:num w:numId="25">
    <w:abstractNumId w:val="46"/>
  </w:num>
  <w:num w:numId="26">
    <w:abstractNumId w:val="29"/>
  </w:num>
  <w:num w:numId="27">
    <w:abstractNumId w:val="24"/>
  </w:num>
  <w:num w:numId="28">
    <w:abstractNumId w:val="12"/>
  </w:num>
  <w:num w:numId="29">
    <w:abstractNumId w:val="5"/>
  </w:num>
  <w:num w:numId="30">
    <w:abstractNumId w:val="40"/>
  </w:num>
  <w:num w:numId="31">
    <w:abstractNumId w:val="19"/>
  </w:num>
  <w:num w:numId="32">
    <w:abstractNumId w:val="28"/>
  </w:num>
  <w:num w:numId="33">
    <w:abstractNumId w:val="20"/>
  </w:num>
  <w:num w:numId="34">
    <w:abstractNumId w:val="16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3"/>
  </w:num>
  <w:num w:numId="40">
    <w:abstractNumId w:val="31"/>
  </w:num>
  <w:num w:numId="41">
    <w:abstractNumId w:val="39"/>
  </w:num>
  <w:num w:numId="42">
    <w:abstractNumId w:val="37"/>
  </w:num>
  <w:num w:numId="43">
    <w:abstractNumId w:val="3"/>
  </w:num>
  <w:num w:numId="44">
    <w:abstractNumId w:val="48"/>
  </w:num>
  <w:num w:numId="45">
    <w:abstractNumId w:val="4"/>
  </w:num>
  <w:num w:numId="46">
    <w:abstractNumId w:val="15"/>
  </w:num>
  <w:num w:numId="47">
    <w:abstractNumId w:val="26"/>
  </w:num>
  <w:num w:numId="48">
    <w:abstractNumId w:val="17"/>
  </w:num>
  <w:num w:numId="49">
    <w:abstractNumId w:val="25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2D53"/>
    <w:rsid w:val="00026345"/>
    <w:rsid w:val="0002666C"/>
    <w:rsid w:val="00026968"/>
    <w:rsid w:val="0003619F"/>
    <w:rsid w:val="0004001B"/>
    <w:rsid w:val="00040044"/>
    <w:rsid w:val="00041192"/>
    <w:rsid w:val="000434DA"/>
    <w:rsid w:val="00045E54"/>
    <w:rsid w:val="00050225"/>
    <w:rsid w:val="0005173D"/>
    <w:rsid w:val="0005235B"/>
    <w:rsid w:val="00053D48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4A0"/>
    <w:rsid w:val="000A7E84"/>
    <w:rsid w:val="000B19F4"/>
    <w:rsid w:val="000B4AAD"/>
    <w:rsid w:val="000D0046"/>
    <w:rsid w:val="000D14F9"/>
    <w:rsid w:val="000D1BD1"/>
    <w:rsid w:val="000D4078"/>
    <w:rsid w:val="000E176D"/>
    <w:rsid w:val="000E2CAC"/>
    <w:rsid w:val="000E4253"/>
    <w:rsid w:val="000E5323"/>
    <w:rsid w:val="000E5C35"/>
    <w:rsid w:val="000F1967"/>
    <w:rsid w:val="00103D33"/>
    <w:rsid w:val="0010647C"/>
    <w:rsid w:val="001117D7"/>
    <w:rsid w:val="001139A4"/>
    <w:rsid w:val="00113E0D"/>
    <w:rsid w:val="0011524C"/>
    <w:rsid w:val="00117627"/>
    <w:rsid w:val="001212D5"/>
    <w:rsid w:val="00127866"/>
    <w:rsid w:val="00135CBF"/>
    <w:rsid w:val="00143F10"/>
    <w:rsid w:val="00152B22"/>
    <w:rsid w:val="00153E1E"/>
    <w:rsid w:val="001545C9"/>
    <w:rsid w:val="001559B7"/>
    <w:rsid w:val="00155FEF"/>
    <w:rsid w:val="00160A16"/>
    <w:rsid w:val="001626EB"/>
    <w:rsid w:val="0016756E"/>
    <w:rsid w:val="001734EE"/>
    <w:rsid w:val="001829BC"/>
    <w:rsid w:val="00183676"/>
    <w:rsid w:val="00184104"/>
    <w:rsid w:val="00184650"/>
    <w:rsid w:val="00184784"/>
    <w:rsid w:val="001852E1"/>
    <w:rsid w:val="00192864"/>
    <w:rsid w:val="001957AD"/>
    <w:rsid w:val="001A602E"/>
    <w:rsid w:val="001B0C6C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1F5644"/>
    <w:rsid w:val="002011D5"/>
    <w:rsid w:val="002012D0"/>
    <w:rsid w:val="00205C7B"/>
    <w:rsid w:val="0020683C"/>
    <w:rsid w:val="00210542"/>
    <w:rsid w:val="00213659"/>
    <w:rsid w:val="00214BD9"/>
    <w:rsid w:val="00215072"/>
    <w:rsid w:val="0022770E"/>
    <w:rsid w:val="00232F32"/>
    <w:rsid w:val="00233821"/>
    <w:rsid w:val="00244648"/>
    <w:rsid w:val="002461A5"/>
    <w:rsid w:val="00254F23"/>
    <w:rsid w:val="00255E78"/>
    <w:rsid w:val="002603BC"/>
    <w:rsid w:val="002629D4"/>
    <w:rsid w:val="00272FA8"/>
    <w:rsid w:val="002743DB"/>
    <w:rsid w:val="00276AD6"/>
    <w:rsid w:val="00284126"/>
    <w:rsid w:val="0028499B"/>
    <w:rsid w:val="00292192"/>
    <w:rsid w:val="00294FAE"/>
    <w:rsid w:val="002A59BC"/>
    <w:rsid w:val="002A6335"/>
    <w:rsid w:val="002A7220"/>
    <w:rsid w:val="002B337A"/>
    <w:rsid w:val="002B6101"/>
    <w:rsid w:val="002C62FF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C2355"/>
    <w:rsid w:val="003C4B32"/>
    <w:rsid w:val="003C4D07"/>
    <w:rsid w:val="003D441A"/>
    <w:rsid w:val="003D7C0B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0A77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6C03"/>
    <w:rsid w:val="004E6E36"/>
    <w:rsid w:val="004F0838"/>
    <w:rsid w:val="004F2B3E"/>
    <w:rsid w:val="004F45C8"/>
    <w:rsid w:val="00500C97"/>
    <w:rsid w:val="0050102D"/>
    <w:rsid w:val="00504177"/>
    <w:rsid w:val="0052115B"/>
    <w:rsid w:val="00522678"/>
    <w:rsid w:val="0052685A"/>
    <w:rsid w:val="0053136B"/>
    <w:rsid w:val="0053198A"/>
    <w:rsid w:val="0053362C"/>
    <w:rsid w:val="005375F3"/>
    <w:rsid w:val="00552BE1"/>
    <w:rsid w:val="0056697B"/>
    <w:rsid w:val="00571B51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1F0B"/>
    <w:rsid w:val="005D24E9"/>
    <w:rsid w:val="005D2E69"/>
    <w:rsid w:val="005D322A"/>
    <w:rsid w:val="005D368F"/>
    <w:rsid w:val="005D6283"/>
    <w:rsid w:val="005D62EB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186D"/>
    <w:rsid w:val="00622525"/>
    <w:rsid w:val="00624DDC"/>
    <w:rsid w:val="00632B62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283"/>
    <w:rsid w:val="006A3C85"/>
    <w:rsid w:val="006A6D97"/>
    <w:rsid w:val="006A749F"/>
    <w:rsid w:val="006B50A0"/>
    <w:rsid w:val="006C19B0"/>
    <w:rsid w:val="006C72E6"/>
    <w:rsid w:val="006D23E3"/>
    <w:rsid w:val="006D6B84"/>
    <w:rsid w:val="006E5A71"/>
    <w:rsid w:val="006F4192"/>
    <w:rsid w:val="006F7BE1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A7227"/>
    <w:rsid w:val="007A7FC3"/>
    <w:rsid w:val="007B40ED"/>
    <w:rsid w:val="007C1B10"/>
    <w:rsid w:val="007C3A2E"/>
    <w:rsid w:val="007C6EC6"/>
    <w:rsid w:val="007D3639"/>
    <w:rsid w:val="007D74D2"/>
    <w:rsid w:val="007D7D61"/>
    <w:rsid w:val="007E168E"/>
    <w:rsid w:val="0080410E"/>
    <w:rsid w:val="0081158D"/>
    <w:rsid w:val="00824DAD"/>
    <w:rsid w:val="00830899"/>
    <w:rsid w:val="00841E0B"/>
    <w:rsid w:val="00841EA3"/>
    <w:rsid w:val="00843911"/>
    <w:rsid w:val="008458BA"/>
    <w:rsid w:val="0085189B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5A15"/>
    <w:rsid w:val="00977639"/>
    <w:rsid w:val="00985280"/>
    <w:rsid w:val="00990B21"/>
    <w:rsid w:val="009940AF"/>
    <w:rsid w:val="00996EF0"/>
    <w:rsid w:val="009A0038"/>
    <w:rsid w:val="009A5069"/>
    <w:rsid w:val="009B1A9B"/>
    <w:rsid w:val="009B629D"/>
    <w:rsid w:val="009C5634"/>
    <w:rsid w:val="009C6829"/>
    <w:rsid w:val="009D03B2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2570"/>
    <w:rsid w:val="00A93054"/>
    <w:rsid w:val="00AB4ECA"/>
    <w:rsid w:val="00AC22E2"/>
    <w:rsid w:val="00AC2960"/>
    <w:rsid w:val="00AC65F9"/>
    <w:rsid w:val="00AC7EC3"/>
    <w:rsid w:val="00AD0864"/>
    <w:rsid w:val="00AE3087"/>
    <w:rsid w:val="00AE69DF"/>
    <w:rsid w:val="00AE6F63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3537"/>
    <w:rsid w:val="00B87020"/>
    <w:rsid w:val="00B956AC"/>
    <w:rsid w:val="00B95CCC"/>
    <w:rsid w:val="00B97CFB"/>
    <w:rsid w:val="00BA1E88"/>
    <w:rsid w:val="00BB022F"/>
    <w:rsid w:val="00BB1415"/>
    <w:rsid w:val="00BB1607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C0580A"/>
    <w:rsid w:val="00C059CD"/>
    <w:rsid w:val="00C221C2"/>
    <w:rsid w:val="00C2409D"/>
    <w:rsid w:val="00C34FB0"/>
    <w:rsid w:val="00C37D3C"/>
    <w:rsid w:val="00C40208"/>
    <w:rsid w:val="00C470FD"/>
    <w:rsid w:val="00C511AD"/>
    <w:rsid w:val="00C56FB3"/>
    <w:rsid w:val="00C609C6"/>
    <w:rsid w:val="00C637C7"/>
    <w:rsid w:val="00C66F59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BC6"/>
    <w:rsid w:val="00CA6961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120A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54D4F"/>
    <w:rsid w:val="00E564B4"/>
    <w:rsid w:val="00E56CEF"/>
    <w:rsid w:val="00E61311"/>
    <w:rsid w:val="00E70960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F60D1"/>
    <w:rsid w:val="00F00247"/>
    <w:rsid w:val="00F02244"/>
    <w:rsid w:val="00F03B10"/>
    <w:rsid w:val="00F05D83"/>
    <w:rsid w:val="00F14525"/>
    <w:rsid w:val="00F15963"/>
    <w:rsid w:val="00F3096D"/>
    <w:rsid w:val="00F31640"/>
    <w:rsid w:val="00F31D27"/>
    <w:rsid w:val="00F328DE"/>
    <w:rsid w:val="00F33022"/>
    <w:rsid w:val="00F362CE"/>
    <w:rsid w:val="00F531F1"/>
    <w:rsid w:val="00F6286E"/>
    <w:rsid w:val="00F7162F"/>
    <w:rsid w:val="00F7316C"/>
    <w:rsid w:val="00F7461A"/>
    <w:rsid w:val="00F80E71"/>
    <w:rsid w:val="00F87FF3"/>
    <w:rsid w:val="00F92F1D"/>
    <w:rsid w:val="00F966EF"/>
    <w:rsid w:val="00FB71C8"/>
    <w:rsid w:val="00FC615D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2431D-BBA2-4708-B0F7-913B0E76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53</cp:revision>
  <cp:lastPrinted>2017-11-07T08:20:00Z</cp:lastPrinted>
  <dcterms:created xsi:type="dcterms:W3CDTF">2013-06-14T07:14:00Z</dcterms:created>
  <dcterms:modified xsi:type="dcterms:W3CDTF">2017-11-20T15:00:00Z</dcterms:modified>
</cp:coreProperties>
</file>